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5, 2025,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280" w:type="dxa"/>
            <w:vAlign w:val="bottom"/>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0000FF"/>
              </w:rPr>
              <w:t>Post StaRUG Release</w:t>
            </w:r>
          </w:p>
        </w:tc>
      </w:tr>
      <w:tr>
        <w:trPr>
          <w:trHeight w:val="21"/>
        </w:trPr>
        <w:tc>
          <w:tcPr>
            <w:tcW w:w="3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Mynaric Advances Laser Communications with Product Deliveries and Technology Milestones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22"/>
          <w:szCs w:val="22"/>
          <w:b w:val="1"/>
          <w:bCs w:val="1"/>
          <w:color w:val="auto"/>
        </w:rPr>
        <w:t xml:space="preserve">MUNICH, June 5, 2025 – </w:t>
      </w:r>
      <w:r>
        <w:rPr>
          <w:rFonts w:ascii="Arial" w:cs="Arial" w:eastAsia="Arial" w:hAnsi="Arial"/>
          <w:sz w:val="22"/>
          <w:szCs w:val="22"/>
          <w:color w:val="auto"/>
        </w:rPr>
        <w:t>Mynaric, a leading provider of industrialized, cost-efective, and scalable laser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products, today announced signifcant customer deliveries of its CONDOR Mk3 optical communications terminals and major progress in the technical development of the next-generation CONDOR Mk3.1 terminal.</w:t>
      </w:r>
    </w:p>
    <w:p>
      <w:pPr>
        <w:spacing w:after="0" w:line="67" w:lineRule="exact"/>
        <w:rPr>
          <w:sz w:val="20"/>
          <w:szCs w:val="20"/>
          <w:color w:val="auto"/>
        </w:rPr>
      </w:pPr>
    </w:p>
    <w:p>
      <w:pPr>
        <w:ind w:right="100"/>
        <w:spacing w:after="0" w:line="293" w:lineRule="auto"/>
        <w:rPr>
          <w:sz w:val="20"/>
          <w:szCs w:val="20"/>
          <w:color w:val="auto"/>
        </w:rPr>
      </w:pPr>
      <w:r>
        <w:rPr>
          <w:rFonts w:ascii="Arial" w:cs="Arial" w:eastAsia="Arial" w:hAnsi="Arial"/>
          <w:sz w:val="22"/>
          <w:szCs w:val="22"/>
          <w:color w:val="auto"/>
        </w:rPr>
        <w:t>“Mynaric continues to execute on its commitments and advance the market for space-based optical communications. As of today, we have delivered more than 100 CONDOR Mk3 terminals to our customers, including the frst complete launch set to a prime customer for Tranche 1 of the Space Development Agency’s (SDA) Proliferated Warfghter Space Architecture program,” said Joachim Horwath, Chief Technology Ofcer of Mynaric. “In parallel, we are advancing the design of the space-qualifed CONDOR Mk3.1 terminal, which is slated to support the SDA’s Tranche 2 program, as well as a range of commercial applications.”</w:t>
      </w:r>
    </w:p>
    <w:p>
      <w:pPr>
        <w:spacing w:after="0" w:line="78" w:lineRule="exact"/>
        <w:rPr>
          <w:sz w:val="20"/>
          <w:szCs w:val="20"/>
          <w:color w:val="auto"/>
        </w:rPr>
      </w:pPr>
    </w:p>
    <w:p>
      <w:pPr>
        <w:ind w:right="60"/>
        <w:spacing w:after="0" w:line="301" w:lineRule="auto"/>
        <w:rPr>
          <w:sz w:val="20"/>
          <w:szCs w:val="20"/>
          <w:color w:val="auto"/>
        </w:rPr>
      </w:pPr>
      <w:r>
        <w:rPr>
          <w:rFonts w:ascii="Arial" w:cs="Arial" w:eastAsia="Arial" w:hAnsi="Arial"/>
          <w:sz w:val="22"/>
          <w:szCs w:val="22"/>
          <w:color w:val="auto"/>
        </w:rPr>
        <w:t>Building on the fight-ready architecture of the Mk3, the CONDOR Mk3.1 terminal is being developed with a focus on higher data rates and enhanced efciency. Targeting up to 100 Gbps, it ofers improved performance while reducing weight and power consumption — making it ideally suited for both government and commercial satellite constellations.</w:t>
      </w:r>
    </w:p>
    <w:p>
      <w:pPr>
        <w:spacing w:after="0" w:line="54" w:lineRule="exact"/>
        <w:rPr>
          <w:sz w:val="20"/>
          <w:szCs w:val="20"/>
          <w:color w:val="auto"/>
        </w:rPr>
      </w:pPr>
    </w:p>
    <w:p>
      <w:pPr>
        <w:spacing w:after="0" w:line="296" w:lineRule="auto"/>
        <w:rPr>
          <w:sz w:val="20"/>
          <w:szCs w:val="20"/>
          <w:color w:val="auto"/>
        </w:rPr>
      </w:pPr>
      <w:r>
        <w:rPr>
          <w:rFonts w:ascii="Arial" w:cs="Arial" w:eastAsia="Arial" w:hAnsi="Arial"/>
          <w:sz w:val="22"/>
          <w:szCs w:val="22"/>
          <w:color w:val="auto"/>
        </w:rPr>
        <w:t>“At Mynaric, we work hand-in-hand with our customers to shape the future of laser communications,” said Tim Deaver, Mynaric’s Vice President of Global Sales &amp; Solutions. “Our next-generation products, like the CONDOR Mk3.1, are a direct result of ongoing collaboration with industry partners and a deep understanding of evolving mission requirements. By listening closely to customer feedback and anticipating market needs, we’re able to deliver solutions that are not only technically advanced but also operationally relevant.”</w:t>
      </w:r>
    </w:p>
    <w:p>
      <w:pPr>
        <w:spacing w:after="0" w:line="74" w:lineRule="exact"/>
        <w:rPr>
          <w:sz w:val="20"/>
          <w:szCs w:val="20"/>
          <w:color w:val="auto"/>
        </w:rPr>
      </w:pPr>
    </w:p>
    <w:p>
      <w:pPr>
        <w:ind w:right="60"/>
        <w:spacing w:after="0" w:line="311" w:lineRule="auto"/>
        <w:rPr>
          <w:sz w:val="20"/>
          <w:szCs w:val="20"/>
          <w:color w:val="auto"/>
        </w:rPr>
      </w:pPr>
      <w:r>
        <w:rPr>
          <w:rFonts w:ascii="Arial" w:cs="Arial" w:eastAsia="Arial" w:hAnsi="Arial"/>
          <w:sz w:val="22"/>
          <w:szCs w:val="22"/>
          <w:color w:val="auto"/>
        </w:rPr>
        <w:t xml:space="preserve">This customer-driven approach is supported by a scalable production line that continues to expand. In parallel with these deliveries, Mynaric has ramped up volume production of the CONDOR Mk3 terminal, manufacturing more than 150 optical heads to date. While shipments were delayed </w:t>
      </w:r>
      <w:r>
        <w:rPr>
          <w:rFonts w:ascii="Arial" w:cs="Arial" w:eastAsia="Arial" w:hAnsi="Arial"/>
          <w:sz w:val="22"/>
          <w:szCs w:val="22"/>
          <w:u w:val="single" w:color="auto"/>
          <w:color w:val="467886"/>
        </w:rPr>
        <w:t>in January 2025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915035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3" w:name="page4"/>
    <w:bookmarkEnd w:id="3"/>
    <w:p>
      <w:pPr>
        <w:jc w:val="both"/>
        <w:ind w:right="300"/>
        <w:spacing w:after="0" w:line="311" w:lineRule="auto"/>
        <w:rPr>
          <w:sz w:val="20"/>
          <w:szCs w:val="20"/>
          <w:color w:val="auto"/>
        </w:rPr>
      </w:pPr>
      <w:r>
        <w:rPr>
          <w:rFonts w:ascii="Arial" w:cs="Arial" w:eastAsia="Arial" w:hAnsi="Arial"/>
          <w:sz w:val="22"/>
          <w:szCs w:val="22"/>
          <w:u w:val="single" w:color="auto"/>
          <w:color w:val="467886"/>
        </w:rPr>
        <w:t>supplier-related shortages of key components</w:t>
      </w:r>
      <w:r>
        <w:rPr>
          <w:rFonts w:ascii="Arial" w:cs="Arial" w:eastAsia="Arial" w:hAnsi="Arial"/>
          <w:sz w:val="22"/>
          <w:szCs w:val="22"/>
          <w:color w:val="000000"/>
        </w:rPr>
        <w:t>, the company rebounded strongly in the frst half of the year,</w:t>
      </w:r>
      <w:r>
        <w:rPr>
          <w:rFonts w:ascii="Arial" w:cs="Arial" w:eastAsia="Arial" w:hAnsi="Arial"/>
          <w:sz w:val="22"/>
          <w:szCs w:val="22"/>
          <w:color w:val="467886"/>
        </w:rPr>
        <w:t xml:space="preserve"> </w:t>
      </w:r>
      <w:r>
        <w:rPr>
          <w:rFonts w:ascii="Arial" w:cs="Arial" w:eastAsia="Arial" w:hAnsi="Arial"/>
          <w:sz w:val="22"/>
          <w:szCs w:val="22"/>
          <w:color w:val="000000"/>
        </w:rPr>
        <w:t>achieving triple-digit yields — underscoring its ability to scale industrialized manufacturing for space-based laser communications.</w:t>
      </w:r>
    </w:p>
    <w:p>
      <w:pPr>
        <w:spacing w:after="0" w:line="56" w:lineRule="exact"/>
        <w:rPr>
          <w:sz w:val="20"/>
          <w:szCs w:val="20"/>
          <w:color w:val="auto"/>
        </w:rPr>
      </w:pPr>
    </w:p>
    <w:p>
      <w:pPr>
        <w:ind w:right="260"/>
        <w:spacing w:after="0" w:line="309" w:lineRule="auto"/>
        <w:rPr>
          <w:sz w:val="20"/>
          <w:szCs w:val="20"/>
          <w:color w:val="auto"/>
        </w:rPr>
      </w:pPr>
      <w:r>
        <w:rPr>
          <w:rFonts w:ascii="Arial" w:cs="Arial" w:eastAsia="Arial" w:hAnsi="Arial"/>
          <w:sz w:val="22"/>
          <w:szCs w:val="22"/>
          <w:color w:val="auto"/>
        </w:rPr>
        <w:t>“With the court confrming our restructuring plan and the StaRUG process entering its fnal stage, Mynaric is now focused on accelerating the deployment of next-generation optical communications technology, enhancing proftability, and ensuring long-term fnancial stability,” said Andreas Reif, Chief Restructuring Ofcer of Mynaric.</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Mynaric</w:t>
      </w:r>
    </w:p>
    <w:p>
      <w:pPr>
        <w:spacing w:after="0" w:line="193" w:lineRule="exact"/>
        <w:rPr>
          <w:sz w:val="20"/>
          <w:szCs w:val="20"/>
          <w:color w:val="auto"/>
        </w:rPr>
      </w:pPr>
    </w:p>
    <w:p>
      <w:pPr>
        <w:spacing w:after="0" w:line="296" w:lineRule="auto"/>
        <w:rPr>
          <w:sz w:val="20"/>
          <w:szCs w:val="20"/>
          <w:color w:val="auto"/>
        </w:rPr>
      </w:pPr>
      <w:r>
        <w:rPr>
          <w:rFonts w:ascii="Arial" w:cs="Arial" w:eastAsia="Arial" w:hAnsi="Arial"/>
          <w:sz w:val="22"/>
          <w:szCs w:val="22"/>
          <w:color w:val="auto"/>
        </w:rPr>
        <w:t>Mynaric (FRA:M0YN) (OTC:MYNAY)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operations in Los Angeles, California.</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22"/>
          <w:szCs w:val="22"/>
          <w:u w:val="single" w:color="auto"/>
          <w:color w:val="467886"/>
        </w:rPr>
        <w:t>mynaric.com</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2025-06-05T09:35:04Z</dcterms:created>
  <dcterms:modified xsi:type="dcterms:W3CDTF">2025-06-05T09:35:04Z</dcterms:modified>
</cp:coreProperties>
</file>