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15, 2025</w:t>
      </w:r>
    </w:p>
    <w:p>
      <w:pPr>
        <w:spacing w:after="0" w:line="225" w:lineRule="exact"/>
        <w:rPr>
          <w:sz w:val="24"/>
          <w:szCs w:val="24"/>
          <w:color w:val="auto"/>
        </w:rPr>
      </w:pPr>
    </w:p>
    <w:p>
      <w:pPr>
        <w:jc w:val="right"/>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Registration No.</w:t>
      </w:r>
      <w:r>
        <w:rPr>
          <w:sz w:val="20"/>
          <w:szCs w:val="20"/>
          <w:color w:val="auto"/>
        </w:rPr>
        <w:tab/>
      </w:r>
      <w:r>
        <w:rPr>
          <w:rFonts w:ascii="Times New Roman" w:cs="Times New Roman" w:eastAsia="Times New Roman" w:hAnsi="Times New Roman"/>
          <w:sz w:val="17"/>
          <w:szCs w:val="17"/>
          <w:b w:val="1"/>
          <w:bCs w:val="1"/>
          <w:color w:val="auto"/>
        </w:rPr>
        <w:t>333-266365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333-279522</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16"/>
        </w:trPr>
        <w:tc>
          <w:tcPr>
            <w:tcW w:w="2800" w:type="dxa"/>
            <w:vAlign w:val="bottom"/>
            <w:tcBorders>
              <w:top w:val="single" w:sz="8" w:color="auto"/>
            </w:tcBorders>
          </w:tcPr>
          <w:p>
            <w:pPr>
              <w:spacing w:after="0"/>
              <w:rPr>
                <w:sz w:val="24"/>
                <w:szCs w:val="24"/>
                <w:color w:val="auto"/>
              </w:rPr>
            </w:pPr>
          </w:p>
        </w:tc>
        <w:tc>
          <w:tcPr>
            <w:tcW w:w="8440" w:type="dxa"/>
            <w:vAlign w:val="bottom"/>
            <w:tcBorders>
              <w:top w:val="single" w:sz="8" w:color="auto"/>
            </w:tcBorders>
          </w:tcPr>
          <w:p>
            <w:pPr>
              <w:jc w:val="center"/>
              <w:ind w:right="2693"/>
              <w:spacing w:after="0"/>
              <w:rPr>
                <w:sz w:val="20"/>
                <w:szCs w:val="20"/>
                <w:color w:val="auto"/>
              </w:rPr>
            </w:pPr>
            <w:r>
              <w:rPr>
                <w:rFonts w:ascii="Times New Roman" w:cs="Times New Roman" w:eastAsia="Times New Roman" w:hAnsi="Times New Roman"/>
                <w:sz w:val="25"/>
                <w:szCs w:val="25"/>
                <w:b w:val="1"/>
                <w:bCs w:val="1"/>
                <w:color w:val="auto"/>
              </w:rPr>
              <w:t>UNITED STATES</w:t>
            </w:r>
          </w:p>
        </w:tc>
      </w:tr>
      <w:tr>
        <w:trPr>
          <w:trHeight w:val="299"/>
        </w:trPr>
        <w:tc>
          <w:tcPr>
            <w:tcW w:w="2800" w:type="dxa"/>
            <w:vAlign w:val="bottom"/>
          </w:tcPr>
          <w:p>
            <w:pPr>
              <w:spacing w:after="0"/>
              <w:rPr>
                <w:sz w:val="24"/>
                <w:szCs w:val="24"/>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262"/>
        </w:trPr>
        <w:tc>
          <w:tcPr>
            <w:tcW w:w="2800" w:type="dxa"/>
            <w:vAlign w:val="bottom"/>
          </w:tcPr>
          <w:p>
            <w:pPr>
              <w:spacing w:after="0"/>
              <w:rPr>
                <w:sz w:val="22"/>
                <w:szCs w:val="22"/>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0"/>
                <w:szCs w:val="20"/>
                <w:b w:val="1"/>
                <w:bCs w:val="1"/>
                <w:color w:val="auto"/>
                <w:w w:val="98"/>
              </w:rPr>
              <w:t>Washington, D.C. 20549</w:t>
            </w:r>
          </w:p>
        </w:tc>
      </w:tr>
      <w:tr>
        <w:trPr>
          <w:trHeight w:val="446"/>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0"/>
                <w:szCs w:val="20"/>
                <w:b w:val="1"/>
                <w:bCs w:val="1"/>
                <w:color w:val="auto"/>
                <w:w w:val="98"/>
              </w:rPr>
              <w:t>POST-EFFECTIVE AMENDMENT NO. 1 TO:</w:t>
            </w:r>
          </w:p>
        </w:tc>
      </w:tr>
      <w:tr>
        <w:trPr>
          <w:trHeight w:val="305"/>
        </w:trPr>
        <w:tc>
          <w:tcPr>
            <w:tcW w:w="2800" w:type="dxa"/>
            <w:vAlign w:val="bottom"/>
          </w:tcPr>
          <w:p>
            <w:pPr>
              <w:spacing w:after="0"/>
              <w:rPr>
                <w:sz w:val="24"/>
                <w:szCs w:val="24"/>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0"/>
                <w:szCs w:val="20"/>
                <w:b w:val="1"/>
                <w:bCs w:val="1"/>
                <w:color w:val="auto"/>
                <w:w w:val="98"/>
              </w:rPr>
              <w:t>Form S-8 Registration Statement No. 333-266365</w:t>
            </w:r>
          </w:p>
        </w:tc>
      </w:tr>
      <w:tr>
        <w:trPr>
          <w:trHeight w:val="262"/>
        </w:trPr>
        <w:tc>
          <w:tcPr>
            <w:tcW w:w="2800" w:type="dxa"/>
            <w:vAlign w:val="bottom"/>
          </w:tcPr>
          <w:p>
            <w:pPr>
              <w:spacing w:after="0"/>
              <w:rPr>
                <w:sz w:val="22"/>
                <w:szCs w:val="22"/>
                <w:color w:val="auto"/>
              </w:rPr>
            </w:pPr>
          </w:p>
        </w:tc>
        <w:tc>
          <w:tcPr>
            <w:tcW w:w="8440" w:type="dxa"/>
            <w:vAlign w:val="bottom"/>
          </w:tcPr>
          <w:p>
            <w:pPr>
              <w:jc w:val="center"/>
              <w:ind w:right="2673"/>
              <w:spacing w:after="0"/>
              <w:rPr>
                <w:sz w:val="20"/>
                <w:szCs w:val="20"/>
                <w:color w:val="auto"/>
              </w:rPr>
            </w:pPr>
            <w:r>
              <w:rPr>
                <w:rFonts w:ascii="Times New Roman" w:cs="Times New Roman" w:eastAsia="Times New Roman" w:hAnsi="Times New Roman"/>
                <w:sz w:val="20"/>
                <w:szCs w:val="20"/>
                <w:b w:val="1"/>
                <w:bCs w:val="1"/>
                <w:color w:val="auto"/>
                <w:w w:val="98"/>
              </w:rPr>
              <w:t>Form S-8 Registration Statement No. 333-279522</w:t>
            </w:r>
          </w:p>
        </w:tc>
      </w:tr>
      <w:tr>
        <w:trPr>
          <w:trHeight w:val="401"/>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9"/>
                <w:szCs w:val="29"/>
                <w:b w:val="1"/>
                <w:bCs w:val="1"/>
                <w:color w:val="auto"/>
                <w:w w:val="99"/>
              </w:rPr>
              <w:t>FORM S-8</w:t>
            </w:r>
          </w:p>
        </w:tc>
      </w:tr>
      <w:tr>
        <w:trPr>
          <w:trHeight w:val="353"/>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29"/>
                <w:szCs w:val="29"/>
                <w:b w:val="1"/>
                <w:bCs w:val="1"/>
                <w:color w:val="auto"/>
                <w:w w:val="99"/>
              </w:rPr>
              <w:t>REGISTRATION STATEMENT</w:t>
            </w:r>
          </w:p>
        </w:tc>
      </w:tr>
      <w:tr>
        <w:trPr>
          <w:trHeight w:val="216"/>
        </w:trPr>
        <w:tc>
          <w:tcPr>
            <w:tcW w:w="2800" w:type="dxa"/>
            <w:vAlign w:val="bottom"/>
          </w:tcPr>
          <w:p>
            <w:pPr>
              <w:spacing w:after="0"/>
              <w:rPr>
                <w:sz w:val="18"/>
                <w:szCs w:val="18"/>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8"/>
                <w:szCs w:val="18"/>
                <w:b w:val="1"/>
                <w:bCs w:val="1"/>
                <w:i w:val="1"/>
                <w:iCs w:val="1"/>
                <w:color w:val="auto"/>
              </w:rPr>
              <w:t>UNDER</w:t>
            </w:r>
          </w:p>
        </w:tc>
      </w:tr>
      <w:tr>
        <w:trPr>
          <w:trHeight w:val="238"/>
        </w:trPr>
        <w:tc>
          <w:tcPr>
            <w:tcW w:w="2800" w:type="dxa"/>
            <w:vAlign w:val="bottom"/>
          </w:tcPr>
          <w:p>
            <w:pPr>
              <w:spacing w:after="0"/>
              <w:rPr>
                <w:sz w:val="20"/>
                <w:szCs w:val="20"/>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8"/>
                <w:szCs w:val="18"/>
                <w:b w:val="1"/>
                <w:bCs w:val="1"/>
                <w:i w:val="1"/>
                <w:iCs w:val="1"/>
                <w:color w:val="auto"/>
                <w:w w:val="99"/>
              </w:rPr>
              <w:t>THE SECURITIES ACT OF 1933</w:t>
            </w:r>
          </w:p>
        </w:tc>
      </w:tr>
      <w:tr>
        <w:trPr>
          <w:trHeight w:val="637"/>
        </w:trPr>
        <w:tc>
          <w:tcPr>
            <w:tcW w:w="2800" w:type="dxa"/>
            <w:vAlign w:val="bottom"/>
          </w:tcPr>
          <w:p>
            <w:pPr>
              <w:spacing w:after="0"/>
              <w:rPr>
                <w:sz w:val="24"/>
                <w:szCs w:val="24"/>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36"/>
                <w:szCs w:val="36"/>
                <w:b w:val="1"/>
                <w:bCs w:val="1"/>
                <w:color w:val="auto"/>
                <w:w w:val="99"/>
              </w:rPr>
              <w:t>MYNARIC AG</w:t>
            </w:r>
          </w:p>
        </w:tc>
      </w:tr>
      <w:tr>
        <w:trPr>
          <w:trHeight w:val="190"/>
        </w:trPr>
        <w:tc>
          <w:tcPr>
            <w:tcW w:w="2800" w:type="dxa"/>
            <w:vAlign w:val="bottom"/>
          </w:tcPr>
          <w:p>
            <w:pPr>
              <w:spacing w:after="0"/>
              <w:rPr>
                <w:sz w:val="16"/>
                <w:szCs w:val="16"/>
                <w:color w:val="auto"/>
              </w:rPr>
            </w:pPr>
          </w:p>
        </w:tc>
        <w:tc>
          <w:tcPr>
            <w:tcW w:w="8440" w:type="dxa"/>
            <w:vAlign w:val="bottom"/>
          </w:tcPr>
          <w:p>
            <w:pPr>
              <w:jc w:val="center"/>
              <w:ind w:right="2693"/>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92"/>
        </w:trPr>
        <w:tc>
          <w:tcPr>
            <w:tcW w:w="2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The Federal Republic of Germany</w:t>
            </w:r>
          </w:p>
        </w:tc>
        <w:tc>
          <w:tcPr>
            <w:tcW w:w="8440" w:type="dxa"/>
            <w:vAlign w:val="bottom"/>
          </w:tcPr>
          <w:p>
            <w:pPr>
              <w:ind w:left="310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148"/>
        </w:trPr>
        <w:tc>
          <w:tcPr>
            <w:tcW w:w="28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8440" w:type="dxa"/>
            <w:vAlign w:val="bottom"/>
          </w:tcPr>
          <w:p>
            <w:pPr>
              <w:ind w:left="3100"/>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8440" w:type="dxa"/>
            <w:vAlign w:val="bottom"/>
          </w:tcPr>
          <w:p>
            <w:pPr>
              <w:ind w:left="3100"/>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Bertha-Kipfmüller Straße 2-8</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81249 München</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Germany</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+49 (0) 89 5589 4280</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2019</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2020</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Units Program 2021</w:t>
      </w: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2022</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 Unit Program 2022</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Stock Option Program 2023</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179070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Puglisi &amp; Associates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850 Library Avenue, Suite 204</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Newark, Delaware 19711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 (302) 738 6680</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167640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Copies to:</w:t>
      </w:r>
    </w:p>
    <w:p>
      <w:pPr>
        <w:spacing w:after="0" w:line="22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6"/>
          <w:szCs w:val="16"/>
          <w:b w:val="1"/>
          <w:bCs w:val="1"/>
          <w:color w:val="auto"/>
        </w:rPr>
        <w:t>Krystian M. Czerniecki</w:t>
      </w:r>
    </w:p>
    <w:p>
      <w:pPr>
        <w:spacing w:after="0" w:line="2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6"/>
          <w:szCs w:val="16"/>
          <w:b w:val="1"/>
          <w:bCs w:val="1"/>
          <w:color w:val="auto"/>
        </w:rPr>
        <w:t>Neue Mainzer Straße 52</w:t>
      </w:r>
    </w:p>
    <w:p>
      <w:pPr>
        <w:spacing w:after="0" w:line="1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60311 Frankfurt, Germany</w:t>
      </w:r>
    </w:p>
    <w:p>
      <w:pPr>
        <w:spacing w:after="0" w:line="1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+49 (69) 4272 5200</w:t>
      </w:r>
    </w:p>
    <w:p>
      <w:pPr>
        <w:spacing w:after="0" w:line="110" w:lineRule="exact"/>
        <w:rPr>
          <w:sz w:val="24"/>
          <w:szCs w:val="24"/>
          <w:color w:val="auto"/>
        </w:rPr>
      </w:pPr>
    </w:p>
    <w:p>
      <w:pPr>
        <w:jc w:val="both"/>
        <w:ind w:firstLine="374"/>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p>
      <w:pPr>
        <w:ind w:left="4580"/>
        <w:spacing w:after="0" w:line="161" w:lineRule="exact"/>
        <w:tabs>
          <w:tab w:leader="none" w:pos="61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Accelerated filer </w:t>
      </w:r>
      <w:r>
        <w:rPr>
          <w:rFonts w:ascii="MS PGothic" w:cs="MS PGothic" w:eastAsia="MS PGothic" w:hAnsi="MS PGothic"/>
          <w:sz w:val="14"/>
          <w:szCs w:val="14"/>
          <w:color w:val="auto"/>
        </w:rPr>
        <w:t>☐</w:t>
      </w:r>
    </w:p>
    <w:p>
      <w:pPr>
        <w:spacing w:after="0" w:line="57" w:lineRule="exact"/>
        <w:rPr>
          <w:sz w:val="24"/>
          <w:szCs w:val="24"/>
          <w:color w:val="auto"/>
        </w:rPr>
      </w:pPr>
    </w:p>
    <w:p>
      <w:pPr>
        <w:ind w:left="41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504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ind w:firstLine="37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Post-Effective Amendment No. 1 for each of the following Registration Statements on Form S-8 (the “Prior Registration Statements”) is being filed by Mynaric AG (“Mynaric”) to terminate all offerings under the Prior Registration Statements and to deregister any and all securities, registered but unsold or otherwise unissued pursuant to the Prior Registration Statements:</w:t>
      </w:r>
    </w:p>
    <w:p>
      <w:pPr>
        <w:spacing w:after="0" w:line="178" w:lineRule="exact"/>
        <w:rPr>
          <w:sz w:val="20"/>
          <w:szCs w:val="20"/>
          <w:color w:val="auto"/>
        </w:rPr>
      </w:pPr>
    </w:p>
    <w:tbl>
      <w:tblPr>
        <w:tblLayout w:type="fixed"/>
        <w:tblInd w:w="94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Date filed with the SEC</w:t>
            </w: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Name of Equity Plan or Agreement</w:t>
            </w:r>
          </w:p>
        </w:tc>
      </w:tr>
      <w:tr>
        <w:trPr>
          <w:trHeight w:val="23"/>
        </w:trPr>
        <w:tc>
          <w:tcPr>
            <w:tcW w:w="100" w:type="dxa"/>
            <w:vAlign w:val="bottom"/>
          </w:tcPr>
          <w:p>
            <w:pPr>
              <w:spacing w:after="0"/>
              <w:rPr>
                <w:sz w:val="2"/>
                <w:szCs w:val="2"/>
                <w:color w:val="auto"/>
              </w:rPr>
            </w:pPr>
          </w:p>
        </w:tc>
        <w:tc>
          <w:tcPr>
            <w:tcW w:w="2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98"/>
        </w:trPr>
        <w:tc>
          <w:tcPr>
            <w:tcW w:w="100" w:type="dxa"/>
            <w:vAlign w:val="bottom"/>
            <w:shd w:val="clear" w:color="auto" w:fill="DEEAF6"/>
          </w:tcPr>
          <w:p>
            <w:pPr>
              <w:spacing w:after="0"/>
              <w:rPr>
                <w:sz w:val="17"/>
                <w:szCs w:val="17"/>
                <w:color w:val="auto"/>
              </w:rPr>
            </w:pPr>
          </w:p>
        </w:tc>
        <w:tc>
          <w:tcPr>
            <w:tcW w:w="2620" w:type="dxa"/>
            <w:vAlign w:val="bottom"/>
            <w:shd w:val="clear" w:color="auto" w:fill="DEEAF6"/>
          </w:tcPr>
          <w:p>
            <w:pPr>
              <w:spacing w:after="0" w:line="198" w:lineRule="exact"/>
              <w:rPr>
                <w:sz w:val="20"/>
                <w:szCs w:val="20"/>
                <w:color w:val="auto"/>
              </w:rPr>
            </w:pPr>
            <w:r>
              <w:rPr>
                <w:rFonts w:ascii="Times New Roman" w:cs="Times New Roman" w:eastAsia="Times New Roman" w:hAnsi="Times New Roman"/>
                <w:sz w:val="20"/>
                <w:szCs w:val="20"/>
                <w:color w:val="auto"/>
              </w:rPr>
              <w:t>333-266365</w:t>
            </w:r>
          </w:p>
        </w:tc>
        <w:tc>
          <w:tcPr>
            <w:tcW w:w="2280" w:type="dxa"/>
            <w:vAlign w:val="bottom"/>
            <w:gridSpan w:val="2"/>
            <w:shd w:val="clear" w:color="auto" w:fill="DEEAF6"/>
          </w:tcPr>
          <w:p>
            <w:pPr>
              <w:ind w:left="180"/>
              <w:spacing w:after="0" w:line="198" w:lineRule="exact"/>
              <w:rPr>
                <w:sz w:val="20"/>
                <w:szCs w:val="20"/>
                <w:color w:val="auto"/>
              </w:rPr>
            </w:pPr>
            <w:r>
              <w:rPr>
                <w:rFonts w:ascii="Times New Roman" w:cs="Times New Roman" w:eastAsia="Times New Roman" w:hAnsi="Times New Roman"/>
                <w:sz w:val="18"/>
                <w:szCs w:val="18"/>
                <w:color w:val="auto"/>
              </w:rPr>
              <w:t>July 28, 2022</w:t>
            </w:r>
          </w:p>
        </w:tc>
        <w:tc>
          <w:tcPr>
            <w:tcW w:w="4200" w:type="dxa"/>
            <w:vAlign w:val="bottom"/>
            <w:gridSpan w:val="3"/>
            <w:shd w:val="clear" w:color="auto" w:fill="DEEAF6"/>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 Option Program 2019</w:t>
            </w:r>
          </w:p>
        </w:tc>
      </w:tr>
      <w:tr>
        <w:trPr>
          <w:trHeight w:val="216"/>
        </w:trPr>
        <w:tc>
          <w:tcPr>
            <w:tcW w:w="100" w:type="dxa"/>
            <w:vAlign w:val="bottom"/>
            <w:shd w:val="clear" w:color="auto" w:fill="DEEAF6"/>
          </w:tcPr>
          <w:p>
            <w:pPr>
              <w:spacing w:after="0"/>
              <w:rPr>
                <w:sz w:val="18"/>
                <w:szCs w:val="18"/>
                <w:color w:val="auto"/>
              </w:rPr>
            </w:pPr>
          </w:p>
        </w:tc>
        <w:tc>
          <w:tcPr>
            <w:tcW w:w="2620" w:type="dxa"/>
            <w:vAlign w:val="bottom"/>
            <w:shd w:val="clear" w:color="auto" w:fill="DEEAF6"/>
          </w:tcPr>
          <w:p>
            <w:pPr>
              <w:spacing w:after="0"/>
              <w:rPr>
                <w:sz w:val="18"/>
                <w:szCs w:val="18"/>
                <w:color w:val="auto"/>
              </w:rPr>
            </w:pPr>
          </w:p>
        </w:tc>
        <w:tc>
          <w:tcPr>
            <w:tcW w:w="200" w:type="dxa"/>
            <w:vAlign w:val="bottom"/>
            <w:shd w:val="clear" w:color="auto" w:fill="DEEAF6"/>
          </w:tcPr>
          <w:p>
            <w:pPr>
              <w:spacing w:after="0"/>
              <w:rPr>
                <w:sz w:val="18"/>
                <w:szCs w:val="18"/>
                <w:color w:val="auto"/>
              </w:rPr>
            </w:pPr>
          </w:p>
        </w:tc>
        <w:tc>
          <w:tcPr>
            <w:tcW w:w="2080" w:type="dxa"/>
            <w:vAlign w:val="bottom"/>
            <w:shd w:val="clear" w:color="auto" w:fill="DEEAF6"/>
          </w:tcPr>
          <w:p>
            <w:pPr>
              <w:spacing w:after="0"/>
              <w:rPr>
                <w:sz w:val="18"/>
                <w:szCs w:val="18"/>
                <w:color w:val="auto"/>
              </w:rPr>
            </w:pPr>
          </w:p>
        </w:tc>
        <w:tc>
          <w:tcPr>
            <w:tcW w:w="4200" w:type="dxa"/>
            <w:vAlign w:val="bottom"/>
            <w:gridSpan w:val="3"/>
            <w:shd w:val="clear" w:color="auto" w:fill="DEEAF6"/>
          </w:tcPr>
          <w:p>
            <w:pPr>
              <w:ind w:left="200"/>
              <w:spacing w:after="0"/>
              <w:rPr>
                <w:sz w:val="20"/>
                <w:szCs w:val="20"/>
                <w:color w:val="auto"/>
              </w:rPr>
            </w:pPr>
            <w:r>
              <w:rPr>
                <w:rFonts w:ascii="Times New Roman" w:cs="Times New Roman" w:eastAsia="Times New Roman" w:hAnsi="Times New Roman"/>
                <w:sz w:val="18"/>
                <w:szCs w:val="18"/>
                <w:color w:val="auto"/>
              </w:rPr>
              <w:t>Stock Option Program 2020</w:t>
            </w:r>
          </w:p>
        </w:tc>
      </w:tr>
      <w:tr>
        <w:trPr>
          <w:trHeight w:val="216"/>
        </w:trPr>
        <w:tc>
          <w:tcPr>
            <w:tcW w:w="100" w:type="dxa"/>
            <w:vAlign w:val="bottom"/>
            <w:shd w:val="clear" w:color="auto" w:fill="DEEAF6"/>
          </w:tcPr>
          <w:p>
            <w:pPr>
              <w:spacing w:after="0"/>
              <w:rPr>
                <w:sz w:val="18"/>
                <w:szCs w:val="18"/>
                <w:color w:val="auto"/>
              </w:rPr>
            </w:pPr>
          </w:p>
        </w:tc>
        <w:tc>
          <w:tcPr>
            <w:tcW w:w="2620" w:type="dxa"/>
            <w:vAlign w:val="bottom"/>
            <w:shd w:val="clear" w:color="auto" w:fill="DEEAF6"/>
          </w:tcPr>
          <w:p>
            <w:pPr>
              <w:spacing w:after="0"/>
              <w:rPr>
                <w:sz w:val="18"/>
                <w:szCs w:val="18"/>
                <w:color w:val="auto"/>
              </w:rPr>
            </w:pPr>
          </w:p>
        </w:tc>
        <w:tc>
          <w:tcPr>
            <w:tcW w:w="200" w:type="dxa"/>
            <w:vAlign w:val="bottom"/>
            <w:shd w:val="clear" w:color="auto" w:fill="DEEAF6"/>
          </w:tcPr>
          <w:p>
            <w:pPr>
              <w:spacing w:after="0"/>
              <w:rPr>
                <w:sz w:val="18"/>
                <w:szCs w:val="18"/>
                <w:color w:val="auto"/>
              </w:rPr>
            </w:pPr>
          </w:p>
        </w:tc>
        <w:tc>
          <w:tcPr>
            <w:tcW w:w="2080" w:type="dxa"/>
            <w:vAlign w:val="bottom"/>
            <w:shd w:val="clear" w:color="auto" w:fill="DEEAF6"/>
          </w:tcPr>
          <w:p>
            <w:pPr>
              <w:spacing w:after="0"/>
              <w:rPr>
                <w:sz w:val="18"/>
                <w:szCs w:val="18"/>
                <w:color w:val="auto"/>
              </w:rPr>
            </w:pPr>
          </w:p>
        </w:tc>
        <w:tc>
          <w:tcPr>
            <w:tcW w:w="4200" w:type="dxa"/>
            <w:vAlign w:val="bottom"/>
            <w:gridSpan w:val="3"/>
            <w:shd w:val="clear" w:color="auto" w:fill="DEEAF6"/>
          </w:tcPr>
          <w:p>
            <w:pPr>
              <w:ind w:left="200"/>
              <w:spacing w:after="0"/>
              <w:rPr>
                <w:sz w:val="20"/>
                <w:szCs w:val="20"/>
                <w:color w:val="auto"/>
              </w:rPr>
            </w:pPr>
            <w:r>
              <w:rPr>
                <w:rFonts w:ascii="Times New Roman" w:cs="Times New Roman" w:eastAsia="Times New Roman" w:hAnsi="Times New Roman"/>
                <w:sz w:val="18"/>
                <w:szCs w:val="18"/>
                <w:color w:val="auto"/>
              </w:rPr>
              <w:t>Stock Option Program 2021</w:t>
            </w:r>
          </w:p>
        </w:tc>
      </w:tr>
      <w:tr>
        <w:trPr>
          <w:trHeight w:val="234"/>
        </w:trPr>
        <w:tc>
          <w:tcPr>
            <w:tcW w:w="100" w:type="dxa"/>
            <w:vAlign w:val="bottom"/>
            <w:shd w:val="clear" w:color="auto" w:fill="DEEAF6"/>
          </w:tcPr>
          <w:p>
            <w:pPr>
              <w:spacing w:after="0"/>
              <w:rPr>
                <w:sz w:val="20"/>
                <w:szCs w:val="20"/>
                <w:color w:val="auto"/>
              </w:rPr>
            </w:pPr>
          </w:p>
        </w:tc>
        <w:tc>
          <w:tcPr>
            <w:tcW w:w="2620" w:type="dxa"/>
            <w:vAlign w:val="bottom"/>
            <w:shd w:val="clear" w:color="auto" w:fill="DEEAF6"/>
          </w:tcPr>
          <w:p>
            <w:pPr>
              <w:spacing w:after="0"/>
              <w:rPr>
                <w:sz w:val="20"/>
                <w:szCs w:val="20"/>
                <w:color w:val="auto"/>
              </w:rPr>
            </w:pPr>
          </w:p>
        </w:tc>
        <w:tc>
          <w:tcPr>
            <w:tcW w:w="200" w:type="dxa"/>
            <w:vAlign w:val="bottom"/>
            <w:shd w:val="clear" w:color="auto" w:fill="DEEAF6"/>
          </w:tcPr>
          <w:p>
            <w:pPr>
              <w:spacing w:after="0"/>
              <w:rPr>
                <w:sz w:val="20"/>
                <w:szCs w:val="20"/>
                <w:color w:val="auto"/>
              </w:rPr>
            </w:pPr>
          </w:p>
        </w:tc>
        <w:tc>
          <w:tcPr>
            <w:tcW w:w="2080" w:type="dxa"/>
            <w:vAlign w:val="bottom"/>
            <w:shd w:val="clear" w:color="auto" w:fill="DEEAF6"/>
          </w:tcPr>
          <w:p>
            <w:pPr>
              <w:spacing w:after="0"/>
              <w:rPr>
                <w:sz w:val="20"/>
                <w:szCs w:val="20"/>
                <w:color w:val="auto"/>
              </w:rPr>
            </w:pPr>
          </w:p>
        </w:tc>
        <w:tc>
          <w:tcPr>
            <w:tcW w:w="4200" w:type="dxa"/>
            <w:vAlign w:val="bottom"/>
            <w:gridSpan w:val="3"/>
            <w:shd w:val="clear" w:color="auto" w:fill="DEEAF6"/>
          </w:tcPr>
          <w:p>
            <w:pPr>
              <w:ind w:left="200"/>
              <w:spacing w:after="0"/>
              <w:rPr>
                <w:sz w:val="20"/>
                <w:szCs w:val="20"/>
                <w:color w:val="auto"/>
              </w:rPr>
            </w:pPr>
            <w:r>
              <w:rPr>
                <w:rFonts w:ascii="Times New Roman" w:cs="Times New Roman" w:eastAsia="Times New Roman" w:hAnsi="Times New Roman"/>
                <w:sz w:val="18"/>
                <w:szCs w:val="18"/>
                <w:color w:val="auto"/>
              </w:rPr>
              <w:t>Restricted Stock Units Program 2021</w:t>
            </w:r>
          </w:p>
        </w:tc>
      </w:tr>
      <w:tr>
        <w:trPr>
          <w:trHeight w:val="108"/>
        </w:trPr>
        <w:tc>
          <w:tcPr>
            <w:tcW w:w="100" w:type="dxa"/>
            <w:vAlign w:val="bottom"/>
            <w:shd w:val="clear" w:color="auto" w:fill="DEEAF6"/>
          </w:tcPr>
          <w:p>
            <w:pPr>
              <w:spacing w:after="0"/>
              <w:rPr>
                <w:sz w:val="9"/>
                <w:szCs w:val="9"/>
                <w:color w:val="auto"/>
              </w:rPr>
            </w:pPr>
          </w:p>
        </w:tc>
        <w:tc>
          <w:tcPr>
            <w:tcW w:w="2620" w:type="dxa"/>
            <w:vAlign w:val="bottom"/>
            <w:shd w:val="clear" w:color="auto" w:fill="DEEAF6"/>
          </w:tcPr>
          <w:p>
            <w:pPr>
              <w:spacing w:after="0"/>
              <w:rPr>
                <w:sz w:val="9"/>
                <w:szCs w:val="9"/>
                <w:color w:val="auto"/>
              </w:rPr>
            </w:pPr>
          </w:p>
        </w:tc>
        <w:tc>
          <w:tcPr>
            <w:tcW w:w="200" w:type="dxa"/>
            <w:vAlign w:val="bottom"/>
            <w:shd w:val="clear" w:color="auto" w:fill="DEEAF6"/>
          </w:tcPr>
          <w:p>
            <w:pPr>
              <w:spacing w:after="0"/>
              <w:rPr>
                <w:sz w:val="9"/>
                <w:szCs w:val="9"/>
                <w:color w:val="auto"/>
              </w:rPr>
            </w:pPr>
          </w:p>
        </w:tc>
        <w:tc>
          <w:tcPr>
            <w:tcW w:w="2080" w:type="dxa"/>
            <w:vAlign w:val="bottom"/>
            <w:shd w:val="clear" w:color="auto" w:fill="DEEAF6"/>
          </w:tcPr>
          <w:p>
            <w:pPr>
              <w:spacing w:after="0"/>
              <w:rPr>
                <w:sz w:val="9"/>
                <w:szCs w:val="9"/>
                <w:color w:val="auto"/>
              </w:rPr>
            </w:pPr>
          </w:p>
        </w:tc>
        <w:tc>
          <w:tcPr>
            <w:tcW w:w="220" w:type="dxa"/>
            <w:vAlign w:val="bottom"/>
            <w:shd w:val="clear" w:color="auto" w:fill="DEEAF6"/>
          </w:tcPr>
          <w:p>
            <w:pPr>
              <w:spacing w:after="0"/>
              <w:rPr>
                <w:sz w:val="9"/>
                <w:szCs w:val="9"/>
                <w:color w:val="auto"/>
              </w:rPr>
            </w:pPr>
          </w:p>
        </w:tc>
        <w:tc>
          <w:tcPr>
            <w:tcW w:w="3900" w:type="dxa"/>
            <w:vAlign w:val="bottom"/>
            <w:shd w:val="clear" w:color="auto" w:fill="DEEAF6"/>
          </w:tcPr>
          <w:p>
            <w:pPr>
              <w:spacing w:after="0"/>
              <w:rPr>
                <w:sz w:val="9"/>
                <w:szCs w:val="9"/>
                <w:color w:val="auto"/>
              </w:rPr>
            </w:pPr>
          </w:p>
        </w:tc>
        <w:tc>
          <w:tcPr>
            <w:tcW w:w="80" w:type="dxa"/>
            <w:vAlign w:val="bottom"/>
            <w:shd w:val="clear" w:color="auto" w:fill="DEEAF6"/>
          </w:tcPr>
          <w:p>
            <w:pPr>
              <w:spacing w:after="0"/>
              <w:rPr>
                <w:sz w:val="9"/>
                <w:szCs w:val="9"/>
                <w:color w:val="auto"/>
              </w:rPr>
            </w:pPr>
          </w:p>
        </w:tc>
      </w:tr>
      <w:tr>
        <w:trPr>
          <w:trHeight w:val="198"/>
        </w:trPr>
        <w:tc>
          <w:tcPr>
            <w:tcW w:w="272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20"/>
                <w:szCs w:val="20"/>
                <w:color w:val="auto"/>
              </w:rPr>
              <w:t>333-279522</w:t>
            </w:r>
          </w:p>
        </w:tc>
        <w:tc>
          <w:tcPr>
            <w:tcW w:w="2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May 20, 2024</w:t>
            </w:r>
          </w:p>
        </w:tc>
        <w:tc>
          <w:tcPr>
            <w:tcW w:w="420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Stock Option Program 2022</w:t>
            </w:r>
          </w:p>
        </w:tc>
      </w:tr>
      <w:tr>
        <w:trPr>
          <w:trHeight w:val="216"/>
        </w:trPr>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Restricted Stock Unit Program 2022</w:t>
            </w:r>
          </w:p>
        </w:tc>
      </w:tr>
      <w:tr>
        <w:trPr>
          <w:trHeight w:val="234"/>
        </w:trPr>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Stock Option Program 2023</w:t>
            </w:r>
          </w:p>
        </w:tc>
      </w:tr>
    </w:tbl>
    <w:p>
      <w:pPr>
        <w:spacing w:after="0" w:line="30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On February 13, 2025, Mynaric announced that as a result of the delisting notice it received from the Nasdaq Stock Market LLC (“Nasdaq”) on February10, 2025, the trading of Mynaric’s ADS would be suspended at the opening of business on February 18, 2025. On February 7, 2025, Mynaric announced the initiation of proceedings under the German Corporate Stabilization and Restructuring Act (</w:t>
      </w:r>
      <w:r>
        <w:rPr>
          <w:rFonts w:ascii="Times New Roman" w:cs="Times New Roman" w:eastAsia="Times New Roman" w:hAnsi="Times New Roman"/>
          <w:sz w:val="18"/>
          <w:szCs w:val="18"/>
          <w:i w:val="1"/>
          <w:iCs w:val="1"/>
          <w:color w:val="auto"/>
        </w:rPr>
        <w:t>Gesetz über den Stabilisierungs- 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Restrukturierungsrahmen für Unternehmen</w:t>
      </w:r>
      <w:r>
        <w:rPr>
          <w:rFonts w:ascii="Times New Roman" w:cs="Times New Roman" w:eastAsia="Times New Roman" w:hAnsi="Times New Roman"/>
          <w:sz w:val="18"/>
          <w:szCs w:val="18"/>
          <w:color w:val="auto"/>
        </w:rPr>
        <w:t>) at the end of which, if approved by the competent restructuring court, Mynaric will only have one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connection therewith, Mynaric is no longer issuing securities under the plans covered by the Prior Registration Statements. In accordance with the undertaking made by Mynaric in Item 9(a)(3) in each of the Prior Registration Statements to remove from registration, by means of a post-effective amendment, any of the securities that had been registered which remain unsold at the termination of the offering, Mynaric hereby removes from registration any and all securities registered but unsold or otherwise unissued under each of the Prior Registration Statements as of the date hereof and terminates the effectiveness of each of the Prior Registration Statement. After giving effect to this Post-Effective Amendment No. 1 for each of the Prior Registration Statements, there will be no remaining securities registered by Mynaric pursuant to each of the Prior Registration Statements.</w:t>
      </w:r>
    </w:p>
    <w:p>
      <w:pPr>
        <w:spacing w:after="0" w:line="1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40" w:firstLine="37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No. 1 to the Prior Registration Statements to be signed on its behalf by the undersigned, thereunto duly authorized, in the city of Munich, the Federal Republic of Germany on April 15, 2025.</w:t>
      </w:r>
    </w:p>
    <w:p>
      <w:pPr>
        <w:spacing w:after="0" w:line="17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Joachim Horwath</w:t>
            </w:r>
          </w:p>
        </w:tc>
      </w:tr>
      <w:tr>
        <w:trPr>
          <w:trHeight w:val="198"/>
        </w:trPr>
        <w:tc>
          <w:tcPr>
            <w:tcW w:w="6760" w:type="dxa"/>
            <w:vAlign w:val="bottom"/>
          </w:tcPr>
          <w:p>
            <w:pPr>
              <w:ind w:left="5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Joachim Horwath</w:t>
            </w:r>
          </w:p>
        </w:tc>
        <w:tc>
          <w:tcPr>
            <w:tcW w:w="480" w:type="dxa"/>
            <w:vAlign w:val="bottom"/>
          </w:tcPr>
          <w:p>
            <w:pPr>
              <w:spacing w:after="0"/>
              <w:rPr>
                <w:sz w:val="17"/>
                <w:szCs w:val="17"/>
                <w:color w:val="auto"/>
              </w:rPr>
            </w:pPr>
          </w:p>
        </w:tc>
      </w:tr>
      <w:tr>
        <w:trPr>
          <w:trHeight w:val="234"/>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Andreas Reif</w:t>
            </w:r>
          </w:p>
        </w:tc>
      </w:tr>
      <w:tr>
        <w:trPr>
          <w:trHeight w:val="198"/>
        </w:trPr>
        <w:tc>
          <w:tcPr>
            <w:tcW w:w="6760" w:type="dxa"/>
            <w:vAlign w:val="bottom"/>
          </w:tcPr>
          <w:p>
            <w:pPr>
              <w:ind w:left="59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Andreas Reif</w:t>
            </w:r>
          </w:p>
        </w:tc>
        <w:tc>
          <w:tcPr>
            <w:tcW w:w="480" w:type="dxa"/>
            <w:vAlign w:val="bottom"/>
          </w:tcPr>
          <w:p>
            <w:pPr>
              <w:spacing w:after="0"/>
              <w:rPr>
                <w:sz w:val="17"/>
                <w:szCs w:val="17"/>
                <w:color w:val="auto"/>
              </w:rPr>
            </w:pPr>
          </w:p>
        </w:tc>
      </w:tr>
      <w:tr>
        <w:trPr>
          <w:trHeight w:val="234"/>
        </w:trPr>
        <w:tc>
          <w:tcPr>
            <w:tcW w:w="6760" w:type="dxa"/>
            <w:vAlign w:val="bottom"/>
          </w:tcPr>
          <w:p>
            <w:pPr>
              <w:ind w:left="590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Restructuring Officer</w:t>
            </w:r>
          </w:p>
        </w:tc>
      </w:tr>
      <w:tr>
        <w:trPr>
          <w:trHeight w:val="1559"/>
        </w:trPr>
        <w:tc>
          <w:tcPr>
            <w:tcW w:w="67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as amended, the undersigned, the duly appointed representative in the United States of Mynaric AG has signed this Post-Effective Amendment No. 1 to the Prior Registration Statements in the city of Newark, State of Delaware on April 15, 2025.</w:t>
      </w:r>
    </w:p>
    <w:p>
      <w:pPr>
        <w:spacing w:after="0" w:line="200" w:lineRule="exact"/>
        <w:rPr>
          <w:sz w:val="20"/>
          <w:szCs w:val="20"/>
          <w:color w:val="auto"/>
        </w:rPr>
      </w:pPr>
    </w:p>
    <w:p>
      <w:pPr>
        <w:spacing w:after="0" w:line="39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Puglisi &amp; Associates</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Donald J. Puglisi</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180"/>
      </w:cols>
      <w:pgMar w:left="320" w:top="144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2025-04-15T10:32:57Z</dcterms:created>
  <dcterms:modified xsi:type="dcterms:W3CDTF">2025-04-15T10:32:57Z</dcterms:modified>
</cp:coreProperties>
</file>