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10,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2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Stefan Berndt-von B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low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Mynaric AG</w:t>
      </w:r>
    </w:p>
    <w:p>
      <w:pPr>
        <w:ind w:left="740"/>
        <w:spacing w:after="0" w:line="238" w:lineRule="auto"/>
        <w:tabs>
          <w:tab w:leader="none" w:pos="21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Dornierstra</w:t>
        <w:tab/>
        <w:t>e 19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82205 Gilching, Germany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Mynaric AG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20-F for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December 31, 2022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May 1, 2023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File No. 001-41045</w:t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34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Stefan Berndt-von B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low: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019" w:firstLine="1474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filing. We remind you that the company and its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are responsible for the accuracy and adequacy of their disclosures, notwithstanding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review, comments, action or absence of action by the staff.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Technology</w:t>
      </w:r>
    </w:p>
    <w:sectPr>
      <w:pgSz w:w="11900" w:h="16838" w:orient="portrait"/>
      <w:cols w:equalWidth="0" w:num="1">
        <w:col w:w="10139"/>
      </w:cols>
      <w:pgMar w:left="320" w:top="22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2023-11-07T23:14:44Z</dcterms:created>
  <dcterms:modified xsi:type="dcterms:W3CDTF">2023-11-07T23:14:44Z</dcterms:modified>
</cp:coreProperties>
</file>