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5"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As filed with the U.S. Securities and Exchange Commission on October 19, 2021</w:t>
      </w:r>
    </w:p>
    <w:p>
      <w:pPr>
        <w:spacing w:after="0" w:line="149" w:lineRule="exact"/>
        <w:rPr>
          <w:sz w:val="24"/>
          <w:szCs w:val="24"/>
          <w:color w:val="auto"/>
        </w:rPr>
      </w:pPr>
    </w:p>
    <w:p>
      <w:pPr>
        <w:ind w:left="7920"/>
        <w:spacing w:after="0"/>
        <w:rPr>
          <w:sz w:val="20"/>
          <w:szCs w:val="20"/>
          <w:color w:val="auto"/>
        </w:rPr>
      </w:pPr>
      <w:r>
        <w:rPr>
          <w:rFonts w:ascii="Arial" w:cs="Arial" w:eastAsia="Arial" w:hAnsi="Arial"/>
          <w:sz w:val="10"/>
          <w:szCs w:val="10"/>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34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2286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129540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5"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40"/>
        <w:spacing w:after="0"/>
        <w:rPr>
          <w:sz w:val="20"/>
          <w:szCs w:val="20"/>
          <w:color w:val="auto"/>
        </w:rPr>
      </w:pPr>
      <w:r>
        <w:rPr>
          <w:rFonts w:ascii="Arial" w:cs="Arial" w:eastAsia="Arial" w:hAnsi="Arial"/>
          <w:sz w:val="12"/>
          <w:szCs w:val="12"/>
          <w:b w:val="1"/>
          <w:bCs w:val="1"/>
          <w:color w:val="auto"/>
        </w:rPr>
        <w:t>Washington, D.C. 20549</w:t>
      </w:r>
    </w:p>
    <w:p>
      <w:pPr>
        <w:spacing w:after="0" w:line="55"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FORM F-1</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52"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MYNARIC AG</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39" w:lineRule="exact"/>
        <w:rPr>
          <w:sz w:val="24"/>
          <w:szCs w:val="24"/>
          <w:color w:val="auto"/>
        </w:rPr>
      </w:pPr>
    </w:p>
    <w:tbl>
      <w:tblPr>
        <w:tblLayout w:type="fixed"/>
        <w:tblInd w:w="2520" w:type="dxa"/>
        <w:tblCellMar>
          <w:top w:w="0" w:type="dxa"/>
          <w:left w:w="0" w:type="dxa"/>
          <w:bottom w:w="0" w:type="dxa"/>
          <w:right w:w="0" w:type="dxa"/>
        </w:tblCellMar>
      </w:tblPr>
      <w:tr>
        <w:trPr>
          <w:trHeight w:val="144"/>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89"/>
              </w:rPr>
              <w:t>Federal Republic of</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9"/>
              </w:rPr>
              <w:t>4899</w:t>
            </w:r>
          </w:p>
        </w:tc>
        <w:tc>
          <w:tcPr>
            <w:tcW w:w="1700" w:type="dxa"/>
            <w:vAlign w:val="bottom"/>
          </w:tcPr>
          <w:p>
            <w:pPr>
              <w:jc w:val="center"/>
              <w:ind w:left="520"/>
              <w:spacing w:after="0"/>
              <w:rPr>
                <w:sz w:val="20"/>
                <w:szCs w:val="20"/>
                <w:color w:val="auto"/>
              </w:rPr>
            </w:pPr>
            <w:r>
              <w:rPr>
                <w:rFonts w:ascii="Arial" w:cs="Arial" w:eastAsia="Arial" w:hAnsi="Arial"/>
                <w:sz w:val="12"/>
                <w:szCs w:val="12"/>
                <w:b w:val="1"/>
                <w:bCs w:val="1"/>
                <w:color w:val="auto"/>
                <w:w w:val="96"/>
              </w:rPr>
              <w:t>N/A</w:t>
            </w:r>
          </w:p>
        </w:tc>
      </w:tr>
      <w:tr>
        <w:trPr>
          <w:trHeight w:val="148"/>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92"/>
              </w:rPr>
              <w:t>Germany</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2"/>
              </w:rPr>
              <w:t>(IRS Employer</w:t>
            </w:r>
          </w:p>
        </w:tc>
      </w:tr>
      <w:tr>
        <w:trPr>
          <w:trHeight w:val="153"/>
        </w:trPr>
        <w:tc>
          <w:tcPr>
            <w:tcW w:w="1940" w:type="dxa"/>
            <w:vAlign w:val="bottom"/>
          </w:tcPr>
          <w:p>
            <w:pPr>
              <w:jc w:val="center"/>
              <w:ind w:right="480"/>
              <w:spacing w:after="0"/>
              <w:rPr>
                <w:sz w:val="20"/>
                <w:szCs w:val="20"/>
                <w:color w:val="auto"/>
              </w:rPr>
            </w:pPr>
            <w:r>
              <w:rPr>
                <w:rFonts w:ascii="Arial" w:cs="Arial" w:eastAsia="Arial" w:hAnsi="Arial"/>
                <w:sz w:val="12"/>
                <w:szCs w:val="12"/>
                <w:color w:val="auto"/>
                <w:w w:val="93"/>
              </w:rPr>
              <w:t>(State or other jurisdiction of</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5"/>
              </w:rPr>
              <w:t>Identification Number)</w:t>
            </w:r>
          </w:p>
        </w:tc>
      </w:tr>
    </w:tbl>
    <w:p>
      <w:pPr>
        <w:ind w:left="2500"/>
        <w:spacing w:after="0"/>
        <w:rPr>
          <w:sz w:val="20"/>
          <w:szCs w:val="20"/>
          <w:color w:val="auto"/>
        </w:rPr>
      </w:pPr>
      <w:r>
        <w:rPr>
          <w:rFonts w:ascii="Arial" w:cs="Arial" w:eastAsia="Arial" w:hAnsi="Arial"/>
          <w:sz w:val="12"/>
          <w:szCs w:val="12"/>
          <w:color w:val="auto"/>
        </w:rPr>
        <w:t>incorporation or organization)</w:t>
      </w:r>
    </w:p>
    <w:p>
      <w:pPr>
        <w:spacing w:after="0" w:line="137"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Dornierstraße 19</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82205 Gilching, Germany</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+49 (0) 8105 79990</w:t>
      </w:r>
    </w:p>
    <w:p>
      <w:pPr>
        <w:jc w:val="center"/>
        <w:ind w:right="-1140"/>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2"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Puglisi &amp; Associates</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850 Library Avenue, Suite 204</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Newark, Delaware 19711</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+1 (302) 738-6680</w:t>
      </w:r>
    </w:p>
    <w:p>
      <w:pPr>
        <w:jc w:val="center"/>
        <w:ind w:right="-1140"/>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Copies of all communications, including communications</w:t>
      </w:r>
    </w:p>
    <w:p>
      <w:pPr>
        <w:spacing w:after="0" w:line="1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sent to agent for service, should be sent to:</w:t>
      </w:r>
    </w:p>
    <w:p>
      <w:pPr>
        <w:spacing w:after="0" w:line="159" w:lineRule="exact"/>
        <w:rPr>
          <w:sz w:val="24"/>
          <w:szCs w:val="24"/>
          <w:color w:val="auto"/>
        </w:rPr>
      </w:pPr>
    </w:p>
    <w:tbl>
      <w:tblPr>
        <w:tblLayout w:type="fixed"/>
        <w:tblInd w:w="3200" w:type="dxa"/>
        <w:tblCellMar>
          <w:top w:w="0" w:type="dxa"/>
          <w:left w:w="0" w:type="dxa"/>
          <w:bottom w:w="0" w:type="dxa"/>
          <w:right w:w="0" w:type="dxa"/>
        </w:tblCellMar>
      </w:tblP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3"/>
              </w:rPr>
              <w:t>Krystian M. Czerniecki</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1"/>
              </w:rPr>
              <w:t>Craig F. Arcella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4"/>
              </w:rPr>
              <w:t>Sullivan &amp; Cromwell LLP</w:t>
            </w:r>
          </w:p>
        </w:tc>
        <w:tc>
          <w:tcPr>
            <w:tcW w:w="2640" w:type="dxa"/>
            <w:vAlign w:val="bottom"/>
          </w:tcPr>
          <w:p>
            <w:pPr>
              <w:jc w:val="center"/>
              <w:ind w:left="1146"/>
              <w:spacing w:after="0"/>
              <w:rPr>
                <w:sz w:val="20"/>
                <w:szCs w:val="20"/>
                <w:color w:val="auto"/>
              </w:rPr>
            </w:pPr>
            <w:r>
              <w:rPr>
                <w:rFonts w:ascii="Arial" w:cs="Arial" w:eastAsia="Arial" w:hAnsi="Arial"/>
                <w:sz w:val="11"/>
                <w:szCs w:val="11"/>
                <w:b w:val="1"/>
                <w:bCs w:val="1"/>
                <w:color w:val="auto"/>
                <w:w w:val="88"/>
              </w:rPr>
              <w:t>Sasha Rosenthal-Larrea</w:t>
            </w:r>
          </w:p>
        </w:tc>
      </w:tr>
      <w:tr>
        <w:trPr>
          <w:trHeight w:val="135"/>
        </w:trPr>
        <w:tc>
          <w:tcPr>
            <w:tcW w:w="2420" w:type="dxa"/>
            <w:vAlign w:val="bottom"/>
          </w:tcPr>
          <w:p>
            <w:pPr>
              <w:jc w:val="center"/>
              <w:ind w:right="1126"/>
              <w:spacing w:after="0"/>
              <w:rPr>
                <w:sz w:val="20"/>
                <w:szCs w:val="20"/>
                <w:color w:val="auto"/>
              </w:rPr>
            </w:pPr>
            <w:r>
              <w:rPr>
                <w:rFonts w:ascii="Arial" w:cs="Arial" w:eastAsia="Arial" w:hAnsi="Arial"/>
                <w:sz w:val="11"/>
                <w:szCs w:val="11"/>
                <w:b w:val="1"/>
                <w:bCs w:val="1"/>
                <w:color w:val="auto"/>
                <w:w w:val="90"/>
              </w:rPr>
              <w:t>Neue Mainzer Straße 52</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3"/>
              </w:rPr>
              <w:t>Cravath, Swaine &amp; Moore LLP</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2"/>
              </w:rPr>
              <w:t>60311 Frankfurt, Germany</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Worldwide Plaza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89"/>
              </w:rPr>
              <w:t>+49 (69) 4272 5200</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7"/>
              </w:rPr>
              <w:t>825 Eighth Avenue</w:t>
            </w:r>
          </w:p>
        </w:tc>
      </w:tr>
      <w:tr>
        <w:trPr>
          <w:trHeight w:val="135"/>
        </w:trPr>
        <w:tc>
          <w:tcPr>
            <w:tcW w:w="2420" w:type="dxa"/>
            <w:vAlign w:val="bottom"/>
          </w:tcPr>
          <w:p>
            <w:pPr>
              <w:spacing w:after="0"/>
              <w:rPr>
                <w:sz w:val="11"/>
                <w:szCs w:val="11"/>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New York, New York 10019</w:t>
            </w:r>
          </w:p>
        </w:tc>
      </w:tr>
      <w:tr>
        <w:trPr>
          <w:trHeight w:val="140"/>
        </w:trPr>
        <w:tc>
          <w:tcPr>
            <w:tcW w:w="2420" w:type="dxa"/>
            <w:vAlign w:val="bottom"/>
          </w:tcPr>
          <w:p>
            <w:pPr>
              <w:spacing w:after="0"/>
              <w:rPr>
                <w:sz w:val="12"/>
                <w:szCs w:val="12"/>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0"/>
              </w:rPr>
              <w:t>+1 (212)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71120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5" w:lineRule="exact"/>
        <w:rPr>
          <w:sz w:val="24"/>
          <w:szCs w:val="24"/>
          <w:color w:val="auto"/>
        </w:rPr>
      </w:pPr>
    </w:p>
    <w:p>
      <w:pPr>
        <w:ind w:left="2260"/>
        <w:spacing w:after="0"/>
        <w:rPr>
          <w:sz w:val="20"/>
          <w:szCs w:val="20"/>
          <w:color w:val="auto"/>
        </w:rPr>
      </w:pPr>
      <w:r>
        <w:rPr>
          <w:rFonts w:ascii="Arial" w:cs="Arial" w:eastAsia="Arial" w:hAnsi="Arial"/>
          <w:sz w:val="10"/>
          <w:szCs w:val="10"/>
          <w:b w:val="1"/>
          <w:bCs w:val="1"/>
          <w:color w:val="auto"/>
        </w:rPr>
        <w:t>Approximate date of commencement of proposed sale to the public</w:t>
      </w:r>
      <w:r>
        <w:rPr>
          <w:rFonts w:ascii="Arial" w:cs="Arial" w:eastAsia="Arial" w:hAnsi="Arial"/>
          <w:sz w:val="10"/>
          <w:szCs w:val="10"/>
          <w:color w:val="auto"/>
        </w:rPr>
        <w:t>: As soon as practicable after this registration statement becomes effective.</w:t>
      </w:r>
    </w:p>
    <w:p>
      <w:pPr>
        <w:spacing w:after="0" w:line="105"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2"/>
          <w:szCs w:val="12"/>
          <w:color w:val="auto"/>
        </w:rPr>
        <w:t>☐</w:t>
      </w:r>
    </w:p>
    <w:p>
      <w:pPr>
        <w:spacing w:after="0" w:line="124" w:lineRule="exact"/>
        <w:rPr>
          <w:sz w:val="24"/>
          <w:szCs w:val="24"/>
          <w:color w:val="auto"/>
        </w:rPr>
      </w:pPr>
    </w:p>
    <w:p>
      <w:pPr>
        <w:ind w:left="1980" w:right="1019" w:firstLine="294"/>
        <w:spacing w:after="0" w:line="155"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3"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ectPr>
          <w:pgSz w:w="11900" w:h="16838" w:orient="portrait"/>
          <w:cols w:equalWidth="0" w:num="1">
            <w:col w:w="10159"/>
          </w:cols>
          <w:pgMar w:left="300" w:top="201" w:right="1440"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w:t>
      </w:r>
    </w:p>
    <w:p>
      <w:pPr>
        <w:spacing w:after="0" w:line="128" w:lineRule="exact"/>
        <w:rPr>
          <w:sz w:val="20"/>
          <w:szCs w:val="20"/>
          <w:color w:val="auto"/>
        </w:rPr>
      </w:pPr>
    </w:p>
    <w:p>
      <w:pPr>
        <w:ind w:left="2260"/>
        <w:spacing w:after="0" w:line="138" w:lineRule="exact"/>
        <w:tabs>
          <w:tab w:leader="none" w:pos="394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0"/>
          <w:szCs w:val="20"/>
          <w:color w:val="auto"/>
        </w:rPr>
      </w:pPr>
    </w:p>
    <w:p>
      <w:pPr>
        <w:ind w:left="1980" w:right="919" w:firstLine="294"/>
        <w:spacing w:after="0" w:line="151"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61" w:lineRule="exact"/>
        <w:rPr>
          <w:sz w:val="20"/>
          <w:szCs w:val="20"/>
          <w:color w:val="auto"/>
        </w:rPr>
      </w:pPr>
    </w:p>
    <w:p>
      <w:pPr>
        <w:ind w:left="2260" w:right="1399" w:hanging="288"/>
        <w:spacing w:after="0" w:line="276" w:lineRule="auto"/>
        <w:tabs>
          <w:tab w:leader="none" w:pos="22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111"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34925</wp:posOffset>
            </wp:positionV>
            <wp:extent cx="4663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60" w:lineRule="exact"/>
        <w:rPr>
          <w:sz w:val="20"/>
          <w:szCs w:val="20"/>
          <w:color w:val="auto"/>
        </w:rPr>
      </w:pPr>
    </w:p>
    <w:tbl>
      <w:tblPr>
        <w:tblLayout w:type="fixed"/>
        <w:tblInd w:w="1990" w:type="dxa"/>
        <w:tblCellMar>
          <w:top w:w="0" w:type="dxa"/>
          <w:left w:w="0" w:type="dxa"/>
          <w:bottom w:w="0" w:type="dxa"/>
          <w:right w:w="0" w:type="dxa"/>
        </w:tblCellMar>
      </w:tblPr>
      <w:tr>
        <w:trPr>
          <w:trHeight w:val="135"/>
        </w:trPr>
        <w:tc>
          <w:tcPr>
            <w:tcW w:w="1840" w:type="dxa"/>
            <w:vAlign w:val="bottom"/>
            <w:tcBorders>
              <w:top w:val="single" w:sz="8" w:color="auto"/>
              <w:left w:val="single" w:sz="8" w:color="auto"/>
              <w:right w:val="single" w:sz="8" w:color="auto"/>
            </w:tcBorders>
          </w:tcPr>
          <w:p>
            <w:pPr>
              <w:spacing w:after="0"/>
              <w:rPr>
                <w:sz w:val="11"/>
                <w:szCs w:val="11"/>
                <w:color w:val="auto"/>
              </w:rPr>
            </w:pPr>
          </w:p>
        </w:tc>
        <w:tc>
          <w:tcPr>
            <w:tcW w:w="1640" w:type="dxa"/>
            <w:vAlign w:val="bottom"/>
            <w:tcBorders>
              <w:top w:val="single" w:sz="8" w:color="auto"/>
              <w:right w:val="single" w:sz="8" w:color="auto"/>
            </w:tcBorders>
          </w:tcPr>
          <w:p>
            <w:pPr>
              <w:spacing w:after="0"/>
              <w:rPr>
                <w:sz w:val="11"/>
                <w:szCs w:val="11"/>
                <w:color w:val="auto"/>
              </w:rPr>
            </w:pPr>
          </w:p>
        </w:tc>
        <w:tc>
          <w:tcPr>
            <w:tcW w:w="2120" w:type="dxa"/>
            <w:vAlign w:val="bottom"/>
            <w:tcBorders>
              <w:top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89"/>
              </w:rPr>
              <w:t>Proposed Maximum</w:t>
            </w:r>
          </w:p>
        </w:tc>
        <w:tc>
          <w:tcPr>
            <w:tcW w:w="1760" w:type="dxa"/>
            <w:vAlign w:val="bottom"/>
            <w:tcBorders>
              <w:top w:val="single" w:sz="8" w:color="auto"/>
              <w:right w:val="single" w:sz="8" w:color="auto"/>
            </w:tcBorders>
          </w:tcPr>
          <w:p>
            <w:pPr>
              <w:spacing w:after="0"/>
              <w:rPr>
                <w:sz w:val="11"/>
                <w:szCs w:val="11"/>
                <w:color w:val="auto"/>
              </w:rPr>
            </w:pPr>
          </w:p>
        </w:tc>
      </w:tr>
      <w:tr>
        <w:trPr>
          <w:trHeight w:val="135"/>
        </w:trPr>
        <w:tc>
          <w:tcPr>
            <w:tcW w:w="1840" w:type="dxa"/>
            <w:vAlign w:val="bottom"/>
            <w:tcBorders>
              <w:left w:val="single" w:sz="8" w:color="auto"/>
              <w:right w:val="single" w:sz="8" w:color="auto"/>
            </w:tcBorders>
          </w:tcPr>
          <w:p>
            <w:pPr>
              <w:jc w:val="center"/>
              <w:ind w:left="44"/>
              <w:spacing w:after="0"/>
              <w:rPr>
                <w:sz w:val="20"/>
                <w:szCs w:val="20"/>
                <w:color w:val="auto"/>
              </w:rPr>
            </w:pPr>
            <w:r>
              <w:rPr>
                <w:rFonts w:ascii="Arial" w:cs="Arial" w:eastAsia="Arial" w:hAnsi="Arial"/>
                <w:sz w:val="11"/>
                <w:szCs w:val="11"/>
                <w:b w:val="1"/>
                <w:bCs w:val="1"/>
                <w:color w:val="auto"/>
                <w:w w:val="88"/>
              </w:rPr>
              <w:t>Title of Each Class of</w:t>
            </w:r>
          </w:p>
        </w:tc>
        <w:tc>
          <w:tcPr>
            <w:tcW w:w="164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1760" w:type="dxa"/>
            <w:vAlign w:val="bottom"/>
            <w:tcBorders>
              <w:right w:val="single" w:sz="8" w:color="auto"/>
            </w:tcBorders>
          </w:tcPr>
          <w:p>
            <w:pPr>
              <w:jc w:val="center"/>
              <w:ind w:left="4"/>
              <w:spacing w:after="0"/>
              <w:rPr>
                <w:sz w:val="20"/>
                <w:szCs w:val="20"/>
                <w:color w:val="auto"/>
              </w:rPr>
            </w:pPr>
            <w:r>
              <w:rPr>
                <w:rFonts w:ascii="Arial" w:cs="Arial" w:eastAsia="Arial" w:hAnsi="Arial"/>
                <w:sz w:val="11"/>
                <w:szCs w:val="11"/>
                <w:b w:val="1"/>
                <w:bCs w:val="1"/>
                <w:color w:val="auto"/>
                <w:w w:val="90"/>
              </w:rPr>
              <w:t>Amount of</w:t>
            </w:r>
          </w:p>
        </w:tc>
      </w:tr>
      <w:tr>
        <w:trPr>
          <w:trHeight w:val="142"/>
        </w:trPr>
        <w:tc>
          <w:tcPr>
            <w:tcW w:w="184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Arial" w:cs="Arial" w:eastAsia="Arial" w:hAnsi="Arial"/>
                <w:sz w:val="11"/>
                <w:szCs w:val="11"/>
                <w:b w:val="1"/>
                <w:bCs w:val="1"/>
                <w:color w:val="auto"/>
                <w:w w:val="86"/>
              </w:rPr>
              <w:t>Securities to be Registered(1)</w:t>
            </w:r>
          </w:p>
        </w:tc>
        <w:tc>
          <w:tcPr>
            <w:tcW w:w="164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Offering Price(2)(3)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Registration Fee</w:t>
            </w:r>
          </w:p>
        </w:tc>
      </w:tr>
      <w:tr>
        <w:trPr>
          <w:trHeight w:val="135"/>
        </w:trPr>
        <w:tc>
          <w:tcPr>
            <w:tcW w:w="1840" w:type="dxa"/>
            <w:vAlign w:val="bottom"/>
            <w:tcBorders>
              <w:left w:val="single" w:sz="8" w:color="auto"/>
              <w:bottom w:val="single" w:sz="8" w:color="auto"/>
              <w:right w:val="single" w:sz="8" w:color="auto"/>
            </w:tcBorders>
          </w:tcPr>
          <w:p>
            <w:pPr>
              <w:ind w:left="100"/>
              <w:spacing w:after="0" w:line="135" w:lineRule="exact"/>
              <w:rPr>
                <w:sz w:val="20"/>
                <w:szCs w:val="20"/>
                <w:color w:val="auto"/>
              </w:rPr>
            </w:pPr>
            <w:r>
              <w:rPr>
                <w:rFonts w:ascii="Arial" w:cs="Arial" w:eastAsia="Arial" w:hAnsi="Arial"/>
                <w:sz w:val="12"/>
                <w:szCs w:val="12"/>
                <w:color w:val="auto"/>
              </w:rPr>
              <w:t>Ordinary shares, no par value</w:t>
            </w:r>
          </w:p>
        </w:tc>
        <w:tc>
          <w:tcPr>
            <w:tcW w:w="164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9"/>
              </w:rPr>
              <w:t>$60,000,000</w:t>
            </w:r>
          </w:p>
        </w:tc>
        <w:tc>
          <w:tcPr>
            <w:tcW w:w="17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7"/>
              </w:rPr>
              <w:t>$5,562</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60" w:right="899" w:hanging="288"/>
        <w:spacing w:after="0" w:line="274" w:lineRule="auto"/>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All ordinary shares will be represented by American Depositary Shares (“ADSs”), with every ADSs representing one ordinary share. ADSs issuable upon deposit of the ordinary shares registered hereby will be registered under a separate registration statement on Form F-6.</w:t>
      </w:r>
    </w:p>
    <w:p>
      <w:pPr>
        <w:spacing w:after="0" w:line="62" w:lineRule="exact"/>
        <w:rPr>
          <w:rFonts w:ascii="Arial" w:cs="Arial" w:eastAsia="Arial" w:hAnsi="Arial"/>
          <w:sz w:val="11"/>
          <w:szCs w:val="11"/>
          <w:color w:val="auto"/>
        </w:rPr>
      </w:pPr>
    </w:p>
    <w:p>
      <w:pPr>
        <w:ind w:left="2260" w:hanging="288"/>
        <w:spacing w:after="0"/>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the aggregate offering price of additional ordinary shares, represented by ADSs, that the underwriters have the option to purchase.</w:t>
      </w:r>
    </w:p>
    <w:p>
      <w:pPr>
        <w:spacing w:after="0" w:line="89" w:lineRule="exact"/>
        <w:rPr>
          <w:rFonts w:ascii="Arial" w:cs="Arial" w:eastAsia="Arial" w:hAnsi="Arial"/>
          <w:sz w:val="11"/>
          <w:szCs w:val="11"/>
          <w:color w:val="auto"/>
        </w:rPr>
      </w:pPr>
    </w:p>
    <w:p>
      <w:pPr>
        <w:ind w:left="2260" w:hanging="288"/>
        <w:spacing w:after="0"/>
        <w:tabs>
          <w:tab w:leader="none" w:pos="2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Estimated solely for the purpose of determining the amount of registration fee in accordance with Rule 457(o) under the Securities Act of 1933, as amended.</w:t>
      </w:r>
    </w:p>
    <w:p>
      <w:pPr>
        <w:spacing w:after="0" w:line="84" w:lineRule="exact"/>
        <w:rPr>
          <w:sz w:val="20"/>
          <w:szCs w:val="20"/>
          <w:color w:val="auto"/>
        </w:rPr>
      </w:pPr>
    </w:p>
    <w:p>
      <w:pPr>
        <w:ind w:left="1980" w:right="859" w:firstLine="294"/>
        <w:spacing w:after="0" w:line="29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160020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217170</wp:posOffset>
            </wp:positionV>
            <wp:extent cx="46634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2286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919"/>
        <w:spacing w:after="0" w:line="266" w:lineRule="auto"/>
        <w:rPr>
          <w:sz w:val="20"/>
          <w:szCs w:val="20"/>
          <w:color w:val="auto"/>
        </w:rPr>
      </w:pPr>
      <w:r>
        <w:rPr>
          <w:rFonts w:ascii="Arial" w:cs="Arial" w:eastAsia="Arial" w:hAnsi="Arial"/>
          <w:sz w:val="12"/>
          <w:szCs w:val="12"/>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PROSPECTUS (Subject to Completion)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Dated October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106680</wp:posOffset>
            </wp:positionV>
            <wp:extent cx="1062990"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American Depositary Shares</w:t>
      </w:r>
    </w:p>
    <w:p>
      <w:pPr>
        <w:spacing w:after="0" w:line="62" w:lineRule="exact"/>
        <w:rPr>
          <w:sz w:val="20"/>
          <w:szCs w:val="20"/>
          <w:color w:val="auto"/>
        </w:rPr>
      </w:pPr>
    </w:p>
    <w:p>
      <w:pPr>
        <w:ind w:left="3780"/>
        <w:spacing w:after="0"/>
        <w:tabs>
          <w:tab w:leader="none" w:pos="59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113665</wp:posOffset>
            </wp:positionV>
            <wp:extent cx="9829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2" w:lineRule="exact"/>
        <w:rPr>
          <w:sz w:val="20"/>
          <w:szCs w:val="20"/>
          <w:color w:val="auto"/>
        </w:rPr>
      </w:pPr>
    </w:p>
    <w:p>
      <w:pPr>
        <w:jc w:val="center"/>
        <w:ind w:right="-880"/>
        <w:spacing w:after="0"/>
        <w:rPr>
          <w:sz w:val="20"/>
          <w:szCs w:val="20"/>
          <w:color w:val="auto"/>
        </w:rPr>
      </w:pPr>
      <w:r>
        <w:rPr>
          <w:rFonts w:ascii="Arial" w:cs="Arial" w:eastAsia="Arial" w:hAnsi="Arial"/>
          <w:sz w:val="12"/>
          <w:szCs w:val="12"/>
          <w:color w:val="auto"/>
        </w:rPr>
        <w:t>This is the initial public offering of American depositary shares (“ADS”), representing ordinary shares of Mynaric AG, a German stock</w:t>
      </w:r>
    </w:p>
    <w:p>
      <w:pPr>
        <w:spacing w:after="0" w:line="15" w:lineRule="exact"/>
        <w:rPr>
          <w:sz w:val="20"/>
          <w:szCs w:val="20"/>
          <w:color w:val="auto"/>
        </w:rPr>
      </w:pPr>
    </w:p>
    <w:p>
      <w:pPr>
        <w:ind w:left="1980" w:right="1059"/>
        <w:spacing w:after="0" w:line="260" w:lineRule="auto"/>
        <w:rPr>
          <w:sz w:val="20"/>
          <w:szCs w:val="20"/>
          <w:color w:val="auto"/>
        </w:rPr>
      </w:pPr>
      <w:r>
        <w:rPr>
          <w:rFonts w:ascii="Arial" w:cs="Arial" w:eastAsia="Arial" w:hAnsi="Arial"/>
          <w:sz w:val="12"/>
          <w:szCs w:val="12"/>
          <w:color w:val="auto"/>
        </w:rPr>
        <w:t>corporation. We are offering ADSs. Every ADSs will represent one ordinary share with a notional value of €1.00 per share. We have applied to list the ADSs on Nasdaq under the symbol “MYNA.”</w:t>
      </w:r>
    </w:p>
    <w:p>
      <w:pPr>
        <w:spacing w:after="0" w:line="5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Our ordinary shares are listed on the Frankfurt Stock Exchange under the symbol “M0Y.” On , 2021, the last closing price of our ordinary shares on the Frankfurt Stock Exchange was € per ordinary share, equivalent to a price of $ per ADS, after giving effect to the Euro/U.S. dollar exchange rate of €1.00 to $ as of , 2021, and an ADS to share ratio of to . The initial public</w:t>
      </w:r>
    </w:p>
    <w:p>
      <w:pPr>
        <w:spacing w:after="0" w:line="1" w:lineRule="exact"/>
        <w:rPr>
          <w:sz w:val="20"/>
          <w:szCs w:val="20"/>
          <w:color w:val="auto"/>
        </w:rPr>
      </w:pPr>
    </w:p>
    <w:p>
      <w:pPr>
        <w:ind w:left="1980" w:right="859"/>
        <w:spacing w:after="0" w:line="260" w:lineRule="auto"/>
        <w:rPr>
          <w:sz w:val="20"/>
          <w:szCs w:val="20"/>
          <w:color w:val="auto"/>
        </w:rPr>
      </w:pPr>
      <w:r>
        <w:rPr>
          <w:rFonts w:ascii="Arial" w:cs="Arial" w:eastAsia="Arial" w:hAnsi="Arial"/>
          <w:sz w:val="12"/>
          <w:szCs w:val="12"/>
          <w:color w:val="auto"/>
        </w:rPr>
        <w:t>offering price for the ADSs will be determined through discussions between us and the representatives of the underwriters and will be based in large part on the closing price of our ordinary shares on the Frankfurt Stock Excange.</w:t>
      </w:r>
    </w:p>
    <w:p>
      <w:pPr>
        <w:spacing w:after="0" w:line="5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intend to terminate the listing of our ordinary shares on the Frankfurt Stock Exchange following listing of the ADSs on Nasdaq.</w:t>
      </w:r>
    </w:p>
    <w:p>
      <w:pPr>
        <w:spacing w:after="0" w:line="78"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are both an “emerging growth company” and a “foreign private issuer” as defined under applicable U.S. federal securities laws and, as such, may elect to comply with certain reduced public company reporting requirements for this and future filings. See “Prospectus Summary—Implications of Being an Emerging Growth Company” and “Prospectus Summary—Implications of Being a Foreign Private Issuer.”</w:t>
      </w:r>
    </w:p>
    <w:p>
      <w:pPr>
        <w:spacing w:after="0" w:line="29" w:lineRule="exact"/>
        <w:rPr>
          <w:sz w:val="20"/>
          <w:szCs w:val="20"/>
          <w:color w:val="auto"/>
        </w:rPr>
      </w:pPr>
    </w:p>
    <w:p>
      <w:pPr>
        <w:ind w:left="22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Investing in the ADSs involves risks. See “</w:t>
      </w:r>
      <w:hyperlink w:anchor="page31">
        <w:r>
          <w:rPr>
            <w:rFonts w:ascii="Arial" w:cs="Arial" w:eastAsia="Arial" w:hAnsi="Arial"/>
            <w:sz w:val="12"/>
            <w:szCs w:val="12"/>
            <w:b w:val="1"/>
            <w:bCs w:val="1"/>
            <w:u w:val="single" w:color="auto"/>
            <w:color w:val="0000EE"/>
          </w:rPr>
          <w:t>Risk Factors</w:t>
        </w:r>
      </w:hyperlink>
      <w:r>
        <w:rPr>
          <w:rFonts w:ascii="Arial" w:cs="Arial" w:eastAsia="Arial" w:hAnsi="Arial"/>
          <w:sz w:val="12"/>
          <w:szCs w:val="12"/>
          <w:b w:val="1"/>
          <w:bCs w:val="1"/>
          <w:color w:val="auto"/>
        </w:rPr>
        <w:t>”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109220</wp:posOffset>
            </wp:positionV>
            <wp:extent cx="9829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PRICE $</w:t>
            </w:r>
          </w:p>
        </w:tc>
        <w:tc>
          <w:tcPr>
            <w:tcW w:w="3380" w:type="dxa"/>
            <w:vAlign w:val="bottom"/>
            <w:gridSpan w:val="4"/>
          </w:tcPr>
          <w:p>
            <w:pPr>
              <w:ind w:left="200"/>
              <w:spacing w:after="0"/>
              <w:rPr>
                <w:sz w:val="20"/>
                <w:szCs w:val="20"/>
                <w:color w:val="auto"/>
              </w:rPr>
            </w:pPr>
            <w:r>
              <w:rPr>
                <w:rFonts w:ascii="Arial" w:cs="Arial" w:eastAsia="Arial" w:hAnsi="Arial"/>
                <w:sz w:val="12"/>
                <w:szCs w:val="12"/>
                <w:b w:val="1"/>
                <w:bCs w:val="1"/>
                <w:color w:val="auto"/>
              </w:rPr>
              <w:t>PER ADS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Per ADS</w:t>
            </w:r>
          </w:p>
        </w:tc>
        <w:tc>
          <w:tcPr>
            <w:tcW w:w="3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64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2800" w:type="dxa"/>
            <w:vAlign w:val="bottom"/>
            <w:tcBorders>
              <w:top w:val="single" w:sz="8" w:color="CCEEFF"/>
            </w:tcBorders>
            <w:gridSpan w:val="2"/>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40" w:type="dxa"/>
            <w:vAlign w:val="bottom"/>
            <w:gridSpan w:val="2"/>
          </w:tcPr>
          <w:p>
            <w:pPr>
              <w:spacing w:after="0" w:line="135" w:lineRule="exact"/>
              <w:rPr>
                <w:sz w:val="20"/>
                <w:szCs w:val="20"/>
                <w:color w:val="auto"/>
              </w:rPr>
            </w:pPr>
            <w:r>
              <w:rPr>
                <w:rFonts w:ascii="Arial" w:cs="Arial" w:eastAsia="Arial" w:hAnsi="Arial"/>
                <w:sz w:val="9"/>
                <w:szCs w:val="9"/>
                <w:color w:val="auto"/>
              </w:rPr>
              <w:t>Underwriting discounts and commissions</w:t>
            </w:r>
            <w:r>
              <w:rPr>
                <w:rFonts w:ascii="Arial" w:cs="Arial" w:eastAsia="Arial" w:hAnsi="Arial"/>
                <w:sz w:val="15"/>
                <w:szCs w:val="15"/>
                <w:color w:val="auto"/>
                <w:vertAlign w:val="superscript"/>
              </w:rPr>
              <w:t>(1)</w:t>
            </w:r>
          </w:p>
        </w:tc>
        <w:tc>
          <w:tcPr>
            <w:tcW w:w="3200" w:type="dxa"/>
            <w:vAlign w:val="bottom"/>
            <w:gridSpan w:val="3"/>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80" w:type="dxa"/>
            <w:vAlign w:val="bottom"/>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to Mynaric AG before expenses</w:t>
            </w:r>
          </w:p>
        </w:tc>
        <w:tc>
          <w:tcPr>
            <w:tcW w:w="3200" w:type="dxa"/>
            <w:vAlign w:val="bottom"/>
            <w:gridSpan w:val="3"/>
            <w:shd w:val="clear" w:color="auto" w:fill="CCEEFF"/>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3"/>
        </w:numPr>
        <w:rPr>
          <w:rFonts w:ascii="Arial" w:cs="Arial" w:eastAsia="Arial" w:hAnsi="Arial"/>
          <w:sz w:val="10"/>
          <w:szCs w:val="10"/>
          <w:color w:val="auto"/>
        </w:rPr>
      </w:pPr>
      <w:r>
        <w:rPr>
          <w:rFonts w:ascii="Arial" w:cs="Arial" w:eastAsia="Arial" w:hAnsi="Arial"/>
          <w:sz w:val="10"/>
          <w:szCs w:val="10"/>
          <w:color w:val="auto"/>
        </w:rPr>
        <w:t>See “Underwriting” for a description of the compensation payable to the underwriters.</w:t>
      </w:r>
    </w:p>
    <w:p>
      <w:pPr>
        <w:sectPr>
          <w:pgSz w:w="11900" w:h="16838" w:orient="portrait"/>
          <w:cols w:equalWidth="0" w:num="1">
            <w:col w:w="10159"/>
          </w:cols>
          <w:pgMar w:left="300" w:top="354" w:right="1440" w:bottom="1440" w:gutter="0" w:footer="0" w:header="0"/>
        </w:sectPr>
      </w:pPr>
    </w:p>
    <w:p>
      <w:pPr>
        <w:spacing w:after="0" w:line="60" w:lineRule="exact"/>
        <w:rPr>
          <w:sz w:val="20"/>
          <w:szCs w:val="20"/>
          <w:color w:val="auto"/>
        </w:rPr>
      </w:pPr>
    </w:p>
    <w:p>
      <w:pPr>
        <w:jc w:val="both"/>
        <w:ind w:left="1980" w:firstLine="294"/>
        <w:spacing w:after="0" w:line="375" w:lineRule="auto"/>
        <w:rPr>
          <w:sz w:val="20"/>
          <w:szCs w:val="20"/>
          <w:color w:val="auto"/>
        </w:rPr>
      </w:pPr>
      <w:r>
        <w:rPr>
          <w:rFonts w:ascii="Arial" w:cs="Arial" w:eastAsia="Arial" w:hAnsi="Arial"/>
          <w:sz w:val="10"/>
          <w:szCs w:val="10"/>
          <w:color w:val="auto"/>
        </w:rPr>
        <w:t>The underwriters have the option to purchase up to an additional discount, until the date that is 30 days after the date of this prospectus.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ADSs from us at the initial public offering price, less the underwriting</w:t>
      </w:r>
    </w:p>
    <w:p>
      <w:pPr>
        <w:spacing w:after="0" w:line="233" w:lineRule="exact"/>
        <w:rPr>
          <w:sz w:val="20"/>
          <w:szCs w:val="20"/>
          <w:color w:val="auto"/>
        </w:rPr>
      </w:pPr>
    </w:p>
    <w:p>
      <w:pPr>
        <w:sectPr>
          <w:pgSz w:w="11900" w:h="16838" w:orient="portrait"/>
          <w:cols w:equalWidth="0" w:num="2">
            <w:col w:w="5360" w:space="420"/>
            <w:col w:w="4379"/>
          </w:cols>
          <w:pgMar w:left="300" w:top="354" w:right="1440" w:bottom="1440" w:gutter="0" w:footer="0" w:header="0"/>
          <w:type w:val="continuous"/>
        </w:sectPr>
      </w:pPr>
    </w:p>
    <w:p>
      <w:pPr>
        <w:ind w:left="1980" w:right="1319" w:firstLine="294"/>
        <w:spacing w:after="0" w:line="276" w:lineRule="auto"/>
        <w:rPr>
          <w:sz w:val="20"/>
          <w:szCs w:val="20"/>
          <w:color w:val="auto"/>
        </w:rPr>
      </w:pPr>
      <w:r>
        <w:rPr>
          <w:rFonts w:ascii="Arial" w:cs="Arial" w:eastAsia="Arial" w:hAnsi="Arial"/>
          <w:sz w:val="12"/>
          <w:szCs w:val="1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3"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3660" w:type="dxa"/>
            <w:vAlign w:val="bottom"/>
          </w:tcPr>
          <w:p>
            <w:pPr>
              <w:spacing w:after="0"/>
              <w:rPr>
                <w:sz w:val="20"/>
                <w:szCs w:val="20"/>
                <w:color w:val="auto"/>
              </w:rPr>
            </w:pPr>
            <w:r>
              <w:rPr>
                <w:rFonts w:ascii="Arial" w:cs="Arial" w:eastAsia="Arial" w:hAnsi="Arial"/>
                <w:sz w:val="12"/>
                <w:szCs w:val="12"/>
                <w:color w:val="auto"/>
                <w:w w:val="97"/>
              </w:rPr>
              <w:t>The underwriters expect to deliver the ADSs to purchasers on or about</w:t>
            </w:r>
          </w:p>
        </w:tc>
        <w:tc>
          <w:tcPr>
            <w:tcW w:w="60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97155</wp:posOffset>
            </wp:positionV>
            <wp:extent cx="9829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0"/>
          <w:szCs w:val="20"/>
          <w:color w:val="auto"/>
        </w:rPr>
      </w:pPr>
    </w:p>
    <w:tbl>
      <w:tblPr>
        <w:tblLayout w:type="fixed"/>
        <w:tblInd w:w="2460" w:type="dxa"/>
        <w:tblCellMar>
          <w:top w:w="0" w:type="dxa"/>
          <w:left w:w="0" w:type="dxa"/>
          <w:bottom w:w="0" w:type="dxa"/>
          <w:right w:w="0" w:type="dxa"/>
        </w:tblCellMar>
      </w:tblPr>
      <w:tr>
        <w:trPr>
          <w:trHeight w:val="198"/>
        </w:trPr>
        <w:tc>
          <w:tcPr>
            <w:tcW w:w="2400" w:type="dxa"/>
            <w:vAlign w:val="bottom"/>
          </w:tcPr>
          <w:p>
            <w:pPr>
              <w:jc w:val="right"/>
              <w:ind w:right="508"/>
              <w:spacing w:after="0"/>
              <w:rPr>
                <w:sz w:val="20"/>
                <w:szCs w:val="20"/>
                <w:color w:val="auto"/>
              </w:rPr>
            </w:pPr>
            <w:r>
              <w:rPr>
                <w:rFonts w:ascii="Arial" w:cs="Arial" w:eastAsia="Arial" w:hAnsi="Arial"/>
                <w:sz w:val="17"/>
                <w:szCs w:val="17"/>
                <w:b w:val="1"/>
                <w:bCs w:val="1"/>
                <w:color w:val="auto"/>
              </w:rPr>
              <w:t>Credit Suisse</w:t>
            </w:r>
          </w:p>
        </w:tc>
        <w:tc>
          <w:tcPr>
            <w:tcW w:w="1560" w:type="dxa"/>
            <w:vAlign w:val="bottom"/>
          </w:tcPr>
          <w:p>
            <w:pPr>
              <w:spacing w:after="0"/>
              <w:rPr>
                <w:sz w:val="17"/>
                <w:szCs w:val="17"/>
                <w:color w:val="auto"/>
              </w:rPr>
            </w:pPr>
          </w:p>
        </w:tc>
        <w:tc>
          <w:tcPr>
            <w:tcW w:w="1220" w:type="dxa"/>
            <w:vAlign w:val="bottom"/>
          </w:tcPr>
          <w:p>
            <w:pPr>
              <w:ind w:left="600"/>
              <w:spacing w:after="0"/>
              <w:rPr>
                <w:sz w:val="20"/>
                <w:szCs w:val="20"/>
                <w:color w:val="auto"/>
              </w:rPr>
            </w:pPr>
            <w:r>
              <w:rPr>
                <w:rFonts w:ascii="Arial" w:cs="Arial" w:eastAsia="Arial" w:hAnsi="Arial"/>
                <w:sz w:val="17"/>
                <w:szCs w:val="17"/>
                <w:b w:val="1"/>
                <w:bCs w:val="1"/>
                <w:color w:val="auto"/>
                <w:w w:val="85"/>
              </w:rPr>
              <w:t>Jefferies</w:t>
            </w:r>
          </w:p>
        </w:tc>
        <w:tc>
          <w:tcPr>
            <w:tcW w:w="0" w:type="dxa"/>
            <w:vAlign w:val="bottom"/>
          </w:tcPr>
          <w:p>
            <w:pPr>
              <w:spacing w:after="0"/>
              <w:rPr>
                <w:sz w:val="1"/>
                <w:szCs w:val="1"/>
                <w:color w:val="auto"/>
              </w:rPr>
            </w:pPr>
          </w:p>
        </w:tc>
      </w:tr>
      <w:tr>
        <w:trPr>
          <w:trHeight w:val="218"/>
        </w:trPr>
        <w:tc>
          <w:tcPr>
            <w:tcW w:w="2400" w:type="dxa"/>
            <w:vAlign w:val="bottom"/>
          </w:tcPr>
          <w:p>
            <w:pPr>
              <w:spacing w:after="0"/>
              <w:rPr>
                <w:sz w:val="18"/>
                <w:szCs w:val="18"/>
                <w:color w:val="auto"/>
              </w:rPr>
            </w:pPr>
          </w:p>
        </w:tc>
        <w:tc>
          <w:tcPr>
            <w:tcW w:w="2780" w:type="dxa"/>
            <w:vAlign w:val="bottom"/>
            <w:gridSpan w:val="2"/>
          </w:tcPr>
          <w:p>
            <w:pPr>
              <w:ind w:left="80"/>
              <w:spacing w:after="0"/>
              <w:rPr>
                <w:sz w:val="20"/>
                <w:szCs w:val="20"/>
                <w:color w:val="auto"/>
              </w:rPr>
            </w:pPr>
            <w:r>
              <w:rPr>
                <w:rFonts w:ascii="Arial" w:cs="Arial" w:eastAsia="Arial" w:hAnsi="Arial"/>
                <w:sz w:val="17"/>
                <w:szCs w:val="17"/>
                <w:b w:val="1"/>
                <w:bCs w:val="1"/>
                <w:color w:val="auto"/>
              </w:rPr>
              <w:t>Canaccord Genuity</w:t>
            </w:r>
          </w:p>
        </w:tc>
        <w:tc>
          <w:tcPr>
            <w:tcW w:w="0" w:type="dxa"/>
            <w:vAlign w:val="bottom"/>
          </w:tcPr>
          <w:p>
            <w:pPr>
              <w:spacing w:after="0"/>
              <w:rPr>
                <w:sz w:val="1"/>
                <w:szCs w:val="1"/>
                <w:color w:val="auto"/>
              </w:rPr>
            </w:pPr>
          </w:p>
        </w:tc>
      </w:tr>
      <w:tr>
        <w:trPr>
          <w:trHeight w:val="175"/>
        </w:trPr>
        <w:tc>
          <w:tcPr>
            <w:tcW w:w="2400" w:type="dxa"/>
            <w:vAlign w:val="bottom"/>
            <w:vMerge w:val="restart"/>
          </w:tcPr>
          <w:p>
            <w:pPr>
              <w:jc w:val="right"/>
              <w:ind w:right="2028"/>
              <w:spacing w:after="0"/>
              <w:rPr>
                <w:sz w:val="20"/>
                <w:szCs w:val="20"/>
                <w:color w:val="auto"/>
              </w:rPr>
            </w:pPr>
            <w:r>
              <w:rPr>
                <w:rFonts w:ascii="Arial" w:cs="Arial" w:eastAsia="Arial" w:hAnsi="Arial"/>
                <w:sz w:val="12"/>
                <w:szCs w:val="12"/>
                <w:color w:val="auto"/>
                <w:w w:val="83"/>
              </w:rPr>
              <w:t>, 2021</w:t>
            </w:r>
          </w:p>
        </w:tc>
        <w:tc>
          <w:tcPr>
            <w:tcW w:w="156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type w:val="continuous"/>
        </w:sectPr>
      </w:pPr>
    </w:p>
    <w:bookmarkStart w:id="3" w:name="page4"/>
    <w:bookmarkEnd w:id="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TABLE OF CONTENTS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gridSpan w:val="13"/>
            <w:vMerge w:val="restart"/>
          </w:tcPr>
          <w:p>
            <w:pPr>
              <w:spacing w:after="0"/>
              <w:rPr>
                <w:rFonts w:ascii="Arial" w:cs="Arial" w:eastAsia="Arial" w:hAnsi="Arial"/>
                <w:sz w:val="12"/>
                <w:szCs w:val="12"/>
                <w:color w:val="0000EE"/>
              </w:rPr>
            </w:pPr>
            <w:hyperlink w:anchor="page9">
              <w:r>
                <w:rPr>
                  <w:rFonts w:ascii="Arial" w:cs="Arial" w:eastAsia="Arial" w:hAnsi="Arial"/>
                  <w:sz w:val="12"/>
                  <w:szCs w:val="12"/>
                  <w:color w:val="0000EE"/>
                </w:rPr>
                <w:t>About This Prospectus</w:t>
              </w:r>
            </w:hyperlink>
          </w:p>
        </w:tc>
        <w:tc>
          <w:tcPr>
            <w:tcW w:w="4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75"/>
              </w:rPr>
              <w:t>Page</w:t>
            </w:r>
          </w:p>
        </w:tc>
        <w:tc>
          <w:tcPr>
            <w:tcW w:w="3340" w:type="dxa"/>
            <w:vAlign w:val="bottom"/>
            <w:gridSpan w:val="14"/>
            <w:vMerge w:val="restart"/>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Business</w:t>
              </w:r>
            </w:hyperlink>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97"/>
        </w:trPr>
        <w:tc>
          <w:tcPr>
            <w:tcW w:w="3280" w:type="dxa"/>
            <w:vAlign w:val="bottom"/>
            <w:gridSpan w:val="13"/>
            <w:vMerge w:val="continue"/>
          </w:tcPr>
          <w:p>
            <w:pPr>
              <w:spacing w:after="0"/>
              <w:rPr>
                <w:sz w:val="8"/>
                <w:szCs w:val="8"/>
                <w:color w:val="auto"/>
              </w:rPr>
            </w:pPr>
          </w:p>
        </w:tc>
        <w:tc>
          <w:tcPr>
            <w:tcW w:w="2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ii</w:t>
            </w:r>
          </w:p>
        </w:tc>
        <w:tc>
          <w:tcPr>
            <w:tcW w:w="260" w:type="dxa"/>
            <w:vAlign w:val="bottom"/>
          </w:tcPr>
          <w:p>
            <w:pPr>
              <w:spacing w:after="0"/>
              <w:rPr>
                <w:sz w:val="8"/>
                <w:szCs w:val="8"/>
                <w:color w:val="auto"/>
              </w:rPr>
            </w:pPr>
          </w:p>
        </w:tc>
        <w:tc>
          <w:tcPr>
            <w:tcW w:w="3340" w:type="dxa"/>
            <w:vAlign w:val="bottom"/>
            <w:gridSpan w:val="14"/>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gridSpan w:val="13"/>
          </w:tcPr>
          <w:p>
            <w:pPr>
              <w:spacing w:after="0" w:line="133" w:lineRule="exact"/>
              <w:rPr>
                <w:rFonts w:ascii="Arial" w:cs="Arial" w:eastAsia="Arial" w:hAnsi="Arial"/>
                <w:sz w:val="12"/>
                <w:szCs w:val="12"/>
                <w:color w:val="0000EE"/>
              </w:rPr>
            </w:pPr>
            <w:hyperlink w:anchor="page9">
              <w:r>
                <w:rPr>
                  <w:rFonts w:ascii="Arial" w:cs="Arial" w:eastAsia="Arial" w:hAnsi="Arial"/>
                  <w:sz w:val="12"/>
                  <w:szCs w:val="12"/>
                  <w:color w:val="0000EE"/>
                </w:rPr>
                <w:t>Presentation of Financial and Other Information</w:t>
              </w:r>
            </w:hyperlink>
          </w:p>
        </w:tc>
        <w:tc>
          <w:tcPr>
            <w:tcW w:w="46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ii</w:t>
            </w:r>
          </w:p>
        </w:tc>
        <w:tc>
          <w:tcPr>
            <w:tcW w:w="3340" w:type="dxa"/>
            <w:vAlign w:val="bottom"/>
            <w:gridSpan w:val="14"/>
          </w:tcPr>
          <w:p>
            <w:pPr>
              <w:spacing w:after="0" w:line="133" w:lineRule="exact"/>
              <w:rPr>
                <w:rFonts w:ascii="Arial" w:cs="Arial" w:eastAsia="Arial" w:hAnsi="Arial"/>
                <w:sz w:val="12"/>
                <w:szCs w:val="12"/>
                <w:color w:val="0000EE"/>
              </w:rPr>
            </w:pPr>
            <w:hyperlink w:anchor="page103">
              <w:r>
                <w:rPr>
                  <w:rFonts w:ascii="Arial" w:cs="Arial" w:eastAsia="Arial" w:hAnsi="Arial"/>
                  <w:sz w:val="12"/>
                  <w:szCs w:val="12"/>
                  <w:color w:val="0000EE"/>
                </w:rPr>
                <w:t>Regulatory Environment</w:t>
              </w:r>
            </w:hyperlink>
          </w:p>
        </w:tc>
        <w:tc>
          <w:tcPr>
            <w:tcW w:w="220" w:type="dxa"/>
            <w:vAlign w:val="bottom"/>
          </w:tcPr>
          <w:p>
            <w:pPr>
              <w:jc w:val="right"/>
              <w:spacing w:after="0" w:line="133" w:lineRule="exact"/>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24"/>
        </w:trPr>
        <w:tc>
          <w:tcPr>
            <w:tcW w:w="1240" w:type="dxa"/>
            <w:vAlign w:val="bottom"/>
            <w:tcBorders>
              <w:top w:val="single" w:sz="8" w:color="0000EE"/>
            </w:tcBorders>
            <w:gridSpan w:val="7"/>
          </w:tcPr>
          <w:p>
            <w:pPr>
              <w:spacing w:after="0" w:line="124" w:lineRule="exact"/>
              <w:rPr>
                <w:rFonts w:ascii="Arial" w:cs="Arial" w:eastAsia="Arial" w:hAnsi="Arial"/>
                <w:sz w:val="12"/>
                <w:szCs w:val="12"/>
                <w:color w:val="0000EE"/>
                <w:w w:val="89"/>
              </w:rPr>
            </w:pPr>
            <w:hyperlink w:anchor="page9">
              <w:r>
                <w:rPr>
                  <w:rFonts w:ascii="Arial" w:cs="Arial" w:eastAsia="Arial" w:hAnsi="Arial"/>
                  <w:sz w:val="12"/>
                  <w:szCs w:val="12"/>
                  <w:color w:val="0000EE"/>
                  <w:w w:val="89"/>
                </w:rPr>
                <w:t>Market and Industry Data</w:t>
              </w:r>
            </w:hyperlink>
          </w:p>
        </w:tc>
        <w:tc>
          <w:tcPr>
            <w:tcW w:w="1060" w:type="dxa"/>
            <w:vAlign w:val="bottom"/>
            <w:tcBorders>
              <w:top w:val="single" w:sz="8" w:color="0000EE"/>
            </w:tcBorders>
            <w:gridSpan w:val="3"/>
          </w:tcPr>
          <w:p>
            <w:pPr>
              <w:spacing w:after="0"/>
              <w:rPr>
                <w:sz w:val="10"/>
                <w:szCs w:val="10"/>
                <w:color w:val="auto"/>
              </w:rPr>
            </w:pPr>
          </w:p>
        </w:tc>
        <w:tc>
          <w:tcPr>
            <w:tcW w:w="980" w:type="dxa"/>
            <w:vAlign w:val="bottom"/>
            <w:gridSpan w:val="3"/>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11">
              <w:r>
                <w:rPr>
                  <w:rFonts w:ascii="Arial" w:cs="Arial" w:eastAsia="Arial" w:hAnsi="Arial"/>
                  <w:sz w:val="12"/>
                  <w:szCs w:val="12"/>
                  <w:color w:val="0000EE"/>
                </w:rPr>
                <w:t>Management</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100</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10">
              <w:r>
                <w:rPr>
                  <w:rFonts w:ascii="Arial" w:cs="Arial" w:eastAsia="Arial" w:hAnsi="Arial"/>
                  <w:sz w:val="12"/>
                  <w:szCs w:val="12"/>
                  <w:color w:val="0000EE"/>
                  <w:w w:val="88"/>
                </w:rPr>
                <w:t>Trademarks, Service Marks and Trade Names</w:t>
              </w:r>
            </w:hyperlink>
          </w:p>
        </w:tc>
        <w:tc>
          <w:tcPr>
            <w:tcW w:w="1080" w:type="dxa"/>
            <w:vAlign w:val="bottom"/>
            <w:gridSpan w:val="4"/>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iii</w:t>
            </w:r>
          </w:p>
        </w:tc>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131">
              <w:r>
                <w:rPr>
                  <w:rFonts w:ascii="Arial" w:cs="Arial" w:eastAsia="Arial" w:hAnsi="Arial"/>
                  <w:sz w:val="12"/>
                  <w:szCs w:val="12"/>
                  <w:color w:val="0000EE"/>
                  <w:w w:val="89"/>
                </w:rPr>
                <w:t>Principal Shareholders</w:t>
              </w:r>
            </w:hyperlink>
          </w:p>
        </w:tc>
        <w:tc>
          <w:tcPr>
            <w:tcW w:w="2240" w:type="dxa"/>
            <w:vAlign w:val="bottom"/>
            <w:gridSpan w:val="10"/>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82"/>
              </w:rPr>
            </w:pPr>
            <w:hyperlink w:anchor="page11">
              <w:r>
                <w:rPr>
                  <w:rFonts w:ascii="Arial" w:cs="Arial" w:eastAsia="Arial" w:hAnsi="Arial"/>
                  <w:sz w:val="12"/>
                  <w:szCs w:val="12"/>
                  <w:color w:val="0000EE"/>
                  <w:w w:val="82"/>
                </w:rPr>
                <w:t>Frequently Used Terms</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iv</w:t>
            </w:r>
          </w:p>
        </w:tc>
        <w:tc>
          <w:tcPr>
            <w:tcW w:w="3340" w:type="dxa"/>
            <w:vAlign w:val="bottom"/>
            <w:gridSpan w:val="14"/>
          </w:tcPr>
          <w:p>
            <w:pPr>
              <w:spacing w:after="0" w:line="124" w:lineRule="exact"/>
              <w:rPr>
                <w:rFonts w:ascii="Arial" w:cs="Arial" w:eastAsia="Arial" w:hAnsi="Arial"/>
                <w:sz w:val="12"/>
                <w:szCs w:val="12"/>
                <w:color w:val="0000EE"/>
              </w:rPr>
            </w:pPr>
            <w:hyperlink w:anchor="page133">
              <w:r>
                <w:rPr>
                  <w:rFonts w:ascii="Arial" w:cs="Arial" w:eastAsia="Arial" w:hAnsi="Arial"/>
                  <w:sz w:val="12"/>
                  <w:szCs w:val="12"/>
                  <w:color w:val="0000EE"/>
                </w:rPr>
                <w:t>Related Party Transactions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122</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90"/>
              </w:rPr>
            </w:pPr>
            <w:hyperlink w:anchor="page12">
              <w:r>
                <w:rPr>
                  <w:rFonts w:ascii="Arial" w:cs="Arial" w:eastAsia="Arial" w:hAnsi="Arial"/>
                  <w:sz w:val="12"/>
                  <w:szCs w:val="12"/>
                  <w:color w:val="0000EE"/>
                  <w:w w:val="90"/>
                </w:rPr>
                <w:t>Prospectus Summary</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w:t>
            </w:r>
          </w:p>
        </w:tc>
        <w:tc>
          <w:tcPr>
            <w:tcW w:w="3340" w:type="dxa"/>
            <w:vAlign w:val="bottom"/>
            <w:gridSpan w:val="14"/>
          </w:tcPr>
          <w:p>
            <w:pPr>
              <w:spacing w:after="0" w:line="124" w:lineRule="exact"/>
              <w:rPr>
                <w:rFonts w:ascii="Arial" w:cs="Arial" w:eastAsia="Arial" w:hAnsi="Arial"/>
                <w:sz w:val="12"/>
                <w:szCs w:val="12"/>
                <w:color w:val="0000EE"/>
              </w:rPr>
            </w:pPr>
            <w:hyperlink w:anchor="page135">
              <w:r>
                <w:rPr>
                  <w:rFonts w:ascii="Arial" w:cs="Arial" w:eastAsia="Arial" w:hAnsi="Arial"/>
                  <w:sz w:val="12"/>
                  <w:szCs w:val="12"/>
                  <w:color w:val="0000EE"/>
                </w:rPr>
                <w:t>Description of Share Capital and Articles of Association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124</w:t>
            </w:r>
          </w:p>
        </w:tc>
        <w:tc>
          <w:tcPr>
            <w:tcW w:w="0" w:type="dxa"/>
            <w:vAlign w:val="bottom"/>
          </w:tcPr>
          <w:p>
            <w:pPr>
              <w:spacing w:after="0"/>
              <w:rPr>
                <w:sz w:val="1"/>
                <w:szCs w:val="1"/>
                <w:color w:val="auto"/>
              </w:rPr>
            </w:pPr>
          </w:p>
        </w:tc>
      </w:tr>
      <w:tr>
        <w:trPr>
          <w:trHeight w:val="124"/>
        </w:trPr>
        <w:tc>
          <w:tcPr>
            <w:tcW w:w="108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25">
              <w:r>
                <w:rPr>
                  <w:rFonts w:ascii="Arial" w:cs="Arial" w:eastAsia="Arial" w:hAnsi="Arial"/>
                  <w:sz w:val="12"/>
                  <w:szCs w:val="12"/>
                  <w:color w:val="0000EE"/>
                </w:rPr>
                <w:t>The Offering</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14</w:t>
            </w:r>
          </w:p>
        </w:tc>
        <w:tc>
          <w:tcPr>
            <w:tcW w:w="27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154">
              <w:r>
                <w:rPr>
                  <w:rFonts w:ascii="Arial" w:cs="Arial" w:eastAsia="Arial" w:hAnsi="Arial"/>
                  <w:sz w:val="12"/>
                  <w:szCs w:val="12"/>
                  <w:color w:val="0000EE"/>
                </w:rPr>
                <w:t>Description of American Depositary Shares</w:t>
              </w:r>
            </w:hyperlink>
          </w:p>
        </w:tc>
        <w:tc>
          <w:tcPr>
            <w:tcW w:w="640" w:type="dxa"/>
            <w:vAlign w:val="bottom"/>
            <w:gridSpan w:val="2"/>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143</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28">
              <w:r>
                <w:rPr>
                  <w:rFonts w:ascii="Arial" w:cs="Arial" w:eastAsia="Arial" w:hAnsi="Arial"/>
                  <w:sz w:val="12"/>
                  <w:szCs w:val="12"/>
                  <w:color w:val="0000EE"/>
                  <w:w w:val="91"/>
                </w:rPr>
                <w:t>Summary Financial Data</w:t>
              </w:r>
            </w:hyperlink>
          </w:p>
        </w:tc>
        <w:tc>
          <w:tcPr>
            <w:tcW w:w="2040" w:type="dxa"/>
            <w:vAlign w:val="bottom"/>
            <w:gridSpan w:val="6"/>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17</w:t>
            </w:r>
          </w:p>
        </w:tc>
        <w:tc>
          <w:tcPr>
            <w:tcW w:w="2000" w:type="dxa"/>
            <w:vAlign w:val="bottom"/>
            <w:tcBorders>
              <w:bottom w:val="single" w:sz="8" w:color="0000EE"/>
            </w:tcBorders>
            <w:gridSpan w:val="10"/>
          </w:tcPr>
          <w:p>
            <w:pPr>
              <w:spacing w:after="0" w:line="124" w:lineRule="exact"/>
              <w:rPr>
                <w:rFonts w:ascii="Arial" w:cs="Arial" w:eastAsia="Arial" w:hAnsi="Arial"/>
                <w:sz w:val="12"/>
                <w:szCs w:val="12"/>
                <w:color w:val="0000EE"/>
                <w:w w:val="89"/>
              </w:rPr>
            </w:pPr>
            <w:hyperlink w:anchor="page162">
              <w:r>
                <w:rPr>
                  <w:rFonts w:ascii="Arial" w:cs="Arial" w:eastAsia="Arial" w:hAnsi="Arial"/>
                  <w:sz w:val="12"/>
                  <w:szCs w:val="12"/>
                  <w:color w:val="0000EE"/>
                  <w:w w:val="89"/>
                </w:rPr>
                <w:t>Shares and ADSs Eligible for Future Sale</w:t>
              </w:r>
            </w:hyperlink>
          </w:p>
        </w:tc>
        <w:tc>
          <w:tcPr>
            <w:tcW w:w="1340" w:type="dxa"/>
            <w:vAlign w:val="bottom"/>
            <w:gridSpan w:val="4"/>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151</w:t>
            </w:r>
          </w:p>
        </w:tc>
        <w:tc>
          <w:tcPr>
            <w:tcW w:w="0" w:type="dxa"/>
            <w:vAlign w:val="bottom"/>
          </w:tcPr>
          <w:p>
            <w:pPr>
              <w:spacing w:after="0"/>
              <w:rPr>
                <w:sz w:val="1"/>
                <w:szCs w:val="1"/>
                <w:color w:val="auto"/>
              </w:rPr>
            </w:pPr>
          </w:p>
        </w:tc>
      </w:tr>
      <w:tr>
        <w:trPr>
          <w:trHeight w:val="124"/>
        </w:trPr>
        <w:tc>
          <w:tcPr>
            <w:tcW w:w="600" w:type="dxa"/>
            <w:vAlign w:val="bottom"/>
            <w:gridSpan w:val="3"/>
          </w:tcPr>
          <w:p>
            <w:pPr>
              <w:spacing w:after="0" w:line="124" w:lineRule="exact"/>
              <w:rPr>
                <w:rFonts w:ascii="Arial" w:cs="Arial" w:eastAsia="Arial" w:hAnsi="Arial"/>
                <w:sz w:val="12"/>
                <w:szCs w:val="12"/>
                <w:color w:val="0000EE"/>
                <w:w w:val="83"/>
              </w:rPr>
            </w:pPr>
            <w:hyperlink w:anchor="page31">
              <w:r>
                <w:rPr>
                  <w:rFonts w:ascii="Arial" w:cs="Arial" w:eastAsia="Arial" w:hAnsi="Arial"/>
                  <w:sz w:val="12"/>
                  <w:szCs w:val="12"/>
                  <w:color w:val="0000EE"/>
                  <w:w w:val="83"/>
                </w:rPr>
                <w:t>Risk Factors</w:t>
              </w:r>
            </w:hyperlink>
          </w:p>
        </w:tc>
        <w:tc>
          <w:tcPr>
            <w:tcW w:w="2680" w:type="dxa"/>
            <w:vAlign w:val="bottom"/>
            <w:gridSpan w:val="10"/>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20</w:t>
            </w:r>
          </w:p>
        </w:tc>
        <w:tc>
          <w:tcPr>
            <w:tcW w:w="3340" w:type="dxa"/>
            <w:vAlign w:val="bottom"/>
            <w:gridSpan w:val="14"/>
          </w:tcPr>
          <w:p>
            <w:pPr>
              <w:spacing w:after="0" w:line="124" w:lineRule="exact"/>
              <w:rPr>
                <w:rFonts w:ascii="Arial" w:cs="Arial" w:eastAsia="Arial" w:hAnsi="Arial"/>
                <w:sz w:val="12"/>
                <w:szCs w:val="12"/>
                <w:color w:val="0000EE"/>
              </w:rPr>
            </w:pPr>
            <w:hyperlink w:anchor="page164">
              <w:r>
                <w:rPr>
                  <w:rFonts w:ascii="Arial" w:cs="Arial" w:eastAsia="Arial" w:hAnsi="Arial"/>
                  <w:sz w:val="12"/>
                  <w:szCs w:val="12"/>
                  <w:color w:val="0000EE"/>
                </w:rPr>
                <w:t>Exchange Controls and Limitations Affecting Shareholders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153</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1">
              <w:r>
                <w:rPr>
                  <w:rFonts w:ascii="Arial" w:cs="Arial" w:eastAsia="Arial" w:hAnsi="Arial"/>
                  <w:sz w:val="12"/>
                  <w:szCs w:val="12"/>
                  <w:color w:val="0000EE"/>
                  <w:w w:val="98"/>
                </w:rPr>
                <w:t>Cautionary Statement Regarding Forward-Looking Statements</w:t>
              </w:r>
            </w:hyperlink>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50</w:t>
            </w:r>
          </w:p>
        </w:tc>
        <w:tc>
          <w:tcPr>
            <w:tcW w:w="3340" w:type="dxa"/>
            <w:vAlign w:val="bottom"/>
            <w:gridSpan w:val="14"/>
          </w:tcPr>
          <w:p>
            <w:pPr>
              <w:spacing w:after="0" w:line="124" w:lineRule="exact"/>
              <w:rPr>
                <w:rFonts w:ascii="Arial" w:cs="Arial" w:eastAsia="Arial" w:hAnsi="Arial"/>
                <w:sz w:val="12"/>
                <w:szCs w:val="12"/>
                <w:color w:val="0000EE"/>
              </w:rPr>
            </w:pPr>
            <w:hyperlink w:anchor="page165">
              <w:r>
                <w:rPr>
                  <w:rFonts w:ascii="Arial" w:cs="Arial" w:eastAsia="Arial" w:hAnsi="Arial"/>
                  <w:sz w:val="12"/>
                  <w:szCs w:val="12"/>
                  <w:color w:val="0000EE"/>
                </w:rPr>
                <w:t>Taxation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154</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85"/>
              </w:rPr>
            </w:pPr>
            <w:hyperlink w:anchor="page64">
              <w:r>
                <w:rPr>
                  <w:rFonts w:ascii="Arial" w:cs="Arial" w:eastAsia="Arial" w:hAnsi="Arial"/>
                  <w:sz w:val="12"/>
                  <w:szCs w:val="12"/>
                  <w:color w:val="0000EE"/>
                  <w:w w:val="85"/>
                </w:rPr>
                <w:t>Use of Proceeds</w:t>
              </w:r>
            </w:hyperlink>
          </w:p>
        </w:tc>
        <w:tc>
          <w:tcPr>
            <w:tcW w:w="2220" w:type="dxa"/>
            <w:vAlign w:val="bottom"/>
            <w:gridSpan w:val="6"/>
          </w:tcPr>
          <w:p>
            <w:pPr>
              <w:spacing w:after="0"/>
              <w:rPr>
                <w:sz w:val="10"/>
                <w:szCs w:val="10"/>
                <w:color w:val="auto"/>
              </w:rPr>
            </w:pPr>
          </w:p>
        </w:tc>
        <w:tc>
          <w:tcPr>
            <w:tcW w:w="280" w:type="dxa"/>
            <w:vAlign w:val="bottom"/>
            <w:gridSpan w:val="2"/>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53</w:t>
            </w:r>
          </w:p>
        </w:tc>
        <w:tc>
          <w:tcPr>
            <w:tcW w:w="3340" w:type="dxa"/>
            <w:vAlign w:val="bottom"/>
            <w:gridSpan w:val="14"/>
          </w:tcPr>
          <w:p>
            <w:pPr>
              <w:spacing w:after="0" w:line="124" w:lineRule="exact"/>
              <w:rPr>
                <w:rFonts w:ascii="Arial" w:cs="Arial" w:eastAsia="Arial" w:hAnsi="Arial"/>
                <w:sz w:val="12"/>
                <w:szCs w:val="12"/>
                <w:color w:val="0000EE"/>
              </w:rPr>
            </w:pPr>
            <w:hyperlink w:anchor="page179">
              <w:r>
                <w:rPr>
                  <w:rFonts w:ascii="Arial" w:cs="Arial" w:eastAsia="Arial" w:hAnsi="Arial"/>
                  <w:sz w:val="12"/>
                  <w:szCs w:val="12"/>
                  <w:color w:val="0000EE"/>
                </w:rPr>
                <w:t>Underwriting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168</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92"/>
              </w:rPr>
            </w:pPr>
            <w:hyperlink w:anchor="page65">
              <w:r>
                <w:rPr>
                  <w:rFonts w:ascii="Arial" w:cs="Arial" w:eastAsia="Arial" w:hAnsi="Arial"/>
                  <w:sz w:val="12"/>
                  <w:szCs w:val="12"/>
                  <w:color w:val="0000EE"/>
                  <w:w w:val="92"/>
                </w:rPr>
                <w:t>Dividend Policy</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54</w:t>
            </w:r>
          </w:p>
        </w:tc>
        <w:tc>
          <w:tcPr>
            <w:tcW w:w="3340" w:type="dxa"/>
            <w:vAlign w:val="bottom"/>
            <w:gridSpan w:val="14"/>
          </w:tcPr>
          <w:p>
            <w:pPr>
              <w:spacing w:after="0" w:line="124" w:lineRule="exact"/>
              <w:rPr>
                <w:rFonts w:ascii="Arial" w:cs="Arial" w:eastAsia="Arial" w:hAnsi="Arial"/>
                <w:sz w:val="12"/>
                <w:szCs w:val="12"/>
                <w:color w:val="0000EE"/>
              </w:rPr>
            </w:pPr>
            <w:hyperlink w:anchor="page187">
              <w:r>
                <w:rPr>
                  <w:rFonts w:ascii="Arial" w:cs="Arial" w:eastAsia="Arial" w:hAnsi="Arial"/>
                  <w:sz w:val="12"/>
                  <w:szCs w:val="12"/>
                  <w:color w:val="0000EE"/>
                </w:rPr>
                <w:t>Expenses of the Offering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176</w:t>
            </w:r>
          </w:p>
        </w:tc>
        <w:tc>
          <w:tcPr>
            <w:tcW w:w="0" w:type="dxa"/>
            <w:vAlign w:val="bottom"/>
          </w:tcPr>
          <w:p>
            <w:pPr>
              <w:spacing w:after="0"/>
              <w:rPr>
                <w:sz w:val="1"/>
                <w:szCs w:val="1"/>
                <w:color w:val="auto"/>
              </w:rPr>
            </w:pPr>
          </w:p>
        </w:tc>
      </w:tr>
      <w:tr>
        <w:trPr>
          <w:trHeight w:val="124"/>
        </w:trPr>
        <w:tc>
          <w:tcPr>
            <w:tcW w:w="78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Capitalization</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55</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88">
              <w:r>
                <w:rPr>
                  <w:rFonts w:ascii="Arial" w:cs="Arial" w:eastAsia="Arial" w:hAnsi="Arial"/>
                  <w:sz w:val="12"/>
                  <w:szCs w:val="12"/>
                  <w:color w:val="0000EE"/>
                </w:rPr>
                <w:t>Legal Matters</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177</w:t>
            </w:r>
          </w:p>
        </w:tc>
        <w:tc>
          <w:tcPr>
            <w:tcW w:w="0" w:type="dxa"/>
            <w:vAlign w:val="bottom"/>
          </w:tcPr>
          <w:p>
            <w:pPr>
              <w:spacing w:after="0"/>
              <w:rPr>
                <w:sz w:val="1"/>
                <w:szCs w:val="1"/>
                <w:color w:val="auto"/>
              </w:rPr>
            </w:pPr>
          </w:p>
        </w:tc>
      </w:tr>
      <w:tr>
        <w:trPr>
          <w:trHeight w:val="124"/>
        </w:trPr>
        <w:tc>
          <w:tcPr>
            <w:tcW w:w="400" w:type="dxa"/>
            <w:vAlign w:val="bottom"/>
            <w:tcBorders>
              <w:top w:val="single" w:sz="8" w:color="0000EE"/>
            </w:tcBorders>
            <w:gridSpan w:val="2"/>
          </w:tcPr>
          <w:p>
            <w:pPr>
              <w:spacing w:after="0" w:line="124" w:lineRule="exact"/>
              <w:rPr>
                <w:rFonts w:ascii="Arial" w:cs="Arial" w:eastAsia="Arial" w:hAnsi="Arial"/>
                <w:sz w:val="12"/>
                <w:szCs w:val="12"/>
                <w:color w:val="0000EE"/>
                <w:w w:val="94"/>
              </w:rPr>
            </w:pPr>
            <w:hyperlink w:anchor="page67">
              <w:r>
                <w:rPr>
                  <w:rFonts w:ascii="Arial" w:cs="Arial" w:eastAsia="Arial" w:hAnsi="Arial"/>
                  <w:sz w:val="12"/>
                  <w:szCs w:val="12"/>
                  <w:color w:val="0000EE"/>
                  <w:w w:val="94"/>
                </w:rPr>
                <w:t>Dilution</w:t>
              </w:r>
            </w:hyperlink>
          </w:p>
        </w:tc>
        <w:tc>
          <w:tcPr>
            <w:tcW w:w="260" w:type="dxa"/>
            <w:vAlign w:val="bottom"/>
            <w:tcBorders>
              <w:top w:val="single" w:sz="8" w:color="0000EE"/>
            </w:tcBorders>
            <w:gridSpan w:val="2"/>
          </w:tcPr>
          <w:p>
            <w:pPr>
              <w:spacing w:after="0"/>
              <w:rPr>
                <w:sz w:val="10"/>
                <w:szCs w:val="10"/>
                <w:color w:val="auto"/>
              </w:rPr>
            </w:pPr>
          </w:p>
        </w:tc>
        <w:tc>
          <w:tcPr>
            <w:tcW w:w="2620" w:type="dxa"/>
            <w:vAlign w:val="bottom"/>
            <w:gridSpan w:val="9"/>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56</w:t>
            </w:r>
          </w:p>
        </w:tc>
        <w:tc>
          <w:tcPr>
            <w:tcW w:w="68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189">
              <w:r>
                <w:rPr>
                  <w:rFonts w:ascii="Arial" w:cs="Arial" w:eastAsia="Arial" w:hAnsi="Arial"/>
                  <w:sz w:val="12"/>
                  <w:szCs w:val="12"/>
                  <w:color w:val="0000EE"/>
                </w:rPr>
                <w:t>Experts</w:t>
              </w:r>
            </w:hyperlink>
          </w:p>
        </w:tc>
        <w:tc>
          <w:tcPr>
            <w:tcW w:w="2660" w:type="dxa"/>
            <w:vAlign w:val="bottom"/>
            <w:gridSpan w:val="11"/>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178</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9">
              <w:r>
                <w:rPr>
                  <w:rFonts w:ascii="Arial" w:cs="Arial" w:eastAsia="Arial" w:hAnsi="Arial"/>
                  <w:sz w:val="12"/>
                  <w:szCs w:val="12"/>
                  <w:color w:val="0000EE"/>
                  <w:w w:val="98"/>
                </w:rPr>
                <w:t>Management’s Discussion and Analysis of Financial Condition</w:t>
              </w:r>
            </w:hyperlink>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gridSpan w:val="14"/>
          </w:tcPr>
          <w:p>
            <w:pPr>
              <w:spacing w:after="0" w:line="124" w:lineRule="exact"/>
              <w:rPr>
                <w:rFonts w:ascii="Arial" w:cs="Arial" w:eastAsia="Arial" w:hAnsi="Arial"/>
                <w:sz w:val="12"/>
                <w:szCs w:val="12"/>
                <w:color w:val="0000EE"/>
              </w:rPr>
            </w:pPr>
            <w:hyperlink w:anchor="page190">
              <w:r>
                <w:rPr>
                  <w:rFonts w:ascii="Arial" w:cs="Arial" w:eastAsia="Arial" w:hAnsi="Arial"/>
                  <w:sz w:val="12"/>
                  <w:szCs w:val="12"/>
                  <w:color w:val="0000EE"/>
                </w:rPr>
                <w:t>Enforcement of Civil Liabilities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87"/>
              </w:rPr>
            </w:pPr>
            <w:hyperlink w:anchor="page69">
              <w:r>
                <w:rPr>
                  <w:rFonts w:ascii="Arial" w:cs="Arial" w:eastAsia="Arial" w:hAnsi="Arial"/>
                  <w:sz w:val="12"/>
                  <w:szCs w:val="12"/>
                  <w:color w:val="0000EE"/>
                  <w:w w:val="87"/>
                </w:rPr>
                <w:t>and Results of Operations</w:t>
              </w:r>
            </w:hyperlink>
          </w:p>
        </w:tc>
        <w:tc>
          <w:tcPr>
            <w:tcW w:w="166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58</w:t>
            </w:r>
          </w:p>
        </w:tc>
        <w:tc>
          <w:tcPr>
            <w:tcW w:w="192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w:anchor="page191">
              <w:r>
                <w:rPr>
                  <w:rFonts w:ascii="Arial" w:cs="Arial" w:eastAsia="Arial" w:hAnsi="Arial"/>
                  <w:sz w:val="12"/>
                  <w:szCs w:val="12"/>
                  <w:color w:val="0000EE"/>
                  <w:w w:val="92"/>
                </w:rPr>
                <w:t>Where You Can Find More Information</w:t>
              </w:r>
            </w:hyperlink>
          </w:p>
        </w:tc>
        <w:tc>
          <w:tcPr>
            <w:tcW w:w="1420" w:type="dxa"/>
            <w:vAlign w:val="bottom"/>
            <w:gridSpan w:val="5"/>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180</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bottom w:val="single" w:sz="8" w:color="0000EE"/>
            </w:tcBorders>
            <w:gridSpan w:val="7"/>
          </w:tcPr>
          <w:p>
            <w:pPr>
              <w:spacing w:after="0" w:line="124" w:lineRule="exact"/>
              <w:rPr>
                <w:rFonts w:ascii="Arial" w:cs="Arial" w:eastAsia="Arial" w:hAnsi="Arial"/>
                <w:sz w:val="12"/>
                <w:szCs w:val="12"/>
                <w:color w:val="0000EE"/>
                <w:w w:val="89"/>
              </w:rPr>
            </w:pPr>
            <w:hyperlink w:anchor="page192">
              <w:r>
                <w:rPr>
                  <w:rFonts w:ascii="Arial" w:cs="Arial" w:eastAsia="Arial" w:hAnsi="Arial"/>
                  <w:sz w:val="12"/>
                  <w:szCs w:val="12"/>
                  <w:color w:val="0000EE"/>
                  <w:w w:val="89"/>
                </w:rPr>
                <w:t>Index to Financial Statements</w:t>
              </w:r>
            </w:hyperlink>
          </w:p>
        </w:tc>
        <w:tc>
          <w:tcPr>
            <w:tcW w:w="1900" w:type="dxa"/>
            <w:vAlign w:val="bottom"/>
            <w:gridSpan w:val="7"/>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99"/>
              </w:rPr>
              <w:t>F-1</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ADSs and the distribution of this prospectus outside the United States.</w:t>
      </w:r>
    </w:p>
    <w:p>
      <w:pPr>
        <w:spacing w:after="0" w:line="111"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nor provide any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ADSs.</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Unless otherwise indicated or the context otherwise requires, all references in this prospectus to “Mynaric,” the “Company,” “we,” “our,” “ours,” “ourselves,” “us” or similar terms refer to Mynaric AG together with its subsidiaries.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Under the rules of the U.S. Securities and Exchange Commission (“SEC”), Mynaric AG is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1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PRESENTATION OF FINANCIAL AND OTHER INFORMATION</w:t>
      </w:r>
    </w:p>
    <w:p>
      <w:pPr>
        <w:spacing w:after="0" w:line="154" w:lineRule="exact"/>
        <w:rPr>
          <w:sz w:val="20"/>
          <w:szCs w:val="20"/>
          <w:color w:val="auto"/>
        </w:rPr>
      </w:pPr>
    </w:p>
    <w:p>
      <w:pPr>
        <w:ind w:left="1980" w:right="839" w:firstLine="294"/>
        <w:spacing w:after="0" w:line="275" w:lineRule="auto"/>
        <w:rPr>
          <w:sz w:val="20"/>
          <w:szCs w:val="20"/>
          <w:color w:val="auto"/>
        </w:rPr>
      </w:pPr>
      <w:r>
        <w:rPr>
          <w:rFonts w:ascii="Arial" w:cs="Arial" w:eastAsia="Arial" w:hAnsi="Arial"/>
          <w:sz w:val="11"/>
          <w:szCs w:val="11"/>
          <w:color w:val="auto"/>
        </w:rPr>
        <w:t>Unless otherwise indicated, the individual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prospectus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Financial information is presented in this document in Euros. For the convenience of the reader, we have translated some financial information into U.S. dollars. Unless otherwise indicated, these translations were made</w:t>
      </w:r>
    </w:p>
    <w:p>
      <w:pPr>
        <w:spacing w:after="0" w:line="1" w:lineRule="exact"/>
        <w:rPr>
          <w:sz w:val="20"/>
          <w:szCs w:val="20"/>
          <w:color w:val="auto"/>
        </w:rPr>
      </w:pPr>
    </w:p>
    <w:p>
      <w:pPr>
        <w:ind w:left="1980"/>
        <w:spacing w:after="0"/>
        <w:tabs>
          <w:tab w:leader="none" w:pos="6700" w:val="left"/>
          <w:tab w:leader="none" w:pos="8560" w:val="left"/>
        </w:tabs>
        <w:rPr>
          <w:sz w:val="20"/>
          <w:szCs w:val="20"/>
          <w:color w:val="auto"/>
        </w:rPr>
      </w:pPr>
      <w:r>
        <w:rPr>
          <w:rFonts w:ascii="Arial" w:cs="Arial" w:eastAsia="Arial" w:hAnsi="Arial"/>
          <w:sz w:val="12"/>
          <w:szCs w:val="12"/>
          <w:color w:val="auto"/>
        </w:rPr>
        <w:t>based on the Euro/U.S. dollar exchange rate published by the European Central Bank on</w:t>
      </w:r>
      <w:r>
        <w:rPr>
          <w:sz w:val="20"/>
          <w:szCs w:val="20"/>
          <w:color w:val="auto"/>
        </w:rPr>
        <w:tab/>
      </w:r>
      <w:r>
        <w:rPr>
          <w:rFonts w:ascii="Arial" w:cs="Arial" w:eastAsia="Arial" w:hAnsi="Arial"/>
          <w:sz w:val="12"/>
          <w:szCs w:val="12"/>
          <w:color w:val="auto"/>
        </w:rPr>
        <w:t>, 2021, which was €1.00 to $</w:t>
      </w:r>
      <w:r>
        <w:rPr>
          <w:sz w:val="20"/>
          <w:szCs w:val="20"/>
          <w:color w:val="auto"/>
        </w:rPr>
        <w:tab/>
      </w:r>
      <w:r>
        <w:rPr>
          <w:rFonts w:ascii="Arial" w:cs="Arial" w:eastAsia="Arial" w:hAnsi="Arial"/>
          <w:sz w:val="12"/>
          <w:szCs w:val="12"/>
          <w:color w:val="auto"/>
        </w:rPr>
        <w:t>.</w:t>
      </w:r>
    </w:p>
    <w:p>
      <w:pPr>
        <w:spacing w:after="0" w:line="141"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Financial information in thousands or millions, and percentage figures in this prospectus, have been rounded. Rounded total and sub-total figures in tables in this prospectus may differ marginally from unrounded figures indicated elsewhere in this prospectus or in the financial statements. Moreover, rounded individual figures and percentages may not produce the exact arithmetic totals and sub-totals indicated elsewhere in this prospectus.</w:t>
      </w:r>
    </w:p>
    <w:p>
      <w:pPr>
        <w:spacing w:after="0" w:line="83"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MARKET AND INDUSTRY DATA</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28"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TRADEMARKS, SERVICE MARKS AND TRADE NAMES</w:t>
      </w:r>
    </w:p>
    <w:p>
      <w:pPr>
        <w:spacing w:after="0" w:line="154" w:lineRule="exact"/>
        <w:rPr>
          <w:sz w:val="20"/>
          <w:szCs w:val="20"/>
          <w:color w:val="auto"/>
        </w:rPr>
      </w:pPr>
    </w:p>
    <w:p>
      <w:pPr>
        <w:jc w:val="both"/>
        <w:ind w:left="1980" w:right="899" w:firstLine="294"/>
        <w:spacing w:after="0" w:line="289" w:lineRule="auto"/>
        <w:rPr>
          <w:sz w:val="20"/>
          <w:szCs w:val="20"/>
          <w:color w:val="auto"/>
        </w:rPr>
      </w:pPr>
      <w:r>
        <w:rPr>
          <w:rFonts w:ascii="Arial" w:cs="Arial" w:eastAsia="Arial" w:hAnsi="Arial"/>
          <w:sz w:val="11"/>
          <w:szCs w:val="11"/>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Arial" w:cs="Arial" w:eastAsia="Arial" w:hAnsi="Arial"/>
          <w:sz w:val="9"/>
          <w:szCs w:val="9"/>
          <w:color w:val="auto"/>
        </w:rPr>
        <w:t>®</w:t>
      </w:r>
      <w:r>
        <w:rPr>
          <w:rFonts w:ascii="Arial" w:cs="Arial" w:eastAsia="Arial" w:hAnsi="Arial"/>
          <w:sz w:val="11"/>
          <w:szCs w:val="11"/>
          <w:color w:val="auto"/>
        </w:rPr>
        <w:t xml:space="preserve"> and </w:t>
      </w:r>
      <w:r>
        <w:rPr>
          <w:rFonts w:ascii="Arial" w:cs="Arial" w:eastAsia="Arial" w:hAnsi="Arial"/>
          <w:sz w:val="9"/>
          <w:szCs w:val="9"/>
          <w:color w:val="auto"/>
        </w:rPr>
        <w:t>™</w:t>
      </w:r>
      <w:r>
        <w:rPr>
          <w:rFonts w:ascii="Arial" w:cs="Arial" w:eastAsia="Arial" w:hAnsi="Arial"/>
          <w:sz w:val="11"/>
          <w:szCs w:val="11"/>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1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FREQUENTLY USED TERMS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this prospectus: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CJADC2</w:t>
      </w:r>
      <w:r>
        <w:rPr>
          <w:rFonts w:ascii="Arial" w:cs="Arial" w:eastAsia="Arial" w:hAnsi="Arial"/>
          <w:sz w:val="12"/>
          <w:szCs w:val="12"/>
          <w:color w:val="auto"/>
        </w:rPr>
        <w:t>” refers to Combined Joint All Domain Command and Control architecture.</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Coarse pointing assembly</w:t>
      </w:r>
      <w:r>
        <w:rPr>
          <w:rFonts w:ascii="Arial" w:cs="Arial" w:eastAsia="Arial" w:hAnsi="Arial"/>
          <w:sz w:val="12"/>
          <w:szCs w:val="12"/>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DARPA</w:t>
      </w:r>
      <w:r>
        <w:rPr>
          <w:rFonts w:ascii="Arial" w:cs="Arial" w:eastAsia="Arial" w:hAnsi="Arial"/>
          <w:sz w:val="12"/>
          <w:szCs w:val="12"/>
          <w:color w:val="auto"/>
        </w:rPr>
        <w:t>” refers to the U.S. Defense Advanced Research Projects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DLR</w:t>
      </w:r>
      <w:r>
        <w:rPr>
          <w:rFonts w:ascii="Arial" w:cs="Arial" w:eastAsia="Arial" w:hAnsi="Arial"/>
          <w:sz w:val="12"/>
          <w:szCs w:val="12"/>
          <w:color w:val="auto"/>
        </w:rPr>
        <w:t>” refers to the German Aerospace Center (</w:t>
      </w:r>
      <w:r>
        <w:rPr>
          <w:rFonts w:ascii="Arial" w:cs="Arial" w:eastAsia="Arial" w:hAnsi="Arial"/>
          <w:sz w:val="12"/>
          <w:szCs w:val="12"/>
          <w:i w:val="1"/>
          <w:iCs w:val="1"/>
          <w:color w:val="auto"/>
        </w:rPr>
        <w:t>Deutsches Zentrum für Luft- und Raumfahrt e.V.</w:t>
      </w:r>
      <w:r>
        <w:rPr>
          <w:rFonts w:ascii="Arial" w:cs="Arial" w:eastAsia="Arial" w:hAnsi="Arial"/>
          <w:sz w:val="12"/>
          <w:szCs w:val="12"/>
          <w:color w:val="auto"/>
        </w:rPr>
        <w:t>).</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Free space optic communication</w:t>
      </w:r>
      <w:r>
        <w:rPr>
          <w:rFonts w:ascii="Arial" w:cs="Arial" w:eastAsia="Arial" w:hAnsi="Arial"/>
          <w:sz w:val="12"/>
          <w:szCs w:val="12"/>
          <w:color w:val="auto"/>
        </w:rPr>
        <w:t>” is the wireless transmission of data via a modulated optical beam directed through free space, without fiber optics or other optical systems guiding the light.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Inter-plane</w:t>
      </w:r>
      <w:r>
        <w:rPr>
          <w:rFonts w:ascii="Arial" w:cs="Arial" w:eastAsia="Arial" w:hAnsi="Arial"/>
          <w:sz w:val="11"/>
          <w:szCs w:val="11"/>
          <w:color w:val="auto"/>
        </w:rPr>
        <w:t>” refers to the communication between satellites in different orbital planes occurring through inter-plane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Intra-plane</w:t>
      </w:r>
      <w:r>
        <w:rPr>
          <w:rFonts w:ascii="Arial" w:cs="Arial" w:eastAsia="Arial" w:hAnsi="Arial"/>
          <w:sz w:val="11"/>
          <w:szCs w:val="11"/>
          <w:color w:val="auto"/>
        </w:rPr>
        <w:t>” refers to the communication between satellites in the same orbital plane occurring through intra-plane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LEO</w:t>
      </w:r>
      <w:r>
        <w:rPr>
          <w:rFonts w:ascii="Arial" w:cs="Arial" w:eastAsia="Arial" w:hAnsi="Arial"/>
          <w:sz w:val="11"/>
          <w:szCs w:val="11"/>
          <w:color w:val="auto"/>
        </w:rPr>
        <w:t>” refers to low Earth orbit, which is an orbit around Earth with an altitude above Earth’s surface from 160 kilometers to 2,000 kilometers.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MEO</w:t>
      </w:r>
      <w:r>
        <w:rPr>
          <w:rFonts w:ascii="Arial" w:cs="Arial" w:eastAsia="Arial" w:hAnsi="Arial"/>
          <w:sz w:val="12"/>
          <w:szCs w:val="12"/>
          <w:color w:val="auto"/>
        </w:rPr>
        <w:t>” refers to medium Earth orbit, which is an orbit around Earth with a distance of 2,000 kilometers to 35,786 kilometers.</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Mesh Network</w:t>
      </w:r>
      <w:r>
        <w:rPr>
          <w:rFonts w:ascii="Arial" w:cs="Arial" w:eastAsia="Arial" w:hAnsi="Arial"/>
          <w:sz w:val="11"/>
          <w:szCs w:val="11"/>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NDSA</w:t>
      </w:r>
      <w:r>
        <w:rPr>
          <w:rFonts w:ascii="Arial" w:cs="Arial" w:eastAsia="Arial" w:hAnsi="Arial"/>
          <w:sz w:val="12"/>
          <w:szCs w:val="12"/>
          <w:color w:val="auto"/>
        </w:rPr>
        <w:t>” refers to the SDA’s National Defense Space Architecture.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OISLs</w:t>
      </w:r>
      <w:r>
        <w:rPr>
          <w:rFonts w:ascii="Arial" w:cs="Arial" w:eastAsia="Arial" w:hAnsi="Arial"/>
          <w:sz w:val="12"/>
          <w:szCs w:val="12"/>
          <w:color w:val="auto"/>
        </w:rPr>
        <w:t>” refers to optical-intersatellite links, which are wireless communication links using optical signals to interconnect satellites.</w:t>
      </w:r>
    </w:p>
    <w:p>
      <w:pPr>
        <w:spacing w:after="0" w:line="150"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Quantum key distribution</w:t>
      </w:r>
      <w:r>
        <w:rPr>
          <w:rFonts w:ascii="Arial" w:cs="Arial" w:eastAsia="Arial" w:hAnsi="Arial"/>
          <w:sz w:val="12"/>
          <w:szCs w:val="12"/>
          <w:color w:val="auto"/>
        </w:rPr>
        <w:t>” refers to a technique that enables secure communications between devices using a cryptographic protocol that is partly based on quantum mechanics.</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RF</w:t>
      </w:r>
      <w:r>
        <w:rPr>
          <w:rFonts w:ascii="Arial" w:cs="Arial" w:eastAsia="Arial" w:hAnsi="Arial"/>
          <w:sz w:val="12"/>
          <w:szCs w:val="12"/>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SDA</w:t>
      </w:r>
      <w:r>
        <w:rPr>
          <w:rFonts w:ascii="Arial" w:cs="Arial" w:eastAsia="Arial" w:hAnsi="Arial"/>
          <w:sz w:val="12"/>
          <w:szCs w:val="12"/>
          <w:color w:val="auto"/>
        </w:rPr>
        <w:t>” refers to the U.S. Space Development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UAVs</w:t>
      </w:r>
      <w:r>
        <w:rPr>
          <w:rFonts w:ascii="Arial" w:cs="Arial" w:eastAsia="Arial" w:hAnsi="Arial"/>
          <w:sz w:val="12"/>
          <w:szCs w:val="12"/>
          <w:color w:val="auto"/>
        </w:rPr>
        <w:t>” refers to unmanned aerial vehicles.</w:t>
      </w:r>
    </w:p>
    <w:p>
      <w:pPr>
        <w:spacing w:after="0" w:line="10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1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70425" cy="4081780"/>
                    </a:xfrm>
                    <a:prstGeom prst="rect">
                      <a:avLst/>
                    </a:prstGeom>
                    <a:noFill/>
                  </pic:spPr>
                </pic:pic>
              </a:graphicData>
            </a:graphic>
          </wp:anchor>
        </w:drawing>
      </w: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ind w:left="2100" w:right="1079" w:firstLine="284"/>
        <w:spacing w:after="0" w:line="289" w:lineRule="auto"/>
        <w:rPr>
          <w:sz w:val="20"/>
          <w:szCs w:val="20"/>
          <w:color w:val="auto"/>
        </w:rPr>
      </w:pPr>
      <w:r>
        <w:rPr>
          <w:rFonts w:ascii="Arial" w:cs="Arial" w:eastAsia="Arial" w:hAnsi="Arial"/>
          <w:sz w:val="11"/>
          <w:szCs w:val="11"/>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audited consolidated financial statements, including the notes thereto, included elsewhere in this prospectus, before deciding to invest in the ADSs.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Mynaric</w:t>
      </w:r>
    </w:p>
    <w:p>
      <w:pPr>
        <w:spacing w:after="0" w:line="15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2100" w:right="1019" w:firstLine="28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German Aerospace Center,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9" w:lineRule="exact"/>
        <w:rPr>
          <w:sz w:val="20"/>
          <w:szCs w:val="20"/>
          <w:color w:val="auto"/>
        </w:rPr>
      </w:pPr>
    </w:p>
    <w:p>
      <w:pPr>
        <w:ind w:left="2100" w:right="1059" w:firstLine="28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the Defense Advanced Research Projects Agency (“DARPA”) and the Space Development Agency (“SDA”), respectively. We also received an order from a major U.S. aerospace and defense company for our HAWK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4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70425" cy="3944620"/>
                    </a:xfrm>
                    <a:prstGeom prst="rect">
                      <a:avLst/>
                    </a:prstGeom>
                    <a:noFill/>
                  </pic:spPr>
                </pic:pic>
              </a:graphicData>
            </a:graphic>
          </wp:anchor>
        </w:drawing>
      </w:r>
    </w:p>
    <w:p>
      <w:pPr>
        <w:spacing w:after="0" w:line="312"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9" w:lineRule="exact"/>
        <w:rPr>
          <w:sz w:val="20"/>
          <w:szCs w:val="20"/>
          <w:color w:val="auto"/>
        </w:rPr>
      </w:pPr>
    </w:p>
    <w:p>
      <w:pPr>
        <w:ind w:left="2100" w:right="959" w:firstLine="28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full-time equivalent employees (“FTE”) as of March 31, 2021.</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Market Opportunity</w:t>
      </w:r>
    </w:p>
    <w:p>
      <w:pPr>
        <w:spacing w:after="0" w:line="150" w:lineRule="exact"/>
        <w:rPr>
          <w:sz w:val="20"/>
          <w:szCs w:val="20"/>
          <w:color w:val="auto"/>
        </w:rPr>
      </w:pPr>
    </w:p>
    <w:p>
      <w:pPr>
        <w:ind w:left="2100" w:right="999" w:firstLine="284"/>
        <w:spacing w:after="0" w:line="280" w:lineRule="auto"/>
        <w:rPr>
          <w:sz w:val="20"/>
          <w:szCs w:val="20"/>
          <w:color w:val="auto"/>
        </w:rPr>
      </w:pPr>
      <w:r>
        <w:rPr>
          <w:rFonts w:ascii="Arial" w:cs="Arial" w:eastAsia="Arial" w:hAnsi="Arial"/>
          <w:sz w:val="11"/>
          <w:szCs w:val="11"/>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15" w:lineRule="exact"/>
        <w:rPr>
          <w:sz w:val="20"/>
          <w:szCs w:val="20"/>
          <w:color w:val="auto"/>
        </w:rPr>
      </w:pPr>
    </w:p>
    <w:p>
      <w:pPr>
        <w:ind w:left="2100" w:right="1159" w:firstLine="284"/>
        <w:spacing w:after="0" w:line="255" w:lineRule="auto"/>
        <w:rPr>
          <w:sz w:val="20"/>
          <w:szCs w:val="20"/>
          <w:color w:val="auto"/>
        </w:rPr>
      </w:pPr>
      <w:r>
        <w:rPr>
          <w:rFonts w:ascii="Arial" w:cs="Arial" w:eastAsia="Arial" w:hAnsi="Arial"/>
          <w:sz w:val="12"/>
          <w:szCs w:val="12"/>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28" w:lineRule="exact"/>
        <w:rPr>
          <w:sz w:val="20"/>
          <w:szCs w:val="20"/>
          <w:color w:val="auto"/>
        </w:rPr>
      </w:pPr>
    </w:p>
    <w:p>
      <w:pPr>
        <w:ind w:left="2100" w:right="1159" w:firstLine="284"/>
        <w:spacing w:after="0" w:line="340" w:lineRule="auto"/>
        <w:rPr>
          <w:sz w:val="20"/>
          <w:szCs w:val="20"/>
          <w:color w:val="auto"/>
        </w:rPr>
      </w:pPr>
      <w:r>
        <w:rPr>
          <w:rFonts w:ascii="Arial" w:cs="Arial" w:eastAsia="Arial" w:hAnsi="Arial"/>
          <w:sz w:val="10"/>
          <w:szCs w:val="10"/>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5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70425" cy="3956050"/>
                    </a:xfrm>
                    <a:prstGeom prst="rect">
                      <a:avLst/>
                    </a:prstGeom>
                    <a:noFill/>
                  </pic:spPr>
                </pic:pic>
              </a:graphicData>
            </a:graphic>
          </wp:anchor>
        </w:drawing>
      </w:r>
    </w:p>
    <w:p>
      <w:pPr>
        <w:spacing w:after="0" w:line="312" w:lineRule="exact"/>
        <w:rPr>
          <w:sz w:val="20"/>
          <w:szCs w:val="20"/>
          <w:color w:val="auto"/>
        </w:rPr>
      </w:pPr>
    </w:p>
    <w:p>
      <w:pPr>
        <w:ind w:left="2100" w:right="999"/>
        <w:spacing w:after="0" w:line="281" w:lineRule="auto"/>
        <w:rPr>
          <w:sz w:val="20"/>
          <w:szCs w:val="20"/>
          <w:color w:val="auto"/>
        </w:rPr>
      </w:pPr>
      <w:r>
        <w:rPr>
          <w:rFonts w:ascii="Arial" w:cs="Arial" w:eastAsia="Arial" w:hAnsi="Arial"/>
          <w:sz w:val="11"/>
          <w:szCs w:val="11"/>
          <w:color w:val="auto"/>
        </w:rPr>
        <w:t>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5"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aerospace communication networks in low Earth orbit (“LEO”).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2100" w:right="959" w:firstLine="28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Value Proposition</w:t>
      </w:r>
    </w:p>
    <w:p>
      <w:pPr>
        <w:spacing w:after="0" w:line="150"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87" w:lineRule="exact"/>
        <w:rPr>
          <w:sz w:val="20"/>
          <w:szCs w:val="20"/>
          <w:color w:val="auto"/>
        </w:rPr>
      </w:pPr>
    </w:p>
    <w:p>
      <w:pPr>
        <w:ind w:left="2720" w:right="979" w:hanging="275"/>
        <w:spacing w:after="0" w:line="256" w:lineRule="auto"/>
        <w:tabs>
          <w:tab w:leader="none" w:pos="2720"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wavelength 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65" w:lineRule="exact"/>
        <w:rPr>
          <w:rFonts w:ascii="Arial" w:cs="Arial" w:eastAsia="Arial" w:hAnsi="Arial"/>
          <w:sz w:val="12"/>
          <w:szCs w:val="12"/>
          <w:color w:val="auto"/>
        </w:rPr>
      </w:pPr>
    </w:p>
    <w:p>
      <w:pPr>
        <w:ind w:left="2720" w:right="1279" w:hanging="275"/>
        <w:spacing w:after="0" w:line="340" w:lineRule="auto"/>
        <w:tabs>
          <w:tab w:leader="none" w:pos="2720" w:val="left"/>
        </w:tabs>
        <w:numPr>
          <w:ilvl w:val="0"/>
          <w:numId w:val="4"/>
        </w:numPr>
        <w:rPr>
          <w:rFonts w:ascii="Arial" w:cs="Arial" w:eastAsia="Arial" w:hAnsi="Arial"/>
          <w:sz w:val="10"/>
          <w:szCs w:val="10"/>
          <w:color w:val="auto"/>
        </w:rPr>
      </w:pPr>
      <w:r>
        <w:rPr>
          <w:rFonts w:ascii="Arial" w:cs="Arial" w:eastAsia="Arial" w:hAnsi="Arial"/>
          <w:sz w:val="10"/>
          <w:szCs w:val="10"/>
          <w:b w:val="1"/>
          <w:bCs w:val="1"/>
          <w:i w:val="1"/>
          <w:iCs w:val="1"/>
          <w:color w:val="auto"/>
        </w:rPr>
        <w:t>Standardization enabling multiple use cases</w:t>
      </w:r>
      <w:r>
        <w:rPr>
          <w:rFonts w:ascii="Arial" w:cs="Arial" w:eastAsia="Arial" w:hAnsi="Arial"/>
          <w:sz w:val="10"/>
          <w:szCs w:val="10"/>
          <w:color w:val="auto"/>
        </w:rPr>
        <w:t>: Unlike traditional aerospace companies, which historically focused on developing</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bespoke solutions for individual customers, we seek to offer standardized and modularized products suitable for a wide array of customers and applications. Our technology is designed to serve multiple use cases and potential markets, extending beyond</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64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2" w:lineRule="exact"/>
        <w:rPr>
          <w:sz w:val="20"/>
          <w:szCs w:val="20"/>
          <w:color w:val="auto"/>
        </w:rPr>
      </w:pPr>
    </w:p>
    <w:p>
      <w:pPr>
        <w:ind w:left="2720" w:right="979"/>
        <w:spacing w:after="0" w:line="285" w:lineRule="auto"/>
        <w:rPr>
          <w:sz w:val="20"/>
          <w:szCs w:val="20"/>
          <w:color w:val="auto"/>
        </w:rPr>
      </w:pPr>
      <w:r>
        <w:rPr>
          <w:rFonts w:ascii="Arial" w:cs="Arial" w:eastAsia="Arial" w:hAnsi="Arial"/>
          <w:sz w:val="11"/>
          <w:szCs w:val="11"/>
          <w:color w:val="auto"/>
        </w:rPr>
        <w:t>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optical-intersatellite links (“OISL”) industry standard.</w:t>
      </w:r>
    </w:p>
    <w:p>
      <w:pPr>
        <w:spacing w:after="0" w:line="50" w:lineRule="exact"/>
        <w:rPr>
          <w:sz w:val="20"/>
          <w:szCs w:val="20"/>
          <w:color w:val="auto"/>
        </w:rPr>
      </w:pPr>
    </w:p>
    <w:p>
      <w:pPr>
        <w:ind w:left="2720" w:right="979" w:hanging="275"/>
        <w:spacing w:after="0" w:line="283"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laser 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more than 60%. We expect to be able to further reduce both material costs and assembly costs in connection with the commencement of serial production.</w:t>
      </w:r>
    </w:p>
    <w:p>
      <w:pPr>
        <w:spacing w:after="0" w:line="50" w:lineRule="exact"/>
        <w:rPr>
          <w:rFonts w:ascii="Arial" w:cs="Arial" w:eastAsia="Arial" w:hAnsi="Arial"/>
          <w:sz w:val="11"/>
          <w:szCs w:val="11"/>
          <w:color w:val="auto"/>
        </w:rPr>
      </w:pPr>
    </w:p>
    <w:p>
      <w:pPr>
        <w:ind w:left="2720" w:right="1019" w:hanging="275"/>
        <w:spacing w:after="0" w:line="285"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High volume terminal production capabilities</w:t>
      </w:r>
      <w:r>
        <w:rPr>
          <w:rFonts w:ascii="Arial" w:cs="Arial" w:eastAsia="Arial" w:hAnsi="Arial"/>
          <w:sz w:val="11"/>
          <w:szCs w:val="11"/>
          <w:color w:val="auto"/>
        </w:rPr>
        <w:t>: We believe that the ability to manufacture laser terminals at scale will be a key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differentiator 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Key Investment Highlights</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Significant growth potential for laser communication in government and commercial markets</w:t>
      </w:r>
    </w:p>
    <w:p>
      <w:pPr>
        <w:spacing w:after="0" w:line="150"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6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2" w:lineRule="exact"/>
        <w:rPr>
          <w:sz w:val="20"/>
          <w:szCs w:val="20"/>
          <w:color w:val="auto"/>
        </w:rPr>
      </w:pPr>
    </w:p>
    <w:p>
      <w:pPr>
        <w:ind w:left="2100" w:right="1019"/>
        <w:spacing w:after="0" w:line="283" w:lineRule="auto"/>
        <w:rPr>
          <w:sz w:val="20"/>
          <w:szCs w:val="20"/>
          <w:color w:val="auto"/>
        </w:rPr>
      </w:pPr>
      <w:r>
        <w:rPr>
          <w:rFonts w:ascii="Arial" w:cs="Arial" w:eastAsia="Arial" w:hAnsi="Arial"/>
          <w:sz w:val="11"/>
          <w:szCs w:val="11"/>
          <w:color w:val="auto"/>
        </w:rPr>
        <w:t>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medium Earth orbit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13"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and low value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Multi-year government programs driving near-term adoption and technology validation</w:t>
      </w:r>
    </w:p>
    <w:p>
      <w:pPr>
        <w:spacing w:after="0" w:line="150" w:lineRule="exact"/>
        <w:rPr>
          <w:sz w:val="20"/>
          <w:szCs w:val="20"/>
          <w:color w:val="auto"/>
        </w:rPr>
      </w:pPr>
    </w:p>
    <w:p>
      <w:pPr>
        <w:ind w:left="2100" w:right="979" w:firstLine="284"/>
        <w:spacing w:after="0" w:line="326" w:lineRule="auto"/>
        <w:rPr>
          <w:sz w:val="20"/>
          <w:szCs w:val="20"/>
          <w:color w:val="auto"/>
        </w:rPr>
      </w:pPr>
      <w:r>
        <w:rPr>
          <w:rFonts w:ascii="Arial" w:cs="Arial" w:eastAsia="Arial" w:hAnsi="Arial"/>
          <w:sz w:val="10"/>
          <w:szCs w:val="10"/>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 Domain Command and Control architecture (“CJADC2”), the ultimate goal of which is to digitally connect all elements of the U.S. military across all five warfighting domains, consisting of air, land, sea, space and cyberspace.</w:t>
      </w:r>
    </w:p>
    <w:p>
      <w:pPr>
        <w:spacing w:after="0" w:line="95" w:lineRule="exact"/>
        <w:rPr>
          <w:sz w:val="20"/>
          <w:szCs w:val="20"/>
          <w:color w:val="auto"/>
        </w:rPr>
      </w:pPr>
    </w:p>
    <w:p>
      <w:pPr>
        <w:ind w:left="2100" w:right="1099" w:firstLine="284"/>
        <w:spacing w:after="0" w:line="259" w:lineRule="auto"/>
        <w:rPr>
          <w:sz w:val="20"/>
          <w:szCs w:val="20"/>
          <w:color w:val="auto"/>
        </w:rPr>
      </w:pPr>
      <w:r>
        <w:rPr>
          <w:rFonts w:ascii="Arial" w:cs="Arial" w:eastAsia="Arial" w:hAnsi="Arial"/>
          <w:sz w:val="12"/>
          <w:szCs w:val="12"/>
          <w:color w:val="auto"/>
        </w:rPr>
        <w:t>The most prominent government projects currently deploying laser communication are the SDA’s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57" w:lineRule="exact"/>
        <w:rPr>
          <w:sz w:val="20"/>
          <w:szCs w:val="20"/>
          <w:color w:val="auto"/>
        </w:rPr>
      </w:pPr>
    </w:p>
    <w:p>
      <w:pPr>
        <w:ind w:left="2720" w:right="999" w:hanging="275"/>
        <w:spacing w:after="0" w:line="279"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w:t>
      </w:r>
      <w:r>
        <w:rPr>
          <w:rFonts w:ascii="Arial" w:cs="Arial" w:eastAsia="Arial" w:hAnsi="Arial"/>
          <w:sz w:val="11"/>
          <w:szCs w:val="11"/>
          <w:b w:val="1"/>
          <w:bCs w:val="1"/>
          <w:color w:val="auto"/>
        </w:rPr>
        <w:t xml:space="preserve"> </w:t>
      </w:r>
      <w:r>
        <w:rPr>
          <w:rFonts w:ascii="Arial" w:cs="Arial" w:eastAsia="Arial" w:hAnsi="Arial"/>
          <w:sz w:val="11"/>
          <w:szCs w:val="11"/>
          <w:color w:val="auto"/>
        </w:rPr>
        <w:t>layers will 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47" w:lineRule="exact"/>
        <w:rPr>
          <w:rFonts w:ascii="Arial" w:cs="Arial" w:eastAsia="Arial" w:hAnsi="Arial"/>
          <w:sz w:val="11"/>
          <w:szCs w:val="11"/>
          <w:color w:val="auto"/>
        </w:rPr>
      </w:pPr>
    </w:p>
    <w:p>
      <w:pPr>
        <w:ind w:left="2720" w:right="1379" w:hanging="275"/>
        <w:spacing w:after="0" w:line="283"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DARPA’s Blackjack program</w:t>
      </w:r>
      <w:r>
        <w:rPr>
          <w:rFonts w:ascii="Arial" w:cs="Arial" w:eastAsia="Arial" w:hAnsi="Arial"/>
          <w:sz w:val="12"/>
          <w:szCs w:val="12"/>
          <w:color w:val="auto"/>
        </w:rPr>
        <w:t>: Much of the technology that the SDA needs for its constellations is being co-developed under</w:t>
      </w:r>
      <w:r>
        <w:rPr>
          <w:rFonts w:ascii="Arial" w:cs="Arial" w:eastAsia="Arial" w:hAnsi="Arial"/>
          <w:sz w:val="12"/>
          <w:szCs w:val="12"/>
          <w:b w:val="1"/>
          <w:bCs w:val="1"/>
          <w:color w:val="auto"/>
        </w:rPr>
        <w:t xml:space="preserve"> </w:t>
      </w:r>
      <w:r>
        <w:rPr>
          <w:rFonts w:ascii="Arial" w:cs="Arial" w:eastAsia="Arial" w:hAnsi="Arial"/>
          <w:sz w:val="12"/>
          <w:szCs w:val="12"/>
          <w:color w:val="auto"/>
        </w:rPr>
        <w:t>DARPA’s Blackjack program. Blackjack seeks to incorporate and capitalize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5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312" w:lineRule="exact"/>
        <w:rPr>
          <w:sz w:val="20"/>
          <w:szCs w:val="20"/>
          <w:color w:val="auto"/>
        </w:rPr>
      </w:pPr>
    </w:p>
    <w:p>
      <w:pPr>
        <w:ind w:left="2720" w:right="1139"/>
        <w:spacing w:after="0" w:line="285" w:lineRule="auto"/>
        <w:rPr>
          <w:sz w:val="20"/>
          <w:szCs w:val="20"/>
          <w:color w:val="auto"/>
        </w:rPr>
      </w:pPr>
      <w:r>
        <w:rPr>
          <w:rFonts w:ascii="Arial" w:cs="Arial" w:eastAsia="Arial" w:hAnsi="Arial"/>
          <w:sz w:val="11"/>
          <w:szCs w:val="11"/>
          <w:color w:val="auto"/>
        </w:rPr>
        <w:t>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13"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6" w:lineRule="exact"/>
        <w:rPr>
          <w:sz w:val="20"/>
          <w:szCs w:val="20"/>
          <w:color w:val="auto"/>
        </w:rPr>
      </w:pPr>
    </w:p>
    <w:p>
      <w:pPr>
        <w:ind w:left="2100" w:right="1059" w:firstLine="28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Well-positioned in the government market with significant program wins</w:t>
      </w:r>
    </w:p>
    <w:p>
      <w:pPr>
        <w:spacing w:after="0" w:line="150"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2100" w:right="1019" w:firstLine="284"/>
        <w:spacing w:after="0" w:line="254" w:lineRule="auto"/>
        <w:rPr>
          <w:sz w:val="20"/>
          <w:szCs w:val="20"/>
          <w:color w:val="auto"/>
        </w:rPr>
      </w:pPr>
      <w:r>
        <w:rPr>
          <w:rFonts w:ascii="Arial" w:cs="Arial" w:eastAsia="Arial" w:hAnsi="Arial"/>
          <w:sz w:val="12"/>
          <w:szCs w:val="12"/>
          <w:color w:val="auto"/>
        </w:rPr>
        <w:t>Most notably, in connection with the SDA’s NDSA, in September 2020, we were awarded the first part of an expected multi-million Euro contract in the mid-seven digit range for the delivery of our CONDOR terminals to a customer for its work on Tranche 0, with delivery scheduled for the second half of 2021. Tranche 0 is set to launch at the end of 2022 and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30" w:lineRule="exact"/>
        <w:rPr>
          <w:sz w:val="20"/>
          <w:szCs w:val="20"/>
          <w:color w:val="auto"/>
        </w:rPr>
      </w:pPr>
    </w:p>
    <w:p>
      <w:pPr>
        <w:jc w:val="both"/>
        <w:ind w:left="2100" w:right="1039" w:firstLine="284"/>
        <w:spacing w:after="0" w:line="289" w:lineRule="auto"/>
        <w:rPr>
          <w:sz w:val="20"/>
          <w:szCs w:val="20"/>
          <w:color w:val="auto"/>
        </w:rPr>
      </w:pPr>
      <w:r>
        <w:rPr>
          <w:rFonts w:ascii="Arial" w:cs="Arial" w:eastAsia="Arial" w:hAnsi="Arial"/>
          <w:sz w:val="11"/>
          <w:szCs w:val="11"/>
          <w:color w:val="auto"/>
        </w:rPr>
        <w:t>In October 2020, we were selected by Telesat to supply multiple units of our CONDOR terminals for Telesat’s work on DARPA’s Blackjack program. Our CONDOR terminals are scheduled to be delivered in mid-2021 to Lockheed Martin, which is acting as DARPA’s system integrator, with the satellites scheduled to launch in late 2021. As part of our engagement in the Blackjack program, we agreed to establish the industry’s first laser communication interoperability laboratory in Los Angeles that will simulate conditions in space to test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578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70425" cy="3578860"/>
                    </a:xfrm>
                    <a:prstGeom prst="rect">
                      <a:avLst/>
                    </a:prstGeom>
                    <a:noFill/>
                  </pic:spPr>
                </pic:pic>
              </a:graphicData>
            </a:graphic>
          </wp:anchor>
        </w:drawing>
      </w:r>
    </w:p>
    <w:p>
      <w:pPr>
        <w:spacing w:after="0" w:line="312" w:lineRule="exact"/>
        <w:rPr>
          <w:sz w:val="20"/>
          <w:szCs w:val="20"/>
          <w:color w:val="auto"/>
        </w:rPr>
      </w:pPr>
    </w:p>
    <w:p>
      <w:pPr>
        <w:ind w:left="2100" w:right="1059"/>
        <w:spacing w:after="0" w:line="263" w:lineRule="auto"/>
        <w:rPr>
          <w:sz w:val="20"/>
          <w:szCs w:val="20"/>
          <w:color w:val="auto"/>
        </w:rPr>
      </w:pPr>
      <w:r>
        <w:rPr>
          <w:rFonts w:ascii="Arial" w:cs="Arial" w:eastAsia="Arial" w:hAnsi="Arial"/>
          <w:sz w:val="12"/>
          <w:szCs w:val="12"/>
          <w:color w:val="auto"/>
        </w:rPr>
        <w:t>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22" w:lineRule="exact"/>
        <w:rPr>
          <w:sz w:val="20"/>
          <w:szCs w:val="20"/>
          <w:color w:val="auto"/>
        </w:rPr>
      </w:pPr>
    </w:p>
    <w:p>
      <w:pPr>
        <w:ind w:left="2100" w:right="999" w:firstLine="284"/>
        <w:spacing w:after="0" w:line="289" w:lineRule="auto"/>
        <w:rPr>
          <w:sz w:val="20"/>
          <w:szCs w:val="20"/>
          <w:color w:val="auto"/>
        </w:rPr>
      </w:pPr>
      <w:r>
        <w:rPr>
          <w:rFonts w:ascii="Arial" w:cs="Arial" w:eastAsia="Arial" w:hAnsi="Arial"/>
          <w:sz w:val="11"/>
          <w:szCs w:val="11"/>
          <w:color w:val="auto"/>
        </w:rPr>
        <w:t>In 2020, we received an order for two of our HAWK terminals from a U.S. aerospace and defense customer, introducing our HAWK product to the U.S. government market. We delivered the pre-serial product versions of 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w:t>
      </w:r>
    </w:p>
    <w:p>
      <w:pPr>
        <w:spacing w:after="0" w:line="111" w:lineRule="exact"/>
        <w:rPr>
          <w:sz w:val="20"/>
          <w:szCs w:val="20"/>
          <w:color w:val="auto"/>
        </w:rPr>
      </w:pPr>
    </w:p>
    <w:p>
      <w:pPr>
        <w:ind w:left="2100" w:right="1079" w:firstLine="28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Strong positioning in the commercial market, leveraging government track record</w:t>
      </w:r>
    </w:p>
    <w:p>
      <w:pPr>
        <w:spacing w:after="0" w:line="150" w:lineRule="exact"/>
        <w:rPr>
          <w:sz w:val="20"/>
          <w:szCs w:val="20"/>
          <w:color w:val="auto"/>
        </w:rPr>
      </w:pPr>
    </w:p>
    <w:p>
      <w:pPr>
        <w:ind w:left="2100" w:right="979" w:firstLine="28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20" w:lineRule="exact"/>
        <w:rPr>
          <w:sz w:val="20"/>
          <w:szCs w:val="20"/>
          <w:color w:val="auto"/>
        </w:rPr>
      </w:pPr>
    </w:p>
    <w:p>
      <w:pPr>
        <w:ind w:left="2100" w:right="999" w:firstLine="284"/>
        <w:spacing w:after="0" w:line="309" w:lineRule="auto"/>
        <w:rPr>
          <w:sz w:val="20"/>
          <w:szCs w:val="20"/>
          <w:color w:val="auto"/>
        </w:rPr>
      </w:pPr>
      <w:r>
        <w:rPr>
          <w:rFonts w:ascii="Arial" w:cs="Arial" w:eastAsia="Arial" w:hAnsi="Arial"/>
          <w:sz w:val="10"/>
          <w:szCs w:val="10"/>
          <w:color w:val="auto"/>
        </w:rPr>
        <w:t>As a result of our government track record and our first mover advantage, we have also been able to secure initial wins in the commercial market. In May 2021, we signed a memorandum of understanding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Corp.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0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70425" cy="4007485"/>
                    </a:xfrm>
                    <a:prstGeom prst="rect">
                      <a:avLst/>
                    </a:prstGeom>
                    <a:noFill/>
                  </pic:spPr>
                </pic:pic>
              </a:graphicData>
            </a:graphic>
          </wp:anchor>
        </w:drawing>
      </w:r>
    </w:p>
    <w:p>
      <w:pPr>
        <w:spacing w:after="0" w:line="312" w:lineRule="exact"/>
        <w:rPr>
          <w:sz w:val="20"/>
          <w:szCs w:val="20"/>
          <w:color w:val="auto"/>
        </w:rPr>
      </w:pPr>
    </w:p>
    <w:p>
      <w:pPr>
        <w:ind w:left="2100" w:right="959" w:firstLine="28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Industry leading production capabilities with flexibility to scale</w:t>
      </w:r>
    </w:p>
    <w:p>
      <w:pPr>
        <w:spacing w:after="0" w:line="150"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Learning curve benefits driving continued cost reductions over time</w:t>
      </w:r>
    </w:p>
    <w:p>
      <w:pPr>
        <w:spacing w:after="0" w:line="150" w:lineRule="exact"/>
        <w:rPr>
          <w:sz w:val="20"/>
          <w:szCs w:val="20"/>
          <w:color w:val="auto"/>
        </w:rPr>
      </w:pPr>
    </w:p>
    <w:p>
      <w:pPr>
        <w:jc w:val="both"/>
        <w:ind w:left="2100" w:right="1019" w:firstLine="284"/>
        <w:spacing w:after="0" w:line="326" w:lineRule="auto"/>
        <w:rPr>
          <w:sz w:val="20"/>
          <w:szCs w:val="20"/>
          <w:color w:val="auto"/>
        </w:rPr>
      </w:pPr>
      <w:r>
        <w:rPr>
          <w:rFonts w:ascii="Arial" w:cs="Arial" w:eastAsia="Arial" w:hAnsi="Arial"/>
          <w:sz w:val="10"/>
          <w:szCs w:val="10"/>
          <w:color w:val="auto"/>
        </w:rPr>
        <w:t>By realizing learning curve benefits as we have scaled from singular prototype production to pre-serial production, we have already reduced our material costs per unit by more than 60%.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9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Highly skilled management team with strong industry expertise and deep relationships</w:t>
      </w:r>
    </w:p>
    <w:p>
      <w:pPr>
        <w:spacing w:after="0" w:line="150" w:lineRule="exact"/>
        <w:rPr>
          <w:sz w:val="20"/>
          <w:szCs w:val="20"/>
          <w:color w:val="auto"/>
        </w:rPr>
      </w:pPr>
    </w:p>
    <w:p>
      <w:pPr>
        <w:ind w:left="2100" w:right="979" w:firstLine="284"/>
        <w:spacing w:after="0" w:line="283" w:lineRule="auto"/>
        <w:rPr>
          <w:sz w:val="20"/>
          <w:szCs w:val="20"/>
          <w:color w:val="auto"/>
        </w:rPr>
      </w:pPr>
      <w:r>
        <w:rPr>
          <w:rFonts w:ascii="Arial" w:cs="Arial" w:eastAsia="Arial" w:hAnsi="Arial"/>
          <w:sz w:val="11"/>
          <w:szCs w:val="11"/>
          <w:color w:val="auto"/>
        </w:rPr>
        <w:t>We are led by a dedicated and highly skilled senior management team with significant industry experience, including at SpaceX, Boeing, SES, Iridium, Siemens, Panasonic and, in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Summary of Risks Associated with Our Industry, Business, Operations and Financial Position</w:t>
      </w:r>
    </w:p>
    <w:p>
      <w:pPr>
        <w:spacing w:after="0" w:line="150" w:lineRule="exact"/>
        <w:rPr>
          <w:sz w:val="20"/>
          <w:szCs w:val="20"/>
          <w:color w:val="auto"/>
        </w:rPr>
      </w:pPr>
    </w:p>
    <w:p>
      <w:pPr>
        <w:ind w:left="2100" w:right="1159" w:firstLine="284"/>
        <w:spacing w:after="0" w:line="323" w:lineRule="auto"/>
        <w:rPr>
          <w:sz w:val="20"/>
          <w:szCs w:val="20"/>
          <w:color w:val="auto"/>
        </w:rPr>
      </w:pPr>
      <w:r>
        <w:rPr>
          <w:rFonts w:ascii="Arial" w:cs="Arial" w:eastAsia="Arial" w:hAnsi="Arial"/>
          <w:sz w:val="11"/>
          <w:szCs w:val="11"/>
          <w:color w:val="auto"/>
        </w:rPr>
        <w:t>Investing in the ADSs entails numerous risks, as is more fully described in the section entitled “Risk Factors.” You should read these risks before you invest in the ADSs. In particular, risks associated with investing in the ADSs include, but are not limited to, the following:</w:t>
      </w:r>
    </w:p>
    <w:p>
      <w:pPr>
        <w:spacing w:after="0" w:line="29" w:lineRule="exact"/>
        <w:rPr>
          <w:sz w:val="20"/>
          <w:szCs w:val="20"/>
          <w:color w:val="auto"/>
        </w:rPr>
      </w:pPr>
    </w:p>
    <w:p>
      <w:pPr>
        <w:ind w:left="2720" w:right="113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720" w:right="1119" w:hanging="275"/>
        <w:spacing w:after="0" w:line="276"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7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70425" cy="4087495"/>
                    </a:xfrm>
                    <a:prstGeom prst="rect">
                      <a:avLst/>
                    </a:prstGeom>
                    <a:noFill/>
                  </pic:spPr>
                </pic:pic>
              </a:graphicData>
            </a:graphic>
          </wp:anchor>
        </w:drawing>
      </w:r>
    </w:p>
    <w:p>
      <w:pPr>
        <w:spacing w:after="0" w:line="312" w:lineRule="exact"/>
        <w:rPr>
          <w:sz w:val="20"/>
          <w:szCs w:val="20"/>
          <w:color w:val="auto"/>
        </w:rPr>
      </w:pPr>
    </w:p>
    <w:p>
      <w:pPr>
        <w:ind w:left="2720" w:right="101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720" w:right="125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720" w:right="11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ind w:left="2720" w:right="1159" w:hanging="275"/>
        <w:spacing w:after="0" w:line="263"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720" w:right="1339" w:hanging="275"/>
        <w:spacing w:after="0" w:line="323"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720" w:right="1419" w:hanging="275"/>
        <w:spacing w:after="0" w:line="323"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8"/>
        </w:numPr>
        <w:rPr>
          <w:rFonts w:ascii="Arial" w:cs="Arial" w:eastAsia="Arial" w:hAnsi="Arial"/>
          <w:sz w:val="10"/>
          <w:szCs w:val="10"/>
          <w:color w:val="auto"/>
        </w:rPr>
      </w:pPr>
      <w:r>
        <w:rPr>
          <w:rFonts w:ascii="Arial" w:cs="Arial" w:eastAsia="Arial" w:hAnsi="Arial"/>
          <w:sz w:val="10"/>
          <w:szCs w:val="10"/>
          <w:color w:val="auto"/>
        </w:rPr>
        <w:t>our business and operations would suffer in the event of computer system failures, cyber-attacks or deficiencies in our cyber-security;</w:t>
      </w:r>
    </w:p>
    <w:p>
      <w:pPr>
        <w:spacing w:after="0" w:line="110" w:lineRule="exact"/>
        <w:rPr>
          <w:rFonts w:ascii="Arial" w:cs="Arial" w:eastAsia="Arial" w:hAnsi="Arial"/>
          <w:sz w:val="10"/>
          <w:szCs w:val="10"/>
          <w:color w:val="auto"/>
        </w:rPr>
      </w:pPr>
    </w:p>
    <w:p>
      <w:pPr>
        <w:ind w:left="2720" w:right="115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720" w:right="109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720" w:right="10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720" w:right="12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418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70425" cy="3418840"/>
                    </a:xfrm>
                    <a:prstGeom prst="rect">
                      <a:avLst/>
                    </a:prstGeom>
                    <a:noFill/>
                  </pic:spPr>
                </pic:pic>
              </a:graphicData>
            </a:graphic>
          </wp:anchor>
        </w:drawing>
      </w:r>
    </w:p>
    <w:p>
      <w:pPr>
        <w:spacing w:after="0" w:line="312" w:lineRule="exact"/>
        <w:rPr>
          <w:sz w:val="20"/>
          <w:szCs w:val="20"/>
          <w:color w:val="auto"/>
        </w:rPr>
      </w:pPr>
    </w:p>
    <w:p>
      <w:pPr>
        <w:ind w:left="2720" w:right="10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720" w:right="119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720" w:right="139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28" w:lineRule="exact"/>
        <w:rPr>
          <w:rFonts w:ascii="Arial" w:cs="Arial" w:eastAsia="Arial" w:hAnsi="Arial"/>
          <w:sz w:val="11"/>
          <w:szCs w:val="11"/>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50" w:lineRule="exact"/>
        <w:rPr>
          <w:sz w:val="20"/>
          <w:szCs w:val="20"/>
          <w:color w:val="auto"/>
        </w:rPr>
      </w:pPr>
    </w:p>
    <w:p>
      <w:pPr>
        <w:ind w:left="2100" w:right="979" w:firstLine="284"/>
        <w:spacing w:after="0" w:line="280"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under German law, which was incorporated on June 15, 2009. In preparation for our initial public offering on the Frankfurt Stock</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 the shareholders of ViaLight Communications GmbH decided to incorporate a new entity in the form of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against the issuance of new ordinary shares in Blitz 17-625 AG. Subsequently, in August 2017, our general shareholders’ meeting resolved to change our legal name from Blitz 17-625 AG to Mynaric AG. See “Description of Share Capital and Articles of Association—Company History.”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Our principal executive offices are located at Dornierstraße 19, 82205 Gilching, Federal Republic of Germany. Our telephone number is +49</w:t>
      </w:r>
    </w:p>
    <w:p>
      <w:pPr>
        <w:spacing w:after="0" w:line="38" w:lineRule="exact"/>
        <w:rPr>
          <w:sz w:val="20"/>
          <w:szCs w:val="20"/>
          <w:color w:val="auto"/>
        </w:rPr>
      </w:pPr>
    </w:p>
    <w:p>
      <w:pPr>
        <w:ind w:left="2100" w:right="1239" w:hanging="6"/>
        <w:spacing w:after="0" w:line="255" w:lineRule="auto"/>
        <w:tabs>
          <w:tab w:leader="none" w:pos="2270" w:val="left"/>
        </w:tabs>
        <w:numPr>
          <w:ilvl w:val="0"/>
          <w:numId w:val="10"/>
        </w:numPr>
        <w:rPr>
          <w:rFonts w:ascii="Arial" w:cs="Arial" w:eastAsia="Arial" w:hAnsi="Arial"/>
          <w:sz w:val="12"/>
          <w:szCs w:val="12"/>
          <w:color w:val="auto"/>
        </w:rPr>
      </w:pPr>
      <w:r>
        <w:rPr>
          <w:rFonts w:ascii="Arial" w:cs="Arial" w:eastAsia="Arial" w:hAnsi="Arial"/>
          <w:sz w:val="12"/>
          <w:szCs w:val="12"/>
          <w:color w:val="auto"/>
        </w:rPr>
        <w:t>8105 79990. Our website address is www.mynaric.com.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the ADSs.</w:t>
      </w:r>
    </w:p>
    <w:p>
      <w:pPr>
        <w:spacing w:after="0" w:line="127"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ordinary shares are currently listed on the Frankfurt Stock Exchange under the symbol “M0Y.”</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Organizational Structure</w:t>
      </w:r>
    </w:p>
    <w:p>
      <w:pPr>
        <w:spacing w:after="0" w:line="150" w:lineRule="exact"/>
        <w:rPr>
          <w:sz w:val="20"/>
          <w:szCs w:val="20"/>
          <w:color w:val="auto"/>
        </w:rPr>
      </w:pPr>
    </w:p>
    <w:p>
      <w:pPr>
        <w:ind w:left="2100" w:right="1139" w:firstLine="284"/>
        <w:spacing w:after="0" w:line="263" w:lineRule="auto"/>
        <w:rPr>
          <w:sz w:val="20"/>
          <w:szCs w:val="20"/>
          <w:color w:val="auto"/>
        </w:rPr>
      </w:pPr>
      <w:r>
        <w:rPr>
          <w:rFonts w:ascii="Arial" w:cs="Arial" w:eastAsia="Arial" w:hAnsi="Arial"/>
          <w:sz w:val="12"/>
          <w:szCs w:val="12"/>
          <w:color w:val="auto"/>
        </w:rPr>
        <w:t>Our subsidiaries, each of which is wholly owned by Mynaric AG, are Mynaric Lasercom GmbH (a company organized under the laws of Germany), Mynaric Systems GmbH (a company organized under the laws of Germany) and Mynaric USA, Inc. (a company organized under the laws of Delaware).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1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70425" cy="4081780"/>
                    </a:xfrm>
                    <a:prstGeom prst="rect">
                      <a:avLst/>
                    </a:prstGeom>
                    <a:noFill/>
                  </pic:spPr>
                </pic:pic>
              </a:graphicData>
            </a:graphic>
          </wp:anchor>
        </w:drawing>
      </w:r>
    </w:p>
    <w:p>
      <w:pPr>
        <w:spacing w:after="0" w:line="312"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auto"/>
        </w:rPr>
        <w:t>The following chart shows our organizational structure and our direct and indirect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Enforcement of Civil Liabilities</w:t>
      </w:r>
    </w:p>
    <w:p>
      <w:pPr>
        <w:spacing w:after="0" w:line="150" w:lineRule="exact"/>
        <w:rPr>
          <w:sz w:val="20"/>
          <w:szCs w:val="20"/>
          <w:color w:val="auto"/>
        </w:rPr>
      </w:pPr>
    </w:p>
    <w:p>
      <w:pPr>
        <w:ind w:left="2100" w:right="979" w:firstLine="284"/>
        <w:spacing w:after="0" w:line="285"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organized and existing under the laws of the Federal Republic of Germany. Our registered office and substantially all of our assets are located outside the United States. In addition, two out of three members of our management board, three out of five members of our supervisory board and the experts named herein are residents of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w:t>
      </w:r>
    </w:p>
    <w:p>
      <w:pPr>
        <w:spacing w:after="0" w:line="113"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“Enforcement of Civil Liabilities” for more detail.</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an Emerging Growth Company</w:t>
      </w:r>
    </w:p>
    <w:p>
      <w:pPr>
        <w:spacing w:after="0" w:line="150" w:lineRule="exact"/>
        <w:rPr>
          <w:sz w:val="20"/>
          <w:szCs w:val="20"/>
          <w:color w:val="auto"/>
        </w:rPr>
      </w:pPr>
    </w:p>
    <w:p>
      <w:pPr>
        <w:ind w:left="2100" w:right="979" w:firstLine="284"/>
        <w:spacing w:after="0" w:line="263" w:lineRule="auto"/>
        <w:rPr>
          <w:sz w:val="20"/>
          <w:szCs w:val="20"/>
          <w:color w:val="auto"/>
        </w:rPr>
      </w:pPr>
      <w:r>
        <w:rPr>
          <w:rFonts w:ascii="Arial" w:cs="Arial" w:eastAsia="Arial" w:hAnsi="Arial"/>
          <w:sz w:val="12"/>
          <w:szCs w:val="12"/>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59" w:lineRule="exact"/>
        <w:rPr>
          <w:sz w:val="20"/>
          <w:szCs w:val="20"/>
          <w:color w:val="auto"/>
        </w:rPr>
      </w:pPr>
    </w:p>
    <w:p>
      <w:pPr>
        <w:ind w:left="2720" w:right="141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ability to include only two years of audited consolidated financial statements and only two years of related Management’s Discussion and Analysis of Financial Condition and Results of Operations disclosure;</w:t>
      </w:r>
    </w:p>
    <w:p>
      <w:pPr>
        <w:spacing w:after="0" w:line="51" w:lineRule="exact"/>
        <w:rPr>
          <w:rFonts w:ascii="Arial" w:cs="Arial" w:eastAsia="Arial" w:hAnsi="Arial"/>
          <w:sz w:val="12"/>
          <w:szCs w:val="12"/>
          <w:color w:val="auto"/>
        </w:rPr>
      </w:pPr>
    </w:p>
    <w:p>
      <w:pPr>
        <w:ind w:left="2720" w:right="1259" w:hanging="275"/>
        <w:spacing w:after="0" w:line="263"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 exemption from the auditor attestation requirement with respect to our internal control over financial reporting pursuant to the Sarbanes-Oxley Act of 2002, as amended (the “Sarbanes-Oxley Act”), which would otherwise be applicable beginning with our second annual report following completion of this offering;</w:t>
      </w:r>
    </w:p>
    <w:p>
      <w:pPr>
        <w:spacing w:after="0" w:line="59"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if we no longer qualify as a foreign private issuer, (1) reduced disclosure obligations regarding executive compensation in our periodic reports and proxy statements and (2) exemptions from the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3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70425" cy="3836035"/>
                    </a:xfrm>
                    <a:prstGeom prst="rect">
                      <a:avLst/>
                    </a:prstGeom>
                    <a:noFill/>
                  </pic:spPr>
                </pic:pic>
              </a:graphicData>
            </a:graphic>
          </wp:anchor>
        </w:drawing>
      </w:r>
    </w:p>
    <w:p>
      <w:pPr>
        <w:spacing w:after="0" w:line="312" w:lineRule="exact"/>
        <w:rPr>
          <w:sz w:val="20"/>
          <w:szCs w:val="20"/>
          <w:color w:val="auto"/>
        </w:rPr>
      </w:pPr>
    </w:p>
    <w:p>
      <w:pPr>
        <w:ind w:left="2720"/>
        <w:spacing w:after="0"/>
        <w:rPr>
          <w:sz w:val="20"/>
          <w:szCs w:val="20"/>
          <w:color w:val="auto"/>
        </w:rPr>
      </w:pPr>
      <w:r>
        <w:rPr>
          <w:rFonts w:ascii="Arial" w:cs="Arial" w:eastAsia="Arial" w:hAnsi="Arial"/>
          <w:sz w:val="11"/>
          <w:szCs w:val="11"/>
          <w:color w:val="auto"/>
        </w:rPr>
        <w:t>requirements of holding a non-binding advisory vote on executive compensation, including golden parachute compensation; and</w:t>
      </w:r>
    </w:p>
    <w:p>
      <w:pPr>
        <w:spacing w:after="0" w:line="99" w:lineRule="exact"/>
        <w:rPr>
          <w:sz w:val="20"/>
          <w:szCs w:val="20"/>
          <w:color w:val="auto"/>
        </w:rPr>
      </w:pPr>
    </w:p>
    <w:p>
      <w:pPr>
        <w:ind w:left="2720" w:right="1019" w:hanging="275"/>
        <w:spacing w:after="0" w:line="256"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 exemption from compliance with the requirement that the Public Company Accounting Oversight Board has adopted that would otherwise require our independent registered public accounting firm to communicate “critical audit matters” in its report. A critical audit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28"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may take advantage of these provisions for up to five years following the completion of this offering or, if earlier, the time that we cease to be an emerging growth company. We would cease to be an emerging growth company upon the earliest to occur of (1) the last day of the first fiscal year in which we have more than $1.07 billion in annual gross revenue, (2) the first day of the fiscal year following the first fiscal year in which, as of the last business day of our most recently completed second fiscal quarter, we have a non-affiliate market capitalization of more than $700 million, and (3) the date on which we have issued more than $1.0 billion of non-convertible debt over the previous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 Foreign Private Issuer</w:t>
      </w:r>
    </w:p>
    <w:p>
      <w:pPr>
        <w:spacing w:after="0" w:line="150"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Upon completion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61" w:lineRule="exact"/>
        <w:rPr>
          <w:sz w:val="20"/>
          <w:szCs w:val="20"/>
          <w:color w:val="auto"/>
        </w:rPr>
      </w:pPr>
    </w:p>
    <w:p>
      <w:pPr>
        <w:ind w:left="2720" w:hanging="275"/>
        <w:spacing w:after="0"/>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rules under the Exchange Act requiring domestic filers to issue financial statements prepared in accordance with U.S. GAAP;</w:t>
      </w:r>
    </w:p>
    <w:p>
      <w:pPr>
        <w:spacing w:after="0" w:line="98" w:lineRule="exact"/>
        <w:rPr>
          <w:rFonts w:ascii="Arial" w:cs="Arial" w:eastAsia="Arial" w:hAnsi="Arial"/>
          <w:sz w:val="11"/>
          <w:szCs w:val="11"/>
          <w:color w:val="auto"/>
        </w:rPr>
      </w:pPr>
    </w:p>
    <w:p>
      <w:pPr>
        <w:ind w:left="2720" w:right="1159" w:hanging="275"/>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sections of the Exchange Act regulating the solicitation of proxies, consents or authorizations in respect of a security registered under the Exchange Act;</w:t>
      </w:r>
    </w:p>
    <w:p>
      <w:pPr>
        <w:spacing w:after="0" w:line="51" w:lineRule="exact"/>
        <w:rPr>
          <w:rFonts w:ascii="Arial" w:cs="Arial" w:eastAsia="Arial" w:hAnsi="Arial"/>
          <w:sz w:val="12"/>
          <w:szCs w:val="12"/>
          <w:color w:val="auto"/>
        </w:rPr>
      </w:pPr>
    </w:p>
    <w:p>
      <w:pPr>
        <w:ind w:left="2720" w:right="1559" w:hanging="275"/>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sections of the Exchange Act requiring insiders to file public reports of their stock ownership and trading activities and establishing liability for insiders who profit from trades made in a short period of time; and</w:t>
      </w:r>
    </w:p>
    <w:p>
      <w:pPr>
        <w:spacing w:after="0" w:line="51" w:lineRule="exact"/>
        <w:rPr>
          <w:rFonts w:ascii="Arial" w:cs="Arial" w:eastAsia="Arial" w:hAnsi="Arial"/>
          <w:sz w:val="12"/>
          <w:szCs w:val="12"/>
          <w:color w:val="auto"/>
        </w:rPr>
      </w:pPr>
    </w:p>
    <w:p>
      <w:pPr>
        <w:ind w:left="2720" w:right="1079" w:hanging="275"/>
        <w:spacing w:after="0" w:line="323" w:lineRule="auto"/>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92" w:lineRule="exact"/>
        <w:rPr>
          <w:sz w:val="20"/>
          <w:szCs w:val="20"/>
          <w:color w:val="auto"/>
        </w:rPr>
      </w:pPr>
    </w:p>
    <w:p>
      <w:pPr>
        <w:ind w:left="2100" w:right="1199" w:firstLine="284"/>
        <w:spacing w:after="0" w:line="323" w:lineRule="auto"/>
        <w:rPr>
          <w:sz w:val="20"/>
          <w:szCs w:val="20"/>
          <w:color w:val="auto"/>
        </w:rPr>
      </w:pPr>
      <w:r>
        <w:rPr>
          <w:rFonts w:ascii="Arial" w:cs="Arial" w:eastAsia="Arial" w:hAnsi="Arial"/>
          <w:sz w:val="11"/>
          <w:szCs w:val="11"/>
          <w:color w:val="auto"/>
        </w:rPr>
        <w:t>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92" w:lineRule="exact"/>
        <w:rPr>
          <w:sz w:val="20"/>
          <w:szCs w:val="20"/>
          <w:color w:val="auto"/>
        </w:rPr>
      </w:pPr>
    </w:p>
    <w:p>
      <w:pPr>
        <w:ind w:left="2100" w:right="1259" w:firstLine="284"/>
        <w:spacing w:after="0" w:line="289" w:lineRule="auto"/>
        <w:rPr>
          <w:sz w:val="20"/>
          <w:szCs w:val="20"/>
          <w:color w:val="auto"/>
        </w:rPr>
      </w:pPr>
      <w:r>
        <w:rPr>
          <w:rFonts w:ascii="Arial" w:cs="Arial" w:eastAsia="Arial" w:hAnsi="Arial"/>
          <w:sz w:val="11"/>
          <w:szCs w:val="11"/>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561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70425" cy="561340"/>
                    </a:xfrm>
                    <a:prstGeom prst="rect">
                      <a:avLst/>
                    </a:prstGeom>
                    <a:noFill/>
                  </pic:spPr>
                </pic:pic>
              </a:graphicData>
            </a:graphic>
          </wp:anchor>
        </w:drawing>
      </w:r>
    </w:p>
    <w:p>
      <w:pPr>
        <w:spacing w:after="0" w:line="312"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Foreign private issuers are also exempt from certain more extensive executive compensation disclosure rules. Thus,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ADSs offered by us</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ADSs to be outstanding immediately after this</w:t>
      </w:r>
    </w:p>
    <w:p>
      <w:pPr>
        <w:spacing w:after="0" w:line="30"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offering</w:t>
      </w:r>
    </w:p>
    <w:p>
      <w:pPr>
        <w:spacing w:after="0" w:line="299" w:lineRule="exact"/>
        <w:rPr>
          <w:sz w:val="20"/>
          <w:szCs w:val="20"/>
          <w:color w:val="auto"/>
        </w:rPr>
      </w:pPr>
    </w:p>
    <w:p>
      <w:pPr>
        <w:ind w:left="2140" w:hanging="52"/>
        <w:spacing w:after="0" w:line="283" w:lineRule="auto"/>
        <w:rPr>
          <w:sz w:val="20"/>
          <w:szCs w:val="20"/>
          <w:color w:val="auto"/>
        </w:rPr>
      </w:pPr>
      <w:r>
        <w:rPr>
          <w:rFonts w:ascii="Arial" w:cs="Arial" w:eastAsia="Arial" w:hAnsi="Arial"/>
          <w:sz w:val="12"/>
          <w:szCs w:val="12"/>
          <w:b w:val="1"/>
          <w:bCs w:val="1"/>
          <w:color w:val="auto"/>
        </w:rPr>
        <w:t>Ordinary shares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Option to purchase additional ADSs</w:t>
      </w:r>
    </w:p>
    <w:p>
      <w:pPr>
        <w:spacing w:after="0" w:line="200" w:lineRule="exact"/>
        <w:rPr>
          <w:sz w:val="20"/>
          <w:szCs w:val="20"/>
          <w:color w:val="auto"/>
        </w:rPr>
      </w:pPr>
    </w:p>
    <w:p>
      <w:pPr>
        <w:spacing w:after="0" w:line="256" w:lineRule="exact"/>
        <w:rPr>
          <w:sz w:val="20"/>
          <w:szCs w:val="20"/>
          <w:color w:val="auto"/>
        </w:rPr>
      </w:pPr>
    </w:p>
    <w:p>
      <w:pPr>
        <w:jc w:val="center"/>
        <w:ind w:left="1980"/>
        <w:spacing w:after="0"/>
        <w:rPr>
          <w:sz w:val="20"/>
          <w:szCs w:val="20"/>
          <w:color w:val="auto"/>
        </w:rPr>
      </w:pPr>
      <w:r>
        <w:rPr>
          <w:rFonts w:ascii="Arial" w:cs="Arial" w:eastAsia="Arial" w:hAnsi="Arial"/>
          <w:sz w:val="12"/>
          <w:szCs w:val="12"/>
          <w:b w:val="1"/>
          <w:bCs w:val="1"/>
          <w:color w:val="auto"/>
        </w:rPr>
        <w:t>The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-518795</wp:posOffset>
            </wp:positionV>
            <wp:extent cx="7214870" cy="4112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112895"/>
                    </a:xfrm>
                    <a:prstGeom prst="rect">
                      <a:avLst/>
                    </a:prstGeom>
                    <a:noFill/>
                  </pic:spPr>
                </pic:pic>
              </a:graphicData>
            </a:graphic>
          </wp:anchor>
        </w:drawing>
      </w:r>
    </w:p>
    <w:p>
      <w:pPr>
        <w:spacing w:after="0" w:line="152"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2"/>
          <w:szCs w:val="12"/>
          <w:color w:val="auto"/>
        </w:rPr>
        <w:t>ADSs; every</w:t>
      </w:r>
      <w:r>
        <w:rPr>
          <w:sz w:val="20"/>
          <w:szCs w:val="20"/>
          <w:color w:val="auto"/>
        </w:rPr>
        <w:tab/>
      </w:r>
      <w:r>
        <w:rPr>
          <w:rFonts w:ascii="Arial" w:cs="Arial" w:eastAsia="Arial" w:hAnsi="Arial"/>
          <w:sz w:val="10"/>
          <w:szCs w:val="10"/>
          <w:color w:val="auto"/>
        </w:rPr>
        <w:t>ADSs represent one ordinary share.</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ADSs, assuming no exercise of the underwriters’ option to purchase additional</w:t>
      </w:r>
    </w:p>
    <w:p>
      <w:pPr>
        <w:spacing w:after="0" w:line="26" w:lineRule="exact"/>
        <w:rPr>
          <w:sz w:val="20"/>
          <w:szCs w:val="20"/>
          <w:color w:val="auto"/>
        </w:rPr>
      </w:pPr>
    </w:p>
    <w:p>
      <w:pPr>
        <w:ind w:right="1099"/>
        <w:spacing w:after="0" w:line="260" w:lineRule="auto"/>
        <w:rPr>
          <w:sz w:val="20"/>
          <w:szCs w:val="20"/>
          <w:color w:val="auto"/>
        </w:rPr>
      </w:pPr>
      <w:r>
        <w:rPr>
          <w:rFonts w:ascii="Arial" w:cs="Arial" w:eastAsia="Arial" w:hAnsi="Arial"/>
          <w:sz w:val="12"/>
          <w:szCs w:val="12"/>
          <w:color w:val="auto"/>
        </w:rPr>
        <w:t>ADSs; or ADSs, assuming full exercise of the underwriters’ option to purchase additional ADSs within 30 days from the date of this prospectus.</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ordinary shares, assuming no exercise of the underwriters’ option to purchase</w:t>
      </w:r>
    </w:p>
    <w:p>
      <w:pPr>
        <w:spacing w:after="0" w:line="26" w:lineRule="exact"/>
        <w:rPr>
          <w:sz w:val="20"/>
          <w:szCs w:val="20"/>
          <w:color w:val="auto"/>
        </w:rPr>
      </w:pPr>
    </w:p>
    <w:p>
      <w:pPr>
        <w:ind w:right="1059"/>
        <w:spacing w:after="0" w:line="260" w:lineRule="auto"/>
        <w:rPr>
          <w:sz w:val="20"/>
          <w:szCs w:val="20"/>
          <w:color w:val="auto"/>
        </w:rPr>
      </w:pPr>
      <w:r>
        <w:rPr>
          <w:rFonts w:ascii="Arial" w:cs="Arial" w:eastAsia="Arial" w:hAnsi="Arial"/>
          <w:sz w:val="12"/>
          <w:szCs w:val="12"/>
          <w:color w:val="auto"/>
        </w:rPr>
        <w:t>additional ADSs; or ordinary shares, assuming full exercise of the underwriters’ option to purchase additional ADSs.</w:t>
      </w:r>
    </w:p>
    <w:p>
      <w:pPr>
        <w:spacing w:after="0" w:line="142" w:lineRule="exact"/>
        <w:rPr>
          <w:sz w:val="20"/>
          <w:szCs w:val="20"/>
          <w:color w:val="auto"/>
        </w:rPr>
      </w:pPr>
    </w:p>
    <w:p>
      <w:pPr>
        <w:ind w:right="979"/>
        <w:spacing w:after="0" w:line="306" w:lineRule="auto"/>
        <w:rPr>
          <w:sz w:val="20"/>
          <w:szCs w:val="20"/>
          <w:color w:val="auto"/>
        </w:rPr>
      </w:pPr>
      <w:r>
        <w:rPr>
          <w:rFonts w:ascii="Arial" w:cs="Arial" w:eastAsia="Arial" w:hAnsi="Arial"/>
          <w:sz w:val="10"/>
          <w:szCs w:val="10"/>
          <w:color w:val="auto"/>
        </w:rPr>
        <w:t>Our founders, members of our management and supervisory boards and known five percent shareholders, together with their affiliates, collectively own approximately 17.6% of our outstanding share capital, and following the completion of this offering will collectively</w:t>
      </w:r>
    </w:p>
    <w:p>
      <w:pPr>
        <w:spacing w:after="0" w:line="1" w:lineRule="exact"/>
        <w:rPr>
          <w:sz w:val="20"/>
          <w:szCs w:val="20"/>
          <w:color w:val="auto"/>
        </w:rPr>
      </w:pPr>
    </w:p>
    <w:p>
      <w:pPr>
        <w:ind w:right="979"/>
        <w:spacing w:after="0" w:line="284" w:lineRule="auto"/>
        <w:rPr>
          <w:sz w:val="20"/>
          <w:szCs w:val="20"/>
          <w:color w:val="auto"/>
        </w:rPr>
      </w:pPr>
      <w:r>
        <w:rPr>
          <w:rFonts w:ascii="Arial" w:cs="Arial" w:eastAsia="Arial" w:hAnsi="Arial"/>
          <w:sz w:val="11"/>
          <w:szCs w:val="11"/>
          <w:color w:val="auto"/>
        </w:rPr>
        <w:t>own approximately % of our outstanding share capital (or approximately % of our outstanding share capital if the underwriters exercise their option to purchase additional ADSs from us in full). See “Principal Shareholders.” The interests of our existing shareholders may deviate from our interests or those of our other shareholders.</w:t>
      </w:r>
    </w:p>
    <w:p>
      <w:pPr>
        <w:spacing w:after="0" w:line="130" w:lineRule="exact"/>
        <w:rPr>
          <w:sz w:val="20"/>
          <w:szCs w:val="20"/>
          <w:color w:val="auto"/>
        </w:rPr>
      </w:pPr>
    </w:p>
    <w:p>
      <w:pPr>
        <w:spacing w:after="0"/>
        <w:tabs>
          <w:tab w:leader="none" w:pos="3520" w:val="left"/>
        </w:tabs>
        <w:rPr>
          <w:sz w:val="20"/>
          <w:szCs w:val="20"/>
          <w:color w:val="auto"/>
        </w:rPr>
      </w:pPr>
      <w:r>
        <w:rPr>
          <w:rFonts w:ascii="Arial" w:cs="Arial" w:eastAsia="Arial" w:hAnsi="Arial"/>
          <w:sz w:val="12"/>
          <w:szCs w:val="12"/>
          <w:color w:val="auto"/>
        </w:rPr>
        <w:t>We intend to grant the underwriters an option to purchase up to</w:t>
      </w:r>
      <w:r>
        <w:rPr>
          <w:sz w:val="20"/>
          <w:szCs w:val="20"/>
          <w:color w:val="auto"/>
        </w:rPr>
        <w:tab/>
      </w:r>
      <w:r>
        <w:rPr>
          <w:rFonts w:ascii="Arial" w:cs="Arial" w:eastAsia="Arial" w:hAnsi="Arial"/>
          <w:sz w:val="11"/>
          <w:szCs w:val="11"/>
          <w:color w:val="auto"/>
        </w:rPr>
        <w:t>additional ADSs</w:t>
      </w:r>
    </w:p>
    <w:p>
      <w:pPr>
        <w:spacing w:after="0" w:line="15"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color w:val="auto"/>
        </w:rPr>
        <w:t>from us, representing</w:t>
      </w:r>
      <w:r>
        <w:rPr>
          <w:sz w:val="20"/>
          <w:szCs w:val="20"/>
          <w:color w:val="auto"/>
        </w:rPr>
        <w:tab/>
      </w:r>
      <w:r>
        <w:rPr>
          <w:rFonts w:ascii="Arial" w:cs="Arial" w:eastAsia="Arial" w:hAnsi="Arial"/>
          <w:sz w:val="10"/>
          <w:szCs w:val="10"/>
          <w:color w:val="auto"/>
        </w:rPr>
        <w:t>ordinary shares, for a period of 30 days from the date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underwriters will deliver ADSs representing our ordinary shares. Every</w:t>
      </w:r>
    </w:p>
    <w:p>
      <w:pPr>
        <w:spacing w:after="0" w:line="15" w:lineRule="exact"/>
        <w:rPr>
          <w:sz w:val="20"/>
          <w:szCs w:val="20"/>
          <w:color w:val="auto"/>
        </w:rPr>
      </w:pPr>
    </w:p>
    <w:p>
      <w:pPr>
        <w:ind w:right="1119" w:firstLine="473"/>
        <w:spacing w:after="0" w:line="260" w:lineRule="auto"/>
        <w:rPr>
          <w:sz w:val="20"/>
          <w:szCs w:val="20"/>
          <w:color w:val="auto"/>
        </w:rPr>
      </w:pPr>
      <w:r>
        <w:rPr>
          <w:rFonts w:ascii="Arial" w:cs="Arial" w:eastAsia="Arial" w:hAnsi="Arial"/>
          <w:sz w:val="12"/>
          <w:szCs w:val="12"/>
          <w:color w:val="auto"/>
        </w:rPr>
        <w:t>ADSs, which may be evidenced by an American Depositary Receipt (“ADR”), represent one of our ordinary shares.</w:t>
      </w:r>
    </w:p>
    <w:p>
      <w:pPr>
        <w:spacing w:after="0" w:line="142" w:lineRule="exact"/>
        <w:rPr>
          <w:sz w:val="20"/>
          <w:szCs w:val="20"/>
          <w:color w:val="auto"/>
        </w:rPr>
      </w:pPr>
    </w:p>
    <w:p>
      <w:pPr>
        <w:ind w:right="979"/>
        <w:spacing w:after="0" w:line="278" w:lineRule="auto"/>
        <w:rPr>
          <w:sz w:val="20"/>
          <w:szCs w:val="20"/>
          <w:color w:val="auto"/>
        </w:rPr>
      </w:pPr>
      <w:r>
        <w:rPr>
          <w:rFonts w:ascii="Arial" w:cs="Arial" w:eastAsia="Arial" w:hAnsi="Arial"/>
          <w:sz w:val="11"/>
          <w:szCs w:val="11"/>
          <w:color w:val="auto"/>
        </w:rPr>
        <w:t>As an ADS holder, you will not be treated as one of our shareholders and you will not have shareholder rights. The depositary, The Bank of New York Mellon, or the custodian, The Bank of New York Mellon SA/NV, will be the holder of the ordinary shares underlying your ADSs. You will have rights as provided in the deposit agreement. You may surrender your ADSs and withdraw the underlying ordinary shares as provided, and subject to the limitations set forth in, the deposit agreement. The depositary will charge you fees for, among other acts, any such surrender for the purpose of withdrawal. In certain limited instances described in the deposit agreement, we may amend or terminate the deposit agreement without your consent. If you continue to hold your ADSs, you agree to be bound by the terms of the deposit agreement then in effect.</w:t>
      </w:r>
    </w:p>
    <w:p>
      <w:pPr>
        <w:spacing w:after="0" w:line="200" w:lineRule="exact"/>
        <w:rPr>
          <w:sz w:val="20"/>
          <w:szCs w:val="20"/>
          <w:color w:val="auto"/>
        </w:rPr>
      </w:pPr>
    </w:p>
    <w:p>
      <w:pPr>
        <w:sectPr>
          <w:pgSz w:w="11900" w:h="16838" w:orient="portrait"/>
          <w:cols w:equalWidth="0" w:num="2">
            <w:col w:w="4520" w:space="260"/>
            <w:col w:w="5379"/>
          </w:cols>
          <w:pgMar w:left="300" w:top="354" w:right="1440" w:bottom="1440" w:gutter="0" w:footer="0" w:header="0"/>
        </w:sectPr>
      </w:pPr>
    </w:p>
    <w:p>
      <w:pPr>
        <w:spacing w:after="0" w:line="45"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0159"/>
          </w:cols>
          <w:pgMar w:left="300" w:top="354" w:right="1440" w:bottom="1440" w:gutter="0" w:footer="0" w:header="0"/>
          <w:type w:val="continuous"/>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33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70425" cy="3933190"/>
                    </a:xfrm>
                    <a:prstGeom prst="rect">
                      <a:avLst/>
                    </a:prstGeom>
                    <a:noFill/>
                  </pic:spPr>
                </pic:pic>
              </a:graphicData>
            </a:graphic>
          </wp:anchor>
        </w:drawing>
      </w:r>
    </w:p>
    <w:p>
      <w:pPr>
        <w:spacing w:after="0" w:line="312" w:lineRule="exact"/>
        <w:rPr>
          <w:sz w:val="20"/>
          <w:szCs w:val="20"/>
          <w:color w:val="auto"/>
        </w:rPr>
      </w:pPr>
    </w:p>
    <w:tbl>
      <w:tblPr>
        <w:tblLayout w:type="fixed"/>
        <w:tblInd w:w="210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2"/>
              </w:rPr>
              <w:t>To better understand the terms of the ADSs, you should carefully read the “Description of</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1"/>
              </w:rPr>
              <w:t>American Depositary Shares” section of this prospectus. You should also read the deposit</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1"/>
              </w:rPr>
              <w:t>agreement, which is an exhibit to the registration statement of which this prospectus forms</w:t>
            </w:r>
          </w:p>
        </w:tc>
        <w:tc>
          <w:tcPr>
            <w:tcW w:w="0" w:type="dxa"/>
            <w:vAlign w:val="bottom"/>
          </w:tcPr>
          <w:p>
            <w:pPr>
              <w:spacing w:after="0"/>
              <w:rPr>
                <w:sz w:val="1"/>
                <w:szCs w:val="1"/>
                <w:color w:val="auto"/>
              </w:rPr>
            </w:pPr>
          </w:p>
        </w:tc>
      </w:tr>
      <w:tr>
        <w:trPr>
          <w:trHeight w:val="144"/>
        </w:trPr>
        <w:tc>
          <w:tcPr>
            <w:tcW w:w="1740" w:type="dxa"/>
            <w:vAlign w:val="bottom"/>
            <w:vMerge w:val="restart"/>
          </w:tcPr>
          <w:p>
            <w:pPr>
              <w:spacing w:after="0"/>
              <w:rPr>
                <w:sz w:val="20"/>
                <w:szCs w:val="20"/>
                <w:color w:val="auto"/>
              </w:rPr>
            </w:pPr>
            <w:r>
              <w:rPr>
                <w:rFonts w:ascii="Arial" w:cs="Arial" w:eastAsia="Arial" w:hAnsi="Arial"/>
                <w:sz w:val="12"/>
                <w:szCs w:val="12"/>
                <w:b w:val="1"/>
                <w:bCs w:val="1"/>
                <w:color w:val="auto"/>
              </w:rPr>
              <w:t>Depositary</w:t>
            </w:r>
          </w:p>
        </w:tc>
        <w:tc>
          <w:tcPr>
            <w:tcW w:w="1260" w:type="dxa"/>
            <w:vAlign w:val="bottom"/>
          </w:tcPr>
          <w:p>
            <w:pPr>
              <w:ind w:left="940"/>
              <w:spacing w:after="0"/>
              <w:rPr>
                <w:sz w:val="20"/>
                <w:szCs w:val="20"/>
                <w:color w:val="auto"/>
              </w:rPr>
            </w:pPr>
            <w:r>
              <w:rPr>
                <w:rFonts w:ascii="Arial" w:cs="Arial" w:eastAsia="Arial" w:hAnsi="Arial"/>
                <w:sz w:val="12"/>
                <w:szCs w:val="12"/>
                <w:color w:val="auto"/>
                <w:w w:val="88"/>
              </w:rPr>
              <w:t>a part.</w:t>
            </w: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40" w:type="dxa"/>
            <w:vAlign w:val="bottom"/>
            <w:vMerge w:val="continue"/>
          </w:tcPr>
          <w:p>
            <w:pPr>
              <w:spacing w:after="0"/>
              <w:rPr>
                <w:sz w:val="13"/>
                <w:szCs w:val="13"/>
                <w:color w:val="auto"/>
              </w:rPr>
            </w:pP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rPr>
              <w:t>The Bank of New York Mellon.</w:t>
            </w: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740" w:type="dxa"/>
            <w:vAlign w:val="bottom"/>
          </w:tcPr>
          <w:p>
            <w:pPr>
              <w:spacing w:after="0"/>
              <w:rPr>
                <w:sz w:val="20"/>
                <w:szCs w:val="20"/>
                <w:color w:val="auto"/>
              </w:rPr>
            </w:pPr>
            <w:r>
              <w:rPr>
                <w:rFonts w:ascii="Arial" w:cs="Arial" w:eastAsia="Arial" w:hAnsi="Arial"/>
                <w:sz w:val="12"/>
                <w:szCs w:val="12"/>
                <w:b w:val="1"/>
                <w:bCs w:val="1"/>
                <w:color w:val="auto"/>
              </w:rPr>
              <w:t>Custodian</w:t>
            </w: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rPr>
              <w:t>The Bank of New York Mellon SA/NV.</w:t>
            </w: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740" w:type="dxa"/>
            <w:vAlign w:val="bottom"/>
          </w:tcPr>
          <w:p>
            <w:pPr>
              <w:spacing w:after="0"/>
              <w:rPr>
                <w:sz w:val="20"/>
                <w:szCs w:val="20"/>
                <w:color w:val="auto"/>
              </w:rPr>
            </w:pPr>
            <w:r>
              <w:rPr>
                <w:rFonts w:ascii="Arial" w:cs="Arial" w:eastAsia="Arial" w:hAnsi="Arial"/>
                <w:sz w:val="12"/>
                <w:szCs w:val="12"/>
                <w:b w:val="1"/>
                <w:bCs w:val="1"/>
                <w:color w:val="auto"/>
              </w:rPr>
              <w:t>Use of proceeds</w:t>
            </w: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rPr>
              <w:t>We estimate that the net proceeds to us from this offering will be approximately</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260" w:type="dxa"/>
            <w:vAlign w:val="bottom"/>
          </w:tcPr>
          <w:p>
            <w:pPr>
              <w:ind w:left="940"/>
              <w:spacing w:after="0"/>
              <w:rPr>
                <w:sz w:val="20"/>
                <w:szCs w:val="20"/>
                <w:color w:val="auto"/>
              </w:rPr>
            </w:pPr>
            <w:r>
              <w:rPr>
                <w:rFonts w:ascii="Arial" w:cs="Arial" w:eastAsia="Arial" w:hAnsi="Arial"/>
                <w:sz w:val="12"/>
                <w:szCs w:val="12"/>
                <w:color w:val="auto"/>
              </w:rPr>
              <w:t>$</w:t>
            </w:r>
          </w:p>
        </w:tc>
        <w:tc>
          <w:tcPr>
            <w:tcW w:w="1720" w:type="dxa"/>
            <w:vAlign w:val="bottom"/>
            <w:gridSpan w:val="2"/>
          </w:tcPr>
          <w:p>
            <w:pPr>
              <w:ind w:left="140"/>
              <w:spacing w:after="0"/>
              <w:rPr>
                <w:sz w:val="20"/>
                <w:szCs w:val="20"/>
                <w:color w:val="auto"/>
              </w:rPr>
            </w:pPr>
            <w:r>
              <w:rPr>
                <w:rFonts w:ascii="Arial" w:cs="Arial" w:eastAsia="Arial" w:hAnsi="Arial"/>
                <w:sz w:val="12"/>
                <w:szCs w:val="12"/>
                <w:color w:val="auto"/>
              </w:rPr>
              <w:t>million (or approximately $</w:t>
            </w:r>
          </w:p>
        </w:tc>
        <w:tc>
          <w:tcPr>
            <w:tcW w:w="2340" w:type="dxa"/>
            <w:vAlign w:val="bottom"/>
            <w:gridSpan w:val="2"/>
          </w:tcPr>
          <w:p>
            <w:pPr>
              <w:ind w:left="140"/>
              <w:spacing w:after="0"/>
              <w:rPr>
                <w:sz w:val="20"/>
                <w:szCs w:val="20"/>
                <w:color w:val="auto"/>
              </w:rPr>
            </w:pPr>
            <w:r>
              <w:rPr>
                <w:rFonts w:ascii="Arial" w:cs="Arial" w:eastAsia="Arial" w:hAnsi="Arial"/>
                <w:sz w:val="12"/>
                <w:szCs w:val="12"/>
                <w:color w:val="auto"/>
              </w:rPr>
              <w:t>million if the underwriters exercise their</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5"/>
              </w:rPr>
              <w:t>option to purchase additional ADSs from us in full), based on an assumed initial public</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060" w:type="dxa"/>
            <w:vAlign w:val="bottom"/>
            <w:gridSpan w:val="2"/>
          </w:tcPr>
          <w:p>
            <w:pPr>
              <w:ind w:left="940"/>
              <w:spacing w:after="0"/>
              <w:rPr>
                <w:sz w:val="20"/>
                <w:szCs w:val="20"/>
                <w:color w:val="auto"/>
              </w:rPr>
            </w:pPr>
            <w:r>
              <w:rPr>
                <w:rFonts w:ascii="Arial" w:cs="Arial" w:eastAsia="Arial" w:hAnsi="Arial"/>
                <w:sz w:val="12"/>
                <w:szCs w:val="12"/>
                <w:color w:val="auto"/>
              </w:rPr>
              <w:t>offering price of $</w:t>
            </w:r>
          </w:p>
        </w:tc>
        <w:tc>
          <w:tcPr>
            <w:tcW w:w="3260" w:type="dxa"/>
            <w:vAlign w:val="bottom"/>
            <w:gridSpan w:val="3"/>
          </w:tcPr>
          <w:p>
            <w:pPr>
              <w:ind w:left="140"/>
              <w:spacing w:after="0"/>
              <w:rPr>
                <w:sz w:val="20"/>
                <w:szCs w:val="20"/>
                <w:color w:val="auto"/>
              </w:rPr>
            </w:pPr>
            <w:r>
              <w:rPr>
                <w:rFonts w:ascii="Arial" w:cs="Arial" w:eastAsia="Arial" w:hAnsi="Arial"/>
                <w:sz w:val="12"/>
                <w:szCs w:val="12"/>
                <w:color w:val="auto"/>
                <w:w w:val="95"/>
              </w:rPr>
              <w:t>per ADS, the U.S. dollar equivalent of the closing price of our</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3780" w:type="dxa"/>
            <w:vAlign w:val="bottom"/>
            <w:gridSpan w:val="4"/>
          </w:tcPr>
          <w:p>
            <w:pPr>
              <w:ind w:left="940"/>
              <w:spacing w:after="0"/>
              <w:rPr>
                <w:sz w:val="20"/>
                <w:szCs w:val="20"/>
                <w:color w:val="auto"/>
              </w:rPr>
            </w:pPr>
            <w:r>
              <w:rPr>
                <w:rFonts w:ascii="Arial" w:cs="Arial" w:eastAsia="Arial" w:hAnsi="Arial"/>
                <w:sz w:val="12"/>
                <w:szCs w:val="12"/>
                <w:color w:val="auto"/>
              </w:rPr>
              <w:t>ordinary shares on the Frankfurt Stock Exchange on</w:t>
            </w:r>
          </w:p>
        </w:tc>
        <w:tc>
          <w:tcPr>
            <w:tcW w:w="1540" w:type="dxa"/>
            <w:vAlign w:val="bottom"/>
          </w:tcPr>
          <w:p>
            <w:pPr>
              <w:ind w:left="60"/>
              <w:spacing w:after="0"/>
              <w:rPr>
                <w:sz w:val="20"/>
                <w:szCs w:val="20"/>
                <w:color w:val="auto"/>
              </w:rPr>
            </w:pPr>
            <w:r>
              <w:rPr>
                <w:rFonts w:ascii="Arial" w:cs="Arial" w:eastAsia="Arial" w:hAnsi="Arial"/>
                <w:sz w:val="12"/>
                <w:szCs w:val="12"/>
                <w:color w:val="auto"/>
                <w:w w:val="88"/>
              </w:rPr>
              <w:t>, 2021, based on the Euro/U.S.</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980" w:type="dxa"/>
            <w:vAlign w:val="bottom"/>
            <w:gridSpan w:val="3"/>
          </w:tcPr>
          <w:p>
            <w:pPr>
              <w:ind w:left="940"/>
              <w:spacing w:after="0"/>
              <w:rPr>
                <w:sz w:val="20"/>
                <w:szCs w:val="20"/>
                <w:color w:val="auto"/>
              </w:rPr>
            </w:pPr>
            <w:r>
              <w:rPr>
                <w:rFonts w:ascii="Arial" w:cs="Arial" w:eastAsia="Arial" w:hAnsi="Arial"/>
                <w:sz w:val="12"/>
                <w:szCs w:val="12"/>
                <w:color w:val="auto"/>
                <w:w w:val="97"/>
              </w:rPr>
              <w:t>dollar exchange rate of €1.00 to $ as of</w:t>
            </w:r>
          </w:p>
        </w:tc>
        <w:tc>
          <w:tcPr>
            <w:tcW w:w="2340" w:type="dxa"/>
            <w:vAlign w:val="bottom"/>
            <w:gridSpan w:val="2"/>
          </w:tcPr>
          <w:p>
            <w:pPr>
              <w:ind w:left="220"/>
              <w:spacing w:after="0"/>
              <w:rPr>
                <w:sz w:val="20"/>
                <w:szCs w:val="20"/>
                <w:color w:val="auto"/>
              </w:rPr>
            </w:pPr>
            <w:r>
              <w:rPr>
                <w:rFonts w:ascii="Arial" w:cs="Arial" w:eastAsia="Arial" w:hAnsi="Arial"/>
                <w:sz w:val="12"/>
                <w:szCs w:val="12"/>
                <w:color w:val="auto"/>
                <w:w w:val="93"/>
              </w:rPr>
              <w:t>, 2021, and an ADS to ordinary share ratio</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260" w:type="dxa"/>
            <w:vAlign w:val="bottom"/>
          </w:tcPr>
          <w:p>
            <w:pPr>
              <w:ind w:left="940"/>
              <w:spacing w:after="0"/>
              <w:rPr>
                <w:sz w:val="20"/>
                <w:szCs w:val="20"/>
                <w:color w:val="auto"/>
              </w:rPr>
            </w:pPr>
            <w:r>
              <w:rPr>
                <w:rFonts w:ascii="Arial" w:cs="Arial" w:eastAsia="Arial" w:hAnsi="Arial"/>
                <w:sz w:val="12"/>
                <w:szCs w:val="12"/>
                <w:color w:val="auto"/>
              </w:rPr>
              <w:t>of</w:t>
            </w:r>
          </w:p>
        </w:tc>
        <w:tc>
          <w:tcPr>
            <w:tcW w:w="800" w:type="dxa"/>
            <w:vAlign w:val="bottom"/>
          </w:tcPr>
          <w:p>
            <w:pPr>
              <w:ind w:left="300"/>
              <w:spacing w:after="0"/>
              <w:rPr>
                <w:sz w:val="20"/>
                <w:szCs w:val="20"/>
                <w:color w:val="auto"/>
              </w:rPr>
            </w:pPr>
            <w:r>
              <w:rPr>
                <w:rFonts w:ascii="Arial" w:cs="Arial" w:eastAsia="Arial" w:hAnsi="Arial"/>
                <w:sz w:val="12"/>
                <w:szCs w:val="12"/>
                <w:color w:val="auto"/>
              </w:rPr>
              <w:t>to</w:t>
            </w:r>
          </w:p>
        </w:tc>
        <w:tc>
          <w:tcPr>
            <w:tcW w:w="3260" w:type="dxa"/>
            <w:vAlign w:val="bottom"/>
            <w:gridSpan w:val="3"/>
          </w:tcPr>
          <w:p>
            <w:pPr>
              <w:ind w:left="100"/>
              <w:spacing w:after="0"/>
              <w:rPr>
                <w:sz w:val="20"/>
                <w:szCs w:val="20"/>
                <w:color w:val="auto"/>
              </w:rPr>
            </w:pPr>
            <w:r>
              <w:rPr>
                <w:rFonts w:ascii="Arial" w:cs="Arial" w:eastAsia="Arial" w:hAnsi="Arial"/>
                <w:sz w:val="12"/>
                <w:szCs w:val="12"/>
                <w:color w:val="auto"/>
              </w:rPr>
              <w:t>, after deducting the estimated underwriting discounts and</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rPr>
              <w:t>commissions and estimated offering expenses payable by us.</w:t>
            </w: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4"/>
                <w:szCs w:val="24"/>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6"/>
              </w:rPr>
              <w:t>The principal reasons for this offering are to further fund our business, to increase our</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2"/>
              </w:rPr>
              <w:t>public profile and awareness, create a public market for the ADSs and facilitate our future</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320" w:type="dxa"/>
            <w:vAlign w:val="bottom"/>
            <w:gridSpan w:val="5"/>
          </w:tcPr>
          <w:p>
            <w:pPr>
              <w:ind w:left="940"/>
              <w:spacing w:after="0"/>
              <w:rPr>
                <w:sz w:val="20"/>
                <w:szCs w:val="20"/>
                <w:color w:val="auto"/>
              </w:rPr>
            </w:pPr>
            <w:r>
              <w:rPr>
                <w:rFonts w:ascii="Arial" w:cs="Arial" w:eastAsia="Arial" w:hAnsi="Arial"/>
                <w:sz w:val="12"/>
                <w:szCs w:val="12"/>
                <w:color w:val="auto"/>
                <w:w w:val="93"/>
              </w:rPr>
              <w:t>access to public equity markets. We intend to use the net proceeds from this offering as</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2060" w:type="dxa"/>
            <w:vAlign w:val="bottom"/>
            <w:gridSpan w:val="2"/>
          </w:tcPr>
          <w:p>
            <w:pPr>
              <w:ind w:left="940"/>
              <w:spacing w:after="0"/>
              <w:rPr>
                <w:sz w:val="20"/>
                <w:szCs w:val="20"/>
                <w:color w:val="auto"/>
              </w:rPr>
            </w:pPr>
            <w:r>
              <w:rPr>
                <w:rFonts w:ascii="Arial" w:cs="Arial" w:eastAsia="Arial" w:hAnsi="Arial"/>
                <w:sz w:val="12"/>
                <w:szCs w:val="12"/>
                <w:color w:val="auto"/>
              </w:rPr>
              <w:t>follows: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4"/>
                <w:szCs w:val="24"/>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w w:val="97"/>
              </w:rPr>
              <w:t>% to ramp-up serial production to allow for short-term product</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520" w:type="dxa"/>
            <w:vAlign w:val="bottom"/>
            <w:gridSpan w:val="3"/>
          </w:tcPr>
          <w:p>
            <w:pPr>
              <w:ind w:left="20"/>
              <w:spacing w:after="0"/>
              <w:rPr>
                <w:sz w:val="20"/>
                <w:szCs w:val="20"/>
                <w:color w:val="auto"/>
              </w:rPr>
            </w:pPr>
            <w:r>
              <w:rPr>
                <w:rFonts w:ascii="Arial" w:cs="Arial" w:eastAsia="Arial" w:hAnsi="Arial"/>
                <w:sz w:val="12"/>
                <w:szCs w:val="12"/>
                <w:color w:val="auto"/>
                <w:w w:val="92"/>
              </w:rPr>
              <w:t>deployment within large-scale customer programs;</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w w:val="97"/>
              </w:rPr>
              <w:t>% to further advance our existing products and to expand our</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60" w:type="dxa"/>
            <w:vAlign w:val="bottom"/>
            <w:gridSpan w:val="4"/>
          </w:tcPr>
          <w:p>
            <w:pPr>
              <w:ind w:left="20"/>
              <w:spacing w:after="0"/>
              <w:rPr>
                <w:sz w:val="20"/>
                <w:szCs w:val="20"/>
                <w:color w:val="auto"/>
              </w:rPr>
            </w:pPr>
            <w:r>
              <w:rPr>
                <w:rFonts w:ascii="Arial" w:cs="Arial" w:eastAsia="Arial" w:hAnsi="Arial"/>
                <w:sz w:val="12"/>
                <w:szCs w:val="12"/>
                <w:color w:val="auto"/>
                <w:w w:val="91"/>
              </w:rPr>
              <w:t>product portfolio to support new applications and increase our addressable market;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rPr>
              <w:t>% for investments in additional research and development</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60" w:type="dxa"/>
            <w:vAlign w:val="bottom"/>
            <w:gridSpan w:val="4"/>
          </w:tcPr>
          <w:p>
            <w:pPr>
              <w:ind w:left="20"/>
              <w:spacing w:after="0"/>
              <w:rPr>
                <w:sz w:val="20"/>
                <w:szCs w:val="20"/>
                <w:color w:val="auto"/>
              </w:rPr>
            </w:pPr>
            <w:r>
              <w:rPr>
                <w:rFonts w:ascii="Arial" w:cs="Arial" w:eastAsia="Arial" w:hAnsi="Arial"/>
                <w:sz w:val="12"/>
                <w:szCs w:val="12"/>
                <w:color w:val="auto"/>
                <w:w w:val="91"/>
              </w:rPr>
              <w:t>equipment to further accelerate product development in both our German and U.S.</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color w:val="auto"/>
              </w:rPr>
              <w:t>facilities;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w w:val="95"/>
              </w:rPr>
              <w:t>% to grow our sales and marketing efforts to expand access to</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60" w:type="dxa"/>
            <w:vAlign w:val="bottom"/>
            <w:gridSpan w:val="4"/>
          </w:tcPr>
          <w:p>
            <w:pPr>
              <w:ind w:left="20"/>
              <w:spacing w:after="0"/>
              <w:rPr>
                <w:sz w:val="20"/>
                <w:szCs w:val="20"/>
                <w:color w:val="auto"/>
              </w:rPr>
            </w:pPr>
            <w:r>
              <w:rPr>
                <w:rFonts w:ascii="Arial" w:cs="Arial" w:eastAsia="Arial" w:hAnsi="Arial"/>
                <w:sz w:val="12"/>
                <w:szCs w:val="12"/>
                <w:color w:val="auto"/>
                <w:w w:val="90"/>
              </w:rPr>
              <w:t>government and commercial customers, including the establishment of a U.S. entity</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520" w:type="dxa"/>
            <w:vAlign w:val="bottom"/>
            <w:gridSpan w:val="3"/>
          </w:tcPr>
          <w:p>
            <w:pPr>
              <w:ind w:left="20"/>
              <w:spacing w:after="0"/>
              <w:rPr>
                <w:sz w:val="20"/>
                <w:szCs w:val="20"/>
                <w:color w:val="auto"/>
              </w:rPr>
            </w:pPr>
            <w:r>
              <w:rPr>
                <w:rFonts w:ascii="Arial" w:cs="Arial" w:eastAsia="Arial" w:hAnsi="Arial"/>
                <w:sz w:val="12"/>
                <w:szCs w:val="12"/>
                <w:color w:val="auto"/>
                <w:w w:val="98"/>
              </w:rPr>
              <w:t>cleared for access to classified information; and</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740" w:type="dxa"/>
            <w:vAlign w:val="bottom"/>
          </w:tcPr>
          <w:p>
            <w:pPr>
              <w:spacing w:after="0"/>
              <w:rPr>
                <w:sz w:val="19"/>
                <w:szCs w:val="19"/>
                <w:color w:val="auto"/>
              </w:rPr>
            </w:pPr>
          </w:p>
        </w:tc>
        <w:tc>
          <w:tcPr>
            <w:tcW w:w="1260" w:type="dxa"/>
            <w:vAlign w:val="bottom"/>
          </w:tcPr>
          <w:p>
            <w:pPr>
              <w:ind w:left="1080"/>
              <w:spacing w:after="0"/>
              <w:rPr>
                <w:sz w:val="20"/>
                <w:szCs w:val="20"/>
                <w:color w:val="auto"/>
              </w:rPr>
            </w:pPr>
            <w:r>
              <w:rPr>
                <w:rFonts w:ascii="Arial" w:cs="Arial" w:eastAsia="Arial" w:hAnsi="Arial"/>
                <w:sz w:val="12"/>
                <w:szCs w:val="12"/>
                <w:color w:val="auto"/>
              </w:rPr>
              <w:t>•</w:t>
            </w:r>
          </w:p>
        </w:tc>
        <w:tc>
          <w:tcPr>
            <w:tcW w:w="800" w:type="dxa"/>
            <w:vAlign w:val="bottom"/>
          </w:tcPr>
          <w:p>
            <w:pPr>
              <w:ind w:left="20"/>
              <w:spacing w:after="0"/>
              <w:rPr>
                <w:sz w:val="20"/>
                <w:szCs w:val="20"/>
                <w:color w:val="auto"/>
              </w:rPr>
            </w:pPr>
            <w:r>
              <w:rPr>
                <w:rFonts w:ascii="Arial" w:cs="Arial" w:eastAsia="Arial" w:hAnsi="Arial"/>
                <w:sz w:val="12"/>
                <w:szCs w:val="12"/>
                <w:color w:val="auto"/>
              </w:rPr>
              <w:t>approximately</w:t>
            </w:r>
          </w:p>
        </w:tc>
        <w:tc>
          <w:tcPr>
            <w:tcW w:w="3260" w:type="dxa"/>
            <w:vAlign w:val="bottom"/>
            <w:gridSpan w:val="3"/>
          </w:tcPr>
          <w:p>
            <w:pPr>
              <w:ind w:left="60"/>
              <w:spacing w:after="0"/>
              <w:rPr>
                <w:sz w:val="20"/>
                <w:szCs w:val="20"/>
                <w:color w:val="auto"/>
              </w:rPr>
            </w:pPr>
            <w:r>
              <w:rPr>
                <w:rFonts w:ascii="Arial" w:cs="Arial" w:eastAsia="Arial" w:hAnsi="Arial"/>
                <w:sz w:val="12"/>
                <w:szCs w:val="12"/>
                <w:color w:val="auto"/>
              </w:rPr>
              <w:t>% to repay the outstanding amount of €7.5 million and any</w:t>
            </w:r>
          </w:p>
        </w:tc>
        <w:tc>
          <w:tcPr>
            <w:tcW w:w="0" w:type="dxa"/>
            <w:vAlign w:val="bottom"/>
          </w:tcPr>
          <w:p>
            <w:pPr>
              <w:spacing w:after="0"/>
              <w:rPr>
                <w:sz w:val="1"/>
                <w:szCs w:val="1"/>
                <w:color w:val="auto"/>
              </w:rPr>
            </w:pPr>
          </w:p>
        </w:tc>
      </w:tr>
    </w:tbl>
    <w:p>
      <w:pPr>
        <w:ind w:left="5120"/>
        <w:spacing w:after="0"/>
        <w:rPr>
          <w:sz w:val="20"/>
          <w:szCs w:val="20"/>
          <w:color w:val="auto"/>
        </w:rPr>
      </w:pPr>
      <w:r>
        <w:rPr>
          <w:rFonts w:ascii="Arial" w:cs="Arial" w:eastAsia="Arial" w:hAnsi="Arial"/>
          <w:sz w:val="11"/>
          <w:szCs w:val="11"/>
          <w:color w:val="auto"/>
        </w:rPr>
        <w:t>accrued and unpaid commitment fee, interest and premium, if any, under the credit</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agreement entered into with three lenders for a credit line of approximately €25</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million on September 15, 2021 (see also “Management’s Discussion and Analysis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of Financial Condition and Results of Operations—Liquidity and Capital Resources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—Credit Agreement”).</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161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70425" cy="3161665"/>
                    </a:xfrm>
                    <a:prstGeom prst="rect">
                      <a:avLst/>
                    </a:prstGeom>
                    <a:noFill/>
                  </pic:spPr>
                </pic:pic>
              </a:graphicData>
            </a:graphic>
          </wp:anchor>
        </w:drawing>
      </w:r>
    </w:p>
    <w:p>
      <w:pPr>
        <w:spacing w:after="0" w:line="312" w:lineRule="exact"/>
        <w:rPr>
          <w:sz w:val="20"/>
          <w:szCs w:val="20"/>
          <w:color w:val="auto"/>
        </w:rPr>
      </w:pPr>
    </w:p>
    <w:p>
      <w:pPr>
        <w:ind w:left="4780"/>
        <w:spacing w:after="0"/>
        <w:rPr>
          <w:sz w:val="20"/>
          <w:szCs w:val="20"/>
          <w:color w:val="auto"/>
        </w:rPr>
      </w:pPr>
      <w:r>
        <w:rPr>
          <w:rFonts w:ascii="Arial" w:cs="Arial" w:eastAsia="Arial" w:hAnsi="Arial"/>
          <w:sz w:val="10"/>
          <w:szCs w:val="10"/>
          <w:color w:val="auto"/>
        </w:rPr>
        <w:t>See “Use of Proceeds.”</w:t>
      </w:r>
    </w:p>
    <w:p>
      <w:pPr>
        <w:sectPr>
          <w:pgSz w:w="11900" w:h="16838" w:orient="portrait"/>
          <w:cols w:equalWidth="0" w:num="1">
            <w:col w:w="10159"/>
          </w:cols>
          <w:pgMar w:left="300" w:top="354" w:right="1440" w:bottom="1440" w:gutter="0" w:footer="0" w:header="0"/>
        </w:sectPr>
      </w:pPr>
    </w:p>
    <w:p>
      <w:pPr>
        <w:spacing w:after="0" w:line="187"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Dividend policy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979"/>
        <w:spacing w:after="0" w:line="281" w:lineRule="auto"/>
        <w:rPr>
          <w:sz w:val="20"/>
          <w:szCs w:val="20"/>
          <w:color w:val="auto"/>
        </w:rPr>
      </w:pPr>
      <w:r>
        <w:rPr>
          <w:rFonts w:ascii="Arial" w:cs="Arial" w:eastAsia="Arial" w:hAnsi="Arial"/>
          <w:sz w:val="11"/>
          <w:szCs w:val="11"/>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Any future determination to pay dividends will be made in accordance with applicable laws, and will depend upon, among other factors, our results of operations, financial condition, contractual restrictions and capital requirements. See “Dividend Policy.”</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Lock-up agreements</w:t>
      </w:r>
    </w:p>
    <w:p>
      <w:pPr>
        <w:spacing w:after="0" w:line="20" w:lineRule="exact"/>
        <w:rPr>
          <w:sz w:val="20"/>
          <w:szCs w:val="20"/>
          <w:color w:val="auto"/>
        </w:rPr>
      </w:pPr>
      <w:r>
        <w:rPr>
          <w:sz w:val="20"/>
          <w:szCs w:val="20"/>
          <w:color w:val="auto"/>
        </w:rPr>
        <w:br w:type="column"/>
      </w:r>
    </w:p>
    <w:p>
      <w:pPr>
        <w:ind w:right="1019"/>
        <w:spacing w:after="0" w:line="313" w:lineRule="auto"/>
        <w:rPr>
          <w:sz w:val="20"/>
          <w:szCs w:val="20"/>
          <w:color w:val="auto"/>
        </w:rPr>
      </w:pPr>
      <w:r>
        <w:rPr>
          <w:rFonts w:ascii="Arial" w:cs="Arial" w:eastAsia="Arial" w:hAnsi="Arial"/>
          <w:sz w:val="10"/>
          <w:szCs w:val="10"/>
          <w:color w:val="auto"/>
        </w:rPr>
        <w:t>We have agreed with Credit Suisse and Jefferies as representatives of the underwriters, subject to certain exceptions, not to, directly or indirectly, offer, sell, assign, transfer, pledge, contract to sell, or otherwise dispose of our ordinary shares, ADSs or securities convertible into or exchangeable or exercisable for our ordinary shares or ADSs during the 180-day period following the date of this prospectus. The members of our management board and supervisory board and certain existing shareholders have agreed to substantially similar lock-up provisions, subject to certain exceptions. See “Underwriting.”</w:t>
      </w:r>
    </w:p>
    <w:p>
      <w:pPr>
        <w:spacing w:after="0" w:line="116"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760"/>
        <w:spacing w:after="0"/>
        <w:rPr>
          <w:sz w:val="20"/>
          <w:szCs w:val="20"/>
          <w:color w:val="auto"/>
        </w:rPr>
      </w:pPr>
      <w:r>
        <w:rPr>
          <w:rFonts w:ascii="Arial" w:cs="Arial" w:eastAsia="Arial" w:hAnsi="Arial"/>
          <w:sz w:val="10"/>
          <w:szCs w:val="10"/>
          <w:b w:val="1"/>
          <w:bCs w:val="1"/>
          <w:color w:val="auto"/>
        </w:rPr>
        <w:t>Risk factors</w:t>
      </w:r>
    </w:p>
    <w:p>
      <w:pPr>
        <w:spacing w:after="0" w:line="20" w:lineRule="exact"/>
        <w:rPr>
          <w:sz w:val="20"/>
          <w:szCs w:val="20"/>
          <w:color w:val="auto"/>
        </w:rPr>
      </w:pPr>
      <w:r>
        <w:rPr>
          <w:sz w:val="20"/>
          <w:szCs w:val="20"/>
          <w:color w:val="auto"/>
        </w:rPr>
        <w:br w:type="column"/>
      </w:r>
    </w:p>
    <w:p>
      <w:pPr>
        <w:ind w:right="1159"/>
        <w:spacing w:after="0" w:line="323" w:lineRule="auto"/>
        <w:rPr>
          <w:sz w:val="20"/>
          <w:szCs w:val="20"/>
          <w:color w:val="auto"/>
        </w:rPr>
      </w:pPr>
      <w:r>
        <w:rPr>
          <w:rFonts w:ascii="Arial" w:cs="Arial" w:eastAsia="Arial" w:hAnsi="Arial"/>
          <w:sz w:val="11"/>
          <w:szCs w:val="11"/>
          <w:color w:val="auto"/>
        </w:rPr>
        <w:t>See “Risk Factors” and other information included in this prospectus for a discussion of factors you should carefully consider before deciding to invest in the ADSs.</w:t>
      </w:r>
    </w:p>
    <w:p>
      <w:pPr>
        <w:spacing w:after="0" w:line="106"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500"/>
        <w:spacing w:after="0"/>
        <w:rPr>
          <w:sz w:val="20"/>
          <w:szCs w:val="20"/>
          <w:color w:val="auto"/>
        </w:rPr>
      </w:pPr>
      <w:r>
        <w:rPr>
          <w:rFonts w:ascii="Arial" w:cs="Arial" w:eastAsia="Arial" w:hAnsi="Arial"/>
          <w:sz w:val="10"/>
          <w:szCs w:val="10"/>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We have applied to list the ADSs on Nasdaq under the symbol “MYNA.”</w:t>
      </w:r>
    </w:p>
    <w:p>
      <w:pPr>
        <w:spacing w:after="0" w:line="104"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Frankfurt Stock Exchange listing</w:t>
      </w:r>
    </w:p>
    <w:p>
      <w:pPr>
        <w:spacing w:after="0" w:line="20" w:lineRule="exact"/>
        <w:rPr>
          <w:sz w:val="20"/>
          <w:szCs w:val="20"/>
          <w:color w:val="auto"/>
        </w:rPr>
      </w:pPr>
      <w:r>
        <w:rPr>
          <w:sz w:val="20"/>
          <w:szCs w:val="20"/>
          <w:color w:val="auto"/>
        </w:rPr>
        <w:br w:type="column"/>
      </w:r>
    </w:p>
    <w:p>
      <w:pPr>
        <w:jc w:val="center"/>
        <w:ind w:right="1079"/>
        <w:spacing w:after="0"/>
        <w:rPr>
          <w:sz w:val="20"/>
          <w:szCs w:val="20"/>
          <w:color w:val="auto"/>
        </w:rPr>
      </w:pPr>
      <w:r>
        <w:rPr>
          <w:rFonts w:ascii="Arial" w:cs="Arial" w:eastAsia="Arial" w:hAnsi="Arial"/>
          <w:sz w:val="10"/>
          <w:szCs w:val="10"/>
          <w:color w:val="auto"/>
        </w:rPr>
        <w:t>Our ordinary shares are listed on the Frankfurt Stock Exchange under the symbol “M0Y.”</w:t>
      </w:r>
    </w:p>
    <w:p>
      <w:pPr>
        <w:spacing w:after="0" w:line="200"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4780"/>
        <w:spacing w:after="0"/>
        <w:rPr>
          <w:sz w:val="20"/>
          <w:szCs w:val="20"/>
          <w:color w:val="auto"/>
        </w:rPr>
      </w:pPr>
      <w:r>
        <w:rPr>
          <w:rFonts w:ascii="Arial" w:cs="Arial" w:eastAsia="Arial" w:hAnsi="Arial"/>
          <w:sz w:val="10"/>
          <w:szCs w:val="10"/>
          <w:color w:val="auto"/>
        </w:rPr>
        <w:t>We intend to terminate the listing of our ordinary shares on the Frankfurt Stock Exchange</w:t>
      </w:r>
    </w:p>
    <w:p>
      <w:pPr>
        <w:spacing w:after="0" w:line="38"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following listing of the ADSs on the Nasdaq.</w:t>
      </w:r>
    </w:p>
    <w:p>
      <w:pPr>
        <w:sectPr>
          <w:pgSz w:w="11900" w:h="16838" w:orient="portrait"/>
          <w:cols w:equalWidth="0" w:num="1">
            <w:col w:w="10159"/>
          </w:cols>
          <w:pgMar w:left="300" w:top="354" w:right="1440" w:bottom="1440" w:gutter="0" w:footer="0" w:header="0"/>
          <w:type w:val="continuous"/>
        </w:sectPr>
      </w:pPr>
    </w:p>
    <w:p>
      <w:pPr>
        <w:spacing w:after="0" w:line="141"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Unless otherwise indicated, all information contained in this prospectus assumes or gives effect to:</w:t>
      </w:r>
    </w:p>
    <w:p>
      <w:pPr>
        <w:spacing w:after="0" w:line="110" w:lineRule="exact"/>
        <w:rPr>
          <w:sz w:val="20"/>
          <w:szCs w:val="20"/>
          <w:color w:val="auto"/>
        </w:rPr>
      </w:pPr>
    </w:p>
    <w:p>
      <w:pPr>
        <w:ind w:left="2440"/>
        <w:spacing w:after="0"/>
        <w:tabs>
          <w:tab w:leader="none" w:pos="2700" w:val="left"/>
          <w:tab w:leader="none" w:pos="47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 initial public offering price of $</w:t>
      </w:r>
      <w:r>
        <w:rPr>
          <w:sz w:val="20"/>
          <w:szCs w:val="20"/>
          <w:color w:val="auto"/>
        </w:rPr>
        <w:tab/>
      </w:r>
      <w:r>
        <w:rPr>
          <w:rFonts w:ascii="Arial" w:cs="Arial" w:eastAsia="Arial" w:hAnsi="Arial"/>
          <w:sz w:val="10"/>
          <w:szCs w:val="10"/>
          <w:color w:val="auto"/>
        </w:rPr>
        <w:t>per ADS; and</w:t>
      </w:r>
    </w:p>
    <w:p>
      <w:pPr>
        <w:spacing w:after="0" w:line="87" w:lineRule="exact"/>
        <w:rPr>
          <w:sz w:val="20"/>
          <w:szCs w:val="20"/>
          <w:color w:val="auto"/>
        </w:rPr>
      </w:pPr>
    </w:p>
    <w:p>
      <w:pPr>
        <w:ind w:left="5580" w:right="3039" w:hanging="3135"/>
        <w:spacing w:after="0" w:line="745" w:lineRule="auto"/>
        <w:tabs>
          <w:tab w:leader="none" w:pos="2711"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 exercise by the underwriters of their option to purchase additional ADSs in this offering. 16</w:t>
      </w:r>
    </w:p>
    <w:p>
      <w:pPr>
        <w:sectPr>
          <w:pgSz w:w="11900" w:h="16838" w:orient="portrait"/>
          <w:cols w:equalWidth="0" w:num="1">
            <w:col w:w="10159"/>
          </w:cols>
          <w:pgMar w:left="300" w:top="354" w:right="1440" w:bottom="1440" w:gutter="0" w:footer="0" w:header="0"/>
          <w:type w:val="continuous"/>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584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70425" cy="4584700"/>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SUMMARY FINANCIAL DATA</w:t>
      </w:r>
    </w:p>
    <w:p>
      <w:pPr>
        <w:spacing w:after="0" w:line="154" w:lineRule="exact"/>
        <w:rPr>
          <w:sz w:val="20"/>
          <w:szCs w:val="20"/>
          <w:color w:val="auto"/>
        </w:rPr>
      </w:pPr>
    </w:p>
    <w:p>
      <w:pPr>
        <w:ind w:left="2100" w:right="979" w:firstLine="284"/>
        <w:spacing w:after="0" w:line="256" w:lineRule="auto"/>
        <w:rPr>
          <w:sz w:val="20"/>
          <w:szCs w:val="20"/>
          <w:color w:val="auto"/>
        </w:rPr>
      </w:pPr>
      <w:r>
        <w:rPr>
          <w:rFonts w:ascii="Arial" w:cs="Arial" w:eastAsia="Arial" w:hAnsi="Arial"/>
          <w:sz w:val="12"/>
          <w:szCs w:val="12"/>
          <w:color w:val="auto"/>
        </w:rPr>
        <w:t>We present below a summary of historical financial data of Mynaric AG. The financial data as of and for the six months ended June 30, 2020 and June 30, 2021, has been derived from our unaudited condensed interim financial statements and the related notes thereto, which are included elsewhere in this prospectus. The financial data as of and for the years ended December 31, 2020 and 2019, has been derived from our audited consolidated financial statements and the related notes thereto, which are included elsewhere in this prospectus. Our consolidated financial data has been prepared in accordance with IFRS as issued by the IASB.</w:t>
      </w:r>
    </w:p>
    <w:p>
      <w:pPr>
        <w:spacing w:after="0" w:line="128"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The summary of historical financial data presented below is not necessarily indicative of the financial results expected for any future periods. The summary of historical financial data below does not contain all the information included in our financial statements. You should read this information in conjunction with “Management’s Discussion and Analysis of Financial Condition and Results of Operations” and our financial statements and the related notes thereto, each included elsewhere in this prospectus.</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Statement of Income (Loss) and Statement of Comprehensive Income (Loss)</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0"/>
                <w:szCs w:val="10"/>
                <w:b w:val="1"/>
                <w:bCs w:val="1"/>
                <w:color w:val="auto"/>
                <w:w w:val="98"/>
              </w:rPr>
              <w:t>For the six months ended June 30,</w:t>
            </w:r>
          </w:p>
        </w:tc>
        <w:tc>
          <w:tcPr>
            <w:tcW w:w="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jc w:val="center"/>
              <w:ind w:left="48"/>
              <w:spacing w:after="0" w:line="88" w:lineRule="exact"/>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440" w:type="dxa"/>
            <w:vAlign w:val="bottom"/>
            <w:tcBorders>
              <w:right w:val="single" w:sz="8" w:color="auto"/>
            </w:tcBorders>
            <w:gridSpan w:val="6"/>
          </w:tcPr>
          <w:p>
            <w:pPr>
              <w:jc w:val="center"/>
              <w:ind w:right="320"/>
              <w:spacing w:after="0" w:line="114" w:lineRule="exact"/>
              <w:rPr>
                <w:sz w:val="20"/>
                <w:szCs w:val="20"/>
                <w:color w:val="auto"/>
              </w:rPr>
            </w:pPr>
            <w:r>
              <w:rPr>
                <w:rFonts w:ascii="Arial" w:cs="Arial" w:eastAsia="Arial" w:hAnsi="Arial"/>
                <w:sz w:val="10"/>
                <w:szCs w:val="10"/>
                <w:b w:val="1"/>
                <w:bCs w:val="1"/>
                <w:color w:val="auto"/>
                <w:w w:val="82"/>
              </w:rPr>
              <w:t>(in € thousands)</w:t>
            </w:r>
          </w:p>
        </w:tc>
        <w:tc>
          <w:tcPr>
            <w:tcW w:w="40" w:type="dxa"/>
            <w:vAlign w:val="bottom"/>
          </w:tcPr>
          <w:p>
            <w:pPr>
              <w:spacing w:after="0"/>
              <w:rPr>
                <w:sz w:val="9"/>
                <w:szCs w:val="9"/>
                <w:color w:val="auto"/>
              </w:rPr>
            </w:pPr>
          </w:p>
        </w:tc>
        <w:tc>
          <w:tcPr>
            <w:tcW w:w="1400" w:type="dxa"/>
            <w:vAlign w:val="bottom"/>
            <w:gridSpan w:val="7"/>
          </w:tcPr>
          <w:p>
            <w:pPr>
              <w:jc w:val="center"/>
              <w:ind w:right="160"/>
              <w:spacing w:after="0" w:line="114" w:lineRule="exact"/>
              <w:rPr>
                <w:sz w:val="20"/>
                <w:szCs w:val="20"/>
                <w:color w:val="auto"/>
              </w:rPr>
            </w:pPr>
            <w:r>
              <w:rPr>
                <w:rFonts w:ascii="Arial" w:cs="Arial" w:eastAsia="Arial" w:hAnsi="Arial"/>
                <w:sz w:val="10"/>
                <w:szCs w:val="10"/>
                <w:b w:val="1"/>
                <w:bCs w:val="1"/>
                <w:color w:val="auto"/>
                <w:w w:val="82"/>
              </w:rPr>
              <w:t>(in € thousands)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420" w:type="dxa"/>
            <w:vAlign w:val="bottom"/>
            <w:tcBorders>
              <w:top w:val="single" w:sz="8" w:color="auto"/>
            </w:tcBorders>
            <w:gridSpan w:val="2"/>
          </w:tcPr>
          <w:p>
            <w:pPr>
              <w:jc w:val="right"/>
              <w:ind w:right="158"/>
              <w:spacing w:after="0" w:line="88" w:lineRule="exact"/>
              <w:rPr>
                <w:sz w:val="20"/>
                <w:szCs w:val="20"/>
                <w:color w:val="auto"/>
              </w:rPr>
            </w:pPr>
            <w:r>
              <w:rPr>
                <w:rFonts w:ascii="Arial" w:cs="Arial" w:eastAsia="Arial" w:hAnsi="Arial"/>
                <w:sz w:val="10"/>
                <w:szCs w:val="10"/>
                <w:b w:val="1"/>
                <w:bCs w:val="1"/>
                <w:color w:val="auto"/>
              </w:rPr>
              <w:t>Air</w:t>
            </w:r>
          </w:p>
        </w:tc>
        <w:tc>
          <w:tcPr>
            <w:tcW w:w="40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w w:val="88"/>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230</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24</w:t>
            </w:r>
          </w:p>
        </w:tc>
        <w:tc>
          <w:tcPr>
            <w:tcW w:w="6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247</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271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20" w:type="dxa"/>
            <w:vAlign w:val="bottom"/>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(696)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(1,826)</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(2,522)</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(3,352)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(4,431)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Personnel expenses</w:t>
            </w:r>
          </w:p>
        </w:tc>
        <w:tc>
          <w:tcPr>
            <w:tcW w:w="420" w:type="dxa"/>
            <w:vAlign w:val="bottom"/>
            <w:gridSpan w:val="2"/>
          </w:tcPr>
          <w:p>
            <w:pPr>
              <w:jc w:val="right"/>
              <w:ind w:right="38"/>
              <w:spacing w:after="0"/>
              <w:rPr>
                <w:sz w:val="20"/>
                <w:szCs w:val="20"/>
                <w:color w:val="auto"/>
              </w:rPr>
            </w:pPr>
            <w:r>
              <w:rPr>
                <w:rFonts w:ascii="Arial" w:cs="Arial" w:eastAsia="Arial" w:hAnsi="Arial"/>
                <w:sz w:val="11"/>
                <w:szCs w:val="11"/>
                <w:color w:val="auto"/>
                <w:w w:val="91"/>
              </w:rPr>
              <w:t>(2,763)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(4,840)</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1"/>
              </w:rPr>
              <w:t>(7,603)</w:t>
            </w:r>
          </w:p>
        </w:tc>
        <w:tc>
          <w:tcPr>
            <w:tcW w:w="4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520" w:type="dxa"/>
            <w:vAlign w:val="bottom"/>
            <w:gridSpan w:val="3"/>
          </w:tcPr>
          <w:p>
            <w:pPr>
              <w:jc w:val="right"/>
              <w:ind w:right="60"/>
              <w:spacing w:after="0"/>
              <w:rPr>
                <w:sz w:val="20"/>
                <w:szCs w:val="20"/>
                <w:color w:val="auto"/>
              </w:rPr>
            </w:pPr>
            <w:r>
              <w:rPr>
                <w:rFonts w:ascii="Arial" w:cs="Arial" w:eastAsia="Arial" w:hAnsi="Arial"/>
                <w:sz w:val="11"/>
                <w:szCs w:val="11"/>
                <w:color w:val="auto"/>
              </w:rPr>
              <w:t>(7,901)</w:t>
            </w: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9"/>
                <w:szCs w:val="9"/>
                <w:color w:val="auto"/>
              </w:rPr>
              <w:t>(10,812)</w:t>
            </w:r>
            <w:r>
              <w:rPr>
                <w:rFonts w:ascii="Arial" w:cs="Arial" w:eastAsia="Arial" w:hAnsi="Arial"/>
                <w:sz w:val="15"/>
                <w:szCs w:val="15"/>
                <w:color w:val="auto"/>
                <w:vertAlign w:val="superscript"/>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1"/>
                <w:szCs w:val="11"/>
                <w:color w:val="auto"/>
              </w:rPr>
              <w:t>equipment</w:t>
            </w:r>
          </w:p>
        </w:tc>
        <w:tc>
          <w:tcPr>
            <w:tcW w:w="420" w:type="dxa"/>
            <w:vAlign w:val="bottom"/>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(384)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(1,434)</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Other operating expenses</w:t>
            </w:r>
          </w:p>
        </w:tc>
        <w:tc>
          <w:tcPr>
            <w:tcW w:w="420" w:type="dxa"/>
            <w:vAlign w:val="bottom"/>
            <w:gridSpan w:val="2"/>
          </w:tcPr>
          <w:p>
            <w:pPr>
              <w:jc w:val="right"/>
              <w:ind w:right="38"/>
              <w:spacing w:after="0"/>
              <w:rPr>
                <w:sz w:val="20"/>
                <w:szCs w:val="20"/>
                <w:color w:val="auto"/>
              </w:rPr>
            </w:pPr>
            <w:r>
              <w:rPr>
                <w:rFonts w:ascii="Arial" w:cs="Arial" w:eastAsia="Arial" w:hAnsi="Arial"/>
                <w:sz w:val="11"/>
                <w:szCs w:val="11"/>
                <w:color w:val="auto"/>
              </w:rPr>
              <w:t>(627)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(1,409)</w:t>
            </w:r>
          </w:p>
        </w:tc>
        <w:tc>
          <w:tcPr>
            <w:tcW w:w="62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9"/>
                <w:szCs w:val="9"/>
                <w:color w:val="auto"/>
              </w:rPr>
              <w:t>(2,147)</w:t>
            </w:r>
            <w:r>
              <w:rPr>
                <w:rFonts w:ascii="Arial" w:cs="Arial" w:eastAsia="Arial" w:hAnsi="Arial"/>
                <w:sz w:val="15"/>
                <w:szCs w:val="15"/>
                <w:color w:val="auto"/>
                <w:vertAlign w:val="superscript"/>
              </w:rPr>
              <w:t>(2)</w:t>
            </w:r>
          </w:p>
        </w:tc>
        <w:tc>
          <w:tcPr>
            <w:tcW w:w="4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520" w:type="dxa"/>
            <w:vAlign w:val="bottom"/>
            <w:gridSpan w:val="3"/>
          </w:tcPr>
          <w:p>
            <w:pPr>
              <w:jc w:val="right"/>
              <w:ind w:right="60"/>
              <w:spacing w:after="0"/>
              <w:rPr>
                <w:sz w:val="20"/>
                <w:szCs w:val="20"/>
                <w:color w:val="auto"/>
              </w:rPr>
            </w:pPr>
            <w:r>
              <w:rPr>
                <w:rFonts w:ascii="Arial" w:cs="Arial" w:eastAsia="Arial" w:hAnsi="Arial"/>
                <w:sz w:val="11"/>
                <w:szCs w:val="11"/>
                <w:color w:val="auto"/>
              </w:rPr>
              <w:t>(3,236)</w:t>
            </w: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9"/>
                <w:szCs w:val="9"/>
                <w:color w:val="auto"/>
              </w:rPr>
              <w:t>(4,160)</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568</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Own work capitalized</w:t>
            </w:r>
          </w:p>
        </w:tc>
        <w:tc>
          <w:tcPr>
            <w:tcW w:w="300" w:type="dxa"/>
            <w:vAlign w:val="bottom"/>
          </w:tcPr>
          <w:p>
            <w:pPr>
              <w:jc w:val="right"/>
              <w:spacing w:after="0"/>
              <w:rPr>
                <w:sz w:val="20"/>
                <w:szCs w:val="20"/>
                <w:color w:val="auto"/>
              </w:rPr>
            </w:pPr>
            <w:r>
              <w:rPr>
                <w:rFonts w:ascii="Arial" w:cs="Arial" w:eastAsia="Arial" w:hAnsi="Arial"/>
                <w:sz w:val="11"/>
                <w:szCs w:val="11"/>
                <w:color w:val="auto"/>
              </w:rPr>
              <w:t>1,422</w:t>
            </w:r>
          </w:p>
        </w:tc>
        <w:tc>
          <w:tcPr>
            <w:tcW w:w="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3,330</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4,752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2,471</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2,471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20" w:type="dxa"/>
            <w:vAlign w:val="bottom"/>
            <w:gridSpan w:val="2"/>
            <w:shd w:val="clear" w:color="auto" w:fill="CCEEFF"/>
          </w:tcPr>
          <w:p>
            <w:pPr>
              <w:jc w:val="right"/>
              <w:ind w:right="38"/>
              <w:spacing w:after="0"/>
              <w:rPr>
                <w:sz w:val="20"/>
                <w:szCs w:val="20"/>
                <w:color w:val="auto"/>
              </w:rPr>
            </w:pPr>
            <w:r>
              <w:rPr>
                <w:rFonts w:ascii="Arial" w:cs="Arial" w:eastAsia="Arial" w:hAnsi="Arial"/>
                <w:sz w:val="11"/>
                <w:szCs w:val="11"/>
                <w:b w:val="1"/>
                <w:bCs w:val="1"/>
                <w:color w:val="auto"/>
                <w:w w:val="91"/>
              </w:rPr>
              <w:t>(2,219)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(7,274)</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(11,288)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(16,240)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00" w:type="dxa"/>
            <w:vAlign w:val="bottom"/>
          </w:tcPr>
          <w:p>
            <w:pPr>
              <w:jc w:val="right"/>
              <w:spacing w:after="0"/>
              <w:rPr>
                <w:sz w:val="20"/>
                <w:szCs w:val="20"/>
                <w:color w:val="auto"/>
              </w:rPr>
            </w:pPr>
            <w:r>
              <w:rPr>
                <w:rFonts w:ascii="Arial" w:cs="Arial" w:eastAsia="Arial" w:hAnsi="Arial"/>
                <w:sz w:val="11"/>
                <w:szCs w:val="11"/>
                <w:color w:val="auto"/>
              </w:rPr>
              <w:t>17</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163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(7,293</w:t>
            </w:r>
            <w:r>
              <w:rPr>
                <w:rFonts w:ascii="Arial" w:cs="Arial" w:eastAsia="Arial" w:hAnsi="Arial"/>
                <w:sz w:val="11"/>
                <w:szCs w:val="11"/>
                <w:color w:val="auto"/>
                <w:w w:val="91"/>
              </w:rPr>
              <w:t>)</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(16,077</w:t>
            </w:r>
            <w:r>
              <w:rPr>
                <w:rFonts w:ascii="Arial" w:cs="Arial" w:eastAsia="Arial" w:hAnsi="Arial"/>
                <w:sz w:val="11"/>
                <w:szCs w:val="11"/>
                <w:color w:val="auto"/>
                <w:w w:val="92"/>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(7,293</w:t>
            </w:r>
            <w:r>
              <w:rPr>
                <w:rFonts w:ascii="Arial" w:cs="Arial" w:eastAsia="Arial" w:hAnsi="Arial"/>
                <w:sz w:val="11"/>
                <w:szCs w:val="11"/>
                <w:color w:val="auto"/>
                <w:w w:val="91"/>
              </w:rPr>
              <w:t>)</w:t>
            </w: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2"/>
              </w:rPr>
              <w:t>(16,077</w:t>
            </w:r>
            <w:r>
              <w:rPr>
                <w:rFonts w:ascii="Arial" w:cs="Arial" w:eastAsia="Arial" w:hAnsi="Arial"/>
                <w:sz w:val="11"/>
                <w:szCs w:val="11"/>
                <w:color w:val="auto"/>
                <w:w w:val="92"/>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00" w:type="dxa"/>
            <w:vAlign w:val="bottom"/>
          </w:tcPr>
          <w:p>
            <w:pPr>
              <w:jc w:val="right"/>
              <w:spacing w:after="0"/>
              <w:rPr>
                <w:sz w:val="20"/>
                <w:szCs w:val="20"/>
                <w:color w:val="auto"/>
              </w:rPr>
            </w:pPr>
            <w:r>
              <w:rPr>
                <w:rFonts w:ascii="Arial" w:cs="Arial" w:eastAsia="Arial" w:hAnsi="Arial"/>
                <w:sz w:val="11"/>
                <w:szCs w:val="11"/>
                <w:color w:val="auto"/>
              </w:rPr>
              <w:t>22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(138)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(7,271)</w:t>
            </w:r>
          </w:p>
        </w:tc>
        <w:tc>
          <w:tcPr>
            <w:tcW w:w="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2"/>
              </w:rPr>
              <w:t>(16,215)</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(2.33)</w:t>
            </w: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(2.33)</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(4)</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(2.33)</w:t>
            </w: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(4)</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(2.33)</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380" w:right="1439" w:hanging="286"/>
        <w:spacing w:after="0" w:line="268" w:lineRule="auto"/>
        <w:tabs>
          <w:tab w:leader="none" w:pos="2380" w:val="left"/>
        </w:tabs>
        <w:numPr>
          <w:ilvl w:val="0"/>
          <w:numId w:val="15"/>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“Management—Compensation of Management Board and Supervisory Board Members—Compensation of Management Board Member.”</w:t>
      </w:r>
    </w:p>
    <w:p>
      <w:pPr>
        <w:ind w:left="2380" w:right="999" w:hanging="286"/>
        <w:spacing w:after="0" w:line="206"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270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70425" cy="4270375"/>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0"/>
                <w:szCs w:val="10"/>
                <w:b w:val="1"/>
                <w:bCs w:val="1"/>
                <w:color w:val="auto"/>
                <w:w w:val="85"/>
              </w:rPr>
              <w:t>For the year ended December 31,</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2019</w:t>
            </w: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180" w:type="dxa"/>
            <w:vAlign w:val="bottom"/>
            <w:tcBorders>
              <w:bottom w:val="single" w:sz="8" w:color="auto"/>
            </w:tcBorders>
            <w:gridSpan w:val="6"/>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4"/>
          </w:tcPr>
          <w:p>
            <w:pPr>
              <w:jc w:val="right"/>
              <w:ind w:right="287"/>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40" w:type="dxa"/>
            <w:vAlign w:val="bottom"/>
            <w:gridSpan w:val="2"/>
          </w:tcPr>
          <w:p>
            <w:pPr>
              <w:jc w:val="center"/>
              <w:ind w:right="60"/>
              <w:spacing w:after="0" w:line="88" w:lineRule="exact"/>
              <w:rPr>
                <w:sz w:val="20"/>
                <w:szCs w:val="20"/>
                <w:color w:val="auto"/>
              </w:rPr>
            </w:pPr>
            <w:r>
              <w:rPr>
                <w:rFonts w:ascii="Arial" w:cs="Arial" w:eastAsia="Arial" w:hAnsi="Arial"/>
                <w:sz w:val="10"/>
                <w:szCs w:val="10"/>
                <w:b w:val="1"/>
                <w:bCs w:val="1"/>
                <w:color w:val="auto"/>
                <w:w w:val="81"/>
              </w:rPr>
              <w:t>Space</w:t>
            </w:r>
          </w:p>
        </w:tc>
        <w:tc>
          <w:tcPr>
            <w:tcW w:w="4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rPr>
              <w:t>Air</w:t>
            </w:r>
          </w:p>
        </w:tc>
        <w:tc>
          <w:tcPr>
            <w:tcW w:w="10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w w:val="94"/>
              </w:rPr>
              <w:t>Space</w:t>
            </w:r>
          </w:p>
        </w:tc>
        <w:tc>
          <w:tcPr>
            <w:tcW w:w="440" w:type="dxa"/>
            <w:vAlign w:val="bottom"/>
          </w:tcPr>
          <w:p>
            <w:pPr>
              <w:jc w:val="right"/>
              <w:ind w:right="27"/>
              <w:spacing w:after="0" w:line="88" w:lineRule="exact"/>
              <w:rPr>
                <w:sz w:val="20"/>
                <w:szCs w:val="20"/>
                <w:color w:val="auto"/>
              </w:rPr>
            </w:pPr>
            <w:r>
              <w:rPr>
                <w:rFonts w:ascii="Arial" w:cs="Arial" w:eastAsia="Arial" w:hAnsi="Arial"/>
                <w:sz w:val="10"/>
                <w:szCs w:val="10"/>
                <w:b w:val="1"/>
                <w:bCs w:val="1"/>
                <w:color w:val="auto"/>
              </w:rPr>
              <w:t>Group</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105</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147</w:t>
            </w:r>
          </w:p>
        </w:tc>
        <w:tc>
          <w:tcPr>
            <w:tcW w:w="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252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74</w:t>
            </w:r>
          </w:p>
        </w:tc>
        <w:tc>
          <w:tcPr>
            <w:tcW w:w="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(1,864)</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(2,290)</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(4,585)</w:t>
            </w:r>
          </w:p>
        </w:tc>
        <w:tc>
          <w:tcPr>
            <w:tcW w:w="72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(1)</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(4,923)</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color w:val="auto"/>
              </w:rPr>
              <w:t>(11,911)</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(16,834)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w w:val="90"/>
              </w:rPr>
              <w:t>Depreciation, amortization and impairment of other intangible assets and property, plant, and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(666)</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(1,556)</w:t>
            </w:r>
          </w:p>
        </w:tc>
        <w:tc>
          <w:tcPr>
            <w:tcW w:w="72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(2)</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(1,320)</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color w:val="auto"/>
              </w:rPr>
              <w:t>(3,581)</w:t>
            </w: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Own work capitalized</w:t>
            </w:r>
          </w:p>
        </w:tc>
        <w:tc>
          <w:tcPr>
            <w:tcW w:w="300" w:type="dxa"/>
            <w:vAlign w:val="bottom"/>
          </w:tcPr>
          <w:p>
            <w:pPr>
              <w:jc w:val="right"/>
              <w:spacing w:after="0"/>
              <w:rPr>
                <w:sz w:val="20"/>
                <w:szCs w:val="20"/>
                <w:color w:val="auto"/>
              </w:rPr>
            </w:pPr>
            <w:r>
              <w:rPr>
                <w:rFonts w:ascii="Arial" w:cs="Arial" w:eastAsia="Arial" w:hAnsi="Arial"/>
                <w:sz w:val="11"/>
                <w:szCs w:val="11"/>
                <w:color w:val="auto"/>
              </w:rPr>
              <w:t>2,184</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3,227</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2,102</w:t>
            </w:r>
          </w:p>
        </w:tc>
        <w:tc>
          <w:tcPr>
            <w:tcW w:w="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7,273</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(5,091)</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(6,423)</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(12,391)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73</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tcPr>
          <w:p>
            <w:pPr>
              <w:jc w:val="right"/>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rPr>
              <w:t>182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(19,770)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(19,770)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tcPr>
          <w:p>
            <w:pPr>
              <w:jc w:val="right"/>
              <w:spacing w:after="0"/>
              <w:rPr>
                <w:sz w:val="20"/>
                <w:szCs w:val="20"/>
                <w:color w:val="auto"/>
              </w:rPr>
            </w:pPr>
            <w:r>
              <w:rPr>
                <w:rFonts w:ascii="Arial" w:cs="Arial" w:eastAsia="Arial" w:hAnsi="Arial"/>
                <w:sz w:val="11"/>
                <w:szCs w:val="11"/>
                <w:color w:val="auto"/>
              </w:rPr>
              <w:t>367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4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(19,403)</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(4)</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380" w:right="1179" w:hanging="286"/>
        <w:spacing w:after="0" w:line="214"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9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Cash Flow Statement Data</w:t>
      </w:r>
    </w:p>
    <w:p>
      <w:pPr>
        <w:spacing w:after="0" w:line="150"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7"/>
              </w:rPr>
              <w:t>For the year</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4520" w:type="dxa"/>
            <w:vAlign w:val="bottom"/>
          </w:tcPr>
          <w:p>
            <w:pPr>
              <w:spacing w:after="0"/>
              <w:rPr>
                <w:sz w:val="9"/>
                <w:szCs w:val="9"/>
                <w:color w:val="auto"/>
              </w:rPr>
            </w:pPr>
          </w:p>
        </w:tc>
        <w:tc>
          <w:tcPr>
            <w:tcW w:w="1440" w:type="dxa"/>
            <w:vAlign w:val="bottom"/>
            <w:gridSpan w:val="3"/>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112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5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2020</w:t>
            </w:r>
          </w:p>
        </w:tc>
        <w:tc>
          <w:tcPr>
            <w:tcW w:w="34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ind w:right="229"/>
              <w:spacing w:after="0" w:line="88" w:lineRule="exact"/>
              <w:rPr>
                <w:sz w:val="20"/>
                <w:szCs w:val="20"/>
                <w:color w:val="auto"/>
              </w:rPr>
            </w:pPr>
            <w:r>
              <w:rPr>
                <w:rFonts w:ascii="Arial" w:cs="Arial" w:eastAsia="Arial" w:hAnsi="Arial"/>
                <w:sz w:val="10"/>
                <w:szCs w:val="10"/>
                <w:b w:val="1"/>
                <w:bCs w:val="1"/>
                <w:color w:val="auto"/>
              </w:rPr>
              <w:t>2020</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7"/>
                <w:szCs w:val="7"/>
                <w:color w:val="auto"/>
              </w:rPr>
            </w:pPr>
          </w:p>
        </w:tc>
      </w:tr>
      <w:tr>
        <w:trPr>
          <w:trHeight w:val="74"/>
        </w:trPr>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r>
      <w:tr>
        <w:trPr>
          <w:trHeight w:val="122"/>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5"/>
              </w:rPr>
              <w:t>(in € thousands)</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(in € thousands)</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1"/>
                <w:szCs w:val="11"/>
                <w:color w:val="auto"/>
              </w:rPr>
              <w:t>(8,319)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(16,935)</w:t>
            </w:r>
          </w:p>
        </w:tc>
        <w:tc>
          <w:tcPr>
            <w:tcW w:w="54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(7,854)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(18,220)</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(7,167)</w:t>
            </w: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(15,010)</w:t>
            </w: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(6,378)</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(5,972)</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11,466</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66,340</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w w:val="94"/>
              </w:rPr>
              <w:t>12,022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(588)</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(4,020)</w:t>
            </w:r>
          </w:p>
        </w:tc>
        <w:tc>
          <w:tcPr>
            <w:tcW w:w="520" w:type="dxa"/>
            <w:vAlign w:val="bottom"/>
          </w:tcPr>
          <w:p>
            <w:pPr>
              <w:jc w:val="right"/>
              <w:spacing w:after="0"/>
              <w:rPr>
                <w:sz w:val="20"/>
                <w:szCs w:val="20"/>
                <w:color w:val="auto"/>
              </w:rPr>
            </w:pPr>
            <w:r>
              <w:rPr>
                <w:rFonts w:ascii="Arial" w:cs="Arial" w:eastAsia="Arial" w:hAnsi="Arial"/>
                <w:sz w:val="11"/>
                <w:szCs w:val="11"/>
                <w:color w:val="auto"/>
              </w:rPr>
              <w:t>34,395</w:t>
            </w:r>
          </w:p>
        </w:tc>
        <w:tc>
          <w:tcPr>
            <w:tcW w:w="340" w:type="dxa"/>
            <w:vAlign w:val="bottom"/>
          </w:tcPr>
          <w:p>
            <w:pPr>
              <w:spacing w:after="0"/>
              <w:rPr>
                <w:sz w:val="11"/>
                <w:szCs w:val="11"/>
                <w:color w:val="auto"/>
              </w:rPr>
            </w:pP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(2,210)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(24,780)</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12,923</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8,914</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8,914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43,198</w:t>
            </w:r>
          </w:p>
        </w:tc>
        <w:tc>
          <w:tcPr>
            <w:tcW w:w="60" w:type="dxa"/>
            <w:vAlign w:val="bottom"/>
            <w:shd w:val="clear" w:color="auto" w:fill="CCEEFF"/>
          </w:tcPr>
          <w:p>
            <w:pPr>
              <w:spacing w:after="0"/>
              <w:rPr>
                <w:sz w:val="11"/>
                <w:szCs w:val="11"/>
                <w:color w:val="auto"/>
              </w:rPr>
            </w:pPr>
          </w:p>
        </w:tc>
      </w:tr>
      <w:tr>
        <w:trPr>
          <w:trHeight w:val="136"/>
        </w:trPr>
        <w:tc>
          <w:tcPr>
            <w:tcW w:w="452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580" w:type="dxa"/>
            <w:vAlign w:val="bottom"/>
          </w:tcPr>
          <w:p>
            <w:pPr>
              <w:jc w:val="right"/>
              <w:ind w:right="168"/>
              <w:spacing w:after="0"/>
              <w:rPr>
                <w:sz w:val="20"/>
                <w:szCs w:val="20"/>
                <w:color w:val="auto"/>
              </w:rPr>
            </w:pPr>
            <w:r>
              <w:rPr>
                <w:rFonts w:ascii="Arial" w:cs="Arial" w:eastAsia="Arial" w:hAnsi="Arial"/>
                <w:sz w:val="11"/>
                <w:szCs w:val="11"/>
                <w:color w:val="auto"/>
              </w:rPr>
              <w:t>8,914</w:t>
            </w:r>
          </w:p>
        </w:tc>
        <w:tc>
          <w:tcPr>
            <w:tcW w:w="520" w:type="dxa"/>
            <w:vAlign w:val="bottom"/>
          </w:tcPr>
          <w:p>
            <w:pPr>
              <w:jc w:val="right"/>
              <w:spacing w:after="0"/>
              <w:rPr>
                <w:sz w:val="20"/>
                <w:szCs w:val="20"/>
                <w:color w:val="auto"/>
              </w:rPr>
            </w:pPr>
            <w:r>
              <w:rPr>
                <w:rFonts w:ascii="Arial" w:cs="Arial" w:eastAsia="Arial" w:hAnsi="Arial"/>
                <w:sz w:val="11"/>
                <w:szCs w:val="11"/>
                <w:color w:val="auto"/>
              </w:rPr>
              <w:t>43,198</w:t>
            </w:r>
          </w:p>
        </w:tc>
        <w:tc>
          <w:tcPr>
            <w:tcW w:w="340" w:type="dxa"/>
            <w:vAlign w:val="bottom"/>
          </w:tcPr>
          <w:p>
            <w:pPr>
              <w:spacing w:after="0"/>
              <w:rPr>
                <w:sz w:val="11"/>
                <w:szCs w:val="11"/>
                <w:color w:val="auto"/>
              </w:rPr>
            </w:pPr>
          </w:p>
        </w:tc>
        <w:tc>
          <w:tcPr>
            <w:tcW w:w="540" w:type="dxa"/>
            <w:vAlign w:val="bottom"/>
          </w:tcPr>
          <w:p>
            <w:pPr>
              <w:jc w:val="right"/>
              <w:ind w:right="149"/>
              <w:spacing w:after="0"/>
              <w:rPr>
                <w:sz w:val="20"/>
                <w:szCs w:val="20"/>
                <w:color w:val="auto"/>
              </w:rPr>
            </w:pPr>
            <w:r>
              <w:rPr>
                <w:rFonts w:ascii="Arial" w:cs="Arial" w:eastAsia="Arial" w:hAnsi="Arial"/>
                <w:sz w:val="11"/>
                <w:szCs w:val="11"/>
                <w:color w:val="auto"/>
              </w:rPr>
              <w:t>6,700</w:t>
            </w:r>
          </w:p>
        </w:tc>
        <w:tc>
          <w:tcPr>
            <w:tcW w:w="520" w:type="dxa"/>
            <w:vAlign w:val="bottom"/>
          </w:tcPr>
          <w:p>
            <w:pPr>
              <w:jc w:val="right"/>
              <w:spacing w:after="0"/>
              <w:rPr>
                <w:sz w:val="20"/>
                <w:szCs w:val="20"/>
                <w:color w:val="auto"/>
              </w:rPr>
            </w:pPr>
            <w:r>
              <w:rPr>
                <w:rFonts w:ascii="Arial" w:cs="Arial" w:eastAsia="Arial" w:hAnsi="Arial"/>
                <w:sz w:val="11"/>
                <w:szCs w:val="11"/>
                <w:color w:val="auto"/>
              </w:rPr>
              <w:t>18,444</w:t>
            </w:r>
          </w:p>
        </w:tc>
        <w:tc>
          <w:tcPr>
            <w:tcW w:w="60" w:type="dxa"/>
            <w:vAlign w:val="bottom"/>
          </w:tcPr>
          <w:p>
            <w:pPr>
              <w:spacing w:after="0"/>
              <w:rPr>
                <w:sz w:val="11"/>
                <w:szCs w:val="11"/>
                <w:color w:val="auto"/>
              </w:rPr>
            </w:pPr>
          </w:p>
        </w:tc>
      </w:tr>
    </w:tbl>
    <w:p>
      <w:pPr>
        <w:spacing w:after="0" w:line="2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1087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70425" cy="1087120"/>
                    </a:xfrm>
                    <a:prstGeom prst="rect">
                      <a:avLst/>
                    </a:prstGeom>
                    <a:noFill/>
                  </pic:spPr>
                </pic:pic>
              </a:graphicData>
            </a:graphic>
          </wp:anchor>
        </w:drawing>
      </w:r>
    </w:p>
    <w:p>
      <w:pPr>
        <w:spacing w:after="0" w:line="308"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Balance Sheet Data</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3"/>
              </w:rPr>
              <w:t>As of December 31,</w:t>
            </w:r>
          </w:p>
        </w:tc>
        <w:tc>
          <w:tcPr>
            <w:tcW w:w="6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5"/>
              </w:rPr>
              <w:t>As of June 30,</w:t>
            </w:r>
          </w:p>
        </w:tc>
      </w:tr>
      <w:tr>
        <w:trPr>
          <w:trHeight w:val="88"/>
        </w:trPr>
        <w:tc>
          <w:tcPr>
            <w:tcW w:w="498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0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7"/>
                <w:szCs w:val="7"/>
                <w:color w:val="auto"/>
              </w:rPr>
            </w:pPr>
          </w:p>
        </w:tc>
      </w:tr>
      <w:tr>
        <w:trPr>
          <w:trHeight w:val="74"/>
        </w:trPr>
        <w:tc>
          <w:tcPr>
            <w:tcW w:w="4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 w:type="dxa"/>
            <w:vAlign w:val="bottom"/>
          </w:tcPr>
          <w:p>
            <w:pPr>
              <w:spacing w:after="0"/>
              <w:rPr>
                <w:sz w:val="6"/>
                <w:szCs w:val="6"/>
                <w:color w:val="auto"/>
              </w:rPr>
            </w:pPr>
          </w:p>
        </w:tc>
      </w:tr>
      <w:tr>
        <w:trPr>
          <w:trHeight w:val="122"/>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5"/>
              </w:rPr>
              <w:t>(in € thousands)</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2"/>
              </w:rPr>
              <w:t>(in € thousands)</w:t>
            </w: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non-current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19,626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36,260</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40,823</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current assets</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11,949</w:t>
            </w:r>
          </w:p>
        </w:tc>
        <w:tc>
          <w:tcPr>
            <w:tcW w:w="500" w:type="dxa"/>
            <w:vAlign w:val="bottom"/>
          </w:tcPr>
          <w:p>
            <w:pPr>
              <w:jc w:val="right"/>
              <w:spacing w:after="0"/>
              <w:rPr>
                <w:sz w:val="20"/>
                <w:szCs w:val="20"/>
                <w:color w:val="auto"/>
              </w:rPr>
            </w:pPr>
            <w:r>
              <w:rPr>
                <w:rFonts w:ascii="Arial" w:cs="Arial" w:eastAsia="Arial" w:hAnsi="Arial"/>
                <w:sz w:val="11"/>
                <w:szCs w:val="11"/>
                <w:color w:val="auto"/>
              </w:rPr>
              <w:t>50,316</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31,264</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31,575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86,576</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72,087</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equity</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21,740</w:t>
            </w:r>
          </w:p>
        </w:tc>
        <w:tc>
          <w:tcPr>
            <w:tcW w:w="500" w:type="dxa"/>
            <w:vAlign w:val="bottom"/>
          </w:tcPr>
          <w:p>
            <w:pPr>
              <w:jc w:val="right"/>
              <w:spacing w:after="0"/>
              <w:rPr>
                <w:sz w:val="20"/>
                <w:szCs w:val="20"/>
                <w:color w:val="auto"/>
              </w:rPr>
            </w:pPr>
            <w:r>
              <w:rPr>
                <w:rFonts w:ascii="Arial" w:cs="Arial" w:eastAsia="Arial" w:hAnsi="Arial"/>
                <w:sz w:val="11"/>
                <w:szCs w:val="11"/>
                <w:color w:val="auto"/>
              </w:rPr>
              <w:t>70,708</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54,771</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9,835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15,868</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17,316</w:t>
            </w:r>
          </w:p>
        </w:tc>
        <w:tc>
          <w:tcPr>
            <w:tcW w:w="20" w:type="dxa"/>
            <w:vAlign w:val="bottom"/>
            <w:shd w:val="clear" w:color="auto" w:fill="CCEEFF"/>
          </w:tcPr>
          <w:p>
            <w:pPr>
              <w:spacing w:after="0"/>
              <w:rPr>
                <w:sz w:val="11"/>
                <w:szCs w:val="11"/>
                <w:color w:val="auto"/>
              </w:rPr>
            </w:pPr>
          </w:p>
        </w:tc>
      </w:tr>
    </w:tbl>
    <w:p>
      <w:pPr>
        <w:spacing w:after="0" w:line="26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i w:val="1"/>
          <w:iCs w:val="1"/>
          <w:color w:val="auto"/>
        </w:rPr>
        <w:t>An investment in the ADSs involves a high degree of risk. You should carefully consider the risks and uncertainties described below, together with all of the other information in this prospectus, including “Management’s Discussion and Analysis of Financial Condition and Results of Operations” and our consolidated financial statements and related notes, before deciding to invest in the ADSs. Additional risks not known to us or that we currently deem immaterial may also impair our business operations. Our business, financial condition or results of operations could be materially and adversely affected by any of these risks. The trading price and value of the ADSs could decline due to any of these risks, and you may lose all or part of your investment.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11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28" w:lineRule="exact"/>
        <w:rPr>
          <w:sz w:val="20"/>
          <w:szCs w:val="20"/>
          <w:color w:val="auto"/>
        </w:rPr>
      </w:pPr>
    </w:p>
    <w:p>
      <w:pPr>
        <w:ind w:left="1980" w:right="839" w:firstLine="294"/>
        <w:spacing w:after="0" w:line="305" w:lineRule="auto"/>
        <w:rPr>
          <w:sz w:val="20"/>
          <w:szCs w:val="20"/>
          <w:color w:val="auto"/>
        </w:rPr>
      </w:pPr>
      <w:r>
        <w:rPr>
          <w:rFonts w:ascii="Arial" w:cs="Arial" w:eastAsia="Arial" w:hAnsi="Arial"/>
          <w:sz w:val="10"/>
          <w:szCs w:val="10"/>
          <w:color w:val="auto"/>
        </w:rPr>
        <w:t>We have a history of net losses and negative net cash used in operating activities since inception and we expect losses and negative net cash used in operating activities to continue for the foreseeable future. For the six months ended June 30, 2021 and 2020 we incurred net losses of approximately €16.1 million and €7.3 million, respectively, and for the years ended December 31, 2020 and 2019 we incurred net losses of approximately €19.8 million and €9.9 million, respectively. As of June 30, 2021 and December 31, 2020, we had an accumulated deficit of approximately €63.7 million and</w:t>
      </w:r>
    </w:p>
    <w:p>
      <w:pPr>
        <w:ind w:left="1980" w:right="879"/>
        <w:spacing w:after="0" w:line="307" w:lineRule="auto"/>
        <w:rPr>
          <w:sz w:val="20"/>
          <w:szCs w:val="20"/>
          <w:color w:val="auto"/>
        </w:rPr>
      </w:pPr>
      <w:r>
        <w:rPr>
          <w:rFonts w:ascii="Arial" w:cs="Arial" w:eastAsia="Arial" w:hAnsi="Arial"/>
          <w:sz w:val="10"/>
          <w:szCs w:val="10"/>
          <w:color w:val="auto"/>
        </w:rPr>
        <w:t>€47.3 million, respectively. For the six months ended June 30, 2021 and 2020 we had negative net cash used in operating activities of €18.2 million and €7.9 million, respectively, and for the years ended December 31, 2020 and 2019 we had negative net cash used in operating activities of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 We will not be able to cover our expenses with revenues at least until such time at which we begin material deliveries of our products and significantly increase the scale of our operations and, therefore, intend to use the net proceeds from this offering and, to the extent required, proceeds from future financings, to cover our ongoing and future expenses. While we believe that we will be successful in obtaining additional financing, including the proceeds from this offering, in a timely manner to fund our operational and financial obligations, there are material uncertainties that may cast significant doubt on our ability to continue as a going concern and, therefore, we may be unable to realize our assets and discharge its liabilities in the normal course of business.</w:t>
      </w:r>
    </w:p>
    <w:p>
      <w:pPr>
        <w:spacing w:after="0" w:line="104"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generate any revenue or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are a developer and manufacturer of laser communication products for aerospace communications networks. Laser communication is designed to serve as a so-called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11" w:lineRule="exact"/>
        <w:rPr>
          <w:sz w:val="20"/>
          <w:szCs w:val="20"/>
          <w:color w:val="auto"/>
        </w:rPr>
      </w:pPr>
    </w:p>
    <w:p>
      <w:pPr>
        <w:ind w:left="1980" w:right="1079" w:firstLine="294"/>
        <w:spacing w:after="0" w:line="281" w:lineRule="auto"/>
        <w:rPr>
          <w:sz w:val="20"/>
          <w:szCs w:val="20"/>
          <w:color w:val="auto"/>
        </w:rPr>
      </w:pPr>
      <w:r>
        <w:rPr>
          <w:rFonts w:ascii="Arial" w:cs="Arial" w:eastAsia="Arial" w:hAnsi="Arial"/>
          <w:sz w:val="11"/>
          <w:szCs w:val="11"/>
          <w:color w:val="auto"/>
        </w:rPr>
        <w:t>Communication networks may comprise various platforms, including drones, airplanes, balloons and satellites, and may be located in the troposphere (</w:t>
      </w:r>
      <w:r>
        <w:rPr>
          <w:rFonts w:ascii="Arial" w:cs="Arial" w:eastAsia="Arial" w:hAnsi="Arial"/>
          <w:sz w:val="11"/>
          <w:szCs w:val="11"/>
          <w:i w:val="1"/>
          <w:iCs w:val="1"/>
          <w:color w:val="auto"/>
        </w:rPr>
        <w:t>i.e.</w:t>
      </w:r>
      <w:r>
        <w:rPr>
          <w:rFonts w:ascii="Arial" w:cs="Arial" w:eastAsia="Arial" w:hAnsi="Arial"/>
          <w:sz w:val="11"/>
          <w:szCs w:val="11"/>
          <w:color w:val="auto"/>
        </w:rPr>
        <w:t>, at the height of commercial aviation), the stratosphere (</w:t>
      </w:r>
      <w:r>
        <w:rPr>
          <w:rFonts w:ascii="Arial" w:cs="Arial" w:eastAsia="Arial" w:hAnsi="Arial"/>
          <w:sz w:val="11"/>
          <w:szCs w:val="11"/>
          <w:i w:val="1"/>
          <w:iCs w:val="1"/>
          <w:color w:val="auto"/>
        </w:rPr>
        <w:t>i.e.</w:t>
      </w:r>
      <w:r>
        <w:rPr>
          <w:rFonts w:ascii="Arial" w:cs="Arial" w:eastAsia="Arial" w:hAnsi="Arial"/>
          <w:sz w:val="11"/>
          <w:szCs w:val="11"/>
          <w:color w:val="auto"/>
        </w:rPr>
        <w:t>, at a height of 20 to 30 kilometers above ground), or in outer space. Communications networks consisting of a large volume of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1"/>
          <w:szCs w:val="11"/>
          <w:i w:val="1"/>
          <w:iCs w:val="1"/>
          <w:color w:val="auto"/>
        </w:rPr>
        <w:t>e.g.</w:t>
      </w:r>
      <w:r>
        <w:rPr>
          <w:rFonts w:ascii="Arial" w:cs="Arial" w:eastAsia="Arial" w:hAnsi="Arial"/>
          <w:sz w:val="11"/>
          <w:szCs w:val="11"/>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1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Constellations in general, and the market for laser communication systems specifically, are still in early stages of development.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28"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To our knowledge, there are no constellations currently in operation that utilize laser communication for linking platforms on a large scale. If laser communication remains a niche market, demand for our products would be significantly lower than we currently anticipate. If this market does not develop as we anticipate, then we will not generate revenues as planned and may need to curtail our operations or seek financing earlier than anticipated.</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potential customer base for the use of our products is limited.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28"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Due to our limited potential customer base, we anticipate that sales to initial customers will be, individually, material to our future revenues, results of operations and cash flows. Accordingly, any change in the relationship with any customer, the strength of any customer’s business or their demand for our products could materially affect our results.</w:t>
      </w:r>
    </w:p>
    <w:p>
      <w:pPr>
        <w:spacing w:after="0" w:line="122"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We deploy innovative technologies and solutions in our products, which may not be fully functional. The initial deployment of our products by customers could prove unsuccessful.</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competition and endanger our market positioning.</w:t>
      </w:r>
    </w:p>
    <w:p>
      <w:pPr>
        <w:spacing w:after="0" w:line="115"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In September 2020, Elon Musk’s SpaceX announced its first successful test of its Starlink satellite “space lasers” in orbit. In January 2021, Elon Musk announced that Starlink satellites in polar orbit will be equipped with lasers in 2021 before expanding deployment to all satellites beginning in 2022.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may develop laser communication capabilities in-house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17"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In the aerospace sector, our competitors include TESAT Spacecom (an Airbus subsidiary), Thales Alenia Space, SA Photonics and Ball Aerospace, as well as a handful of other entities that possess the necessary technical know-how and resources to compete with us. Furthermore, large information technology enterprises such as Cisco, Huawei, Comscope, Coriant and Corning already have experience in wired laser communication for ground-based fiber networks and may potentially enter the market. In addition, aviation enterprises such as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55" w:lineRule="auto"/>
        <w:rPr>
          <w:sz w:val="20"/>
          <w:szCs w:val="20"/>
          <w:color w:val="auto"/>
        </w:rPr>
      </w:pPr>
      <w:r>
        <w:rPr>
          <w:rFonts w:ascii="Arial" w:cs="Arial" w:eastAsia="Arial" w:hAnsi="Arial"/>
          <w:sz w:val="12"/>
          <w:szCs w:val="12"/>
          <w:color w:val="auto"/>
        </w:rPr>
        <w:t>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2"/>
          <w:szCs w:val="12"/>
          <w:i w:val="1"/>
          <w:iCs w:val="1"/>
          <w:color w:val="auto"/>
        </w:rPr>
        <w:t>e.g.</w:t>
      </w:r>
      <w:r>
        <w:rPr>
          <w:rFonts w:ascii="Arial" w:cs="Arial" w:eastAsia="Arial" w:hAnsi="Arial"/>
          <w:sz w:val="12"/>
          <w:szCs w:val="12"/>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28" w:lineRule="exact"/>
        <w:rPr>
          <w:sz w:val="20"/>
          <w:szCs w:val="20"/>
          <w:color w:val="auto"/>
        </w:rPr>
      </w:pPr>
    </w:p>
    <w:p>
      <w:pPr>
        <w:ind w:left="1980" w:right="899" w:firstLine="294"/>
        <w:spacing w:after="0" w:line="310" w:lineRule="auto"/>
        <w:rPr>
          <w:sz w:val="20"/>
          <w:szCs w:val="20"/>
          <w:color w:val="auto"/>
        </w:rPr>
      </w:pPr>
      <w:r>
        <w:rPr>
          <w:rFonts w:ascii="Arial" w:cs="Arial" w:eastAsia="Arial" w:hAnsi="Arial"/>
          <w:sz w:val="10"/>
          <w:szCs w:val="10"/>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10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business is also subject to competition from ground-based forms of communications technology. A number of companies are increasing their ability to transmit signals on existing terrestrial infrastructures, such as fiber optic cable, DSL (digital subscriber line) and terrestrial wireless transmitters, often with funding and other incentives provided by governments. The ability of terrestrial companies to significantly increase the capacity, capability and/or the reach of their networks could result in a decrease in the demand for laser communication technology. Furthermore, significantly lower prices for such conventional networks or other competing network architectures could also lead to reduced demand for laser communication. Increased capacity and lower prices in conventional networks could lead to reduced demand for aerospace communications networks and consequently for laser communication products, thereby having a material adverse impact on our earnings and business prospects.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new technologies could render laser communication-based services less competitive by satisfying consumer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12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Our business is subject to the implementation of a singular industry standard guaranteeing interoperability between laser communication products of different vendors, which could be unsuccessful.</w:t>
      </w:r>
    </w:p>
    <w:p>
      <w:pPr>
        <w:spacing w:after="0" w:line="115"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We believe that the establishment of a large-scale market for laser communication depends on the successful development and implementation of a singular industry standard guaranteeing interoperability between laser communication products of different vendors. As of today, our laser communication products are not compatible with those of our competitors. Even though efforts in the industry to enable interoperability of products of different laser communication vendors have increased, we cannot assure you that these efforts will be successful. This risk is particularly relevant as the implementation of interoperability between laser communication products of different vendors requires considerable technological exchange with other vendors, who may not favor such exchange to protect their intellectual property. Furthermore, multiple competing industry standards may emerge in parallel, which would cause a fragmentation of the market, potentially hindering sustained growth of the laser communication market.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If a potential customer decides to purchase laser communication products from one of our competitors, our products currently can only be sold to that customer with significant operational and technical outlays or only once interoperability standards have been established. Any failure to implement interoperability with products of other laser communication vendors could have an adverse effect on our business, results of operations, financial position and prospects.</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There is currently no high-volume market for laser communication systems. Our approach of developing standardized products for a large number of customers could prove unsuccessful if certain customers demand widely varying product specifications and identical units in significantly lower quantities. This would require project-specific production instead of serial production, meaning that our anticipated economies of scale could fail to materialize.</w:t>
      </w:r>
    </w:p>
    <w:p>
      <w:pPr>
        <w:spacing w:after="0" w:line="12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115"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If standardization were to occur and our laser communication products remained incompatible with any standardized product, we may be required to incur considerable expense for our products to become interoperable with other products. In addition, our competitors within the laser communication field may have patents covering technology that they contribute to the development of industry standards. As a result, these competitors may expect to receive fair, reasonable and non-discriminatory (“FRAND”) royalty rates for licenses to those patents. If standardization were to occur, we would be required to pay such FRAND rates for access to the standardized technology in order to participate in a standardized laser communication industry.</w:t>
      </w:r>
    </w:p>
    <w:p>
      <w:pPr>
        <w:spacing w:after="0" w:line="97"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Furthermore, our current intellectual property protection strategy, which relies exclusively on trade secret, copyright and trademark laws and contractual provisions with employees and third parties, is incompatible with the implementation of a singular industry standard. Trade secrets must not be generally known in order to qualify for protection under applicable law. Since industry standards would be published, any trade secrets disclosed in connection with standardization would no longer be entitled to trade secret protection. If standardization were to occur, we would be required to provide our intellectual property to competitors in order to participate in the market, thereby eliminating the trade secret protection on which we have historically relied. We would not be required to be compensated for the provision of this intellectual property, as we have not filed for patent protection of this intellectual property.</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sales cycle can be long and complicated and requires considerable time and expense.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timing of our sales is difficult to predict because of the length of our sales cycle, particularly with respect to sales of our products in the government market.</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budget. Following these discussions, we typically either sign an MoU or a term sheet or directly negotiate long-form agreements.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2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There are many other factors specific to clients that contribute to the timing of their purchases, including budgetary constraints, funding authorization, and changes in their personnel. In addition, the significance and timing of our product enhancements, and the introduction of new products by our competitors, may also affect our customer’s purchases. For all of these reasons, it is difficult to predict whether a sale will be completed,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 We may also enter into strategic partnership agreements with key customers, which may include exclusivity arrangements and provisions that allow either party to terminate the relationship under certain specified circumstances. Accordingly, these relationships might not continue or be extended and may terminate entirely. If our sales cycle lengthens or our substantial upfront sales and implementation investments do not result in sufficient sales to justify our investments, our revenue could be lower than expected and it could have a material adverse effect on our business, financial condition, or results of operations.</w:t>
      </w:r>
    </w:p>
    <w:p>
      <w:pPr>
        <w:spacing w:after="0" w:line="116"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We have limited experience with order processing and are subject to internal order processing risks that could materially impact our ability to process orders.</w:t>
      </w:r>
    </w:p>
    <w:p>
      <w:pPr>
        <w:spacing w:after="0" w:line="115"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 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19"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69"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most components are “off-the-shelf” and available commercially.</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generally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Furthermore, we experienced a supply shortage of certain components in 2020 due the COVID-19 pandemic, which generally led to disruptions in global supply chains. As we managed our supply chain effectively, this supply shortage did not have a quantifiable effect on our business or results of operations. However, if the COVID-19 pandemic continues to negatively impact global supply chains, including our suppliers, we may experience delays in shipments of timely ordered components or increasing prices due to limited supply, which may adversely affect our business and results of operation.</w:t>
      </w:r>
    </w:p>
    <w:p>
      <w:pPr>
        <w:spacing w:after="0" w:line="119"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Furthermore, an unexpected or spontaneous increase in demand could lead to our suppliers experiencing capacity constraints, as a result of which they may be unable to deliver to us the required quantities of a component or part on a timely basis, especially considering that certain of our suppliers are also at an early stage of development and may not have manufactured products at scale themselves. In addition, unexpected technical problems, delivery bottlenecks and quality issues at our suppliers, as well as issues with our suppliers’ partners or subcontractors, could also delay, or even entirely prevent, deliveries to our customers, resulting in breaches of customer contracts and loss of existing and future business.</w:t>
      </w:r>
    </w:p>
    <w:p>
      <w:pPr>
        <w:spacing w:after="0" w:line="113"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w:t>
      </w:r>
    </w:p>
    <w:p>
      <w:pPr>
        <w:spacing w:after="0" w:line="87"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9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1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04"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unable to manage our future growth effectively, which could make it difficult to execute our business strategy.</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If our operations continue to grow as planned, we will need to expand our sales and marketing, research and development, customer and commercial strategy, products and services, supply and manufacturing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2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obtain sufficient financing for the operations and ongoing growth of our business.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While we primarily seek to finance our business by raising equity capital, we entered into a credit agreement with three lenders for a credit line of approximately €25 million on September 15, 2021 (see also “Management’s Discussion and Analysis of Financial Condition and Results of Operations—Liquidity and Capital Resources—Credit Agreement”). We anticipate that our future cash requirements will continue to be significant and that we will need to obtain additional financing, including the proceeds from this offering, to implement our business plan as described in this prospectus.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1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ability to raise equity financing largely depends on our ability to convince investors to fund our operations and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340" w:lineRule="auto"/>
        <w:rPr>
          <w:sz w:val="20"/>
          <w:szCs w:val="20"/>
          <w:color w:val="auto"/>
        </w:rPr>
      </w:pPr>
      <w:r>
        <w:rPr>
          <w:rFonts w:ascii="Arial" w:cs="Arial" w:eastAsia="Arial" w:hAnsi="Arial"/>
          <w:sz w:val="10"/>
          <w:szCs w:val="10"/>
          <w:color w:val="auto"/>
        </w:rPr>
        <w:t>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87"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Our ability to raise further debt financing, should we need or choose to do so, will largely depend on past financial results. Given that we and the industry in which we operate are still at a very early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13"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3" w:lineRule="exact"/>
        <w:rPr>
          <w:sz w:val="20"/>
          <w:szCs w:val="20"/>
          <w:color w:val="auto"/>
        </w:rPr>
      </w:pPr>
    </w:p>
    <w:p>
      <w:pPr>
        <w:ind w:left="1980" w:right="1279"/>
        <w:spacing w:after="0" w:line="323" w:lineRule="auto"/>
        <w:rPr>
          <w:sz w:val="20"/>
          <w:szCs w:val="20"/>
          <w:color w:val="auto"/>
        </w:rPr>
      </w:pPr>
      <w:r>
        <w:rPr>
          <w:rFonts w:ascii="Arial" w:cs="Arial" w:eastAsia="Arial" w:hAnsi="Arial"/>
          <w:sz w:val="11"/>
          <w:szCs w:val="11"/>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92"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Our business and operations would suffer in the event of computer system failures, cyber-attacks or deficiencies in our cyber-security.</w:t>
      </w:r>
    </w:p>
    <w:p>
      <w:pPr>
        <w:spacing w:after="0" w:line="162"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3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11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We may apply for German and foreign federal and state grants, loans and tax incentives under various government programs designed to stimulate the economy of the relevant jurisdiction or to support the development of aerospace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are a supplier for government programs, which subjects us to risks including early termination, audits, investigations, sanctions and penalties.</w:t>
      </w:r>
    </w:p>
    <w:p>
      <w:pPr>
        <w:spacing w:after="0" w:line="173"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and we may also enter into contracts directly with the U.S. or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w:t>
      </w:r>
    </w:p>
    <w:p>
      <w:pPr>
        <w:spacing w:after="0" w:line="5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1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addition, government contracts typically contain additional requirements that may increase our costs of doing business, reduce our profits, and expose us to liability for failure to comply with these terms and conditions. These requirements include, for example:</w:t>
      </w:r>
    </w:p>
    <w:p>
      <w:pPr>
        <w:spacing w:after="0" w:line="52" w:lineRule="exact"/>
        <w:rPr>
          <w:sz w:val="20"/>
          <w:szCs w:val="20"/>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specialized disclosure and accounting requirements unique to government contracts;</w:t>
      </w:r>
    </w:p>
    <w:p>
      <w:pPr>
        <w:spacing w:after="0" w:line="87"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public disclosures of certain contract and company information; and</w:t>
      </w:r>
    </w:p>
    <w:p>
      <w:pPr>
        <w:spacing w:after="0" w:line="87" w:lineRule="exact"/>
        <w:rPr>
          <w:rFonts w:ascii="Arial" w:cs="Arial" w:eastAsia="Arial" w:hAnsi="Arial"/>
          <w:sz w:val="12"/>
          <w:szCs w:val="12"/>
          <w:color w:val="auto"/>
        </w:rPr>
      </w:pPr>
    </w:p>
    <w:p>
      <w:pPr>
        <w:ind w:left="2620" w:right="839" w:hanging="288"/>
        <w:spacing w:after="0" w:line="276"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mandatory socioeconomic compliance requirements, including labor requirements, non-discrimination and affirmative action programs and environmental compliance requirements.</w:t>
      </w:r>
    </w:p>
    <w:p>
      <w:pPr>
        <w:spacing w:after="0" w:line="115" w:lineRule="exact"/>
        <w:rPr>
          <w:sz w:val="20"/>
          <w:szCs w:val="20"/>
          <w:color w:val="auto"/>
        </w:rPr>
      </w:pPr>
    </w:p>
    <w:p>
      <w:pPr>
        <w:ind w:left="1980" w:right="1239" w:firstLine="294"/>
        <w:spacing w:after="0" w:line="298" w:lineRule="auto"/>
        <w:rPr>
          <w:sz w:val="20"/>
          <w:szCs w:val="20"/>
          <w:color w:val="auto"/>
        </w:rPr>
      </w:pPr>
      <w:r>
        <w:rPr>
          <w:rFonts w:ascii="Arial" w:cs="Arial" w:eastAsia="Arial" w:hAnsi="Arial"/>
          <w:sz w:val="11"/>
          <w:szCs w:val="11"/>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10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are exposed to foreign currency exchange risk and our financial position and results of operations may be negatively affected by the fluctuation of different currencies.</w:t>
      </w:r>
    </w:p>
    <w:p>
      <w:pPr>
        <w:spacing w:after="0" w:line="115" w:lineRule="exact"/>
        <w:rPr>
          <w:sz w:val="20"/>
          <w:szCs w:val="20"/>
          <w:color w:val="auto"/>
        </w:rPr>
      </w:pPr>
    </w:p>
    <w:p>
      <w:pPr>
        <w:ind w:left="1980" w:right="1039" w:firstLine="294"/>
        <w:spacing w:after="0" w:line="305" w:lineRule="auto"/>
        <w:rPr>
          <w:sz w:val="20"/>
          <w:szCs w:val="20"/>
          <w:color w:val="auto"/>
        </w:rPr>
      </w:pPr>
      <w:r>
        <w:rPr>
          <w:rFonts w:ascii="Arial" w:cs="Arial" w:eastAsia="Arial" w:hAnsi="Arial"/>
          <w:sz w:val="10"/>
          <w:szCs w:val="10"/>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used to finance the Company’s U.S. subsidiary. As of June 30, 2021 and December 31,</w:t>
      </w:r>
    </w:p>
    <w:p>
      <w:pPr>
        <w:ind w:left="1980"/>
        <w:spacing w:after="0"/>
        <w:tabs>
          <w:tab w:leader="none" w:pos="4440" w:val="left"/>
        </w:tabs>
        <w:rPr>
          <w:sz w:val="20"/>
          <w:szCs w:val="20"/>
          <w:color w:val="auto"/>
        </w:rPr>
      </w:pPr>
      <w:r>
        <w:rPr>
          <w:rFonts w:ascii="Arial" w:cs="Arial" w:eastAsia="Arial" w:hAnsi="Arial"/>
          <w:sz w:val="12"/>
          <w:szCs w:val="12"/>
          <w:color w:val="auto"/>
        </w:rPr>
        <w:t>2020, we had U.S. dollar receivables of €</w:t>
      </w:r>
      <w:r>
        <w:rPr>
          <w:sz w:val="20"/>
          <w:szCs w:val="20"/>
          <w:color w:val="auto"/>
        </w:rPr>
        <w:tab/>
      </w:r>
      <w:r>
        <w:rPr>
          <w:rFonts w:ascii="Arial" w:cs="Arial" w:eastAsia="Arial" w:hAnsi="Arial"/>
          <w:sz w:val="10"/>
          <w:szCs w:val="10"/>
          <w:color w:val="auto"/>
        </w:rPr>
        <w:t>and €550,000, respectively.</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Regulatory, Legal and Tax Risks</w:t>
      </w:r>
    </w:p>
    <w:p>
      <w:pPr>
        <w:spacing w:after="0" w:line="154"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13"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1"/>
          <w:szCs w:val="11"/>
          <w:i w:val="1"/>
          <w:iCs w:val="1"/>
          <w:color w:val="auto"/>
        </w:rPr>
        <w:t>Einzeleingriff</w:t>
      </w:r>
      <w:r>
        <w:rPr>
          <w:rFonts w:ascii="Arial" w:cs="Arial" w:eastAsia="Arial" w:hAnsi="Arial"/>
          <w:sz w:val="11"/>
          <w:szCs w:val="11"/>
          <w:color w:val="auto"/>
        </w:rPr>
        <w:t>) banning the shipment of spaceborne laser communication terminals to customers in China, which</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EU’s Dual-Use Regulation, which supersedes the national dual-use regulations of the EU member states. Although the export of our CONDOR laser communication terminals is covered by the EU’s general export authorization (</w:t>
      </w:r>
      <w:r>
        <w:rPr>
          <w:rFonts w:ascii="Arial" w:cs="Arial" w:eastAsia="Arial" w:hAnsi="Arial"/>
          <w:sz w:val="11"/>
          <w:szCs w:val="11"/>
          <w:i w:val="1"/>
          <w:iCs w:val="1"/>
          <w:color w:val="auto"/>
        </w:rPr>
        <w:t>EU-Allgemeingenehmigung</w:t>
      </w:r>
      <w:r>
        <w:rPr>
          <w:rFonts w:ascii="Arial" w:cs="Arial" w:eastAsia="Arial" w:hAnsi="Arial"/>
          <w:sz w:val="11"/>
          <w:szCs w:val="11"/>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19"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31"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Currently, our largest potential customer base is located in North America.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 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11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15"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We may be required under the Dodd-Frank Wall Street Reform and Consumer Protection Act of 2010 (“Dodd-Frank Act”) to determine, disclose and report whether our products contain “conflict minerals” (tin, tungsten, tantalum and gold). In addition,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Even though we do not import such minerals directly, the electronic components we use in our products may contain such minerals and, as a consequence, we may be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do not maintain required security clearances from, and comply with our agreements with, the U.S. government, we may not be able to continue to perform our obligations under contracts involving the U.S. government.</w:t>
      </w:r>
    </w:p>
    <w:p>
      <w:pPr>
        <w:spacing w:after="0" w:line="115"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To participate in certain U.S. government programs, we expect to seek and obtain security clearances from the U.S. Department of Defense, including by establishing a U.S. entity cleared for access to classified information. Given our non-U.S. ownership, we expect to enter into a special security agreement with the U.S. government that limits certain of our operations, as required under the national security laws and regulations of the United States. If we or our employees are unable to obtain or retain necessary security clearances, we may not be able to win new business, bid on new contracts or effectively rebid on expiring contracts. As a result, our business could be materially adversely affected. Further, if we violate the terms of the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115"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31"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political interest and influence impacting our business.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reliable provision and expansion of critical infrastructure such as communication networks is at the core of national interests. Constellations (</w:t>
      </w:r>
      <w:r>
        <w:rPr>
          <w:rFonts w:ascii="Arial" w:cs="Arial" w:eastAsia="Arial" w:hAnsi="Arial"/>
          <w:sz w:val="11"/>
          <w:szCs w:val="11"/>
          <w:i w:val="1"/>
          <w:iCs w:val="1"/>
          <w:color w:val="auto"/>
        </w:rPr>
        <w:t>i.e.</w:t>
      </w:r>
      <w:r>
        <w:rPr>
          <w:rFonts w:ascii="Arial" w:cs="Arial" w:eastAsia="Arial" w:hAnsi="Arial"/>
          <w:sz w:val="11"/>
          <w:szCs w:val="11"/>
          <w:color w:val="auto"/>
        </w:rPr>
        <w:t>, communications networks consisting of a large volume of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1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may be unable to adequately protect our intellectual property and proprietary rights and prevent others from making unauthorized use of our products and technology.</w:t>
      </w:r>
    </w:p>
    <w:p>
      <w:pPr>
        <w:spacing w:after="0" w:line="1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128"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and such breaches could have an adverse effect on our business and competitive position.</w:t>
      </w:r>
    </w:p>
    <w:p>
      <w:pPr>
        <w:spacing w:after="0" w:line="247"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113"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115"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05"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As the number of competitors in the market for laser communication grows, the possibility of infringement claims against us increases. Established market players such as SpaceX, OneWeb, Telesat and Amazon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1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In the event that we become subject to a patent infringement or other intellectual property lawsuit and if the relevant patents or other intellectual property were upheld as valid and enforceable and we were found to infringe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15"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ADSs. If securities analysts or investors perceive these results to be negative, it could have a material adverse effect on the price of the ADSs.</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have been and may become involved in lawsuits and administrative and regulatory proceedings relating to our business, such as commercial contract claims, proceedings initiated by public authorities or other examinations and investigations. For example, in 2020 the German Federal Financial Supervisory Authority (</w:t>
      </w:r>
      <w:r>
        <w:rPr>
          <w:rFonts w:ascii="Arial" w:cs="Arial" w:eastAsia="Arial" w:hAnsi="Arial"/>
          <w:sz w:val="11"/>
          <w:szCs w:val="11"/>
          <w:i w:val="1"/>
          <w:iCs w:val="1"/>
          <w:color w:val="auto"/>
        </w:rPr>
        <w:t>Bundesanstalt für Finanzdienstleistungsaufsicht</w:t>
      </w:r>
      <w:r>
        <w:rPr>
          <w:rFonts w:ascii="Arial" w:cs="Arial" w:eastAsia="Arial" w:hAnsi="Arial"/>
          <w:sz w:val="11"/>
          <w:szCs w:val="11"/>
          <w:color w:val="auto"/>
        </w:rPr>
        <w:t>, “BaFin”) initiated an investigation against us on the grounds of the alleged omission of an ad hoc disclosure under the ad hoc disclosure obligation of Article 17 para. 1 of the European Market Abuse Regulation.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BaFin currently still upholds its view of an existing infringement of the ad hoc disclosure obligation. Should an administrative offence be found, the amount of any fine would depend on BaFin’s determination of the severity of the offence. We expect a minimum fine of at least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 See “Business—Legal Proceedings.”</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advisers have wrongfully used or disclosed alleged trade secrets of their former employers.</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risk management and internal control procedures may not prevent or detect violations of law.</w:t>
      </w:r>
    </w:p>
    <w:p>
      <w:pPr>
        <w:spacing w:after="0" w:line="150" w:lineRule="exact"/>
        <w:rPr>
          <w:sz w:val="20"/>
          <w:szCs w:val="20"/>
          <w:color w:val="auto"/>
        </w:rPr>
      </w:pPr>
    </w:p>
    <w:p>
      <w:pPr>
        <w:ind w:left="1980" w:right="999" w:firstLine="294"/>
        <w:spacing w:after="0" w:line="320" w:lineRule="auto"/>
        <w:rPr>
          <w:sz w:val="20"/>
          <w:szCs w:val="20"/>
          <w:color w:val="auto"/>
        </w:rPr>
      </w:pPr>
      <w:r>
        <w:rPr>
          <w:rFonts w:ascii="Arial" w:cs="Arial" w:eastAsia="Arial" w:hAnsi="Arial"/>
          <w:sz w:val="10"/>
          <w:szCs w:val="10"/>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 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97"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1"/>
          <w:szCs w:val="11"/>
          <w:i w:val="1"/>
          <w:iCs w:val="1"/>
          <w:color w:val="auto"/>
        </w:rPr>
        <w:t>i.e.</w:t>
      </w:r>
      <w:r>
        <w:rPr>
          <w:rFonts w:ascii="Arial" w:cs="Arial" w:eastAsia="Arial" w:hAnsi="Arial"/>
          <w:sz w:val="11"/>
          <w:szCs w:val="11"/>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may become a passive foreign investment company (“PFIC”), which could result in adverse United States federal income tax consequences to United States investors.</w:t>
      </w:r>
    </w:p>
    <w:p>
      <w:pPr>
        <w:spacing w:after="0" w:line="115"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the ADSs and ordinary shares. Accordingly, we could become a PFIC in the future if there is a substantial decline in the value of the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We may become exposed to unforeseen tax consequences as a result of operating across borders and in multiple jurisdictions.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the ADSs and this Offering</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cannot assure you that an active and liquid market for the ADSs will develop.</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While our ordinary shares are traded on the Xetra trading system of the Frankfurt Stock Exchange, no public market has previously existed for the ADSs in the United States and we cannot assure you that a market for the ADSs will develop or be sustained after this offering. Public trading markets may also experience volatility and disruption. This may affect the pricing of the ADSs in the market, the transparency and availability of trading prices, and the liquidity of the ADSs. We cannot predict the prices at which the ADSs will trade. The public offering price for the ADSs will be determined based in large part on the market price for our ordinary shares on the Frankfurt Stock Exchange at the time of this offering. This offering price may not be indicative of the market price of the ADSs or ordinary shares after this offering. If an active trading market for the ADSs does not develop or is not sustained, investors may not be able to sell their ADSs at or above the offering price or at the time that they would like to sell.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market price of the ADSs could fluctuate significantly, which could result in substantial losses for purchasers of the ADSs in this offering.</w:t>
      </w:r>
    </w:p>
    <w:p>
      <w:pPr>
        <w:spacing w:after="0" w:line="17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stock market in general and the market for smaller technology companies in particular have experienced extreme volatility that has often been unrelated to the operating performance of particular companies. As a result, you may not be able to sell your ADSs at or above the public offering price and you may lose some or all of your investment. Following this offering, the market price of the ADSs will be affected by the supply and demand for the ADSs, which may be influenced by numerous factors, many of which are beyond our control, including:</w:t>
      </w:r>
    </w:p>
    <w:p>
      <w:pPr>
        <w:spacing w:after="0" w:line="48" w:lineRule="exact"/>
        <w:rPr>
          <w:sz w:val="20"/>
          <w:szCs w:val="20"/>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 in actual or projected results of operations;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projected earnings or failure to meet securities analysts’ earnings expectations;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absence of analyst coverage;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negative analyst recommendations;</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trading volumes in the ADSs (including by the sale of shares or ADSs granted to our employees under employee participation programs);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large-volume or targeted transactions by short-sellers;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our shareholder structure;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macroeconomic conditions;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activities of competitors and 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market valuations of comparable companies;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successfully finalize development of, market and commercialize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recruitment or departure of key management or scientific personnel or other key employees;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significant lawsuits, including patent, shareholder or customer litigation;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investor and analyst perception with respect to our business or the industry in general;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statutory framework applicable to our business.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 result, the market price of the ADSs may be subject to substantial fluctuation.</w:t>
      </w:r>
    </w:p>
    <w:p>
      <w:pPr>
        <w:spacing w:after="0" w:line="150" w:lineRule="exact"/>
        <w:rPr>
          <w:sz w:val="20"/>
          <w:szCs w:val="20"/>
          <w:color w:val="auto"/>
        </w:rPr>
      </w:pPr>
    </w:p>
    <w:p>
      <w:pPr>
        <w:ind w:left="1980" w:right="839" w:firstLine="294"/>
        <w:spacing w:after="0" w:line="326" w:lineRule="auto"/>
        <w:rPr>
          <w:sz w:val="20"/>
          <w:szCs w:val="20"/>
          <w:color w:val="auto"/>
        </w:rPr>
      </w:pPr>
      <w:r>
        <w:rPr>
          <w:rFonts w:ascii="Arial" w:cs="Arial" w:eastAsia="Arial" w:hAnsi="Arial"/>
          <w:sz w:val="10"/>
          <w:szCs w:val="10"/>
          <w:color w:val="auto"/>
        </w:rPr>
        <w:t>In addition, general market conditions and fluctuation of share prices and trading volumes could lead to pressure on the market price of the ADSs, even if there may not be a reason for this based on our business performance or earnings outlook. Furthermore, investors in the secondary market may view our business more critically than investors in this offering, which could adversely affect the market price of the ADSs. In addition, prices for companies with a limited operating history may be more volatile compared to share prices for established companies or companies from other industries.</w:t>
      </w:r>
    </w:p>
    <w:p>
      <w:pPr>
        <w:spacing w:after="0" w:line="9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If the market price of the ADSs declines as a result of the realization of any of these risks, investors could lose part or all of their investment in the ADSs.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2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The acquisition of a 20% or more voting interest in us by foreign investors requires governmental approval, which may restrict certain investments in and limit demand for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Pursuant to the cross-sectoral examination in Section 55 et seq. of the German Foreign Trade and Payments Ordinance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Außenwirtschaftsverordnung</w:t>
      </w:r>
      <w:r>
        <w:rPr>
          <w:rFonts w:ascii="Arial" w:cs="Arial" w:eastAsia="Arial" w:hAnsi="Arial"/>
          <w:sz w:val="11"/>
          <w:szCs w:val="11"/>
          <w:color w:val="auto"/>
        </w:rPr>
        <w:t>, “AWV”), the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or restrict the acquisition of our shares or ADSs by a foreign acquirer (</w:t>
      </w:r>
      <w:r>
        <w:rPr>
          <w:rFonts w:ascii="Arial" w:cs="Arial" w:eastAsia="Arial" w:hAnsi="Arial"/>
          <w:sz w:val="11"/>
          <w:szCs w:val="11"/>
          <w:i w:val="1"/>
          <w:iCs w:val="1"/>
          <w:color w:val="auto"/>
        </w:rPr>
        <w:t>i.e.</w:t>
      </w:r>
      <w:r>
        <w:rPr>
          <w:rFonts w:ascii="Arial" w:cs="Arial" w:eastAsia="Arial" w:hAnsi="Arial"/>
          <w:sz w:val="11"/>
          <w:szCs w:val="11"/>
          <w:color w:val="auto"/>
        </w:rPr>
        <w:t>, an investor that is resident or based outside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European Union (</w:t>
      </w:r>
      <w:r>
        <w:rPr>
          <w:rFonts w:ascii="Arial" w:cs="Arial" w:eastAsia="Arial" w:hAnsi="Arial"/>
          <w:sz w:val="11"/>
          <w:szCs w:val="11"/>
          <w:i w:val="1"/>
          <w:iCs w:val="1"/>
          <w:color w:val="auto"/>
        </w:rPr>
        <w:t>Unionsfremder</w:t>
      </w:r>
      <w:r>
        <w:rPr>
          <w:rFonts w:ascii="Arial" w:cs="Arial" w:eastAsia="Arial" w:hAnsi="Arial"/>
          <w:sz w:val="11"/>
          <w:szCs w:val="11"/>
          <w:color w:val="auto"/>
        </w:rPr>
        <w:t>)) if it endangers the public order or the security of Germany. According to an amendment to the AWV, which came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any acquisition by a foreign acquirer of 20% or more of the voting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rights of a company that develops or manufactures, among other things, goods intended for use in space or for use in space infrastructure systems as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well as goods specifically required for the operation of laser communication networks, including the Company. If grounds for an objection exist, the BMWi may prohibit the direct acquirer of the ADSs from making such an acquisition within two months of the receipt of the approval request in writing or issue instructions in order to ensure the public order or security in Germany. See “Regulatory Environment—German Foreign Investment Regime.” As a result, any such requirement to obtain governmental approval or the issuance of an objection by the BMWi may restrict certain investments in the ADSs, limit demand for the ADSs, and have negative impact on the stock exchange price of the ADSs.</w:t>
      </w:r>
    </w:p>
    <w:p>
      <w:pPr>
        <w:spacing w:after="0" w:line="113"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Following this offering, our existing shareholders (other than our existing public shareholders) will retain a significant interest in us, and their interests may conflict with ours or those of our other shareholders.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Following the completion of this offering, our existing shareholders (other than existing public holders of our ordinary shares) will continue to</w:t>
      </w:r>
    </w:p>
    <w:p>
      <w:pPr>
        <w:sectPr>
          <w:pgSz w:w="11900" w:h="16838" w:orient="portrait"/>
          <w:cols w:equalWidth="0" w:num="1">
            <w:col w:w="10159"/>
          </w:cols>
          <w:pgMar w:left="300" w:top="354" w:right="1440" w:bottom="1440" w:gutter="0" w:footer="0" w:header="0"/>
        </w:sectPr>
      </w:pPr>
    </w:p>
    <w:p>
      <w:pPr>
        <w:spacing w:after="0" w:line="26" w:lineRule="exact"/>
        <w:rPr>
          <w:sz w:val="20"/>
          <w:szCs w:val="20"/>
          <w:color w:val="auto"/>
        </w:rPr>
      </w:pPr>
    </w:p>
    <w:p>
      <w:pPr>
        <w:ind w:left="1980"/>
        <w:spacing w:after="0"/>
        <w:tabs>
          <w:tab w:leader="none" w:pos="3400" w:val="left"/>
          <w:tab w:leader="none" w:pos="6440" w:val="left"/>
        </w:tabs>
        <w:rPr>
          <w:sz w:val="20"/>
          <w:szCs w:val="20"/>
          <w:color w:val="auto"/>
        </w:rPr>
      </w:pPr>
      <w:r>
        <w:rPr>
          <w:rFonts w:ascii="Arial" w:cs="Arial" w:eastAsia="Arial" w:hAnsi="Arial"/>
          <w:sz w:val="12"/>
          <w:szCs w:val="12"/>
          <w:color w:val="auto"/>
        </w:rPr>
        <w:t>own approximately</w:t>
      </w:r>
      <w:r>
        <w:rPr>
          <w:sz w:val="20"/>
          <w:szCs w:val="20"/>
          <w:color w:val="auto"/>
        </w:rPr>
        <w:tab/>
      </w:r>
      <w:r>
        <w:rPr>
          <w:rFonts w:ascii="Arial" w:cs="Arial" w:eastAsia="Arial" w:hAnsi="Arial"/>
          <w:sz w:val="12"/>
          <w:szCs w:val="12"/>
          <w:color w:val="auto"/>
        </w:rPr>
        <w:t>% of our outstanding share capital (or approximately</w:t>
      </w:r>
      <w:r>
        <w:rPr>
          <w:sz w:val="20"/>
          <w:szCs w:val="20"/>
          <w:color w:val="auto"/>
        </w:rPr>
        <w:tab/>
      </w:r>
      <w:r>
        <w:rPr>
          <w:rFonts w:ascii="Arial" w:cs="Arial" w:eastAsia="Arial" w:hAnsi="Arial"/>
          <w:sz w:val="10"/>
          <w:szCs w:val="10"/>
          <w:color w:val="auto"/>
        </w:rPr>
        <w:t>% of our outstanding share capital if the underwriters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exercise their option to purchase additional ADSs from us in full) and therefore retain a majority of the votes in our shareholders’ meeting.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founders, members of our management and supervisory boards and known five percent shareholders, together with their affiliates, collectively own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approximately 17.6% of our outstanding share capital, and following the completion of this offering will collectively own approximately</w:t>
      </w:r>
    </w:p>
    <w:p>
      <w:pPr>
        <w:spacing w:after="0" w:line="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color w:val="auto"/>
        </w:rPr>
        <w:t>our outstanding share capital (or approximately</w:t>
      </w:r>
      <w:r>
        <w:rPr>
          <w:sz w:val="20"/>
          <w:szCs w:val="20"/>
          <w:color w:val="auto"/>
        </w:rPr>
        <w:tab/>
      </w:r>
      <w:r>
        <w:rPr>
          <w:rFonts w:ascii="Arial" w:cs="Arial" w:eastAsia="Arial" w:hAnsi="Arial"/>
          <w:sz w:val="10"/>
          <w:szCs w:val="10"/>
          <w:color w:val="auto"/>
        </w:rPr>
        <w:t>% of our outstanding share capital if the underwriters exercise their option to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 of</w:t>
      </w:r>
    </w:p>
    <w:p>
      <w:pPr>
        <w:spacing w:after="0" w:line="170" w:lineRule="exact"/>
        <w:rPr>
          <w:sz w:val="20"/>
          <w:szCs w:val="20"/>
          <w:color w:val="auto"/>
        </w:rPr>
      </w:pPr>
    </w:p>
    <w:p>
      <w:pPr>
        <w:sectPr>
          <w:pgSz w:w="11900" w:h="16838" w:orient="portrait"/>
          <w:cols w:equalWidth="0" w:num="2">
            <w:col w:w="9040" w:space="0"/>
            <w:col w:w="1119"/>
          </w:cols>
          <w:pgMar w:left="300" w:top="354" w:right="1440" w:bottom="1440" w:gutter="0" w:footer="0" w:header="0"/>
          <w:type w:val="continuous"/>
        </w:sectPr>
      </w:pPr>
    </w:p>
    <w:p>
      <w:pPr>
        <w:ind w:left="1980" w:right="899"/>
        <w:spacing w:after="0" w:line="278" w:lineRule="auto"/>
        <w:rPr>
          <w:sz w:val="20"/>
          <w:szCs w:val="20"/>
          <w:color w:val="auto"/>
        </w:rPr>
      </w:pPr>
      <w:r>
        <w:rPr>
          <w:rFonts w:ascii="Arial" w:cs="Arial" w:eastAsia="Arial" w:hAnsi="Arial"/>
          <w:sz w:val="11"/>
          <w:szCs w:val="11"/>
          <w:color w:val="auto"/>
        </w:rPr>
        <w:t>additional ADSs from us in full). See “Principal Shareholders.” The interests of our existing shareholders may deviate from our interests or those of our other shareholders. Certain measures and transactions, including dividend payments, may be impossible to implement without the support of our existing shareholders. By virtue of the voting power held by our founders, management and five percent shareholders, they may have significant influence over the outcome of any corporate transaction or other matters submitted to our shareholders’ meeting for approval. In addition, some of our existing shareholders hold various interests in a number of companies and conflicts of interests may arise between these investments and our interests. Conflicts between the interests of our existing shareholders and our interests or those of our other shareholders may have a material adverse effect on our business, financial condition, results of operations and prospects.</w:t>
      </w:r>
    </w:p>
    <w:p>
      <w:pPr>
        <w:spacing w:after="0" w:line="11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will incur increased costs as a result of becoming a U.S. public company, and our management will be required to devote substantial time to new compliance initiatives and corporate governance practices.</w:t>
      </w:r>
    </w:p>
    <w:p>
      <w:pPr>
        <w:spacing w:after="0" w:line="115" w:lineRule="exact"/>
        <w:rPr>
          <w:sz w:val="20"/>
          <w:szCs w:val="20"/>
          <w:color w:val="auto"/>
        </w:rPr>
      </w:pPr>
    </w:p>
    <w:p>
      <w:pPr>
        <w:ind w:left="1980" w:right="879" w:firstLine="294"/>
        <w:spacing w:after="0" w:line="311" w:lineRule="auto"/>
        <w:rPr>
          <w:sz w:val="20"/>
          <w:szCs w:val="20"/>
          <w:color w:val="auto"/>
        </w:rPr>
      </w:pPr>
      <w:r>
        <w:rPr>
          <w:rFonts w:ascii="Arial" w:cs="Arial" w:eastAsia="Arial" w:hAnsi="Arial"/>
          <w:sz w:val="10"/>
          <w:szCs w:val="10"/>
          <w:color w:val="auto"/>
        </w:rPr>
        <w:t>As a U.S. public company, and particularly if we are no longer an emerging growth company under U.S. federal securities regulation, we will incur significant legal, accounting and other expenses, including, but not limited to, costs and expenses for management board members’ and supervisory board members’ fees, increased directors and officers insurance costs, investor relations costs, and various other costs associated with being a U.S. public company. The Sarbanes-Oxley Act, applicable listing requirements and other applicable securities rules and regulations impose various requirements on U.S.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directors and officers insurance.</w:t>
      </w:r>
    </w:p>
    <w:p>
      <w:pPr>
        <w:spacing w:after="0" w:line="10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We are evaluating these rules and regulations, and cannot predict or estimate the amount of additional costs we may incur in connection therewith,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We are not currently required to comply with the rules of the SEC implementing Section 404 of the Sarbanes-Oxley Act, or Section 404, and therefore are not required to conduct a formal assessment of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type w:val="continuous"/>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effectiveness of our internal control over financial reporting for that purpose. Upon becoming a U.S. public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an annual assessment of our internal control over financial reporting pursuant to Section 404(a) until the year of our second annual report required to be filed with the SEC.</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To achieve compliance with Section 404 within the prescribed period, we will be engaged in documenting and evaluating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Identification of (additional) material weaknesses once we are a U.S. public company could result in an adverse reaction among our investors due to a loss of confidence in the reliability of our financial statements. As a result, the market price of the ADSs could be negatively affected, and we could become subject to investigations by the stock exchange on which the ADSs are listed, the SEC or other regulatory authorities, which could require additional financial and management resources.</w:t>
      </w:r>
    </w:p>
    <w:p>
      <w:pPr>
        <w:spacing w:after="0" w:line="120"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that we are no longer an emerging growth 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2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consequences of being a public company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able to adapt our internal controls or our reporting and risk management procedures to the requirements of a U.S. public company.</w:t>
      </w:r>
    </w:p>
    <w:p>
      <w:pPr>
        <w:spacing w:after="0" w:line="17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will need to develop the expertise necessary to comply with the numerous regulatory and other requirements applicable to U.S. publicly listed companies, including requirements relating to corporate governance, internal control over financial reporting, listing standards, notification requirements and securities and investor relations issues, which will divert management attention and may prove costly. An inability to adapt our internal controls as well as our reporting and risk management procedures to the requirements of a public company could have a material adverse effect on our business, financial condition, results of operations and prospects.</w:t>
      </w:r>
    </w:p>
    <w:p>
      <w:pPr>
        <w:spacing w:after="0" w:line="12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323" w:lineRule="auto"/>
        <w:rPr>
          <w:sz w:val="20"/>
          <w:szCs w:val="20"/>
          <w:color w:val="auto"/>
        </w:rPr>
      </w:pPr>
      <w:r>
        <w:rPr>
          <w:rFonts w:ascii="Arial" w:cs="Arial" w:eastAsia="Arial" w:hAnsi="Arial"/>
          <w:sz w:val="11"/>
          <w:szCs w:val="11"/>
          <w:color w:val="auto"/>
        </w:rPr>
        <w:t>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92"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While we have initiated a remediation plan to address these material weaknesses, our control environment still needs to be improved, and as a result, we may be exposed to errors. As part of this plan, we intend to (i) implement an enterprise resource planning (“ERP”) system from SAP AG in the second half of 2021, and (ii)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w:t>
      </w:r>
    </w:p>
    <w:p>
      <w:pPr>
        <w:spacing w:after="0" w:line="117"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Neither our management nor any outside advisor has performed an evaluation of our internal control over financial reporting in accordance with the provision of the Sarbanes Oxley Act because no such evaluation has been required. Had we or an outside advisor performed an evaluation of our internal control over financial reporting in accordance with the provisions of the Sarbanes Oxley Act, additional material weaknesses may have been identified. Any failure to establish or maintain an effective system of internal controls over financial reporting or to remediate material weaknesses could limit our ability to report our financial results accurately and in a timely manner or to detect and prevent fraud. If our efforts to establish and maintain an effective system of internal controls over financial reporting fail, regulatory authorities may initiate legal proceedings against us and our business, financial condition, results of operations and prospects could be adversely affected.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Future offerings of debt or equity securities by us could adversely affect the market price of the ADSs, and future issuances of equity securities could lead to a substantial dilution of our shareholders.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2"/>
          <w:szCs w:val="12"/>
          <w:i w:val="1"/>
          <w:iCs w:val="1"/>
          <w:color w:val="auto"/>
        </w:rPr>
        <w:t>e.g.</w:t>
      </w:r>
      <w:r>
        <w:rPr>
          <w:rFonts w:ascii="Arial" w:cs="Arial" w:eastAsia="Arial" w:hAnsi="Arial"/>
          <w:sz w:val="12"/>
          <w:szCs w:val="12"/>
          <w:color w:val="auto"/>
        </w:rPr>
        <w:t>, convertible bonds and option rights). An issuance of additional equity or debt securities with conversion rights could potentially reduce the market price of the ADSs. We currently cannot predict the amounts and terms of such future offerings.</w:t>
      </w:r>
    </w:p>
    <w:p>
      <w:pPr>
        <w:spacing w:after="0" w:line="12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3"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Future sales by major shareholders, or the perception of future sales, could materially adversely affect the market price of the ADSs.</w:t>
      </w:r>
    </w:p>
    <w:p>
      <w:pPr>
        <w:spacing w:after="0" w:line="162"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For various reasons, shareholders may sell all or some of their shares or ADSs, including in order to diversify their investments, subject to certain restrictions described below. Our existing majority shareholders hold a substantial number of our shares, and may acquire a substantial number of the ADSs in the future after completion of this offering. In addition, we intend to delist our ordinary shares from the Frankfurt Stock Exchange, and as a result our shareholders may seek to sell their ordinary shares on the Frankfurt Stock Exchange or deposit their ordinary shares with the depositary or the custodian for the depositary in exchange for ADSs as the date for our delisting on the Frankfurt Stock Exchange draws near. Sales of a substantial number of our shares or ADSs in the public market following the successful completion of the offering or the issuance by the depositary of ADSs in connection with our delisting on the Frankfurt Stock Exchange, or the perception that such sales or issuances might occur, could depress the market price of the ADSs and could impair our ability to raise capital through the sale of additional equity securities.</w:t>
      </w:r>
    </w:p>
    <w:p>
      <w:pPr>
        <w:spacing w:after="0" w:line="115" w:lineRule="exact"/>
        <w:rPr>
          <w:sz w:val="20"/>
          <w:szCs w:val="20"/>
          <w:color w:val="auto"/>
        </w:rPr>
      </w:pPr>
    </w:p>
    <w:p>
      <w:pPr>
        <w:ind w:left="1980" w:right="919" w:firstLine="294"/>
        <w:spacing w:after="0" w:line="258" w:lineRule="auto"/>
        <w:rPr>
          <w:sz w:val="20"/>
          <w:szCs w:val="20"/>
          <w:color w:val="auto"/>
        </w:rPr>
      </w:pPr>
      <w:r>
        <w:rPr>
          <w:rFonts w:ascii="Arial" w:cs="Arial" w:eastAsia="Arial" w:hAnsi="Arial"/>
          <w:sz w:val="12"/>
          <w:szCs w:val="12"/>
          <w:color w:val="auto"/>
        </w:rPr>
        <w:t>Upon completion of this offering, ADSs will be outstanding representing ordinary shares, or approximately % of our outstanding share capital (or ADSs outstanding representing ordinary shares, or approximately % of our outstanding</w:t>
      </w:r>
    </w:p>
    <w:p>
      <w:pPr>
        <w:ind w:left="1980" w:right="899"/>
        <w:spacing w:after="0" w:line="276" w:lineRule="auto"/>
        <w:rPr>
          <w:sz w:val="20"/>
          <w:szCs w:val="20"/>
          <w:color w:val="auto"/>
        </w:rPr>
      </w:pPr>
      <w:r>
        <w:rPr>
          <w:rFonts w:ascii="Arial" w:cs="Arial" w:eastAsia="Arial" w:hAnsi="Arial"/>
          <w:sz w:val="11"/>
          <w:szCs w:val="11"/>
          <w:color w:val="auto"/>
        </w:rPr>
        <w:t>share capital, if the underwriters exercise their option to purchase additional ADSs from us in full). The ADSs offered in this offering will be freely tradable without restriction under the Securities Act of 1933, as amended (the “Securities Act”), except for any ADSs that may be held or acquired by our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following the completion of this offering, we intend to file one or more registration statements on Form S-8 under the Securities Act to register our ordinary shares issuable under our stock option programs. Any such registration statement on Form S-8 will become effective automatically upon filing. Accordingly,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See “Shares and ADSs Eligible for Future Sale.” In connection with this offering, we and the members of our management board and supervisory board and certain of our existing shareholders have each entered into lock-up agreements pursuant to which we and they will not be permitted to sell ADSs or ordinary shares for 180 days after the date of this prospectus, without the prior consent of the representatives of the underwriters. See “Underwriting.”</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broad discretion with respect to the use of the net proceeds from this offering and may not use them effectively.</w:t>
      </w:r>
    </w:p>
    <w:p>
      <w:pPr>
        <w:spacing w:after="0" w:line="150" w:lineRule="exact"/>
        <w:rPr>
          <w:sz w:val="20"/>
          <w:szCs w:val="20"/>
          <w:color w:val="auto"/>
        </w:rPr>
      </w:pPr>
    </w:p>
    <w:p>
      <w:pPr>
        <w:jc w:val="both"/>
        <w:ind w:left="1980" w:right="919" w:firstLine="294"/>
        <w:spacing w:after="0" w:line="285" w:lineRule="auto"/>
        <w:rPr>
          <w:sz w:val="20"/>
          <w:szCs w:val="20"/>
          <w:color w:val="auto"/>
        </w:rPr>
      </w:pPr>
      <w:r>
        <w:rPr>
          <w:rFonts w:ascii="Arial" w:cs="Arial" w:eastAsia="Arial" w:hAnsi="Arial"/>
          <w:sz w:val="11"/>
          <w:szCs w:val="11"/>
          <w:color w:val="auto"/>
        </w:rPr>
        <w:t>Our management will have considerable discretion in the application of the net proceeds from this offering and could spend the proceeds in ways that do not improve our results of operations or enhance the value of the ADSs. Shareholders may not be able to assess whether the proceeds are being used appropriately. We have not quantified or allocated any specific portion or range of the net proceeds to us for any particular purpose. The failure by our management to apply these funds effectively could result in financial losses that could have a material adverse effect on our business and cause the price of the ADSs to decline. See “Use of Proceeds” in this prospectus.</w:t>
      </w:r>
    </w:p>
    <w:p>
      <w:pPr>
        <w:spacing w:after="0" w:line="113" w:lineRule="exact"/>
        <w:rPr>
          <w:sz w:val="20"/>
          <w:szCs w:val="20"/>
          <w:color w:val="auto"/>
        </w:rPr>
      </w:pPr>
    </w:p>
    <w:p>
      <w:pPr>
        <w:jc w:val="both"/>
        <w:ind w:left="1980" w:right="89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may decline. If one or more of these analysts ceases coverage of our company or fails to publish reports on us regularly, demand for the ADSs could decrease, which might cause the ADS price and trading volume to decline.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do not expect to pay any dividends in the foreseeable future.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1"/>
          <w:szCs w:val="11"/>
          <w:i w:val="1"/>
          <w:iCs w:val="1"/>
          <w:color w:val="auto"/>
        </w:rPr>
        <w:t>Bilanzgewinn</w:t>
      </w:r>
      <w:r>
        <w:rPr>
          <w:rFonts w:ascii="Arial" w:cs="Arial" w:eastAsia="Arial" w:hAnsi="Arial"/>
          <w:sz w:val="11"/>
          <w:szCs w:val="11"/>
          <w:color w:val="auto"/>
        </w:rPr>
        <w:t>)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1"/>
          <w:szCs w:val="11"/>
          <w:i w:val="1"/>
          <w:iCs w:val="1"/>
          <w:color w:val="auto"/>
        </w:rPr>
        <w:t>Handelsgesetzbuch</w:t>
      </w:r>
      <w:r>
        <w:rPr>
          <w:rFonts w:ascii="Arial" w:cs="Arial" w:eastAsia="Arial" w:hAnsi="Arial"/>
          <w:sz w:val="11"/>
          <w:szCs w:val="11"/>
          <w:color w:val="auto"/>
        </w:rPr>
        <w:t>). Such accounting principles differ from IFRS as issued by the IASB in material respects.</w:t>
      </w:r>
    </w:p>
    <w:p>
      <w:pPr>
        <w:spacing w:after="0" w:line="11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11"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Consequently, we do not expect to pay dividends in the foreseeable future, and as a result any return on an investment in the ADSs will be solely dependent upon the appreciation of the trading price of the ADSs, which may not occur. See “Dividend Policy” in this prospectus.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Holders of the ADSs may be subject to limitations on transfer of their ADSs.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See “Description of American Depositary Shares” in this prospectus.</w:t>
      </w:r>
    </w:p>
    <w:p>
      <w:pPr>
        <w:spacing w:after="0" w:line="12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Holders of ADSs are not treated as shareholders of our company and the exercise of voting rights by holders of the ADSs is limited by the terms of the deposit agreement.</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By participating in this offering, you will become a holder of ADSs with underlying shares in a German public company. 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24"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16" w:lineRule="auto"/>
        <w:rPr>
          <w:sz w:val="20"/>
          <w:szCs w:val="20"/>
          <w:color w:val="auto"/>
        </w:rPr>
      </w:pPr>
      <w:r>
        <w:rPr>
          <w:rFonts w:ascii="Arial" w:cs="Arial" w:eastAsia="Arial" w:hAnsi="Arial"/>
          <w:sz w:val="10"/>
          <w:szCs w:val="10"/>
          <w:color w:val="auto"/>
        </w:rPr>
        <w:t>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 See “Description of American Depositary Shares” in this prospectus.</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The rights of shareholders in companies subject to German corporate law differ in material respects from the rights of shareholders of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corporations.</w:t>
      </w:r>
    </w:p>
    <w:p>
      <w:pPr>
        <w:spacing w:after="0" w:line="141"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incorporated under German law, and by participating in this offering you will become a holder of ADSs representing ordinary shares of a German stock corporation.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48" w:lineRule="exact"/>
        <w:rPr>
          <w:sz w:val="20"/>
          <w:szCs w:val="20"/>
          <w:color w:val="auto"/>
        </w:rPr>
      </w:pPr>
    </w:p>
    <w:p>
      <w:pPr>
        <w:ind w:left="2620" w:right="919" w:hanging="288"/>
        <w:spacing w:after="0" w:line="254" w:lineRule="auto"/>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Under German law, certain important resolutions, including, for example, capital decreases, measures under the German Transformation Act (</w:t>
      </w:r>
      <w:r>
        <w:rPr>
          <w:rFonts w:ascii="Arial" w:cs="Arial" w:eastAsia="Arial" w:hAnsi="Arial"/>
          <w:sz w:val="12"/>
          <w:szCs w:val="12"/>
          <w:i w:val="1"/>
          <w:iCs w:val="1"/>
          <w:color w:val="auto"/>
        </w:rPr>
        <w:t>Umwandlungsgesetz</w:t>
      </w:r>
      <w:r>
        <w:rPr>
          <w:rFonts w:ascii="Arial" w:cs="Arial" w:eastAsia="Arial" w:hAnsi="Arial"/>
          <w:sz w:val="12"/>
          <w:szCs w:val="12"/>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66" w:lineRule="exact"/>
        <w:rPr>
          <w:rFonts w:ascii="Arial" w:cs="Arial" w:eastAsia="Arial" w:hAnsi="Arial"/>
          <w:sz w:val="12"/>
          <w:szCs w:val="12"/>
          <w:color w:val="auto"/>
        </w:rPr>
      </w:pPr>
    </w:p>
    <w:p>
      <w:pPr>
        <w:ind w:left="2620" w:right="859" w:hanging="288"/>
        <w:spacing w:after="0" w:line="311" w:lineRule="auto"/>
        <w:tabs>
          <w:tab w:leader="none" w:pos="26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As a general rule under German law, a shareholder has no direct recourse against the members of the management board (</w:t>
      </w:r>
      <w:r>
        <w:rPr>
          <w:rFonts w:ascii="Arial" w:cs="Arial" w:eastAsia="Arial" w:hAnsi="Arial"/>
          <w:sz w:val="10"/>
          <w:szCs w:val="10"/>
          <w:i w:val="1"/>
          <w:iCs w:val="1"/>
          <w:color w:val="auto"/>
        </w:rPr>
        <w:t>Vorstand</w:t>
      </w:r>
      <w:r>
        <w:rPr>
          <w:rFonts w:ascii="Arial" w:cs="Arial" w:eastAsia="Arial" w:hAnsi="Arial"/>
          <w:sz w:val="10"/>
          <w:szCs w:val="10"/>
          <w:color w:val="auto"/>
        </w:rPr>
        <w:t>) or supervisory board (</w:t>
      </w:r>
      <w:r>
        <w:rPr>
          <w:rFonts w:ascii="Arial" w:cs="Arial" w:eastAsia="Arial" w:hAnsi="Arial"/>
          <w:sz w:val="10"/>
          <w:szCs w:val="10"/>
          <w:i w:val="1"/>
          <w:iCs w:val="1"/>
          <w:color w:val="auto"/>
        </w:rPr>
        <w:t>Aufsichtsrat</w:t>
      </w:r>
      <w:r>
        <w:rPr>
          <w:rFonts w:ascii="Arial" w:cs="Arial" w:eastAsia="Arial" w:hAnsi="Arial"/>
          <w:sz w:val="10"/>
          <w:szCs w:val="10"/>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0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For more information, we have provided summaries of relevant German corporate law and of our articles of association under “Description of Share Capital and Articles of Association.”</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company’s perspective, there exists good and objective cause for such waiver, especially for a capital increase of up to 10% of the share capital if the issue price of the new shares is not significantly lower than their market price.</w:t>
      </w:r>
    </w:p>
    <w:p>
      <w:pPr>
        <w:spacing w:after="0" w:line="115"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Investors may have difficulty enforcing civil liabilities against us, our management board members, our supervisory board members.</w:t>
      </w:r>
    </w:p>
    <w:p>
      <w:pPr>
        <w:spacing w:after="0" w:line="16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Certain members of our supervisory board and management board and the experts named in this prospectus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and the experts named in this prospectus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379" w:lineRule="auto"/>
        <w:rPr>
          <w:sz w:val="20"/>
          <w:szCs w:val="20"/>
          <w:color w:val="auto"/>
        </w:rPr>
      </w:pPr>
      <w:r>
        <w:rPr>
          <w:rFonts w:ascii="Arial" w:cs="Arial" w:eastAsia="Arial" w:hAnsi="Arial"/>
          <w:sz w:val="10"/>
          <w:szCs w:val="10"/>
          <w:b w:val="1"/>
          <w:bCs w:val="1"/>
          <w:i w:val="1"/>
          <w:iCs w:val="1"/>
          <w:color w:val="auto"/>
        </w:rPr>
        <w:t>We are an emerging growth company, as defined in the Securities Act, and we cannot be certain whether the reduced disclosure requirements applicable to emerging growth companies will make the ADSs less attractive to investors, given that we may rely on these exemptions.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are an “emerging growth company,” as defined in Section 2(a) of the Securities Act, as modified by the JOBS Act, and therefore we may take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advantage of certain exemptions from reporting requirements that are applicable to public companies that are not “emerging growth companies,”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including, but not limited to, presenting only limited selected financial data in the registration statement on Form F-1 of which this prospectus is a part,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 being required to comply with the auditor attestation requirements of Section 404 in subsequent Annual Reports filed on Form 20-F and not being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required to comply with any requirement that may be adopted by the Public Company Accounting Oversight Board regarding mandatory audit firm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rotation or a supplement to the auditor’s report providing additional information about the audit and the financial statements. As a result,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may not have access to certain information that they may deem important. In addition, the JOBS Act provides that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may take advantage of an extended transition period for complying with new or revised accounting standards, which allows an emerging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growth company to delay the adoption of certain accounting standards until those standards would otherwise apply to private companies. Such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provisions are only applicable under U.S. GAAP. We currently prepare our financial statements in accordance with IFRS as issued by the IASB, which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do not have separate provisions for publicly traded and private companies. However, in the event we convert to U.S. GAAP while we are still an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“emerging growth company,” we may be able to take advantage of the benefits of this extended transition period. We could be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for up to five years, although circumstances could cause us to lose that status earlier, including if our total annual gross revenue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$1.07 billion, if we issue more than $1.00 billion in non-convertible debt securities during any three-year period, or if we are a large accelerated filer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market value of the ADSs held by non-affiliates exceeds $700 million as of the end of any second quarter before that time. Investors may find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ADSs less attractive because we have relied on the reporting requirement exemptions described above. If some investors find the ADSs less attractive,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there may be a less active trading market for the ADSs and the price of the ADSs may become more volatile.</w:t>
      </w:r>
    </w:p>
    <w:p>
      <w:pPr>
        <w:spacing w:after="0" w:line="141"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As a foreign private issuer, we will not be subject to U.S. proxy rules and will be subject to Exchange Act reporting obligations that, to some extent, are more lenient than those of a U.S. domestic public company.</w:t>
      </w:r>
    </w:p>
    <w:p>
      <w:pPr>
        <w:spacing w:after="0" w:line="115"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Upon completion of this offering, we will report under the Exchange Act as a non-U.S. company with foreign private issuer status. Because we qualify as a foreign private issuer under the Exchange Act and although we are subject to German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i w:val="1"/>
          <w:iCs w:val="1"/>
          <w:color w:val="auto"/>
        </w:rPr>
        <w:t>We may lose our foreign private issuer status in the future, which could result in significant additional costs and expenses.</w:t>
      </w:r>
    </w:p>
    <w:p>
      <w:pPr>
        <w:spacing w:after="0" w:line="150"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As discussed above, we are a foreign private issuer and, therefore, we are not required to comply with all of the periodic disclosure and current reporting requirements of the Exchange Act. The determination of foreign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private issuer status is made annually on the last business day of an issuer’s most recently completed second fiscal quarter, and, accordingly, the next determination will be made with respect to us on June 30, 2022.</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the future, we would cease to be a foreign private issuer at such time as more than 50% of our outstanding voting securities are held by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residents and any of the following three circumstances applies: (i) the majority of our executive officers or directors are U.S. citizens or residents,</w:t>
      </w:r>
    </w:p>
    <w:p>
      <w:pPr>
        <w:spacing w:after="0" w:line="18" w:lineRule="exact"/>
        <w:rPr>
          <w:sz w:val="20"/>
          <w:szCs w:val="20"/>
          <w:color w:val="auto"/>
        </w:rPr>
      </w:pPr>
    </w:p>
    <w:p>
      <w:pPr>
        <w:ind w:left="1980" w:right="899" w:hanging="8"/>
        <w:spacing w:after="0" w:line="276" w:lineRule="auto"/>
        <w:tabs>
          <w:tab w:leader="none" w:pos="2157" w:val="left"/>
        </w:tabs>
        <w:numPr>
          <w:ilvl w:val="0"/>
          <w:numId w:val="21"/>
        </w:numPr>
        <w:rPr>
          <w:rFonts w:ascii="Arial" w:cs="Arial" w:eastAsia="Arial" w:hAnsi="Arial"/>
          <w:sz w:val="11"/>
          <w:szCs w:val="11"/>
          <w:color w:val="auto"/>
        </w:rPr>
      </w:pPr>
      <w:r>
        <w:rPr>
          <w:rFonts w:ascii="Arial" w:cs="Arial" w:eastAsia="Arial" w:hAnsi="Arial"/>
          <w:sz w:val="11"/>
          <w:szCs w:val="11"/>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21"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b w:val="1"/>
          <w:bCs w:val="1"/>
          <w:i w:val="1"/>
          <w:iCs w:val="1"/>
          <w:color w:val="auto"/>
        </w:rPr>
        <w:t>As we are a foreign private issuer and intend to follow certain home country corporate governance practices, holders of the ADSs may not have the same protections afforded to shareholders of companies that are subject to all Nasdaq corporate governance requirements.</w:t>
      </w:r>
    </w:p>
    <w:p>
      <w:pPr>
        <w:spacing w:after="0" w:line="92"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The standards applicable to us are considerably different than the standards applied to domestic U.S. issuers. For instance, we are not required to:</w:t>
      </w:r>
    </w:p>
    <w:p>
      <w:pPr>
        <w:spacing w:after="0" w:line="42" w:lineRule="exact"/>
        <w:rPr>
          <w:sz w:val="20"/>
          <w:szCs w:val="20"/>
          <w:color w:val="auto"/>
        </w:rPr>
      </w:pPr>
    </w:p>
    <w:p>
      <w:pPr>
        <w:ind w:left="2620" w:right="899" w:hanging="288"/>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a majority of the board be independent (although all of the members of the audit committee must be independent under the Exchange Act);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have a compensation committee or a nominating or corporate governance committee consisting entirely of independent directors;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regularly scheduled executive sessions with only independent directors;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adopt and disclose a code of ethics for directors, officers and employees.</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have relied on and intend to continue to rely on some of these exemptions. As a result, holders of the ADSs may not have the same protections afforded to shareholders of companies that are subject to all Nasdaq corporate governance requirements.</w:t>
      </w:r>
    </w:p>
    <w:p>
      <w:pPr>
        <w:spacing w:after="0" w:line="115" w:lineRule="exact"/>
        <w:rPr>
          <w:sz w:val="20"/>
          <w:szCs w:val="20"/>
          <w:color w:val="auto"/>
        </w:rPr>
      </w:pPr>
    </w:p>
    <w:p>
      <w:pPr>
        <w:ind w:left="1980" w:right="1239"/>
        <w:spacing w:after="0" w:line="323" w:lineRule="auto"/>
        <w:rPr>
          <w:sz w:val="20"/>
          <w:szCs w:val="20"/>
          <w:color w:val="auto"/>
        </w:rPr>
      </w:pPr>
      <w:r>
        <w:rPr>
          <w:rFonts w:ascii="Arial" w:cs="Arial" w:eastAsia="Arial" w:hAnsi="Arial"/>
          <w:sz w:val="11"/>
          <w:szCs w:val="11"/>
          <w:b w:val="1"/>
          <w:bCs w:val="1"/>
          <w:i w:val="1"/>
          <w:iCs w:val="1"/>
          <w:color w:val="auto"/>
        </w:rPr>
        <w:t>Upon the completion of this offering, the ADSs and ordinary shares will be listed on two separate stock markets and investors seeking to take advantage of price differences between such markets may create unexpected volatility in the price of the ADSs.</w:t>
      </w:r>
    </w:p>
    <w:p>
      <w:pPr>
        <w:spacing w:after="0" w:line="92"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Our ordinary shares are already listed and traded on the Xetra trading system of the Frankfurt Stock Exchange. Upon completion of this offering our ordinary shares will be listed and traded on the Frankfurt Stock Exchange and the ADSs will be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3" w:lineRule="auto"/>
        <w:rPr>
          <w:sz w:val="20"/>
          <w:szCs w:val="20"/>
          <w:color w:val="auto"/>
        </w:rPr>
      </w:pPr>
      <w:r>
        <w:rPr>
          <w:rFonts w:ascii="Arial" w:cs="Arial" w:eastAsia="Arial" w:hAnsi="Arial"/>
          <w:sz w:val="11"/>
          <w:szCs w:val="11"/>
          <w:color w:val="auto"/>
        </w:rPr>
        <w:t>the ADSs and in the volumes of ADSs available for trading. In addition, we intend to delist our ordinary shares from the Frankfurt Stock Exchange, and as a result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the ADSs. Furthermore, following such de-listing, trading in our equity securities will be available only on Nasdaq in the form of trading in the ADSs. If we are unable to continue to meet the regulatory requirements for listing on Nasdaq, we may lose our listing on the exchange, which could further impair the liquidity of the ADSs.</w:t>
      </w:r>
    </w:p>
    <w:p>
      <w:pPr>
        <w:spacing w:after="0" w:line="113"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115" w:lineRule="exact"/>
        <w:rPr>
          <w:sz w:val="20"/>
          <w:szCs w:val="20"/>
          <w:color w:val="auto"/>
        </w:rPr>
      </w:pPr>
    </w:p>
    <w:p>
      <w:pPr>
        <w:ind w:left="1980" w:right="879" w:firstLine="294"/>
        <w:spacing w:after="0" w:line="308" w:lineRule="auto"/>
        <w:rPr>
          <w:sz w:val="20"/>
          <w:szCs w:val="20"/>
          <w:color w:val="auto"/>
        </w:rPr>
      </w:pPr>
      <w:r>
        <w:rPr>
          <w:rFonts w:ascii="Arial" w:cs="Arial" w:eastAsia="Arial" w:hAnsi="Arial"/>
          <w:sz w:val="10"/>
          <w:szCs w:val="10"/>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below), which is generally 15%, if the applicable taxpayer is eligible for such Treaty rate and files an application containing a specific German tax certificate with the German Federal Central Tax Office (</w:t>
      </w:r>
      <w:r>
        <w:rPr>
          <w:rFonts w:ascii="Arial" w:cs="Arial" w:eastAsia="Arial" w:hAnsi="Arial"/>
          <w:sz w:val="10"/>
          <w:szCs w:val="10"/>
          <w:i w:val="1"/>
          <w:iCs w:val="1"/>
          <w:color w:val="auto"/>
        </w:rPr>
        <w:t>Bundeszentralamt für</w:t>
      </w:r>
      <w:r>
        <w:rPr>
          <w:rFonts w:ascii="Arial" w:cs="Arial" w:eastAsia="Arial" w:hAnsi="Arial"/>
          <w:sz w:val="10"/>
          <w:szCs w:val="10"/>
          <w:color w:val="auto"/>
        </w:rPr>
        <w:t xml:space="preserve"> </w:t>
      </w:r>
      <w:r>
        <w:rPr>
          <w:rFonts w:ascii="Arial" w:cs="Arial" w:eastAsia="Arial" w:hAnsi="Arial"/>
          <w:sz w:val="10"/>
          <w:szCs w:val="10"/>
          <w:i w:val="1"/>
          <w:iCs w:val="1"/>
          <w:color w:val="auto"/>
        </w:rPr>
        <w:t>Steuern</w:t>
      </w:r>
      <w:r>
        <w:rPr>
          <w:rFonts w:ascii="Arial" w:cs="Arial" w:eastAsia="Arial" w:hAnsi="Arial"/>
          <w:sz w:val="10"/>
          <w:szCs w:val="10"/>
          <w:color w:val="auto"/>
        </w:rPr>
        <w:t>). If such a tax certificate cannot be delivered to the ADS holder due to applicable settlement mechanics or lack of information regarding the</w:t>
      </w:r>
      <w:r>
        <w:rPr>
          <w:rFonts w:ascii="Arial" w:cs="Arial" w:eastAsia="Arial" w:hAnsi="Arial"/>
          <w:sz w:val="10"/>
          <w:szCs w:val="10"/>
          <w:i w:val="1"/>
          <w:iCs w:val="1"/>
          <w:color w:val="auto"/>
        </w:rPr>
        <w:t xml:space="preserve"> </w:t>
      </w:r>
      <w:r>
        <w:rPr>
          <w:rFonts w:ascii="Arial" w:cs="Arial" w:eastAsia="Arial" w:hAnsi="Arial"/>
          <w:sz w:val="10"/>
          <w:szCs w:val="10"/>
          <w:color w:val="auto"/>
        </w:rPr>
        <w:t>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0"/>
          <w:szCs w:val="10"/>
          <w:i w:val="1"/>
          <w:iCs w:val="1"/>
          <w:color w:val="auto"/>
        </w:rPr>
        <w:t>Besteuerung von</w:t>
      </w:r>
      <w:r>
        <w:rPr>
          <w:rFonts w:ascii="Arial" w:cs="Arial" w:eastAsia="Arial" w:hAnsi="Arial"/>
          <w:sz w:val="10"/>
          <w:szCs w:val="10"/>
          <w:color w:val="auto"/>
        </w:rPr>
        <w:t xml:space="preserve"> </w:t>
      </w:r>
      <w:r>
        <w:rPr>
          <w:rFonts w:ascii="Arial" w:cs="Arial" w:eastAsia="Arial" w:hAnsi="Arial"/>
          <w:sz w:val="10"/>
          <w:szCs w:val="10"/>
          <w:i w:val="1"/>
          <w:iCs w:val="1"/>
          <w:color w:val="auto"/>
        </w:rPr>
        <w:t>American Depositary Receipts (ADR) auf inländische Aktien</w:t>
      </w:r>
      <w:r>
        <w:rPr>
          <w:rFonts w:ascii="Arial" w:cs="Arial" w:eastAsia="Arial" w:hAnsi="Arial"/>
          <w:sz w:val="10"/>
          <w:szCs w:val="10"/>
          <w:color w:val="auto"/>
        </w:rPr>
        <w:t>) issued by the German Federal Ministry of Finance (</w:t>
      </w:r>
      <w:r>
        <w:rPr>
          <w:rFonts w:ascii="Arial" w:cs="Arial" w:eastAsia="Arial" w:hAnsi="Arial"/>
          <w:sz w:val="10"/>
          <w:szCs w:val="10"/>
          <w:i w:val="1"/>
          <w:iCs w:val="1"/>
          <w:color w:val="auto"/>
        </w:rPr>
        <w:t>Bundesministerium der Finanzen</w:t>
      </w:r>
      <w:r>
        <w:rPr>
          <w:rFonts w:ascii="Arial" w:cs="Arial" w:eastAsia="Arial" w:hAnsi="Arial"/>
          <w:sz w:val="10"/>
          <w:szCs w:val="10"/>
          <w:color w:val="auto"/>
        </w:rPr>
        <w:t>),</w:t>
      </w:r>
      <w:r>
        <w:rPr>
          <w:rFonts w:ascii="Arial" w:cs="Arial" w:eastAsia="Arial" w:hAnsi="Arial"/>
          <w:sz w:val="10"/>
          <w:szCs w:val="10"/>
          <w:i w:val="1"/>
          <w:iCs w:val="1"/>
          <w:color w:val="auto"/>
        </w:rPr>
        <w:t xml:space="preserve"> </w:t>
      </w:r>
      <w:r>
        <w:rPr>
          <w:rFonts w:ascii="Arial" w:cs="Arial" w:eastAsia="Arial" w:hAnsi="Arial"/>
          <w:sz w:val="10"/>
          <w:szCs w:val="10"/>
          <w:color w:val="auto"/>
        </w:rPr>
        <w:t>dated May 24, 2013 (reference number IV C 1-S2204/12/10003), as amended by the circular dated December 18, 2018 (reference number IV C</w:t>
      </w:r>
    </w:p>
    <w:p>
      <w:pPr>
        <w:spacing w:after="0" w:line="114" w:lineRule="exact"/>
        <w:rPr>
          <w:sz w:val="20"/>
          <w:szCs w:val="20"/>
          <w:color w:val="auto"/>
        </w:rPr>
      </w:pPr>
    </w:p>
    <w:p>
      <w:pPr>
        <w:ind w:left="1980" w:right="979"/>
        <w:spacing w:after="0" w:line="252" w:lineRule="auto"/>
        <w:rPr>
          <w:sz w:val="20"/>
          <w:szCs w:val="20"/>
          <w:color w:val="auto"/>
        </w:rPr>
      </w:pPr>
      <w:r>
        <w:rPr>
          <w:rFonts w:ascii="Arial" w:cs="Arial" w:eastAsia="Arial" w:hAnsi="Arial"/>
          <w:sz w:val="12"/>
          <w:szCs w:val="12"/>
          <w:color w:val="auto"/>
        </w:rPr>
        <w:t>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interpretation of the treatment of ADSs by the German tax authorities is subject to change.</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1"/>
          <w:szCs w:val="11"/>
          <w:i w:val="1"/>
          <w:iCs w:val="1"/>
          <w:color w:val="auto"/>
        </w:rPr>
        <w:t>BMF-Schreiben</w:t>
      </w:r>
      <w:r>
        <w:rPr>
          <w:rFonts w:ascii="Arial" w:cs="Arial" w:eastAsia="Arial" w:hAnsi="Arial"/>
          <w:sz w:val="11"/>
          <w:szCs w:val="11"/>
          <w:color w:val="auto"/>
        </w:rPr>
        <w:t>), dated May 21, 2019, (reference number IV C 1 – S 1980-1/16/10010 :001, ADSs are not treated as capital participation (</w:t>
      </w:r>
      <w:r>
        <w:rPr>
          <w:rFonts w:ascii="Arial" w:cs="Arial" w:eastAsia="Arial" w:hAnsi="Arial"/>
          <w:sz w:val="11"/>
          <w:szCs w:val="11"/>
          <w:i w:val="1"/>
          <w:iCs w:val="1"/>
          <w:color w:val="auto"/>
        </w:rPr>
        <w:t>Kapitalbeteiligung</w:t>
      </w:r>
      <w:r>
        <w:rPr>
          <w:rFonts w:ascii="Arial" w:cs="Arial" w:eastAsia="Arial" w:hAnsi="Arial"/>
          <w:sz w:val="11"/>
          <w:szCs w:val="11"/>
          <w:color w:val="auto"/>
        </w:rPr>
        <w:t>) within the meaning of Section 2 para. 8 of the Investment Tax Code (</w:t>
      </w:r>
      <w:r>
        <w:rPr>
          <w:rFonts w:ascii="Arial" w:cs="Arial" w:eastAsia="Arial" w:hAnsi="Arial"/>
          <w:sz w:val="11"/>
          <w:szCs w:val="11"/>
          <w:i w:val="1"/>
          <w:iCs w:val="1"/>
          <w:color w:val="auto"/>
        </w:rPr>
        <w:t>Investmentsteuergesetz</w:t>
      </w:r>
      <w:r>
        <w:rPr>
          <w:rFonts w:ascii="Arial" w:cs="Arial" w:eastAsia="Arial" w:hAnsi="Arial"/>
          <w:sz w:val="11"/>
          <w:szCs w:val="11"/>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11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22"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31"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13"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Nevertheless, if this jury trial waiver provision is not permitted by applicable law, an action could proceed under the terms of the deposit agreement with a jury trial.</w:t>
      </w:r>
    </w:p>
    <w:p>
      <w:pPr>
        <w:spacing w:after="0" w:line="115"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420"/>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prospectus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61" w:lineRule="exact"/>
        <w:rPr>
          <w:sz w:val="20"/>
          <w:szCs w:val="20"/>
          <w:color w:val="auto"/>
        </w:rPr>
      </w:pPr>
    </w:p>
    <w:p>
      <w:pPr>
        <w:ind w:left="2620" w:right="119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future business and financial performance, including our revenue, operating expenses and our ability to achieve profitability and maintain our future business and operating results;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strategies, plans, objectives and goals, including, for example, the planned completion of the development of our products and the intended expansion of our product portfolio or geographic reach;</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expected start of serial production of our products and terminal production output;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planned monetization of our technology and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use of the net proceeds from the sale of ADSs by us in this offering;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our expectations regarding the development of our industry, market size and the competitive environment in which we operate.</w:t>
      </w:r>
    </w:p>
    <w:p>
      <w:pPr>
        <w:spacing w:after="0" w:line="162"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the following:</w:t>
      </w:r>
    </w:p>
    <w:p>
      <w:pPr>
        <w:spacing w:after="0" w:line="41" w:lineRule="exact"/>
        <w:rPr>
          <w:sz w:val="20"/>
          <w:szCs w:val="20"/>
          <w:color w:val="auto"/>
        </w:rPr>
      </w:pPr>
    </w:p>
    <w:p>
      <w:pPr>
        <w:ind w:left="2620" w:right="83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2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jc w:val="both"/>
        <w:ind w:left="2620" w:right="1039" w:hanging="288"/>
        <w:spacing w:after="0" w:line="263"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our business and operations would suffer in the event of computer system failures, cyber-attacks or deficiencies in our cyber-security;</w:t>
      </w:r>
    </w:p>
    <w:p>
      <w:pPr>
        <w:spacing w:after="0" w:line="98" w:lineRule="exact"/>
        <w:rPr>
          <w:rFonts w:ascii="Arial" w:cs="Arial" w:eastAsia="Arial" w:hAnsi="Arial"/>
          <w:sz w:val="11"/>
          <w:szCs w:val="11"/>
          <w:color w:val="auto"/>
        </w:rPr>
      </w:pPr>
    </w:p>
    <w:p>
      <w:pPr>
        <w:ind w:left="2620" w:right="9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620" w:right="12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“Risk Factors”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0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Comparison of results between current and prior periods are not intended to express any future trends, or indications of future performance, unless expressed as such, and should only be viewed as historical data.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estimate that the net proceeds to us from this offering, after deducting the estimated underwriting discounts and commissions and estimated offering expenses payable by us, will be approximately $ million (or approximately $ million if the underwriters exercise their option to purchase additional ADSs from us in full), based on an assumed initial public offering price of $ per ADS, the U.S. dollar equivalent of the closing price of our ordinary shares on the Frankfurt Stock Exchange on , 2021, based on the Euro/U.S. dollar exchange rate of €1.00 to $ as of , 2021.</w:t>
      </w:r>
    </w:p>
    <w:p>
      <w:pPr>
        <w:spacing w:after="0" w:line="128"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per ADS would increase (decrease) our net proceeds, after deducting the estimated underwriting discounts and estimated commissions and expenses, by approximately $ million. Each increase (decrease) of</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100,000 in the number of ADSs offered by us would increase (decrease) our net proceeds, after deducting the estimated underwriting discounts and</w:t>
      </w:r>
    </w:p>
    <w:p>
      <w:pPr>
        <w:spacing w:after="0" w:line="18" w:lineRule="exact"/>
        <w:rPr>
          <w:sz w:val="20"/>
          <w:szCs w:val="20"/>
          <w:color w:val="auto"/>
        </w:rPr>
      </w:pPr>
    </w:p>
    <w:p>
      <w:pPr>
        <w:ind w:left="1980"/>
        <w:spacing w:after="0"/>
        <w:tabs>
          <w:tab w:leader="none" w:pos="4520" w:val="left"/>
        </w:tabs>
        <w:rPr>
          <w:sz w:val="20"/>
          <w:szCs w:val="20"/>
          <w:color w:val="auto"/>
        </w:rPr>
      </w:pPr>
      <w:r>
        <w:rPr>
          <w:rFonts w:ascii="Arial" w:cs="Arial" w:eastAsia="Arial" w:hAnsi="Arial"/>
          <w:sz w:val="12"/>
          <w:szCs w:val="12"/>
          <w:color w:val="auto"/>
        </w:rPr>
        <w:t>estimated commissions and expenses, by $</w:t>
      </w:r>
      <w:r>
        <w:rPr>
          <w:sz w:val="20"/>
          <w:szCs w:val="20"/>
          <w:color w:val="auto"/>
        </w:rPr>
        <w:tab/>
      </w:r>
      <w:r>
        <w:rPr>
          <w:rFonts w:ascii="Arial" w:cs="Arial" w:eastAsia="Arial" w:hAnsi="Arial"/>
          <w:sz w:val="12"/>
          <w:szCs w:val="12"/>
          <w:color w:val="auto"/>
        </w:rPr>
        <w:t>million.</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principal reasons for this offering are to further fund our business, to increase our public profile and awareness, create a public market for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and facilitate our future access to public equity markets. We intend to use the net proceeds from this offering as follows:</w:t>
      </w:r>
    </w:p>
    <w:p>
      <w:pPr>
        <w:spacing w:after="0" w:line="78" w:lineRule="exact"/>
        <w:rPr>
          <w:sz w:val="20"/>
          <w:szCs w:val="20"/>
          <w:color w:val="auto"/>
        </w:rPr>
      </w:pPr>
    </w:p>
    <w:tbl>
      <w:tblPr>
        <w:tblLayout w:type="fixed"/>
        <w:tblInd w:w="2340" w:type="dxa"/>
        <w:tblCellMar>
          <w:top w:w="0" w:type="dxa"/>
          <w:left w:w="0" w:type="dxa"/>
          <w:bottom w:w="0" w:type="dxa"/>
          <w:right w:w="0" w:type="dxa"/>
        </w:tblCellMar>
      </w:tblPr>
      <w:tr>
        <w:trPr>
          <w:trHeight w:val="153"/>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7"/>
              </w:rPr>
              <w:t>% to ramp-up serial production to allow for short-term product deployment within large-scale customer programs;</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1"/>
              </w:rPr>
              <w:t>% to further advance our existing products and to expand our product portfolio to support new applications and increase</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our addressable market;</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1"/>
              </w:rPr>
              <w:t>% for investments in additional research and development equipment to further accelerate product development in both</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our German and U.S. facilities;</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3"/>
              </w:rPr>
              <w:t>% to grow our sales and marketing efforts to expand access to government and commercial customers, including the</w:t>
            </w:r>
          </w:p>
        </w:tc>
      </w:tr>
      <w:tr>
        <w:trPr>
          <w:trHeight w:val="153"/>
        </w:trPr>
        <w:tc>
          <w:tcPr>
            <w:tcW w:w="160" w:type="dxa"/>
            <w:vAlign w:val="bottom"/>
          </w:tcPr>
          <w:p>
            <w:pPr>
              <w:spacing w:after="0"/>
              <w:rPr>
                <w:sz w:val="13"/>
                <w:szCs w:val="13"/>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rPr>
              <w:t>establishment of a U.S. entity cleared for access to classified information; and</w:t>
            </w:r>
          </w:p>
        </w:tc>
      </w:tr>
      <w:tr>
        <w:trPr>
          <w:trHeight w:val="216"/>
        </w:trPr>
        <w:tc>
          <w:tcPr>
            <w:tcW w:w="1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tcPr>
          <w:p>
            <w:pPr>
              <w:ind w:left="120"/>
              <w:spacing w:after="0"/>
              <w:rPr>
                <w:sz w:val="20"/>
                <w:szCs w:val="20"/>
                <w:color w:val="auto"/>
              </w:rPr>
            </w:pPr>
            <w:r>
              <w:rPr>
                <w:rFonts w:ascii="Arial" w:cs="Arial" w:eastAsia="Arial" w:hAnsi="Arial"/>
                <w:sz w:val="12"/>
                <w:szCs w:val="12"/>
                <w:color w:val="auto"/>
                <w:w w:val="99"/>
              </w:rPr>
              <w:t>approximately</w:t>
            </w:r>
          </w:p>
        </w:tc>
        <w:tc>
          <w:tcPr>
            <w:tcW w:w="5900" w:type="dxa"/>
            <w:vAlign w:val="bottom"/>
          </w:tcPr>
          <w:p>
            <w:pPr>
              <w:ind w:left="80"/>
              <w:spacing w:after="0"/>
              <w:rPr>
                <w:sz w:val="20"/>
                <w:szCs w:val="20"/>
                <w:color w:val="auto"/>
              </w:rPr>
            </w:pPr>
            <w:r>
              <w:rPr>
                <w:rFonts w:ascii="Arial" w:cs="Arial" w:eastAsia="Arial" w:hAnsi="Arial"/>
                <w:sz w:val="12"/>
                <w:szCs w:val="12"/>
                <w:color w:val="auto"/>
                <w:w w:val="90"/>
              </w:rPr>
              <w:t>% to repay the outstanding amount of €7.5 million and any accrued and unpaid commitment fee, interest and premium, if</w:t>
            </w:r>
          </w:p>
        </w:tc>
      </w:tr>
      <w:tr>
        <w:trPr>
          <w:trHeight w:val="144"/>
        </w:trPr>
        <w:tc>
          <w:tcPr>
            <w:tcW w:w="160" w:type="dxa"/>
            <w:vAlign w:val="bottom"/>
          </w:tcPr>
          <w:p>
            <w:pPr>
              <w:spacing w:after="0"/>
              <w:rPr>
                <w:sz w:val="12"/>
                <w:szCs w:val="12"/>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w w:val="91"/>
              </w:rPr>
              <w:t>any, under the credit agreement entered into with three lenders for a credit line of approximately €25 million on September 15, 2021 (see</w:t>
            </w:r>
          </w:p>
        </w:tc>
      </w:tr>
      <w:tr>
        <w:trPr>
          <w:trHeight w:val="144"/>
        </w:trPr>
        <w:tc>
          <w:tcPr>
            <w:tcW w:w="160" w:type="dxa"/>
            <w:vAlign w:val="bottom"/>
          </w:tcPr>
          <w:p>
            <w:pPr>
              <w:spacing w:after="0"/>
              <w:rPr>
                <w:sz w:val="12"/>
                <w:szCs w:val="12"/>
                <w:color w:val="auto"/>
              </w:rPr>
            </w:pPr>
          </w:p>
        </w:tc>
        <w:tc>
          <w:tcPr>
            <w:tcW w:w="6780" w:type="dxa"/>
            <w:vAlign w:val="bottom"/>
            <w:gridSpan w:val="2"/>
          </w:tcPr>
          <w:p>
            <w:pPr>
              <w:ind w:left="120"/>
              <w:spacing w:after="0"/>
              <w:rPr>
                <w:sz w:val="20"/>
                <w:szCs w:val="20"/>
                <w:color w:val="auto"/>
              </w:rPr>
            </w:pPr>
            <w:r>
              <w:rPr>
                <w:rFonts w:ascii="Arial" w:cs="Arial" w:eastAsia="Arial" w:hAnsi="Arial"/>
                <w:sz w:val="12"/>
                <w:szCs w:val="12"/>
                <w:color w:val="auto"/>
                <w:w w:val="91"/>
              </w:rPr>
              <w:t>also “Management’s Discussion and Analysis of Financial Condition and Results of Operations—Liquidity and Capital Resources—Credit</w:t>
            </w:r>
          </w:p>
        </w:tc>
      </w:tr>
      <w:tr>
        <w:trPr>
          <w:trHeight w:val="153"/>
        </w:trPr>
        <w:tc>
          <w:tcPr>
            <w:tcW w:w="1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2"/>
                <w:szCs w:val="12"/>
                <w:color w:val="auto"/>
              </w:rPr>
              <w:t>Agreement”).</w:t>
            </w:r>
          </w:p>
        </w:tc>
        <w:tc>
          <w:tcPr>
            <w:tcW w:w="5900" w:type="dxa"/>
            <w:vAlign w:val="bottom"/>
          </w:tcPr>
          <w:p>
            <w:pPr>
              <w:spacing w:after="0"/>
              <w:rPr>
                <w:sz w:val="13"/>
                <w:szCs w:val="13"/>
                <w:color w:val="auto"/>
              </w:rPr>
            </w:pPr>
          </w:p>
        </w:tc>
      </w:tr>
    </w:tbl>
    <w:p>
      <w:pPr>
        <w:spacing w:after="0" w:line="13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Our expected use of net proceeds from this offering represents our current intentions based upon our present plans and business condition.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2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All of the shares represented by the ADSs that are the subject of the offering contemplated by this prospectus will generally have the same dividend rights as all of our other outstanding shares. However, the depositary may limit distributions based on practical considerations and legal limitations. See “Description of American Depositary Shares—Dividends and Other Distributions.” Any distribution of dividends proposed by our management and supervisory boards requires the approval of our shareholders in a shareholders’ meeting. See “Description of Share Capital—Dividend Rights,” which explains in more detail the procedures we must follow and the German law provisions that determine whether we are entitled to declare a dividend.</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For information regarding the German withholding tax applicable to dividends and related United States refund procedures, see “Taxation— German Taxation—German Taxation of ADSs.”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table below sets forth our cash and cash equivalents and capitalization as of June 30, 2021:</w:t>
      </w:r>
    </w:p>
    <w:p>
      <w:pPr>
        <w:spacing w:after="0" w:line="168" w:lineRule="exact"/>
        <w:rPr>
          <w:sz w:val="20"/>
          <w:szCs w:val="20"/>
          <w:color w:val="auto"/>
        </w:rPr>
      </w:pPr>
    </w:p>
    <w:p>
      <w:pPr>
        <w:ind w:left="2540" w:hanging="280"/>
        <w:spacing w:after="0"/>
        <w:tabs>
          <w:tab w:leader="none" w:pos="25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an actual basis;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an adjusted basis to reflect the amount of €7.5 million drawn under a credit agreement entered into on September 15, 2021; and</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27"/>
        </w:numPr>
        <w:rPr>
          <w:rFonts w:ascii="Arial" w:cs="Arial" w:eastAsia="Arial" w:hAnsi="Arial"/>
          <w:sz w:val="10"/>
          <w:szCs w:val="10"/>
          <w:color w:val="auto"/>
        </w:rPr>
      </w:pPr>
      <w:r>
        <w:rPr>
          <w:rFonts w:ascii="Arial" w:cs="Arial" w:eastAsia="Arial" w:hAnsi="Arial"/>
          <w:sz w:val="10"/>
          <w:szCs w:val="10"/>
          <w:color w:val="auto"/>
        </w:rPr>
        <w:t>on a further adjusted basis to reflect (i) the issuance and sale by us of the ADSs in this offering at an assumed initial public offering price of</w:t>
      </w:r>
    </w:p>
    <w:p>
      <w:pPr>
        <w:sectPr>
          <w:pgSz w:w="11900" w:h="16838" w:orient="portrait"/>
          <w:cols w:equalWidth="0" w:num="1">
            <w:col w:w="10159"/>
          </w:cols>
          <w:pgMar w:left="300" w:top="354" w:right="1440" w:bottom="1440" w:gutter="0" w:footer="0" w:header="0"/>
        </w:sectPr>
      </w:pPr>
    </w:p>
    <w:p>
      <w:pPr>
        <w:spacing w:after="0" w:line="38" w:lineRule="exact"/>
        <w:rPr>
          <w:sz w:val="20"/>
          <w:szCs w:val="20"/>
          <w:color w:val="auto"/>
        </w:rPr>
      </w:pPr>
    </w:p>
    <w:p>
      <w:pPr>
        <w:ind w:left="2540" w:right="1019"/>
        <w:spacing w:after="0" w:line="250" w:lineRule="auto"/>
        <w:rPr>
          <w:sz w:val="20"/>
          <w:szCs w:val="20"/>
          <w:color w:val="auto"/>
        </w:rPr>
      </w:pPr>
      <w:r>
        <w:rPr>
          <w:rFonts w:ascii="Arial" w:cs="Arial" w:eastAsia="Arial" w:hAnsi="Arial"/>
          <w:sz w:val="12"/>
          <w:szCs w:val="12"/>
          <w:color w:val="auto"/>
        </w:rPr>
        <w:t>$ per ADS, the U.S. dollar equivalent of the closing price of our ordinary shares on the Frankfurt Stock Exchange on , 2021, based on the Euro/U.S. dollar exchange rate of €1.00 to $ as of , 2021, after deducting the estimated underwriting</w:t>
      </w:r>
    </w:p>
    <w:p>
      <w:pPr>
        <w:sectPr>
          <w:pgSz w:w="11900" w:h="16838" w:orient="portrait"/>
          <w:cols w:equalWidth="0" w:num="1">
            <w:col w:w="10159"/>
          </w:cols>
          <w:pgMar w:left="300" w:top="354" w:right="1440" w:bottom="1440" w:gutter="0" w:footer="0" w:header="0"/>
          <w:type w:val="continuous"/>
        </w:sectPr>
      </w:pPr>
    </w:p>
    <w:p>
      <w:pPr>
        <w:spacing w:after="0" w:line="1" w:lineRule="exact"/>
        <w:rPr>
          <w:sz w:val="20"/>
          <w:szCs w:val="20"/>
          <w:color w:val="auto"/>
        </w:rPr>
      </w:pPr>
    </w:p>
    <w:p>
      <w:pPr>
        <w:ind w:left="2540" w:right="959"/>
        <w:spacing w:after="0" w:line="255" w:lineRule="auto"/>
        <w:rPr>
          <w:sz w:val="20"/>
          <w:szCs w:val="20"/>
          <w:color w:val="auto"/>
        </w:rPr>
      </w:pPr>
      <w:r>
        <w:rPr>
          <w:rFonts w:ascii="Arial" w:cs="Arial" w:eastAsia="Arial" w:hAnsi="Arial"/>
          <w:sz w:val="12"/>
          <w:szCs w:val="12"/>
          <w:color w:val="auto"/>
        </w:rPr>
        <w:t>discounts and commissions and estimated offering expenses payable by us, and excluding the underwriters’ option to purchase additional ADSs and (ii) the application of the net proceeds of the offering to fully repay the outstanding amount of €7.5 million and any accrued and unpaid commitment fee, interest and premium, if any, under the credit agreement.</w:t>
      </w:r>
    </w:p>
    <w:p>
      <w:pPr>
        <w:spacing w:after="0" w:line="12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You should read this table in conjunction with our audited consolidated financial statements and notes thereto included elsewhere in this prospectus as well as “About This Prospectus,” “Use of Proceeds” and “Management’s Discussion and Analysis of Financial Condition and Results of Operations.”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ind w:left="7"/>
              <w:spacing w:after="0"/>
              <w:rPr>
                <w:sz w:val="20"/>
                <w:szCs w:val="20"/>
                <w:color w:val="auto"/>
              </w:rPr>
            </w:pPr>
            <w:r>
              <w:rPr>
                <w:rFonts w:ascii="Arial" w:cs="Arial" w:eastAsia="Arial" w:hAnsi="Arial"/>
                <w:sz w:val="10"/>
                <w:szCs w:val="10"/>
                <w:b w:val="1"/>
                <w:bCs w:val="1"/>
                <w:color w:val="auto"/>
                <w:w w:val="86"/>
              </w:rPr>
              <w:t>As of June 30, 2021</w:t>
            </w: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tcPr>
          <w:p>
            <w:pPr>
              <w:jc w:val="right"/>
              <w:ind w:right="460"/>
              <w:spacing w:after="0" w:line="74" w:lineRule="exact"/>
              <w:rPr>
                <w:sz w:val="20"/>
                <w:szCs w:val="20"/>
                <w:color w:val="auto"/>
              </w:rPr>
            </w:pPr>
            <w:r>
              <w:rPr>
                <w:rFonts w:ascii="Arial" w:cs="Arial" w:eastAsia="Arial" w:hAnsi="Arial"/>
                <w:sz w:val="8"/>
                <w:szCs w:val="8"/>
                <w:b w:val="1"/>
                <w:bCs w:val="1"/>
                <w:color w:val="auto"/>
              </w:rPr>
              <w:t>As</w:t>
            </w:r>
          </w:p>
        </w:tc>
        <w:tc>
          <w:tcPr>
            <w:tcW w:w="4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As further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40" w:type="dxa"/>
            <w:vAlign w:val="bottom"/>
          </w:tcPr>
          <w:p>
            <w:pPr>
              <w:spacing w:after="0"/>
              <w:rPr>
                <w:sz w:val="9"/>
                <w:szCs w:val="9"/>
                <w:color w:val="auto"/>
              </w:rPr>
            </w:pPr>
          </w:p>
        </w:tc>
        <w:tc>
          <w:tcPr>
            <w:tcW w:w="40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84"/>
              </w:rPr>
              <w:t>Actual</w:t>
            </w:r>
          </w:p>
        </w:tc>
        <w:tc>
          <w:tcPr>
            <w:tcW w:w="140" w:type="dxa"/>
            <w:vAlign w:val="bottom"/>
          </w:tcPr>
          <w:p>
            <w:pPr>
              <w:spacing w:after="0"/>
              <w:rPr>
                <w:sz w:val="9"/>
                <w:szCs w:val="9"/>
                <w:color w:val="auto"/>
              </w:rPr>
            </w:pPr>
          </w:p>
        </w:tc>
        <w:tc>
          <w:tcPr>
            <w:tcW w:w="7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(1)</w:t>
            </w:r>
          </w:p>
        </w:tc>
        <w:tc>
          <w:tcPr>
            <w:tcW w:w="50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(2)</w:t>
            </w:r>
          </w:p>
        </w:tc>
        <w:tc>
          <w:tcPr>
            <w:tcW w:w="0" w:type="dxa"/>
            <w:vAlign w:val="bottom"/>
          </w:tcPr>
          <w:p>
            <w:pPr>
              <w:spacing w:after="0"/>
              <w:rPr>
                <w:sz w:val="1"/>
                <w:szCs w:val="1"/>
                <w:color w:val="auto"/>
              </w:rPr>
            </w:pPr>
          </w:p>
        </w:tc>
      </w:tr>
      <w:tr>
        <w:trPr>
          <w:trHeight w:val="74"/>
        </w:trPr>
        <w:tc>
          <w:tcPr>
            <w:tcW w:w="55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80"/>
              <w:spacing w:after="0" w:line="74" w:lineRule="exact"/>
              <w:rPr>
                <w:sz w:val="20"/>
                <w:szCs w:val="20"/>
                <w:color w:val="auto"/>
              </w:rPr>
            </w:pPr>
            <w:r>
              <w:rPr>
                <w:rFonts w:ascii="Arial" w:cs="Arial" w:eastAsia="Arial" w:hAnsi="Arial"/>
                <w:sz w:val="8"/>
                <w:szCs w:val="8"/>
                <w:b w:val="1"/>
                <w:bCs w:val="1"/>
                <w:color w:val="auto"/>
              </w:rPr>
              <w:t>(unaudited)</w:t>
            </w:r>
          </w:p>
        </w:tc>
        <w:tc>
          <w:tcPr>
            <w:tcW w:w="4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6"/>
              </w:rPr>
              <w:t>(in € millions)</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25.9</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line="171" w:lineRule="exact"/>
              <w:rPr>
                <w:sz w:val="20"/>
                <w:szCs w:val="20"/>
                <w:color w:val="auto"/>
              </w:rPr>
            </w:pPr>
            <w:r>
              <w:rPr>
                <w:rFonts w:ascii="Arial" w:cs="Arial" w:eastAsia="Arial" w:hAnsi="Arial"/>
                <w:sz w:val="11"/>
                <w:szCs w:val="11"/>
                <w:color w:val="auto"/>
              </w:rPr>
              <w:t>Total debt</w:t>
            </w:r>
            <w:r>
              <w:rPr>
                <w:rFonts w:ascii="Arial" w:cs="Arial" w:eastAsia="Arial" w:hAnsi="Arial"/>
                <w:sz w:val="18"/>
                <w:szCs w:val="18"/>
                <w:color w:val="auto"/>
                <w:vertAlign w:val="superscript"/>
              </w:rPr>
              <w:t>(3)</w:t>
            </w: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540" w:type="dxa"/>
            <w:vAlign w:val="bottom"/>
            <w:vMerge w:val="continue"/>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15.4</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color w:val="auto"/>
              </w:rPr>
              <w:t>Equity</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ind w:left="100"/>
              <w:spacing w:after="0"/>
              <w:rPr>
                <w:sz w:val="20"/>
                <w:szCs w:val="20"/>
                <w:color w:val="auto"/>
              </w:rPr>
            </w:pPr>
            <w:r>
              <w:rPr>
                <w:rFonts w:ascii="Arial" w:cs="Arial" w:eastAsia="Arial" w:hAnsi="Arial"/>
                <w:sz w:val="11"/>
                <w:szCs w:val="11"/>
                <w:color w:val="auto"/>
              </w:rPr>
              <w:t>Share capital</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4.1</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4.1</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Capital reserves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4"/>
              </w:rPr>
              <w:t>113.9</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113.9</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ind w:left="100"/>
              <w:spacing w:after="0"/>
              <w:rPr>
                <w:sz w:val="20"/>
                <w:szCs w:val="20"/>
                <w:color w:val="auto"/>
              </w:rPr>
            </w:pPr>
            <w:r>
              <w:rPr>
                <w:rFonts w:ascii="Arial" w:cs="Arial" w:eastAsia="Arial" w:hAnsi="Arial"/>
                <w:sz w:val="11"/>
                <w:szCs w:val="11"/>
                <w:color w:val="auto"/>
              </w:rPr>
              <w:t>Exchange rate differences</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0.2</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0.2</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Accumulated deficit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(63.4)</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(63.4)</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0"/>
              <w:spacing w:after="0"/>
              <w:rPr>
                <w:sz w:val="20"/>
                <w:szCs w:val="20"/>
                <w:color w:val="auto"/>
              </w:rPr>
            </w:pPr>
            <w:r>
              <w:rPr>
                <w:rFonts w:ascii="Arial" w:cs="Arial" w:eastAsia="Arial" w:hAnsi="Arial"/>
                <w:sz w:val="11"/>
                <w:szCs w:val="11"/>
                <w:color w:val="auto"/>
              </w:rPr>
              <w:t>Total shareholders’ equity</w:t>
            </w: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54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54.8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capitalization</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70.2</w:t>
            </w: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130302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103" w:lineRule="exact"/>
        <w:rPr>
          <w:sz w:val="20"/>
          <w:szCs w:val="20"/>
          <w:color w:val="auto"/>
        </w:rPr>
      </w:pPr>
    </w:p>
    <w:p>
      <w:pPr>
        <w:ind w:left="2260" w:hanging="288"/>
        <w:spacing w:after="0"/>
        <w:tabs>
          <w:tab w:leader="none" w:pos="2260" w:val="left"/>
        </w:tabs>
        <w:numPr>
          <w:ilvl w:val="0"/>
          <w:numId w:val="28"/>
        </w:numPr>
        <w:rPr>
          <w:rFonts w:ascii="Arial" w:cs="Arial" w:eastAsia="Arial" w:hAnsi="Arial"/>
          <w:sz w:val="8"/>
          <w:szCs w:val="8"/>
          <w:color w:val="auto"/>
        </w:rPr>
      </w:pPr>
      <w:r>
        <w:rPr>
          <w:rFonts w:ascii="Arial" w:cs="Arial" w:eastAsia="Arial" w:hAnsi="Arial"/>
          <w:sz w:val="8"/>
          <w:szCs w:val="8"/>
          <w:color w:val="auto"/>
        </w:rPr>
        <w:t>Since June 30, 2021, we have drawn €7.5 million under a credit agreement entered into on September 15, 2021. For more information, see “Management’s Discussion and Analysis of</w:t>
      </w:r>
    </w:p>
    <w:tbl>
      <w:tblPr>
        <w:tblLayout w:type="fixed"/>
        <w:tblInd w:w="1980" w:type="dxa"/>
        <w:tblCellMar>
          <w:top w:w="0" w:type="dxa"/>
          <w:left w:w="0" w:type="dxa"/>
          <w:bottom w:w="0" w:type="dxa"/>
          <w:right w:w="0" w:type="dxa"/>
        </w:tblCellMar>
      </w:tblPr>
      <w:tr>
        <w:trPr>
          <w:trHeight w:val="106"/>
        </w:trPr>
        <w:tc>
          <w:tcPr>
            <w:tcW w:w="200" w:type="dxa"/>
            <w:vAlign w:val="bottom"/>
          </w:tcPr>
          <w:p>
            <w:pPr>
              <w:spacing w:after="0"/>
              <w:rPr>
                <w:sz w:val="9"/>
                <w:szCs w:val="9"/>
                <w:color w:val="auto"/>
              </w:rPr>
            </w:pPr>
          </w:p>
        </w:tc>
        <w:tc>
          <w:tcPr>
            <w:tcW w:w="7140" w:type="dxa"/>
            <w:vAlign w:val="bottom"/>
            <w:gridSpan w:val="4"/>
          </w:tcPr>
          <w:p>
            <w:pPr>
              <w:ind w:left="80"/>
              <w:spacing w:after="0" w:line="106" w:lineRule="exact"/>
              <w:rPr>
                <w:sz w:val="20"/>
                <w:szCs w:val="20"/>
                <w:color w:val="auto"/>
              </w:rPr>
            </w:pPr>
            <w:r>
              <w:rPr>
                <w:rFonts w:ascii="Arial" w:cs="Arial" w:eastAsia="Arial" w:hAnsi="Arial"/>
                <w:sz w:val="10"/>
                <w:szCs w:val="10"/>
                <w:color w:val="auto"/>
                <w:w w:val="87"/>
              </w:rPr>
              <w:t>Financial Condition and Results of Operations—Liquidity and Capital Resources—Credit Agreement”. We expect to repay the drawn amount and any accrued and unpaid commitment</w:t>
            </w:r>
          </w:p>
        </w:tc>
      </w:tr>
      <w:tr>
        <w:trPr>
          <w:trHeight w:val="99"/>
        </w:trPr>
        <w:tc>
          <w:tcPr>
            <w:tcW w:w="200" w:type="dxa"/>
            <w:vAlign w:val="bottom"/>
          </w:tcPr>
          <w:p>
            <w:pPr>
              <w:spacing w:after="0"/>
              <w:rPr>
                <w:sz w:val="8"/>
                <w:szCs w:val="8"/>
                <w:color w:val="auto"/>
              </w:rPr>
            </w:pPr>
          </w:p>
        </w:tc>
        <w:tc>
          <w:tcPr>
            <w:tcW w:w="5100" w:type="dxa"/>
            <w:vAlign w:val="bottom"/>
            <w:gridSpan w:val="2"/>
          </w:tcPr>
          <w:p>
            <w:pPr>
              <w:ind w:left="80"/>
              <w:spacing w:after="0" w:line="99" w:lineRule="exact"/>
              <w:rPr>
                <w:sz w:val="20"/>
                <w:szCs w:val="20"/>
                <w:color w:val="auto"/>
              </w:rPr>
            </w:pPr>
            <w:r>
              <w:rPr>
                <w:rFonts w:ascii="Arial" w:cs="Arial" w:eastAsia="Arial" w:hAnsi="Arial"/>
                <w:sz w:val="10"/>
                <w:szCs w:val="10"/>
                <w:color w:val="auto"/>
              </w:rPr>
              <w:t>fee, interest and premium, if any, under the credit agreement in full with the net proceeds from this offering.</w:t>
            </w:r>
          </w:p>
        </w:tc>
        <w:tc>
          <w:tcPr>
            <w:tcW w:w="134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99"/>
        </w:trPr>
        <w:tc>
          <w:tcPr>
            <w:tcW w:w="200" w:type="dxa"/>
            <w:vAlign w:val="bottom"/>
          </w:tcPr>
          <w:p>
            <w:pPr>
              <w:jc w:val="right"/>
              <w:ind w:right="58"/>
              <w:spacing w:after="0"/>
              <w:rPr>
                <w:sz w:val="20"/>
                <w:szCs w:val="20"/>
                <w:color w:val="auto"/>
              </w:rPr>
            </w:pPr>
            <w:r>
              <w:rPr>
                <w:rFonts w:ascii="Arial" w:cs="Arial" w:eastAsia="Arial" w:hAnsi="Arial"/>
                <w:sz w:val="8"/>
                <w:szCs w:val="8"/>
                <w:color w:val="auto"/>
                <w:w w:val="81"/>
              </w:rPr>
              <w:t>(2)</w:t>
            </w:r>
          </w:p>
        </w:tc>
        <w:tc>
          <w:tcPr>
            <w:tcW w:w="3160" w:type="dxa"/>
            <w:vAlign w:val="bottom"/>
          </w:tcPr>
          <w:p>
            <w:pPr>
              <w:ind w:left="80"/>
              <w:spacing w:after="0" w:line="99" w:lineRule="exact"/>
              <w:rPr>
                <w:sz w:val="20"/>
                <w:szCs w:val="20"/>
                <w:color w:val="auto"/>
              </w:rPr>
            </w:pPr>
            <w:r>
              <w:rPr>
                <w:rFonts w:ascii="Arial" w:cs="Arial" w:eastAsia="Arial" w:hAnsi="Arial"/>
                <w:sz w:val="10"/>
                <w:szCs w:val="10"/>
                <w:color w:val="auto"/>
                <w:w w:val="91"/>
              </w:rPr>
              <w:t>A $1.00 increase or decrease in the assumed initial public offering price of $</w:t>
            </w:r>
          </w:p>
        </w:tc>
        <w:tc>
          <w:tcPr>
            <w:tcW w:w="3980" w:type="dxa"/>
            <w:vAlign w:val="bottom"/>
            <w:gridSpan w:val="3"/>
          </w:tcPr>
          <w:p>
            <w:pPr>
              <w:ind w:left="240"/>
              <w:spacing w:after="0" w:line="99" w:lineRule="exact"/>
              <w:rPr>
                <w:sz w:val="20"/>
                <w:szCs w:val="20"/>
                <w:color w:val="auto"/>
              </w:rPr>
            </w:pPr>
            <w:r>
              <w:rPr>
                <w:rFonts w:ascii="Arial" w:cs="Arial" w:eastAsia="Arial" w:hAnsi="Arial"/>
                <w:sz w:val="10"/>
                <w:szCs w:val="10"/>
                <w:color w:val="auto"/>
                <w:w w:val="96"/>
              </w:rPr>
              <w:t>per ADS would increase or decrease the as adjusted amount of each of cash and cash</w:t>
            </w:r>
          </w:p>
        </w:tc>
      </w:tr>
      <w:tr>
        <w:trPr>
          <w:trHeight w:val="99"/>
        </w:trPr>
        <w:tc>
          <w:tcPr>
            <w:tcW w:w="200" w:type="dxa"/>
            <w:vAlign w:val="bottom"/>
          </w:tcPr>
          <w:p>
            <w:pPr>
              <w:spacing w:after="0"/>
              <w:rPr>
                <w:sz w:val="8"/>
                <w:szCs w:val="8"/>
                <w:color w:val="auto"/>
              </w:rPr>
            </w:pPr>
          </w:p>
        </w:tc>
        <w:tc>
          <w:tcPr>
            <w:tcW w:w="5100" w:type="dxa"/>
            <w:vAlign w:val="bottom"/>
            <w:gridSpan w:val="2"/>
          </w:tcPr>
          <w:p>
            <w:pPr>
              <w:ind w:left="80"/>
              <w:spacing w:after="0" w:line="99" w:lineRule="exact"/>
              <w:rPr>
                <w:sz w:val="20"/>
                <w:szCs w:val="20"/>
                <w:color w:val="auto"/>
              </w:rPr>
            </w:pPr>
            <w:r>
              <w:rPr>
                <w:rFonts w:ascii="Arial" w:cs="Arial" w:eastAsia="Arial" w:hAnsi="Arial"/>
                <w:sz w:val="10"/>
                <w:szCs w:val="10"/>
                <w:color w:val="auto"/>
                <w:w w:val="90"/>
              </w:rPr>
              <w:t>equivalents, share capital, equity attributable to the equity holders of the Company and total capitalization by approximately $</w:t>
            </w:r>
          </w:p>
        </w:tc>
        <w:tc>
          <w:tcPr>
            <w:tcW w:w="2040" w:type="dxa"/>
            <w:vAlign w:val="bottom"/>
            <w:gridSpan w:val="2"/>
          </w:tcPr>
          <w:p>
            <w:pPr>
              <w:ind w:left="200"/>
              <w:spacing w:after="0" w:line="99" w:lineRule="exact"/>
              <w:rPr>
                <w:sz w:val="20"/>
                <w:szCs w:val="20"/>
                <w:color w:val="auto"/>
              </w:rPr>
            </w:pPr>
            <w:r>
              <w:rPr>
                <w:rFonts w:ascii="Arial" w:cs="Arial" w:eastAsia="Arial" w:hAnsi="Arial"/>
                <w:sz w:val="10"/>
                <w:szCs w:val="10"/>
                <w:color w:val="auto"/>
                <w:w w:val="89"/>
              </w:rPr>
              <w:t>million, assuming the number of ADSs offered</w:t>
            </w:r>
          </w:p>
        </w:tc>
      </w:tr>
      <w:tr>
        <w:trPr>
          <w:trHeight w:val="99"/>
        </w:trPr>
        <w:tc>
          <w:tcPr>
            <w:tcW w:w="200" w:type="dxa"/>
            <w:vAlign w:val="bottom"/>
          </w:tcPr>
          <w:p>
            <w:pPr>
              <w:spacing w:after="0"/>
              <w:rPr>
                <w:sz w:val="8"/>
                <w:szCs w:val="8"/>
                <w:color w:val="auto"/>
              </w:rPr>
            </w:pPr>
          </w:p>
        </w:tc>
        <w:tc>
          <w:tcPr>
            <w:tcW w:w="7140" w:type="dxa"/>
            <w:vAlign w:val="bottom"/>
            <w:gridSpan w:val="4"/>
          </w:tcPr>
          <w:p>
            <w:pPr>
              <w:ind w:left="80"/>
              <w:spacing w:after="0" w:line="99" w:lineRule="exact"/>
              <w:rPr>
                <w:sz w:val="20"/>
                <w:szCs w:val="20"/>
                <w:color w:val="auto"/>
              </w:rPr>
            </w:pPr>
            <w:r>
              <w:rPr>
                <w:rFonts w:ascii="Arial" w:cs="Arial" w:eastAsia="Arial" w:hAnsi="Arial"/>
                <w:sz w:val="10"/>
                <w:szCs w:val="10"/>
                <w:color w:val="auto"/>
                <w:w w:val="87"/>
              </w:rPr>
              <w:t>by us, as set forth on the cover page of this prospectus, remains the same and after deducting the estimated underwriting discounts and commissions. An increase or decrease in the</w:t>
            </w:r>
          </w:p>
        </w:tc>
      </w:tr>
      <w:tr>
        <w:trPr>
          <w:trHeight w:val="99"/>
        </w:trPr>
        <w:tc>
          <w:tcPr>
            <w:tcW w:w="200" w:type="dxa"/>
            <w:vAlign w:val="bottom"/>
          </w:tcPr>
          <w:p>
            <w:pPr>
              <w:spacing w:after="0"/>
              <w:rPr>
                <w:sz w:val="8"/>
                <w:szCs w:val="8"/>
                <w:color w:val="auto"/>
              </w:rPr>
            </w:pPr>
          </w:p>
        </w:tc>
        <w:tc>
          <w:tcPr>
            <w:tcW w:w="7140" w:type="dxa"/>
            <w:vAlign w:val="bottom"/>
            <w:gridSpan w:val="4"/>
          </w:tcPr>
          <w:p>
            <w:pPr>
              <w:ind w:left="80"/>
              <w:spacing w:after="0" w:line="99" w:lineRule="exact"/>
              <w:rPr>
                <w:sz w:val="20"/>
                <w:szCs w:val="20"/>
                <w:color w:val="auto"/>
              </w:rPr>
            </w:pPr>
            <w:r>
              <w:rPr>
                <w:rFonts w:ascii="Arial" w:cs="Arial" w:eastAsia="Arial" w:hAnsi="Arial"/>
                <w:sz w:val="10"/>
                <w:szCs w:val="10"/>
                <w:color w:val="auto"/>
                <w:w w:val="86"/>
              </w:rPr>
              <w:t>number of ADSs sold by us in this offering by 100,000, would increase or decrease the as adjusted amount of each of cash and cash equivalents, share capital, equity attributable to the</w:t>
            </w:r>
          </w:p>
        </w:tc>
      </w:tr>
      <w:tr>
        <w:trPr>
          <w:trHeight w:val="107"/>
        </w:trPr>
        <w:tc>
          <w:tcPr>
            <w:tcW w:w="200" w:type="dxa"/>
            <w:vAlign w:val="bottom"/>
          </w:tcPr>
          <w:p>
            <w:pPr>
              <w:spacing w:after="0"/>
              <w:rPr>
                <w:sz w:val="9"/>
                <w:szCs w:val="9"/>
                <w:color w:val="auto"/>
              </w:rPr>
            </w:pPr>
          </w:p>
        </w:tc>
        <w:tc>
          <w:tcPr>
            <w:tcW w:w="3160" w:type="dxa"/>
            <w:vAlign w:val="bottom"/>
          </w:tcPr>
          <w:p>
            <w:pPr>
              <w:ind w:left="80"/>
              <w:spacing w:after="0" w:line="107" w:lineRule="exact"/>
              <w:rPr>
                <w:sz w:val="20"/>
                <w:szCs w:val="20"/>
                <w:color w:val="auto"/>
              </w:rPr>
            </w:pPr>
            <w:r>
              <w:rPr>
                <w:rFonts w:ascii="Arial" w:cs="Arial" w:eastAsia="Arial" w:hAnsi="Arial"/>
                <w:sz w:val="10"/>
                <w:szCs w:val="10"/>
                <w:color w:val="auto"/>
                <w:w w:val="94"/>
              </w:rPr>
              <w:t>equity holders of the Company and total capitalization by approximately $</w:t>
            </w:r>
          </w:p>
        </w:tc>
        <w:tc>
          <w:tcPr>
            <w:tcW w:w="3280" w:type="dxa"/>
            <w:vAlign w:val="bottom"/>
            <w:gridSpan w:val="2"/>
          </w:tcPr>
          <w:p>
            <w:pPr>
              <w:ind w:left="160"/>
              <w:spacing w:after="0" w:line="107" w:lineRule="exact"/>
              <w:rPr>
                <w:sz w:val="20"/>
                <w:szCs w:val="20"/>
                <w:color w:val="auto"/>
              </w:rPr>
            </w:pPr>
            <w:r>
              <w:rPr>
                <w:rFonts w:ascii="Arial" w:cs="Arial" w:eastAsia="Arial" w:hAnsi="Arial"/>
                <w:sz w:val="10"/>
                <w:szCs w:val="10"/>
                <w:color w:val="auto"/>
                <w:w w:val="93"/>
              </w:rPr>
              <w:t>million, assuming no change in the assumed initial public offering price of $</w:t>
            </w:r>
          </w:p>
        </w:tc>
        <w:tc>
          <w:tcPr>
            <w:tcW w:w="700" w:type="dxa"/>
            <w:vAlign w:val="bottom"/>
          </w:tcPr>
          <w:p>
            <w:pPr>
              <w:ind w:left="200"/>
              <w:spacing w:after="0" w:line="107" w:lineRule="exact"/>
              <w:rPr>
                <w:sz w:val="20"/>
                <w:szCs w:val="20"/>
                <w:color w:val="auto"/>
              </w:rPr>
            </w:pPr>
            <w:r>
              <w:rPr>
                <w:rFonts w:ascii="Arial" w:cs="Arial" w:eastAsia="Arial" w:hAnsi="Arial"/>
                <w:sz w:val="10"/>
                <w:szCs w:val="10"/>
                <w:color w:val="auto"/>
                <w:w w:val="83"/>
              </w:rPr>
              <w:t>per ADS and</w:t>
            </w:r>
          </w:p>
        </w:tc>
      </w:tr>
    </w:tbl>
    <w:p>
      <w:pPr>
        <w:ind w:left="2260" w:right="979"/>
        <w:spacing w:after="0" w:line="206" w:lineRule="auto"/>
        <w:rPr>
          <w:sz w:val="20"/>
          <w:szCs w:val="20"/>
          <w:color w:val="auto"/>
        </w:rPr>
      </w:pPr>
      <w:r>
        <w:rPr>
          <w:rFonts w:ascii="Arial" w:cs="Arial" w:eastAsia="Arial" w:hAnsi="Arial"/>
          <w:sz w:val="10"/>
          <w:szCs w:val="10"/>
          <w:color w:val="auto"/>
        </w:rPr>
        <w:t>after deducting the estimated underwriting discounts and commissions. The as adjusted information is illustrative only, and we will adjust this information based on the actual initial public offering price and other terms of this offering determined at pricing.</w:t>
      </w:r>
    </w:p>
    <w:p>
      <w:pPr>
        <w:ind w:left="2260" w:hanging="288"/>
        <w:spacing w:after="0"/>
        <w:tabs>
          <w:tab w:leader="none" w:pos="22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Total debt comprises current and non-current loan liabilities and lease obligations.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type w:val="continuous"/>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DILUTION</w:t>
      </w:r>
    </w:p>
    <w:p>
      <w:pPr>
        <w:spacing w:after="0" w:line="154"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If you invest in the ADSs in this offering, your interest will be immediately diluted to the extent of the difference between the initial public offering price per ADS and the as adjusted net tangible book value per ADS after completion of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3960" w:type="dxa"/>
            <w:vAlign w:val="bottom"/>
            <w:gridSpan w:val="7"/>
          </w:tcPr>
          <w:p>
            <w:pPr>
              <w:ind w:left="280"/>
              <w:spacing w:after="0"/>
              <w:rPr>
                <w:sz w:val="20"/>
                <w:szCs w:val="20"/>
                <w:color w:val="auto"/>
              </w:rPr>
            </w:pPr>
            <w:r>
              <w:rPr>
                <w:rFonts w:ascii="Arial" w:cs="Arial" w:eastAsia="Arial" w:hAnsi="Arial"/>
                <w:sz w:val="12"/>
                <w:szCs w:val="12"/>
                <w:color w:val="auto"/>
              </w:rPr>
              <w:t>As of June 30, 2021, we had a historical net tangible book value of €</w:t>
            </w:r>
          </w:p>
        </w:tc>
        <w:tc>
          <w:tcPr>
            <w:tcW w:w="3340" w:type="dxa"/>
            <w:vAlign w:val="bottom"/>
            <w:gridSpan w:val="4"/>
          </w:tcPr>
          <w:p>
            <w:pPr>
              <w:jc w:val="right"/>
              <w:ind w:right="80"/>
              <w:spacing w:after="0"/>
              <w:rPr>
                <w:sz w:val="20"/>
                <w:szCs w:val="20"/>
                <w:color w:val="auto"/>
              </w:rPr>
            </w:pPr>
            <w:r>
              <w:rPr>
                <w:rFonts w:ascii="Arial" w:cs="Arial" w:eastAsia="Arial" w:hAnsi="Arial"/>
                <w:sz w:val="12"/>
                <w:szCs w:val="12"/>
                <w:color w:val="auto"/>
                <w:w w:val="96"/>
              </w:rPr>
              <w:t>million, corresponding to a historical net tangible book value of</w:t>
            </w:r>
          </w:p>
        </w:tc>
        <w:tc>
          <w:tcPr>
            <w:tcW w:w="20" w:type="dxa"/>
            <w:vAlign w:val="bottom"/>
          </w:tcPr>
          <w:p>
            <w:pPr>
              <w:spacing w:after="0"/>
              <w:rPr>
                <w:sz w:val="12"/>
                <w:szCs w:val="12"/>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1440" w:type="dxa"/>
            <w:vAlign w:val="bottom"/>
            <w:gridSpan w:val="2"/>
          </w:tcPr>
          <w:p>
            <w:pPr>
              <w:ind w:left="100"/>
              <w:spacing w:after="0"/>
              <w:rPr>
                <w:sz w:val="20"/>
                <w:szCs w:val="20"/>
                <w:color w:val="auto"/>
              </w:rPr>
            </w:pPr>
            <w:r>
              <w:rPr>
                <w:rFonts w:ascii="Arial" w:cs="Arial" w:eastAsia="Arial" w:hAnsi="Arial"/>
                <w:sz w:val="12"/>
                <w:szCs w:val="12"/>
                <w:color w:val="auto"/>
              </w:rPr>
              <w:t>per ordinary share or €</w:t>
            </w:r>
          </w:p>
        </w:tc>
        <w:tc>
          <w:tcPr>
            <w:tcW w:w="2940" w:type="dxa"/>
            <w:vAlign w:val="bottom"/>
            <w:gridSpan w:val="5"/>
          </w:tcPr>
          <w:p>
            <w:pPr>
              <w:ind w:left="260"/>
              <w:spacing w:after="0"/>
              <w:rPr>
                <w:sz w:val="20"/>
                <w:szCs w:val="20"/>
                <w:color w:val="auto"/>
              </w:rPr>
            </w:pPr>
            <w:r>
              <w:rPr>
                <w:rFonts w:ascii="Arial" w:cs="Arial" w:eastAsia="Arial" w:hAnsi="Arial"/>
                <w:sz w:val="12"/>
                <w:szCs w:val="12"/>
                <w:color w:val="auto"/>
                <w:w w:val="96"/>
              </w:rPr>
              <w:t>per ADS based on an ADS to ordinary share ratio of</w:t>
            </w:r>
          </w:p>
        </w:tc>
        <w:tc>
          <w:tcPr>
            <w:tcW w:w="740" w:type="dxa"/>
            <w:vAlign w:val="bottom"/>
          </w:tcPr>
          <w:p>
            <w:pPr>
              <w:ind w:left="360"/>
              <w:spacing w:after="0"/>
              <w:rPr>
                <w:sz w:val="20"/>
                <w:szCs w:val="20"/>
                <w:color w:val="auto"/>
              </w:rPr>
            </w:pPr>
            <w:r>
              <w:rPr>
                <w:rFonts w:ascii="Arial" w:cs="Arial" w:eastAsia="Arial" w:hAnsi="Arial"/>
                <w:sz w:val="12"/>
                <w:szCs w:val="12"/>
                <w:color w:val="auto"/>
              </w:rPr>
              <w:t>to</w:t>
            </w:r>
          </w:p>
        </w:tc>
        <w:tc>
          <w:tcPr>
            <w:tcW w:w="1720" w:type="dxa"/>
            <w:vAlign w:val="bottom"/>
            <w:gridSpan w:val="2"/>
          </w:tcPr>
          <w:p>
            <w:pPr>
              <w:jc w:val="right"/>
              <w:ind w:right="40"/>
              <w:spacing w:after="0"/>
              <w:rPr>
                <w:sz w:val="20"/>
                <w:szCs w:val="20"/>
                <w:color w:val="auto"/>
              </w:rPr>
            </w:pPr>
            <w:r>
              <w:rPr>
                <w:rFonts w:ascii="Arial" w:cs="Arial" w:eastAsia="Arial" w:hAnsi="Arial"/>
                <w:sz w:val="12"/>
                <w:szCs w:val="12"/>
                <w:color w:val="auto"/>
              </w:rPr>
              <w:t>. Net tangible book value per</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3"/>
              </w:rPr>
              <w:t>share represents the amount of our total assets less our total liabilities, excluding goodwill and other intangible assets, divided by the number of our</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3"/>
              </w:rPr>
              <w:t>ordinary shares outstanding as of June 30, 2021. Net tangible book value per ADS represents the amount of our total assets less our total liabilities,</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2"/>
              </w:rPr>
              <w:t>excluding goodwill and other intangible assets, divided by the number of our ordinary shares outstanding as of June 30, 2021 converted to ADS at a</w:t>
            </w:r>
          </w:p>
        </w:tc>
        <w:tc>
          <w:tcPr>
            <w:tcW w:w="20" w:type="dxa"/>
            <w:vAlign w:val="bottom"/>
          </w:tcPr>
          <w:p>
            <w:pPr>
              <w:spacing w:after="0"/>
              <w:rPr>
                <w:sz w:val="12"/>
                <w:szCs w:val="12"/>
                <w:color w:val="auto"/>
              </w:rPr>
            </w:pPr>
          </w:p>
        </w:tc>
      </w:tr>
      <w:tr>
        <w:trPr>
          <w:trHeight w:val="153"/>
        </w:trPr>
        <w:tc>
          <w:tcPr>
            <w:tcW w:w="460" w:type="dxa"/>
            <w:vAlign w:val="bottom"/>
          </w:tcPr>
          <w:p>
            <w:pPr>
              <w:spacing w:after="0"/>
              <w:rPr>
                <w:sz w:val="20"/>
                <w:szCs w:val="20"/>
                <w:color w:val="auto"/>
              </w:rPr>
            </w:pPr>
            <w:r>
              <w:rPr>
                <w:rFonts w:ascii="Arial" w:cs="Arial" w:eastAsia="Arial" w:hAnsi="Arial"/>
                <w:sz w:val="12"/>
                <w:szCs w:val="12"/>
                <w:color w:val="auto"/>
              </w:rPr>
              <w:t>ratio of</w:t>
            </w:r>
          </w:p>
        </w:tc>
        <w:tc>
          <w:tcPr>
            <w:tcW w:w="580" w:type="dxa"/>
            <w:vAlign w:val="bottom"/>
          </w:tcPr>
          <w:p>
            <w:pPr>
              <w:ind w:left="420"/>
              <w:spacing w:after="0"/>
              <w:rPr>
                <w:sz w:val="20"/>
                <w:szCs w:val="20"/>
                <w:color w:val="auto"/>
              </w:rPr>
            </w:pPr>
            <w:r>
              <w:rPr>
                <w:rFonts w:ascii="Arial" w:cs="Arial" w:eastAsia="Arial" w:hAnsi="Arial"/>
                <w:sz w:val="12"/>
                <w:szCs w:val="12"/>
                <w:color w:val="auto"/>
              </w:rPr>
              <w:t>to</w:t>
            </w:r>
          </w:p>
        </w:tc>
        <w:tc>
          <w:tcPr>
            <w:tcW w:w="86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9"/>
        </w:trPr>
        <w:tc>
          <w:tcPr>
            <w:tcW w:w="2600" w:type="dxa"/>
            <w:vAlign w:val="bottom"/>
            <w:gridSpan w:val="4"/>
          </w:tcPr>
          <w:p>
            <w:pPr>
              <w:ind w:left="280"/>
              <w:spacing w:after="0"/>
              <w:rPr>
                <w:sz w:val="20"/>
                <w:szCs w:val="20"/>
                <w:color w:val="auto"/>
              </w:rPr>
            </w:pPr>
            <w:r>
              <w:rPr>
                <w:rFonts w:ascii="Arial" w:cs="Arial" w:eastAsia="Arial" w:hAnsi="Arial"/>
                <w:sz w:val="12"/>
                <w:szCs w:val="12"/>
                <w:color w:val="auto"/>
                <w:w w:val="96"/>
              </w:rPr>
              <w:t>After giving effect to the issuance and sale of</w:t>
            </w:r>
          </w:p>
        </w:tc>
        <w:tc>
          <w:tcPr>
            <w:tcW w:w="380" w:type="dxa"/>
            <w:vAlign w:val="bottom"/>
          </w:tcPr>
          <w:p>
            <w:pPr>
              <w:spacing w:after="0"/>
              <w:rPr>
                <w:sz w:val="24"/>
                <w:szCs w:val="24"/>
                <w:color w:val="auto"/>
              </w:rPr>
            </w:pPr>
          </w:p>
        </w:tc>
        <w:tc>
          <w:tcPr>
            <w:tcW w:w="4320" w:type="dxa"/>
            <w:vAlign w:val="bottom"/>
            <w:gridSpan w:val="6"/>
          </w:tcPr>
          <w:p>
            <w:pPr>
              <w:jc w:val="right"/>
              <w:ind w:right="420"/>
              <w:spacing w:after="0"/>
              <w:rPr>
                <w:sz w:val="20"/>
                <w:szCs w:val="20"/>
                <w:color w:val="auto"/>
              </w:rPr>
            </w:pPr>
            <w:r>
              <w:rPr>
                <w:rFonts w:ascii="Arial" w:cs="Arial" w:eastAsia="Arial" w:hAnsi="Arial"/>
                <w:sz w:val="12"/>
                <w:szCs w:val="12"/>
                <w:color w:val="auto"/>
                <w:w w:val="92"/>
              </w:rPr>
              <w:t>ADSs offered by us in the offering at an assumed initial public offering price of</w:t>
            </w:r>
          </w:p>
        </w:tc>
        <w:tc>
          <w:tcPr>
            <w:tcW w:w="20" w:type="dxa"/>
            <w:vAlign w:val="bottom"/>
          </w:tcPr>
          <w:p>
            <w:pPr>
              <w:spacing w:after="0"/>
              <w:rPr>
                <w:sz w:val="24"/>
                <w:szCs w:val="24"/>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6840" w:type="dxa"/>
            <w:vAlign w:val="bottom"/>
            <w:gridSpan w:val="10"/>
          </w:tcPr>
          <w:p>
            <w:pPr>
              <w:ind w:left="100"/>
              <w:spacing w:after="0"/>
              <w:rPr>
                <w:sz w:val="20"/>
                <w:szCs w:val="20"/>
                <w:color w:val="auto"/>
              </w:rPr>
            </w:pPr>
            <w:r>
              <w:rPr>
                <w:rFonts w:ascii="Arial" w:cs="Arial" w:eastAsia="Arial" w:hAnsi="Arial"/>
                <w:sz w:val="12"/>
                <w:szCs w:val="12"/>
                <w:color w:val="auto"/>
                <w:w w:val="98"/>
              </w:rPr>
              <w:t>per ADS, which reflects the U.S. dollar equivalent of the closing price of our ordinary shares on the Frankfurt Stock Exchange on</w:t>
            </w:r>
          </w:p>
        </w:tc>
        <w:tc>
          <w:tcPr>
            <w:tcW w:w="20" w:type="dxa"/>
            <w:vAlign w:val="bottom"/>
          </w:tcPr>
          <w:p>
            <w:pPr>
              <w:jc w:val="right"/>
              <w:spacing w:after="0"/>
              <w:rPr>
                <w:sz w:val="20"/>
                <w:szCs w:val="20"/>
                <w:color w:val="auto"/>
              </w:rPr>
            </w:pPr>
            <w:r>
              <w:rPr>
                <w:rFonts w:ascii="Arial" w:cs="Arial" w:eastAsia="Arial" w:hAnsi="Arial"/>
                <w:sz w:val="1"/>
                <w:szCs w:val="1"/>
                <w:color w:val="auto"/>
                <w:w w:val="4294967279"/>
              </w:rPr>
              <w:t>,</w:t>
            </w:r>
          </w:p>
        </w:tc>
      </w:tr>
      <w:tr>
        <w:trPr>
          <w:trHeight w:val="144"/>
        </w:trPr>
        <w:tc>
          <w:tcPr>
            <w:tcW w:w="2980" w:type="dxa"/>
            <w:vAlign w:val="bottom"/>
            <w:gridSpan w:val="5"/>
          </w:tcPr>
          <w:p>
            <w:pPr>
              <w:spacing w:after="0"/>
              <w:rPr>
                <w:sz w:val="20"/>
                <w:szCs w:val="20"/>
                <w:color w:val="auto"/>
              </w:rPr>
            </w:pPr>
            <w:r>
              <w:rPr>
                <w:rFonts w:ascii="Arial" w:cs="Arial" w:eastAsia="Arial" w:hAnsi="Arial"/>
                <w:sz w:val="12"/>
                <w:szCs w:val="12"/>
                <w:color w:val="auto"/>
                <w:w w:val="90"/>
              </w:rPr>
              <w:t>2021 based on a Euro/U.S. dollar exchange rate of €1.00 to $</w:t>
            </w:r>
          </w:p>
        </w:tc>
        <w:tc>
          <w:tcPr>
            <w:tcW w:w="280" w:type="dxa"/>
            <w:vAlign w:val="bottom"/>
          </w:tcPr>
          <w:p>
            <w:pPr>
              <w:spacing w:after="0"/>
              <w:rPr>
                <w:sz w:val="12"/>
                <w:szCs w:val="12"/>
                <w:color w:val="auto"/>
              </w:rPr>
            </w:pPr>
          </w:p>
        </w:tc>
        <w:tc>
          <w:tcPr>
            <w:tcW w:w="700" w:type="dxa"/>
            <w:vAlign w:val="bottom"/>
          </w:tcPr>
          <w:p>
            <w:pPr>
              <w:ind w:left="180"/>
              <w:spacing w:after="0"/>
              <w:rPr>
                <w:sz w:val="20"/>
                <w:szCs w:val="20"/>
                <w:color w:val="auto"/>
              </w:rPr>
            </w:pPr>
            <w:r>
              <w:rPr>
                <w:rFonts w:ascii="Arial" w:cs="Arial" w:eastAsia="Arial" w:hAnsi="Arial"/>
                <w:sz w:val="12"/>
                <w:szCs w:val="12"/>
                <w:color w:val="auto"/>
              </w:rPr>
              <w:t>as of</w:t>
            </w:r>
          </w:p>
        </w:tc>
        <w:tc>
          <w:tcPr>
            <w:tcW w:w="3340" w:type="dxa"/>
            <w:vAlign w:val="bottom"/>
            <w:gridSpan w:val="4"/>
          </w:tcPr>
          <w:p>
            <w:pPr>
              <w:jc w:val="right"/>
              <w:spacing w:after="0"/>
              <w:rPr>
                <w:sz w:val="20"/>
                <w:szCs w:val="20"/>
                <w:color w:val="auto"/>
              </w:rPr>
            </w:pPr>
            <w:r>
              <w:rPr>
                <w:rFonts w:ascii="Arial" w:cs="Arial" w:eastAsia="Arial" w:hAnsi="Arial"/>
                <w:sz w:val="12"/>
                <w:szCs w:val="12"/>
                <w:color w:val="auto"/>
                <w:w w:val="96"/>
              </w:rPr>
              <w:t>, 2021, after deducting the estimated underwriting discounts and</w:t>
            </w:r>
          </w:p>
        </w:tc>
        <w:tc>
          <w:tcPr>
            <w:tcW w:w="20" w:type="dxa"/>
            <w:vAlign w:val="bottom"/>
          </w:tcPr>
          <w:p>
            <w:pPr>
              <w:spacing w:after="0"/>
              <w:rPr>
                <w:sz w:val="12"/>
                <w:szCs w:val="12"/>
                <w:color w:val="auto"/>
              </w:rPr>
            </w:pPr>
          </w:p>
        </w:tc>
      </w:tr>
      <w:tr>
        <w:trPr>
          <w:trHeight w:val="144"/>
        </w:trPr>
        <w:tc>
          <w:tcPr>
            <w:tcW w:w="7300" w:type="dxa"/>
            <w:vAlign w:val="bottom"/>
            <w:gridSpan w:val="11"/>
          </w:tcPr>
          <w:p>
            <w:pPr>
              <w:spacing w:after="0"/>
              <w:rPr>
                <w:sz w:val="20"/>
                <w:szCs w:val="20"/>
                <w:color w:val="auto"/>
              </w:rPr>
            </w:pPr>
            <w:r>
              <w:rPr>
                <w:rFonts w:ascii="Arial" w:cs="Arial" w:eastAsia="Arial" w:hAnsi="Arial"/>
                <w:sz w:val="12"/>
                <w:szCs w:val="12"/>
                <w:color w:val="auto"/>
                <w:w w:val="96"/>
              </w:rPr>
              <w:t>commissions and estimated offering expenses payable by us, our as adjusted net tangible book value as of June 30, 2021 would have been €</w:t>
            </w:r>
          </w:p>
        </w:tc>
        <w:tc>
          <w:tcPr>
            <w:tcW w:w="20" w:type="dxa"/>
            <w:vAlign w:val="bottom"/>
          </w:tcPr>
          <w:p>
            <w:pPr>
              <w:spacing w:after="0"/>
              <w:rPr>
                <w:sz w:val="12"/>
                <w:szCs w:val="12"/>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million (or $</w:t>
            </w:r>
          </w:p>
        </w:tc>
        <w:tc>
          <w:tcPr>
            <w:tcW w:w="1560" w:type="dxa"/>
            <w:vAlign w:val="bottom"/>
            <w:gridSpan w:val="2"/>
          </w:tcPr>
          <w:p>
            <w:pPr>
              <w:ind w:left="60"/>
              <w:spacing w:after="0"/>
              <w:rPr>
                <w:sz w:val="20"/>
                <w:szCs w:val="20"/>
                <w:color w:val="auto"/>
              </w:rPr>
            </w:pPr>
            <w:r>
              <w:rPr>
                <w:rFonts w:ascii="Arial" w:cs="Arial" w:eastAsia="Arial" w:hAnsi="Arial"/>
                <w:sz w:val="12"/>
                <w:szCs w:val="12"/>
                <w:color w:val="auto"/>
              </w:rPr>
              <w:t>million), representing €</w:t>
            </w:r>
          </w:p>
        </w:tc>
        <w:tc>
          <w:tcPr>
            <w:tcW w:w="380" w:type="dxa"/>
            <w:vAlign w:val="bottom"/>
          </w:tcPr>
          <w:p>
            <w:pPr>
              <w:ind w:left="140"/>
              <w:spacing w:after="0"/>
              <w:rPr>
                <w:sz w:val="20"/>
                <w:szCs w:val="20"/>
                <w:color w:val="auto"/>
              </w:rPr>
            </w:pPr>
            <w:r>
              <w:rPr>
                <w:rFonts w:ascii="Arial" w:cs="Arial" w:eastAsia="Arial" w:hAnsi="Arial"/>
                <w:sz w:val="12"/>
                <w:szCs w:val="12"/>
                <w:color w:val="auto"/>
                <w:w w:val="88"/>
              </w:rPr>
              <w:t>(or $</w:t>
            </w:r>
          </w:p>
        </w:tc>
        <w:tc>
          <w:tcPr>
            <w:tcW w:w="280" w:type="dxa"/>
            <w:vAlign w:val="bottom"/>
          </w:tcPr>
          <w:p>
            <w:pPr>
              <w:spacing w:after="0"/>
              <w:rPr>
                <w:sz w:val="12"/>
                <w:szCs w:val="12"/>
                <w:color w:val="auto"/>
              </w:rPr>
            </w:pPr>
          </w:p>
        </w:tc>
        <w:tc>
          <w:tcPr>
            <w:tcW w:w="2320" w:type="dxa"/>
            <w:vAlign w:val="bottom"/>
            <w:gridSpan w:val="3"/>
          </w:tcPr>
          <w:p>
            <w:pPr>
              <w:ind w:left="200"/>
              <w:spacing w:after="0"/>
              <w:rPr>
                <w:sz w:val="20"/>
                <w:szCs w:val="20"/>
                <w:color w:val="auto"/>
              </w:rPr>
            </w:pPr>
            <w:r>
              <w:rPr>
                <w:rFonts w:ascii="Arial" w:cs="Arial" w:eastAsia="Arial" w:hAnsi="Arial"/>
                <w:sz w:val="12"/>
                <w:szCs w:val="12"/>
                <w:color w:val="auto"/>
              </w:rPr>
              <w:t>) per ordinary share outstanding or €</w:t>
            </w:r>
          </w:p>
        </w:tc>
        <w:tc>
          <w:tcPr>
            <w:tcW w:w="740" w:type="dxa"/>
            <w:vAlign w:val="bottom"/>
          </w:tcPr>
          <w:p>
            <w:pPr>
              <w:ind w:left="140"/>
              <w:spacing w:after="0"/>
              <w:rPr>
                <w:sz w:val="20"/>
                <w:szCs w:val="20"/>
                <w:color w:val="auto"/>
              </w:rPr>
            </w:pPr>
            <w:r>
              <w:rPr>
                <w:rFonts w:ascii="Arial" w:cs="Arial" w:eastAsia="Arial" w:hAnsi="Arial"/>
                <w:sz w:val="12"/>
                <w:szCs w:val="12"/>
                <w:color w:val="auto"/>
              </w:rPr>
              <w:t>(or $</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 per ADS. This</w:t>
            </w:r>
          </w:p>
        </w:tc>
        <w:tc>
          <w:tcPr>
            <w:tcW w:w="20" w:type="dxa"/>
            <w:vAlign w:val="bottom"/>
          </w:tcPr>
          <w:p>
            <w:pPr>
              <w:spacing w:after="0"/>
              <w:rPr>
                <w:sz w:val="12"/>
                <w:szCs w:val="12"/>
                <w:color w:val="auto"/>
              </w:rPr>
            </w:pPr>
          </w:p>
        </w:tc>
      </w:tr>
      <w:tr>
        <w:trPr>
          <w:trHeight w:val="144"/>
        </w:trPr>
        <w:tc>
          <w:tcPr>
            <w:tcW w:w="3260" w:type="dxa"/>
            <w:vAlign w:val="bottom"/>
            <w:gridSpan w:val="6"/>
          </w:tcPr>
          <w:p>
            <w:pPr>
              <w:spacing w:after="0"/>
              <w:rPr>
                <w:sz w:val="20"/>
                <w:szCs w:val="20"/>
                <w:color w:val="auto"/>
              </w:rPr>
            </w:pPr>
            <w:r>
              <w:rPr>
                <w:rFonts w:ascii="Arial" w:cs="Arial" w:eastAsia="Arial" w:hAnsi="Arial"/>
                <w:sz w:val="12"/>
                <w:szCs w:val="12"/>
                <w:color w:val="auto"/>
                <w:w w:val="94"/>
              </w:rPr>
              <w:t>represents an immediate increase in net tangible book value of €</w:t>
            </w:r>
          </w:p>
        </w:tc>
        <w:tc>
          <w:tcPr>
            <w:tcW w:w="700" w:type="dxa"/>
            <w:vAlign w:val="bottom"/>
          </w:tcPr>
          <w:p>
            <w:pPr>
              <w:ind w:left="320"/>
              <w:spacing w:after="0"/>
              <w:rPr>
                <w:sz w:val="20"/>
                <w:szCs w:val="20"/>
                <w:color w:val="auto"/>
              </w:rPr>
            </w:pPr>
            <w:r>
              <w:rPr>
                <w:rFonts w:ascii="Arial" w:cs="Arial" w:eastAsia="Arial" w:hAnsi="Arial"/>
                <w:sz w:val="12"/>
                <w:szCs w:val="12"/>
                <w:color w:val="auto"/>
              </w:rPr>
              <w:t>(or $</w:t>
            </w:r>
          </w:p>
        </w:tc>
        <w:tc>
          <w:tcPr>
            <w:tcW w:w="1620" w:type="dxa"/>
            <w:vAlign w:val="bottom"/>
            <w:gridSpan w:val="2"/>
          </w:tcPr>
          <w:p>
            <w:pPr>
              <w:ind w:left="340"/>
              <w:spacing w:after="0"/>
              <w:rPr>
                <w:sz w:val="20"/>
                <w:szCs w:val="20"/>
                <w:color w:val="auto"/>
              </w:rPr>
            </w:pPr>
            <w:r>
              <w:rPr>
                <w:rFonts w:ascii="Arial" w:cs="Arial" w:eastAsia="Arial" w:hAnsi="Arial"/>
                <w:sz w:val="12"/>
                <w:szCs w:val="12"/>
                <w:color w:val="auto"/>
                <w:w w:val="97"/>
              </w:rPr>
              <w:t>) per ordinary share or €</w:t>
            </w:r>
          </w:p>
        </w:tc>
        <w:tc>
          <w:tcPr>
            <w:tcW w:w="740" w:type="dxa"/>
            <w:vAlign w:val="bottom"/>
          </w:tcPr>
          <w:p>
            <w:pPr>
              <w:ind w:left="380"/>
              <w:spacing w:after="0"/>
              <w:rPr>
                <w:sz w:val="20"/>
                <w:szCs w:val="20"/>
                <w:color w:val="auto"/>
              </w:rPr>
            </w:pPr>
            <w:r>
              <w:rPr>
                <w:rFonts w:ascii="Arial" w:cs="Arial" w:eastAsia="Arial" w:hAnsi="Arial"/>
                <w:sz w:val="12"/>
                <w:szCs w:val="12"/>
                <w:color w:val="auto"/>
              </w:rPr>
              <w:t>(or $</w:t>
            </w:r>
          </w:p>
        </w:tc>
        <w:tc>
          <w:tcPr>
            <w:tcW w:w="980" w:type="dxa"/>
            <w:vAlign w:val="bottom"/>
          </w:tcPr>
          <w:p>
            <w:pPr>
              <w:jc w:val="right"/>
              <w:spacing w:after="0"/>
              <w:rPr>
                <w:sz w:val="20"/>
                <w:szCs w:val="20"/>
                <w:color w:val="auto"/>
              </w:rPr>
            </w:pPr>
            <w:r>
              <w:rPr>
                <w:rFonts w:ascii="Arial" w:cs="Arial" w:eastAsia="Arial" w:hAnsi="Arial"/>
                <w:sz w:val="12"/>
                <w:szCs w:val="12"/>
                <w:color w:val="auto"/>
              </w:rPr>
              <w:t>) per ADS to</w:t>
            </w:r>
          </w:p>
        </w:tc>
        <w:tc>
          <w:tcPr>
            <w:tcW w:w="20" w:type="dxa"/>
            <w:vAlign w:val="bottom"/>
          </w:tcPr>
          <w:p>
            <w:pPr>
              <w:spacing w:after="0"/>
              <w:rPr>
                <w:sz w:val="12"/>
                <w:szCs w:val="12"/>
                <w:color w:val="auto"/>
              </w:rPr>
            </w:pPr>
          </w:p>
        </w:tc>
      </w:tr>
      <w:tr>
        <w:trPr>
          <w:trHeight w:val="153"/>
        </w:trPr>
        <w:tc>
          <w:tcPr>
            <w:tcW w:w="3960" w:type="dxa"/>
            <w:vAlign w:val="bottom"/>
            <w:gridSpan w:val="7"/>
          </w:tcPr>
          <w:p>
            <w:pPr>
              <w:spacing w:after="0"/>
              <w:rPr>
                <w:sz w:val="20"/>
                <w:szCs w:val="20"/>
                <w:color w:val="auto"/>
              </w:rPr>
            </w:pPr>
            <w:r>
              <w:rPr>
                <w:rFonts w:ascii="Arial" w:cs="Arial" w:eastAsia="Arial" w:hAnsi="Arial"/>
                <w:sz w:val="12"/>
                <w:szCs w:val="12"/>
                <w:color w:val="auto"/>
                <w:w w:val="94"/>
              </w:rPr>
              <w:t>existing shareholders and an immediate dilution in net tangible book value of €</w:t>
            </w:r>
          </w:p>
        </w:tc>
        <w:tc>
          <w:tcPr>
            <w:tcW w:w="880" w:type="dxa"/>
            <w:vAlign w:val="bottom"/>
          </w:tcPr>
          <w:p>
            <w:pPr>
              <w:ind w:left="340"/>
              <w:spacing w:after="0"/>
              <w:rPr>
                <w:sz w:val="20"/>
                <w:szCs w:val="20"/>
                <w:color w:val="auto"/>
              </w:rPr>
            </w:pPr>
            <w:r>
              <w:rPr>
                <w:rFonts w:ascii="Arial" w:cs="Arial" w:eastAsia="Arial" w:hAnsi="Arial"/>
                <w:sz w:val="12"/>
                <w:szCs w:val="12"/>
                <w:color w:val="auto"/>
              </w:rPr>
              <w:t>(or $</w:t>
            </w:r>
          </w:p>
        </w:tc>
        <w:tc>
          <w:tcPr>
            <w:tcW w:w="1480" w:type="dxa"/>
            <w:vAlign w:val="bottom"/>
            <w:gridSpan w:val="2"/>
          </w:tcPr>
          <w:p>
            <w:pPr>
              <w:ind w:left="160"/>
              <w:spacing w:after="0"/>
              <w:rPr>
                <w:sz w:val="20"/>
                <w:szCs w:val="20"/>
                <w:color w:val="auto"/>
              </w:rPr>
            </w:pPr>
            <w:r>
              <w:rPr>
                <w:rFonts w:ascii="Arial" w:cs="Arial" w:eastAsia="Arial" w:hAnsi="Arial"/>
                <w:sz w:val="12"/>
                <w:szCs w:val="12"/>
                <w:color w:val="auto"/>
              </w:rPr>
              <w:t>) per ordinary share or €</w:t>
            </w:r>
          </w:p>
        </w:tc>
        <w:tc>
          <w:tcPr>
            <w:tcW w:w="980" w:type="dxa"/>
            <w:vAlign w:val="bottom"/>
          </w:tcPr>
          <w:p>
            <w:pPr>
              <w:jc w:val="right"/>
              <w:ind w:right="420"/>
              <w:spacing w:after="0"/>
              <w:rPr>
                <w:sz w:val="20"/>
                <w:szCs w:val="20"/>
                <w:color w:val="auto"/>
              </w:rPr>
            </w:pPr>
            <w:r>
              <w:rPr>
                <w:rFonts w:ascii="Arial" w:cs="Arial" w:eastAsia="Arial" w:hAnsi="Arial"/>
                <w:sz w:val="12"/>
                <w:szCs w:val="12"/>
                <w:color w:val="auto"/>
              </w:rPr>
              <w:t>(or</w:t>
            </w:r>
          </w:p>
        </w:tc>
        <w:tc>
          <w:tcPr>
            <w:tcW w:w="20" w:type="dxa"/>
            <w:vAlign w:val="bottom"/>
          </w:tcPr>
          <w:p>
            <w:pPr>
              <w:spacing w:after="0"/>
              <w:rPr>
                <w:sz w:val="13"/>
                <w:szCs w:val="13"/>
                <w:color w:val="auto"/>
              </w:rPr>
            </w:pPr>
          </w:p>
        </w:tc>
      </w:tr>
    </w:tbl>
    <w:p>
      <w:pPr>
        <w:ind w:left="1980" w:right="939" w:hanging="8"/>
        <w:spacing w:after="0" w:line="306" w:lineRule="auto"/>
        <w:tabs>
          <w:tab w:leader="none" w:pos="25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 per ADS to new investors purchasing ADSs in this offering. Dilution for this purpose represents the difference between the price per ADS paid by these purchasers and the as adjusted net tangible book value per ADS immediately after the completion of this offering.</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the underwriters exercise their option to purchase additional ADSs from us in full, our as adjusted net tangible book value per ADS after the</w:t>
      </w:r>
    </w:p>
    <w:p>
      <w:pPr>
        <w:spacing w:after="0" w:line="26" w:lineRule="exact"/>
        <w:rPr>
          <w:sz w:val="20"/>
          <w:szCs w:val="20"/>
          <w:color w:val="auto"/>
        </w:rPr>
      </w:pPr>
    </w:p>
    <w:p>
      <w:pPr>
        <w:ind w:left="1980"/>
        <w:spacing w:after="0"/>
        <w:tabs>
          <w:tab w:leader="none" w:pos="3400" w:val="left"/>
          <w:tab w:leader="none" w:pos="4120" w:val="left"/>
        </w:tabs>
        <w:rPr>
          <w:sz w:val="20"/>
          <w:szCs w:val="20"/>
          <w:color w:val="auto"/>
        </w:rPr>
      </w:pPr>
      <w:r>
        <w:rPr>
          <w:rFonts w:ascii="Arial" w:cs="Arial" w:eastAsia="Arial" w:hAnsi="Arial"/>
          <w:sz w:val="12"/>
          <w:szCs w:val="12"/>
          <w:color w:val="auto"/>
        </w:rPr>
        <w:t>offering would be €</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0"/>
          <w:szCs w:val="10"/>
          <w:color w:val="auto"/>
        </w:rPr>
        <w:t>) per ADS, representing an immediate increase in as adjusted net tangible book value per ADS of</w:t>
      </w:r>
    </w:p>
    <w:p>
      <w:pPr>
        <w:spacing w:after="0" w:line="6" w:lineRule="exact"/>
        <w:rPr>
          <w:sz w:val="20"/>
          <w:szCs w:val="20"/>
          <w:color w:val="auto"/>
        </w:rPr>
      </w:pPr>
    </w:p>
    <w:p>
      <w:pPr>
        <w:ind w:left="1980"/>
        <w:spacing w:after="0"/>
        <w:tabs>
          <w:tab w:leader="none" w:pos="2520" w:val="left"/>
          <w:tab w:leader="none" w:pos="3240" w:val="left"/>
          <w:tab w:leader="none" w:pos="6760" w:val="left"/>
          <w:tab w:leader="none" w:pos="74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2"/>
          <w:szCs w:val="12"/>
          <w:color w:val="auto"/>
        </w:rPr>
        <w:t>) per ADS to existing shareholders and immediate dilution of €</w:t>
      </w:r>
      <w:r>
        <w:rPr>
          <w:sz w:val="20"/>
          <w:szCs w:val="20"/>
          <w:color w:val="auto"/>
        </w:rPr>
        <w:tab/>
      </w:r>
      <w:r>
        <w:rPr>
          <w:rFonts w:ascii="Arial" w:cs="Arial" w:eastAsia="Arial" w:hAnsi="Arial"/>
          <w:sz w:val="12"/>
          <w:szCs w:val="12"/>
          <w:color w:val="auto"/>
        </w:rPr>
        <w:t>(or $</w:t>
      </w:r>
      <w:r>
        <w:rPr>
          <w:sz w:val="20"/>
          <w:szCs w:val="20"/>
          <w:color w:val="auto"/>
        </w:rPr>
        <w:tab/>
      </w:r>
      <w:r>
        <w:rPr>
          <w:rFonts w:ascii="Arial" w:cs="Arial" w:eastAsia="Arial" w:hAnsi="Arial"/>
          <w:sz w:val="10"/>
          <w:szCs w:val="10"/>
          <w:color w:val="auto"/>
        </w:rPr>
        <w:t>) per ADS in as adjusted net tangible</w:t>
      </w:r>
    </w:p>
    <w:p>
      <w:pPr>
        <w:spacing w:after="0" w:line="6" w:lineRule="exact"/>
        <w:rPr>
          <w:sz w:val="20"/>
          <w:szCs w:val="20"/>
          <w:color w:val="auto"/>
        </w:rPr>
      </w:pPr>
    </w:p>
    <w:p>
      <w:pPr>
        <w:ind w:left="1980"/>
        <w:spacing w:after="0"/>
        <w:tabs>
          <w:tab w:leader="none" w:pos="8480" w:val="left"/>
        </w:tabs>
        <w:rPr>
          <w:sz w:val="20"/>
          <w:szCs w:val="20"/>
          <w:color w:val="auto"/>
        </w:rPr>
      </w:pPr>
      <w:r>
        <w:rPr>
          <w:rFonts w:ascii="Arial" w:cs="Arial" w:eastAsia="Arial" w:hAnsi="Arial"/>
          <w:sz w:val="12"/>
          <w:szCs w:val="12"/>
          <w:color w:val="auto"/>
        </w:rPr>
        <w:t>book value per ADS to new investors purchasing ADSs in this offering, based on an assumed initial public offering price of $</w:t>
      </w:r>
      <w:r>
        <w:rPr>
          <w:sz w:val="20"/>
          <w:szCs w:val="20"/>
          <w:color w:val="auto"/>
        </w:rPr>
        <w:tab/>
      </w:r>
      <w:r>
        <w:rPr>
          <w:rFonts w:ascii="Arial" w:cs="Arial" w:eastAsia="Arial" w:hAnsi="Arial"/>
          <w:sz w:val="11"/>
          <w:szCs w:val="11"/>
          <w:color w:val="auto"/>
        </w:rPr>
        <w:t>per ADS, which</w:t>
      </w:r>
    </w:p>
    <w:p>
      <w:pPr>
        <w:spacing w:after="0" w:line="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reflects the U.S. dollar equivalent of the closing price of our ordinary shares on the Frankfurt Stock Exchange on , 2021 based on a Euro/U.S. dollar exchange rate of €1.00 to $ as of , 2021, after deducting the estimated underwriting discounts and commissions and estimated offering expenses payable by us.</w:t>
      </w:r>
    </w:p>
    <w:p>
      <w:pPr>
        <w:spacing w:after="0" w:line="127"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illustrates this dilution to new investors purchasing ADSs in the offering, assuming either no exercise or full exercise of the underwriters’ option to purchase additional ADSs:</w:t>
      </w:r>
    </w:p>
    <w:p>
      <w:pPr>
        <w:spacing w:after="0" w:line="126" w:lineRule="exact"/>
        <w:rPr>
          <w:sz w:val="20"/>
          <w:szCs w:val="20"/>
          <w:color w:val="auto"/>
        </w:rPr>
      </w:pPr>
    </w:p>
    <w:tbl>
      <w:tblPr>
        <w:tblLayout w:type="fixed"/>
        <w:tblInd w:w="7380" w:type="dxa"/>
        <w:tblCellMar>
          <w:top w:w="0" w:type="dxa"/>
          <w:left w:w="0" w:type="dxa"/>
          <w:bottom w:w="0" w:type="dxa"/>
          <w:right w:w="0" w:type="dxa"/>
        </w:tblCellMar>
      </w:tblPr>
      <w:tr>
        <w:trPr>
          <w:trHeight w:val="115"/>
        </w:trPr>
        <w:tc>
          <w:tcPr>
            <w:tcW w:w="1120" w:type="dxa"/>
            <w:vAlign w:val="bottom"/>
            <w:gridSpan w:val="3"/>
          </w:tcPr>
          <w:p>
            <w:pPr>
              <w:ind w:left="160"/>
              <w:spacing w:after="0"/>
              <w:rPr>
                <w:sz w:val="20"/>
                <w:szCs w:val="20"/>
                <w:color w:val="auto"/>
              </w:rPr>
            </w:pPr>
            <w:r>
              <w:rPr>
                <w:rFonts w:ascii="Arial" w:cs="Arial" w:eastAsia="Arial" w:hAnsi="Arial"/>
                <w:sz w:val="10"/>
                <w:szCs w:val="10"/>
                <w:b w:val="1"/>
                <w:bCs w:val="1"/>
                <w:color w:val="auto"/>
              </w:rPr>
              <w:t>No exercise</w:t>
            </w:r>
          </w:p>
        </w:tc>
        <w:tc>
          <w:tcPr>
            <w:tcW w:w="800" w:type="dxa"/>
            <w:vAlign w:val="bottom"/>
            <w:gridSpan w:val="3"/>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91"/>
        </w:trPr>
        <w:tc>
          <w:tcPr>
            <w:tcW w:w="380" w:type="dxa"/>
            <w:vAlign w:val="bottom"/>
            <w:tcBorders>
              <w:top w:val="single" w:sz="8" w:color="auto"/>
            </w:tcBorders>
          </w:tcPr>
          <w:p>
            <w:pPr>
              <w:spacing w:after="0" w:line="91" w:lineRule="exact"/>
              <w:rPr>
                <w:sz w:val="20"/>
                <w:szCs w:val="20"/>
                <w:color w:val="auto"/>
              </w:rPr>
            </w:pPr>
            <w:r>
              <w:rPr>
                <w:rFonts w:ascii="Arial" w:cs="Arial" w:eastAsia="Arial" w:hAnsi="Arial"/>
                <w:sz w:val="10"/>
                <w:szCs w:val="10"/>
                <w:b w:val="1"/>
                <w:bCs w:val="1"/>
                <w:color w:val="auto"/>
              </w:rPr>
              <w:t>(in €)</w:t>
            </w:r>
          </w:p>
        </w:tc>
        <w:tc>
          <w:tcPr>
            <w:tcW w:w="400" w:type="dxa"/>
            <w:vAlign w:val="bottom"/>
            <w:tcBorders>
              <w:top w:val="single" w:sz="8" w:color="auto"/>
            </w:tcBorders>
          </w:tcPr>
          <w:p>
            <w:pPr>
              <w:ind w:left="180"/>
              <w:spacing w:after="0" w:line="91" w:lineRule="exact"/>
              <w:rPr>
                <w:sz w:val="20"/>
                <w:szCs w:val="20"/>
                <w:color w:val="auto"/>
              </w:rPr>
            </w:pPr>
            <w:r>
              <w:rPr>
                <w:rFonts w:ascii="Arial" w:cs="Arial" w:eastAsia="Arial" w:hAnsi="Arial"/>
                <w:sz w:val="10"/>
                <w:szCs w:val="10"/>
                <w:b w:val="1"/>
                <w:bCs w:val="1"/>
                <w:color w:val="auto"/>
                <w:w w:val="83"/>
              </w:rPr>
              <w:t>(in $)</w:t>
            </w:r>
          </w:p>
        </w:tc>
        <w:tc>
          <w:tcPr>
            <w:tcW w:w="340" w:type="dxa"/>
            <w:vAlign w:val="bottom"/>
          </w:tcPr>
          <w:p>
            <w:pPr>
              <w:spacing w:after="0"/>
              <w:rPr>
                <w:sz w:val="7"/>
                <w:szCs w:val="7"/>
                <w:color w:val="auto"/>
              </w:rPr>
            </w:pPr>
          </w:p>
        </w:tc>
        <w:tc>
          <w:tcPr>
            <w:tcW w:w="400" w:type="dxa"/>
            <w:vAlign w:val="bottom"/>
            <w:tcBorders>
              <w:top w:val="single" w:sz="8" w:color="auto"/>
            </w:tcBorders>
          </w:tcPr>
          <w:p>
            <w:pPr>
              <w:spacing w:after="0" w:line="91" w:lineRule="exact"/>
              <w:rPr>
                <w:sz w:val="20"/>
                <w:szCs w:val="20"/>
                <w:color w:val="auto"/>
              </w:rPr>
            </w:pPr>
            <w:r>
              <w:rPr>
                <w:rFonts w:ascii="Arial" w:cs="Arial" w:eastAsia="Arial" w:hAnsi="Arial"/>
                <w:sz w:val="10"/>
                <w:szCs w:val="10"/>
                <w:b w:val="1"/>
                <w:bCs w:val="1"/>
                <w:color w:val="auto"/>
              </w:rPr>
              <w:t>(in €)</w:t>
            </w:r>
          </w:p>
        </w:tc>
        <w:tc>
          <w:tcPr>
            <w:tcW w:w="380" w:type="dxa"/>
            <w:vAlign w:val="bottom"/>
            <w:tcBorders>
              <w:top w:val="single" w:sz="8" w:color="auto"/>
            </w:tcBorders>
          </w:tcPr>
          <w:p>
            <w:pPr>
              <w:ind w:left="180"/>
              <w:spacing w:after="0" w:line="91" w:lineRule="exact"/>
              <w:rPr>
                <w:sz w:val="20"/>
                <w:szCs w:val="20"/>
                <w:color w:val="auto"/>
              </w:rPr>
            </w:pPr>
            <w:r>
              <w:rPr>
                <w:rFonts w:ascii="Arial" w:cs="Arial" w:eastAsia="Arial" w:hAnsi="Arial"/>
                <w:sz w:val="10"/>
                <w:szCs w:val="10"/>
                <w:b w:val="1"/>
                <w:bCs w:val="1"/>
                <w:color w:val="auto"/>
                <w:w w:val="75"/>
              </w:rPr>
              <w:t>(in $)</w:t>
            </w: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-1270</wp:posOffset>
            </wp:positionV>
            <wp:extent cx="466344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Assumed initial public offering price</w:t>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Historical net tangible book value per ADS as of June 30, 2021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 in net tangible book value per ADS attributable to investors purchasing ADSs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 adjusted net tangible book value per ADS after this offering</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Dilution per ADS to new investors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as adjusted information is illustrative only, and we will adjust this information based on the actual initial public offering price and other terms of this offering determined at pricing.</w:t>
      </w:r>
    </w:p>
    <w:p>
      <w:pPr>
        <w:spacing w:after="0" w:line="115"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of $ per ADS would increase (decrease) our as adjusted net tangible book value after this offering by $ per ADS, and the dilution in as adjusted net tangible book value to new investors by $</w:t>
      </w:r>
    </w:p>
    <w:p>
      <w:pPr>
        <w:spacing w:after="0" w:line="1" w:lineRule="exact"/>
        <w:rPr>
          <w:sz w:val="20"/>
          <w:szCs w:val="20"/>
          <w:color w:val="auto"/>
        </w:rPr>
      </w:pPr>
    </w:p>
    <w:p>
      <w:pPr>
        <w:ind w:left="1980" w:right="859"/>
        <w:spacing w:after="0" w:line="300" w:lineRule="auto"/>
        <w:rPr>
          <w:sz w:val="20"/>
          <w:szCs w:val="20"/>
          <w:color w:val="auto"/>
        </w:rPr>
      </w:pPr>
      <w:r>
        <w:rPr>
          <w:rFonts w:ascii="Arial" w:cs="Arial" w:eastAsia="Arial" w:hAnsi="Arial"/>
          <w:sz w:val="10"/>
          <w:szCs w:val="10"/>
          <w:color w:val="auto"/>
        </w:rPr>
        <w:t>per ADS, assuming that the number of ADSs offered by us, as set forth on the cover page of this prospectus, remains the same and after deducting the estimated underwriting discounts and commissions and estimated offering expenses payable by us. Each increase (decrease) of 100,000 in the number of</w:t>
      </w:r>
    </w:p>
    <w:p>
      <w:pPr>
        <w:spacing w:after="0" w:line="1" w:lineRule="exact"/>
        <w:rPr>
          <w:sz w:val="20"/>
          <w:szCs w:val="20"/>
          <w:color w:val="auto"/>
        </w:rPr>
      </w:pPr>
    </w:p>
    <w:p>
      <w:pPr>
        <w:ind w:left="1980"/>
        <w:spacing w:after="0"/>
        <w:tabs>
          <w:tab w:leader="none" w:pos="7700" w:val="left"/>
        </w:tabs>
        <w:rPr>
          <w:sz w:val="20"/>
          <w:szCs w:val="20"/>
          <w:color w:val="auto"/>
        </w:rPr>
      </w:pPr>
      <w:r>
        <w:rPr>
          <w:rFonts w:ascii="Arial" w:cs="Arial" w:eastAsia="Arial" w:hAnsi="Arial"/>
          <w:sz w:val="12"/>
          <w:szCs w:val="12"/>
          <w:color w:val="auto"/>
        </w:rPr>
        <w:t>ADSs offered by us would increase (decrease) our as adjusted net tangible book value after this offering by $</w:t>
      </w:r>
      <w:r>
        <w:rPr>
          <w:sz w:val="20"/>
          <w:szCs w:val="20"/>
          <w:color w:val="auto"/>
        </w:rPr>
        <w:tab/>
      </w:r>
      <w:r>
        <w:rPr>
          <w:rFonts w:ascii="Arial" w:cs="Arial" w:eastAsia="Arial" w:hAnsi="Arial"/>
          <w:sz w:val="10"/>
          <w:szCs w:val="10"/>
          <w:color w:val="auto"/>
        </w:rPr>
        <w:t>per ADS, and decrease (increase)</w:t>
      </w:r>
    </w:p>
    <w:p>
      <w:pPr>
        <w:spacing w:after="0" w:line="6" w:lineRule="exact"/>
        <w:rPr>
          <w:sz w:val="20"/>
          <w:szCs w:val="20"/>
          <w:color w:val="auto"/>
        </w:rPr>
      </w:pPr>
    </w:p>
    <w:p>
      <w:pPr>
        <w:ind w:left="1980"/>
        <w:spacing w:after="0"/>
        <w:tabs>
          <w:tab w:leader="none" w:pos="5940" w:val="left"/>
        </w:tabs>
        <w:rPr>
          <w:sz w:val="20"/>
          <w:szCs w:val="20"/>
          <w:color w:val="auto"/>
        </w:rPr>
      </w:pPr>
      <w:r>
        <w:rPr>
          <w:rFonts w:ascii="Arial" w:cs="Arial" w:eastAsia="Arial" w:hAnsi="Arial"/>
          <w:sz w:val="12"/>
          <w:szCs w:val="12"/>
          <w:color w:val="auto"/>
        </w:rPr>
        <w:t>the dilution to investors participating in this offering by approximately $</w:t>
      </w:r>
      <w:r>
        <w:rPr>
          <w:sz w:val="20"/>
          <w:szCs w:val="20"/>
          <w:color w:val="auto"/>
        </w:rPr>
        <w:tab/>
      </w:r>
      <w:r>
        <w:rPr>
          <w:rFonts w:ascii="Arial" w:cs="Arial" w:eastAsia="Arial" w:hAnsi="Arial"/>
          <w:sz w:val="10"/>
          <w:szCs w:val="10"/>
          <w:color w:val="auto"/>
        </w:rPr>
        <w:t>per ADS, assuming that the assumed initial public offering price</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remains the same and after deducting the estimated underwriting discounts and commissions and estimated offering expenses payable by us.</w:t>
      </w:r>
    </w:p>
    <w:p>
      <w:pPr>
        <w:spacing w:after="0" w:line="153"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To the extent we grant options or other equity awards to our employees or members of our management board or our supervisory board in the future, and those options or other equity awards are exercised in the future or other issuances of our ordinary shares are made, there will be further dilution to new investors.</w:t>
      </w:r>
    </w:p>
    <w:p>
      <w:pPr>
        <w:spacing w:after="0" w:line="122" w:lineRule="exact"/>
        <w:rPr>
          <w:sz w:val="20"/>
          <w:szCs w:val="20"/>
          <w:color w:val="auto"/>
        </w:rPr>
      </w:pPr>
    </w:p>
    <w:p>
      <w:pPr>
        <w:jc w:val="both"/>
        <w:ind w:left="1980" w:right="919" w:firstLine="294"/>
        <w:spacing w:after="0" w:line="306" w:lineRule="auto"/>
        <w:rPr>
          <w:sz w:val="20"/>
          <w:szCs w:val="20"/>
          <w:color w:val="auto"/>
        </w:rPr>
      </w:pPr>
      <w:r>
        <w:rPr>
          <w:rFonts w:ascii="Arial" w:cs="Arial" w:eastAsia="Arial" w:hAnsi="Arial"/>
          <w:sz w:val="10"/>
          <w:szCs w:val="10"/>
          <w:color w:val="auto"/>
        </w:rPr>
        <w:t>The following table presents on an as adjusted basis, as of June 30, 2021, after giving effect to the issuance and sale of the ADSs in this offering, the differences between the shareholders as of June 30, 2021, the new investors with respect to the number of ADSs purchased from us, the numbers of ordinary shares purchased from us, the total consideration paid and the average price per ordinary share at an assumed initial public offering price of</w:t>
      </w:r>
    </w:p>
    <w:tbl>
      <w:tblPr>
        <w:tblLayout w:type="fixed"/>
        <w:tblInd w:w="1980" w:type="dxa"/>
        <w:tblCellMar>
          <w:top w:w="0" w:type="dxa"/>
          <w:left w:w="0" w:type="dxa"/>
          <w:bottom w:w="0" w:type="dxa"/>
          <w:right w:w="0" w:type="dxa"/>
        </w:tblCellMar>
      </w:tblPr>
      <w:tr>
        <w:trPr>
          <w:trHeight w:val="136"/>
        </w:trPr>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6920" w:type="dxa"/>
            <w:vAlign w:val="bottom"/>
            <w:gridSpan w:val="18"/>
          </w:tcPr>
          <w:p>
            <w:pPr>
              <w:ind w:left="480"/>
              <w:spacing w:after="0" w:line="136" w:lineRule="exact"/>
              <w:rPr>
                <w:sz w:val="20"/>
                <w:szCs w:val="20"/>
                <w:color w:val="auto"/>
              </w:rPr>
            </w:pPr>
            <w:r>
              <w:rPr>
                <w:rFonts w:ascii="Arial" w:cs="Arial" w:eastAsia="Arial" w:hAnsi="Arial"/>
                <w:sz w:val="12"/>
                <w:szCs w:val="12"/>
                <w:color w:val="auto"/>
                <w:w w:val="94"/>
              </w:rPr>
              <w:t>per ADS, which reflects the U.S. dollar equivalent of the closing price of our ordinary shares on the Frankfurt Stock Exchange on</w:t>
            </w:r>
          </w:p>
        </w:tc>
        <w:tc>
          <w:tcPr>
            <w:tcW w:w="3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r>
      <w:tr>
        <w:trPr>
          <w:trHeight w:val="144"/>
        </w:trPr>
        <w:tc>
          <w:tcPr>
            <w:tcW w:w="3080" w:type="dxa"/>
            <w:vAlign w:val="bottom"/>
            <w:gridSpan w:val="5"/>
          </w:tcPr>
          <w:p>
            <w:pPr>
              <w:spacing w:after="0"/>
              <w:rPr>
                <w:sz w:val="20"/>
                <w:szCs w:val="20"/>
                <w:color w:val="auto"/>
              </w:rPr>
            </w:pPr>
            <w:r>
              <w:rPr>
                <w:rFonts w:ascii="Arial" w:cs="Arial" w:eastAsia="Arial" w:hAnsi="Arial"/>
                <w:sz w:val="12"/>
                <w:szCs w:val="12"/>
                <w:color w:val="auto"/>
                <w:w w:val="93"/>
              </w:rPr>
              <w:t>2021 based on a Euro/U.S. dollar exchange rate of €1.00 to $</w:t>
            </w:r>
          </w:p>
        </w:tc>
        <w:tc>
          <w:tcPr>
            <w:tcW w:w="320" w:type="dxa"/>
            <w:vAlign w:val="bottom"/>
          </w:tcPr>
          <w:p>
            <w:pPr>
              <w:spacing w:after="0"/>
              <w:rPr>
                <w:sz w:val="12"/>
                <w:szCs w:val="12"/>
                <w:color w:val="auto"/>
              </w:rPr>
            </w:pPr>
          </w:p>
        </w:tc>
        <w:tc>
          <w:tcPr>
            <w:tcW w:w="360" w:type="dxa"/>
            <w:vAlign w:val="bottom"/>
            <w:gridSpan w:val="2"/>
          </w:tcPr>
          <w:p>
            <w:pPr>
              <w:ind w:left="40"/>
              <w:spacing w:after="0"/>
              <w:rPr>
                <w:sz w:val="20"/>
                <w:szCs w:val="20"/>
                <w:color w:val="auto"/>
              </w:rPr>
            </w:pPr>
            <w:r>
              <w:rPr>
                <w:rFonts w:ascii="Arial" w:cs="Arial" w:eastAsia="Arial" w:hAnsi="Arial"/>
                <w:sz w:val="12"/>
                <w:szCs w:val="12"/>
                <w:color w:val="auto"/>
              </w:rPr>
              <w:t>as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11"/>
          </w:tcPr>
          <w:p>
            <w:pPr>
              <w:jc w:val="right"/>
              <w:ind w:right="80"/>
              <w:spacing w:after="0"/>
              <w:rPr>
                <w:sz w:val="20"/>
                <w:szCs w:val="20"/>
                <w:color w:val="auto"/>
              </w:rPr>
            </w:pPr>
            <w:r>
              <w:rPr>
                <w:rFonts w:ascii="Arial" w:cs="Arial" w:eastAsia="Arial" w:hAnsi="Arial"/>
                <w:sz w:val="12"/>
                <w:szCs w:val="12"/>
                <w:color w:val="auto"/>
                <w:w w:val="89"/>
              </w:rPr>
              <w:t>, 2021, after deducting the estimated underwriting discounts and</w:t>
            </w:r>
          </w:p>
        </w:tc>
      </w:tr>
      <w:tr>
        <w:trPr>
          <w:trHeight w:val="153"/>
        </w:trPr>
        <w:tc>
          <w:tcPr>
            <w:tcW w:w="6240" w:type="dxa"/>
            <w:vAlign w:val="bottom"/>
            <w:gridSpan w:val="17"/>
          </w:tcPr>
          <w:p>
            <w:pPr>
              <w:spacing w:after="0"/>
              <w:rPr>
                <w:sz w:val="20"/>
                <w:szCs w:val="20"/>
                <w:color w:val="auto"/>
              </w:rPr>
            </w:pPr>
            <w:r>
              <w:rPr>
                <w:rFonts w:ascii="Arial" w:cs="Arial" w:eastAsia="Arial" w:hAnsi="Arial"/>
                <w:sz w:val="12"/>
                <w:szCs w:val="12"/>
                <w:color w:val="auto"/>
                <w:w w:val="90"/>
              </w:rPr>
              <w:t>commissions and estimated offering expenses payable by us and excluding the underwriters’ option to purchase additional ADSs: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47"/>
        </w:trPr>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gridSpan w:val="5"/>
          </w:tcPr>
          <w:p>
            <w:pPr>
              <w:jc w:val="center"/>
              <w:ind w:right="312"/>
              <w:spacing w:after="0"/>
              <w:rPr>
                <w:sz w:val="20"/>
                <w:szCs w:val="20"/>
                <w:color w:val="auto"/>
              </w:rPr>
            </w:pPr>
            <w:r>
              <w:rPr>
                <w:rFonts w:ascii="Arial" w:cs="Arial" w:eastAsia="Arial" w:hAnsi="Arial"/>
                <w:sz w:val="10"/>
                <w:szCs w:val="10"/>
                <w:b w:val="1"/>
                <w:bCs w:val="1"/>
                <w:color w:val="auto"/>
                <w:w w:val="87"/>
              </w:rPr>
              <w:t>Ordinary Shares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13"/>
        </w:trPr>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gridSpan w:val="5"/>
          </w:tcPr>
          <w:p>
            <w:pPr>
              <w:jc w:val="center"/>
              <w:ind w:right="312"/>
              <w:spacing w:after="0" w:line="114" w:lineRule="exact"/>
              <w:rPr>
                <w:sz w:val="20"/>
                <w:szCs w:val="20"/>
                <w:color w:val="auto"/>
              </w:rPr>
            </w:pPr>
            <w:r>
              <w:rPr>
                <w:rFonts w:ascii="Arial" w:cs="Arial" w:eastAsia="Arial" w:hAnsi="Arial"/>
                <w:sz w:val="10"/>
                <w:szCs w:val="10"/>
                <w:b w:val="1"/>
                <w:bCs w:val="1"/>
                <w:color w:val="auto"/>
                <w:w w:val="85"/>
              </w:rPr>
              <w:t>Purchased</w:t>
            </w:r>
          </w:p>
        </w:tc>
        <w:tc>
          <w:tcPr>
            <w:tcW w:w="120" w:type="dxa"/>
            <w:vAlign w:val="bottom"/>
          </w:tcPr>
          <w:p>
            <w:pPr>
              <w:spacing w:after="0"/>
              <w:rPr>
                <w:sz w:val="9"/>
                <w:szCs w:val="9"/>
                <w:color w:val="auto"/>
              </w:rPr>
            </w:pPr>
          </w:p>
        </w:tc>
        <w:tc>
          <w:tcPr>
            <w:tcW w:w="1340" w:type="dxa"/>
            <w:vAlign w:val="bottom"/>
            <w:gridSpan w:val="5"/>
          </w:tcPr>
          <w:p>
            <w:pPr>
              <w:ind w:left="20"/>
              <w:spacing w:after="0" w:line="114" w:lineRule="exact"/>
              <w:rPr>
                <w:sz w:val="20"/>
                <w:szCs w:val="20"/>
                <w:color w:val="auto"/>
              </w:rPr>
            </w:pPr>
            <w:r>
              <w:rPr>
                <w:rFonts w:ascii="Arial" w:cs="Arial" w:eastAsia="Arial" w:hAnsi="Arial"/>
                <w:sz w:val="10"/>
                <w:szCs w:val="10"/>
                <w:b w:val="1"/>
                <w:bCs w:val="1"/>
                <w:color w:val="auto"/>
              </w:rPr>
              <w:t>Total Consideration</w:t>
            </w:r>
          </w:p>
        </w:tc>
        <w:tc>
          <w:tcPr>
            <w:tcW w:w="1020" w:type="dxa"/>
            <w:vAlign w:val="bottom"/>
            <w:gridSpan w:val="3"/>
          </w:tcPr>
          <w:p>
            <w:pPr>
              <w:jc w:val="center"/>
              <w:ind w:right="120"/>
              <w:spacing w:after="0" w:line="114" w:lineRule="exact"/>
              <w:rPr>
                <w:sz w:val="20"/>
                <w:szCs w:val="20"/>
                <w:color w:val="auto"/>
              </w:rPr>
            </w:pPr>
            <w:r>
              <w:rPr>
                <w:rFonts w:ascii="Arial" w:cs="Arial" w:eastAsia="Arial" w:hAnsi="Arial"/>
                <w:sz w:val="10"/>
                <w:szCs w:val="10"/>
                <w:b w:val="1"/>
                <w:bCs w:val="1"/>
                <w:color w:val="auto"/>
                <w:w w:val="86"/>
              </w:rPr>
              <w:t>Average Price per</w:t>
            </w:r>
          </w:p>
        </w:tc>
        <w:tc>
          <w:tcPr>
            <w:tcW w:w="160" w:type="dxa"/>
            <w:vAlign w:val="bottom"/>
          </w:tcPr>
          <w:p>
            <w:pPr>
              <w:spacing w:after="0"/>
              <w:rPr>
                <w:sz w:val="9"/>
                <w:szCs w:val="9"/>
                <w:color w:val="auto"/>
              </w:rPr>
            </w:pP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6"/>
              </w:rPr>
              <w:t>Average Price per</w:t>
            </w:r>
          </w:p>
        </w:tc>
      </w:tr>
      <w:tr>
        <w:trPr>
          <w:trHeight w:val="88"/>
        </w:trPr>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Number</w:t>
            </w: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2"/>
          </w:tcPr>
          <w:p>
            <w:pPr>
              <w:ind w:left="80"/>
              <w:spacing w:after="0" w:line="88" w:lineRule="exact"/>
              <w:rPr>
                <w:sz w:val="20"/>
                <w:szCs w:val="20"/>
                <w:color w:val="auto"/>
              </w:rPr>
            </w:pPr>
            <w:r>
              <w:rPr>
                <w:rFonts w:ascii="Arial" w:cs="Arial" w:eastAsia="Arial" w:hAnsi="Arial"/>
                <w:sz w:val="10"/>
                <w:szCs w:val="10"/>
                <w:b w:val="1"/>
                <w:bCs w:val="1"/>
                <w:color w:val="auto"/>
                <w:w w:val="84"/>
              </w:rPr>
              <w:t>Amount</w:t>
            </w:r>
          </w:p>
        </w:tc>
        <w:tc>
          <w:tcPr>
            <w:tcW w:w="1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80" w:type="dxa"/>
            <w:vAlign w:val="bottom"/>
          </w:tcPr>
          <w:p>
            <w:pPr>
              <w:spacing w:after="0"/>
              <w:rPr>
                <w:sz w:val="7"/>
                <w:szCs w:val="7"/>
                <w:color w:val="auto"/>
              </w:rPr>
            </w:pPr>
          </w:p>
        </w:tc>
        <w:tc>
          <w:tcPr>
            <w:tcW w:w="1020" w:type="dxa"/>
            <w:vAlign w:val="bottom"/>
            <w:gridSpan w:val="3"/>
          </w:tcPr>
          <w:p>
            <w:pPr>
              <w:jc w:val="center"/>
              <w:ind w:right="120"/>
              <w:spacing w:after="0" w:line="88" w:lineRule="exact"/>
              <w:rPr>
                <w:sz w:val="20"/>
                <w:szCs w:val="20"/>
                <w:color w:val="auto"/>
              </w:rPr>
            </w:pPr>
            <w:r>
              <w:rPr>
                <w:rFonts w:ascii="Arial" w:cs="Arial" w:eastAsia="Arial" w:hAnsi="Arial"/>
                <w:sz w:val="10"/>
                <w:szCs w:val="10"/>
                <w:b w:val="1"/>
                <w:bCs w:val="1"/>
                <w:color w:val="auto"/>
                <w:w w:val="91"/>
              </w:rPr>
              <w:t>Ordinary Share</w:t>
            </w:r>
          </w:p>
        </w:tc>
        <w:tc>
          <w:tcPr>
            <w:tcW w:w="160" w:type="dxa"/>
            <w:vAlign w:val="bottom"/>
          </w:tcPr>
          <w:p>
            <w:pPr>
              <w:spacing w:after="0"/>
              <w:rPr>
                <w:sz w:val="7"/>
                <w:szCs w:val="7"/>
                <w:color w:val="auto"/>
              </w:rPr>
            </w:pPr>
          </w:p>
        </w:tc>
        <w:tc>
          <w:tcPr>
            <w:tcW w:w="600" w:type="dxa"/>
            <w:vAlign w:val="bottom"/>
          </w:tcPr>
          <w:p>
            <w:pPr>
              <w:jc w:val="center"/>
              <w:ind w:left="252"/>
              <w:spacing w:after="0" w:line="88" w:lineRule="exact"/>
              <w:rPr>
                <w:sz w:val="20"/>
                <w:szCs w:val="20"/>
                <w:color w:val="auto"/>
              </w:rPr>
            </w:pPr>
            <w:r>
              <w:rPr>
                <w:rFonts w:ascii="Arial" w:cs="Arial" w:eastAsia="Arial" w:hAnsi="Arial"/>
                <w:sz w:val="10"/>
                <w:szCs w:val="10"/>
                <w:b w:val="1"/>
                <w:bCs w:val="1"/>
                <w:color w:val="auto"/>
                <w:w w:val="85"/>
              </w:rPr>
              <w:t>ADS</w:t>
            </w: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88"/>
        </w:trPr>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w w:val="83"/>
              </w:rPr>
              <w:t>(in €)</w:t>
            </w:r>
          </w:p>
        </w:tc>
        <w:tc>
          <w:tcPr>
            <w:tcW w:w="480" w:type="dxa"/>
            <w:vAlign w:val="bottom"/>
            <w:tcBorders>
              <w:top w:val="single" w:sz="8" w:color="auto"/>
            </w:tcBorders>
            <w:gridSpan w:val="2"/>
          </w:tcPr>
          <w:p>
            <w:pPr>
              <w:ind w:left="260"/>
              <w:spacing w:after="0" w:line="88" w:lineRule="exact"/>
              <w:rPr>
                <w:sz w:val="20"/>
                <w:szCs w:val="20"/>
                <w:color w:val="auto"/>
              </w:rPr>
            </w:pPr>
            <w:r>
              <w:rPr>
                <w:rFonts w:ascii="Arial" w:cs="Arial" w:eastAsia="Arial" w:hAnsi="Arial"/>
                <w:sz w:val="10"/>
                <w:szCs w:val="10"/>
                <w:b w:val="1"/>
                <w:bCs w:val="1"/>
                <w:color w:val="auto"/>
                <w:w w:val="83"/>
              </w:rPr>
              <w:t>(in $)</w:t>
            </w: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320" w:type="dxa"/>
            <w:vAlign w:val="bottom"/>
            <w:tcBorders>
              <w:top w:val="single" w:sz="8" w:color="auto"/>
            </w:tcBorders>
          </w:tcPr>
          <w:p>
            <w:pPr>
              <w:ind w:left="60"/>
              <w:spacing w:after="0" w:line="88" w:lineRule="exact"/>
              <w:rPr>
                <w:sz w:val="20"/>
                <w:szCs w:val="20"/>
                <w:color w:val="auto"/>
              </w:rPr>
            </w:pPr>
            <w:r>
              <w:rPr>
                <w:rFonts w:ascii="Arial" w:cs="Arial" w:eastAsia="Arial" w:hAnsi="Arial"/>
                <w:sz w:val="10"/>
                <w:szCs w:val="10"/>
                <w:b w:val="1"/>
                <w:bCs w:val="1"/>
                <w:color w:val="auto"/>
              </w:rPr>
              <w:t>(in $)</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(in $)</w:t>
            </w:r>
          </w:p>
        </w:tc>
        <w:tc>
          <w:tcPr>
            <w:tcW w:w="40" w:type="dxa"/>
            <w:vAlign w:val="bottom"/>
          </w:tcPr>
          <w:p>
            <w:pPr>
              <w:spacing w:after="0"/>
              <w:rPr>
                <w:sz w:val="7"/>
                <w:szCs w:val="7"/>
                <w:color w:val="auto"/>
              </w:rPr>
            </w:pPr>
          </w:p>
        </w:tc>
      </w:tr>
      <w:tr>
        <w:trPr>
          <w:trHeight w:val="135"/>
        </w:trPr>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Existing shareholders</w:t>
            </w: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1120" w:type="dxa"/>
            <w:vAlign w:val="bottom"/>
            <w:gridSpan w:val="2"/>
          </w:tcPr>
          <w:p>
            <w:pPr>
              <w:spacing w:after="0"/>
              <w:rPr>
                <w:sz w:val="20"/>
                <w:szCs w:val="20"/>
                <w:color w:val="auto"/>
              </w:rPr>
            </w:pPr>
            <w:r>
              <w:rPr>
                <w:rFonts w:ascii="Arial" w:cs="Arial" w:eastAsia="Arial" w:hAnsi="Arial"/>
                <w:sz w:val="11"/>
                <w:szCs w:val="11"/>
                <w:color w:val="auto"/>
              </w:rPr>
              <w:t>New investors</w:t>
            </w: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79"/>
        </w:trPr>
        <w:tc>
          <w:tcPr>
            <w:tcW w:w="80" w:type="dxa"/>
            <w:vAlign w:val="bottom"/>
          </w:tcPr>
          <w:p>
            <w:pPr>
              <w:spacing w:after="0"/>
              <w:rPr>
                <w:sz w:val="24"/>
                <w:szCs w:val="24"/>
                <w:color w:val="auto"/>
              </w:rPr>
            </w:pPr>
          </w:p>
        </w:tc>
        <w:tc>
          <w:tcPr>
            <w:tcW w:w="5720" w:type="dxa"/>
            <w:vAlign w:val="bottom"/>
            <w:gridSpan w:val="14"/>
          </w:tcPr>
          <w:p>
            <w:pPr>
              <w:ind w:left="200"/>
              <w:spacing w:after="0"/>
              <w:rPr>
                <w:sz w:val="20"/>
                <w:szCs w:val="20"/>
                <w:color w:val="auto"/>
              </w:rPr>
            </w:pPr>
            <w:r>
              <w:rPr>
                <w:rFonts w:ascii="Arial" w:cs="Arial" w:eastAsia="Arial" w:hAnsi="Arial"/>
                <w:sz w:val="12"/>
                <w:szCs w:val="12"/>
                <w:color w:val="auto"/>
                <w:w w:val="92"/>
              </w:rPr>
              <w:t>If the underwriters exercise their option to purchase additional ADSs in full, our existing shareholders would own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2"/>
                <w:szCs w:val="12"/>
                <w:color w:val="auto"/>
                <w:w w:val="93"/>
              </w:rPr>
              <w:t>ordinary shares or</w:t>
            </w:r>
          </w:p>
        </w:tc>
      </w:tr>
      <w:tr>
        <w:trPr>
          <w:trHeight w:val="153"/>
        </w:trPr>
        <w:tc>
          <w:tcPr>
            <w:tcW w:w="80" w:type="dxa"/>
            <w:vAlign w:val="bottom"/>
          </w:tcPr>
          <w:p>
            <w:pPr>
              <w:spacing w:after="0"/>
              <w:rPr>
                <w:sz w:val="13"/>
                <w:szCs w:val="13"/>
                <w:color w:val="auto"/>
              </w:rPr>
            </w:pPr>
          </w:p>
        </w:tc>
        <w:tc>
          <w:tcPr>
            <w:tcW w:w="3000" w:type="dxa"/>
            <w:vAlign w:val="bottom"/>
            <w:gridSpan w:val="4"/>
          </w:tcPr>
          <w:p>
            <w:pPr>
              <w:ind w:left="40"/>
              <w:spacing w:after="0"/>
              <w:rPr>
                <w:sz w:val="20"/>
                <w:szCs w:val="20"/>
                <w:color w:val="auto"/>
              </w:rPr>
            </w:pPr>
            <w:r>
              <w:rPr>
                <w:rFonts w:ascii="Arial" w:cs="Arial" w:eastAsia="Arial" w:hAnsi="Arial"/>
                <w:sz w:val="12"/>
                <w:szCs w:val="12"/>
                <w:color w:val="auto"/>
              </w:rPr>
              <w:t>% in the aggregate and our new investors would own</w:t>
            </w:r>
          </w:p>
        </w:tc>
        <w:tc>
          <w:tcPr>
            <w:tcW w:w="1100" w:type="dxa"/>
            <w:vAlign w:val="bottom"/>
            <w:gridSpan w:val="5"/>
          </w:tcPr>
          <w:p>
            <w:pPr>
              <w:ind w:left="120"/>
              <w:spacing w:after="0"/>
              <w:rPr>
                <w:sz w:val="20"/>
                <w:szCs w:val="20"/>
                <w:color w:val="auto"/>
              </w:rPr>
            </w:pPr>
            <w:r>
              <w:rPr>
                <w:rFonts w:ascii="Arial" w:cs="Arial" w:eastAsia="Arial" w:hAnsi="Arial"/>
                <w:sz w:val="12"/>
                <w:szCs w:val="12"/>
                <w:color w:val="auto"/>
                <w:w w:val="99"/>
              </w:rPr>
              <w:t>ordinary shares or</w:t>
            </w:r>
          </w:p>
        </w:tc>
        <w:tc>
          <w:tcPr>
            <w:tcW w:w="1040" w:type="dxa"/>
            <w:vAlign w:val="bottom"/>
            <w:gridSpan w:val="4"/>
          </w:tcPr>
          <w:p>
            <w:pPr>
              <w:ind w:left="40"/>
              <w:spacing w:after="0"/>
              <w:rPr>
                <w:sz w:val="20"/>
                <w:szCs w:val="20"/>
                <w:color w:val="auto"/>
              </w:rPr>
            </w:pPr>
            <w:r>
              <w:rPr>
                <w:rFonts w:ascii="Arial" w:cs="Arial" w:eastAsia="Arial" w:hAnsi="Arial"/>
                <w:sz w:val="12"/>
                <w:szCs w:val="12"/>
                <w:color w:val="auto"/>
                <w:w w:val="94"/>
              </w:rPr>
              <w:t>% in the aggregate.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9"/>
        </w:trPr>
        <w:tc>
          <w:tcPr>
            <w:tcW w:w="80" w:type="dxa"/>
            <w:vAlign w:val="bottom"/>
          </w:tcPr>
          <w:p>
            <w:pPr>
              <w:spacing w:after="0"/>
              <w:rPr>
                <w:sz w:val="24"/>
                <w:szCs w:val="24"/>
                <w:color w:val="auto"/>
              </w:rPr>
            </w:pPr>
          </w:p>
        </w:tc>
        <w:tc>
          <w:tcPr>
            <w:tcW w:w="4100" w:type="dxa"/>
            <w:vAlign w:val="bottom"/>
            <w:gridSpan w:val="9"/>
          </w:tcPr>
          <w:p>
            <w:pPr>
              <w:ind w:left="200"/>
              <w:spacing w:after="0"/>
              <w:rPr>
                <w:sz w:val="20"/>
                <w:szCs w:val="20"/>
                <w:color w:val="auto"/>
              </w:rPr>
            </w:pPr>
            <w:r>
              <w:rPr>
                <w:rFonts w:ascii="Arial" w:cs="Arial" w:eastAsia="Arial" w:hAnsi="Arial"/>
                <w:sz w:val="12"/>
                <w:szCs w:val="12"/>
                <w:color w:val="auto"/>
                <w:w w:val="93"/>
              </w:rPr>
              <w:t>Each $1.00 increase (decrease) in the assumed initial public offering price of $</w:t>
            </w:r>
          </w:p>
        </w:tc>
        <w:tc>
          <w:tcPr>
            <w:tcW w:w="180" w:type="dxa"/>
            <w:vAlign w:val="bottom"/>
          </w:tcPr>
          <w:p>
            <w:pPr>
              <w:spacing w:after="0"/>
              <w:rPr>
                <w:sz w:val="24"/>
                <w:szCs w:val="24"/>
                <w:color w:val="auto"/>
              </w:rPr>
            </w:pPr>
          </w:p>
        </w:tc>
        <w:tc>
          <w:tcPr>
            <w:tcW w:w="2980" w:type="dxa"/>
            <w:vAlign w:val="bottom"/>
            <w:gridSpan w:val="10"/>
          </w:tcPr>
          <w:p>
            <w:pPr>
              <w:jc w:val="right"/>
              <w:ind w:right="40"/>
              <w:spacing w:after="0"/>
              <w:rPr>
                <w:sz w:val="20"/>
                <w:szCs w:val="20"/>
                <w:color w:val="auto"/>
              </w:rPr>
            </w:pPr>
            <w:r>
              <w:rPr>
                <w:rFonts w:ascii="Arial" w:cs="Arial" w:eastAsia="Arial" w:hAnsi="Arial"/>
                <w:sz w:val="12"/>
                <w:szCs w:val="12"/>
                <w:color w:val="auto"/>
                <w:w w:val="98"/>
              </w:rPr>
              <w:t>per ADS, which reflects the U.S. dollar equivalent of the</w:t>
            </w:r>
          </w:p>
        </w:tc>
      </w:tr>
      <w:tr>
        <w:trPr>
          <w:trHeight w:val="144"/>
        </w:trPr>
        <w:tc>
          <w:tcPr>
            <w:tcW w:w="3760" w:type="dxa"/>
            <w:vAlign w:val="bottom"/>
            <w:gridSpan w:val="8"/>
          </w:tcPr>
          <w:p>
            <w:pPr>
              <w:spacing w:after="0"/>
              <w:rPr>
                <w:sz w:val="20"/>
                <w:szCs w:val="20"/>
                <w:color w:val="auto"/>
              </w:rPr>
            </w:pPr>
            <w:r>
              <w:rPr>
                <w:rFonts w:ascii="Arial" w:cs="Arial" w:eastAsia="Arial" w:hAnsi="Arial"/>
                <w:sz w:val="12"/>
                <w:szCs w:val="12"/>
                <w:color w:val="auto"/>
                <w:w w:val="98"/>
              </w:rPr>
              <w:t>closing price of our ordinary shares on the Frankfurt Stock Exchange on</w:t>
            </w:r>
          </w:p>
        </w:tc>
        <w:tc>
          <w:tcPr>
            <w:tcW w:w="120" w:type="dxa"/>
            <w:vAlign w:val="bottom"/>
          </w:tcPr>
          <w:p>
            <w:pPr>
              <w:spacing w:after="0"/>
              <w:rPr>
                <w:sz w:val="12"/>
                <w:szCs w:val="12"/>
                <w:color w:val="auto"/>
              </w:rPr>
            </w:pPr>
          </w:p>
        </w:tc>
        <w:tc>
          <w:tcPr>
            <w:tcW w:w="3120" w:type="dxa"/>
            <w:vAlign w:val="bottom"/>
            <w:gridSpan w:val="10"/>
          </w:tcPr>
          <w:p>
            <w:pPr>
              <w:ind w:left="80"/>
              <w:spacing w:after="0"/>
              <w:rPr>
                <w:sz w:val="20"/>
                <w:szCs w:val="20"/>
                <w:color w:val="auto"/>
              </w:rPr>
            </w:pPr>
            <w:r>
              <w:rPr>
                <w:rFonts w:ascii="Arial" w:cs="Arial" w:eastAsia="Arial" w:hAnsi="Arial"/>
                <w:sz w:val="12"/>
                <w:szCs w:val="12"/>
                <w:color w:val="auto"/>
                <w:w w:val="93"/>
              </w:rPr>
              <w:t>, 2021 based on a Euro/U.S. dollar exchange rate of €1.00 to</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0"/>
        </w:trPr>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040" w:type="dxa"/>
            <w:vAlign w:val="bottom"/>
          </w:tcPr>
          <w:p>
            <w:pPr>
              <w:ind w:left="480"/>
              <w:spacing w:after="0"/>
              <w:rPr>
                <w:sz w:val="20"/>
                <w:szCs w:val="20"/>
                <w:color w:val="auto"/>
              </w:rPr>
            </w:pPr>
            <w:r>
              <w:rPr>
                <w:rFonts w:ascii="Arial" w:cs="Arial" w:eastAsia="Arial" w:hAnsi="Arial"/>
                <w:sz w:val="12"/>
                <w:szCs w:val="12"/>
                <w:color w:val="auto"/>
              </w:rPr>
              <w:t>as of</w:t>
            </w:r>
          </w:p>
        </w:tc>
        <w:tc>
          <w:tcPr>
            <w:tcW w:w="6220" w:type="dxa"/>
            <w:vAlign w:val="bottom"/>
            <w:gridSpan w:val="19"/>
          </w:tcPr>
          <w:p>
            <w:pPr>
              <w:jc w:val="right"/>
              <w:ind w:right="100"/>
              <w:spacing w:after="0"/>
              <w:rPr>
                <w:sz w:val="20"/>
                <w:szCs w:val="20"/>
                <w:color w:val="auto"/>
              </w:rPr>
            </w:pPr>
            <w:r>
              <w:rPr>
                <w:rFonts w:ascii="Arial" w:cs="Arial" w:eastAsia="Arial" w:hAnsi="Arial"/>
                <w:sz w:val="12"/>
                <w:szCs w:val="12"/>
                <w:color w:val="auto"/>
                <w:w w:val="91"/>
              </w:rPr>
              <w:t>, 2021, assuming the number of ADSs offered by us, as set forth on the cover page of this prospectus, remains the same and</w:t>
            </w:r>
          </w:p>
        </w:tc>
      </w:tr>
    </w:tbl>
    <w:p>
      <w:pPr>
        <w:spacing w:after="0" w:line="14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after deducting the estimated underwriting discounts and commissions and estimated offering expenses payable by us, would increase (decrease) total consideration paid by new investors by $ million or %.</w:t>
      </w:r>
    </w:p>
    <w:p>
      <w:pPr>
        <w:sectPr>
          <w:pgSz w:w="11900" w:h="16838" w:orient="portrait"/>
          <w:cols w:equalWidth="0" w:num="1">
            <w:col w:w="10159"/>
          </w:cols>
          <w:pgMar w:left="300" w:top="354" w:right="1440" w:bottom="1440" w:gutter="0" w:footer="0" w:header="0"/>
        </w:sectPr>
      </w:pPr>
    </w:p>
    <w:p>
      <w:pPr>
        <w:spacing w:after="0" w:line="115" w:lineRule="exact"/>
        <w:rPr>
          <w:sz w:val="20"/>
          <w:szCs w:val="20"/>
          <w:color w:val="auto"/>
        </w:rPr>
      </w:pPr>
    </w:p>
    <w:p>
      <w:pPr>
        <w:ind w:left="1980" w:firstLine="294"/>
        <w:spacing w:after="0" w:line="379" w:lineRule="auto"/>
        <w:rPr>
          <w:sz w:val="20"/>
          <w:szCs w:val="20"/>
          <w:color w:val="auto"/>
        </w:rPr>
      </w:pPr>
      <w:r>
        <w:rPr>
          <w:rFonts w:ascii="Arial" w:cs="Arial" w:eastAsia="Arial" w:hAnsi="Arial"/>
          <w:sz w:val="10"/>
          <w:szCs w:val="10"/>
          <w:color w:val="auto"/>
        </w:rPr>
        <w:t>The number of our ordinary shares to be outstanding after this offering is based on the number of ordinary shares outstanding as of 2020, and excludes any ordinary shares that may be reserved for future issuance under any performance share and stock option plans.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9" w:lineRule="exact"/>
        <w:rPr>
          <w:sz w:val="20"/>
          <w:szCs w:val="20"/>
          <w:color w:val="auto"/>
        </w:rPr>
      </w:pPr>
    </w:p>
    <w:p>
      <w:pPr>
        <w:sectPr>
          <w:pgSz w:w="11900" w:h="16838" w:orient="portrait"/>
          <w:cols w:equalWidth="0" w:num="2">
            <w:col w:w="8540" w:space="620"/>
            <w:col w:w="999"/>
          </w:cols>
          <w:pgMar w:left="300" w:top="354" w:right="1440" w:bottom="1440" w:gutter="0" w:footer="0" w:header="0"/>
          <w:type w:val="continuous"/>
        </w:sectPr>
      </w:pPr>
    </w:p>
    <w:p>
      <w:pPr>
        <w:ind w:left="5580"/>
        <w:spacing w:after="0"/>
        <w:rPr>
          <w:sz w:val="20"/>
          <w:szCs w:val="20"/>
          <w:color w:val="auto"/>
        </w:rPr>
      </w:pPr>
      <w:r>
        <w:rPr>
          <w:rFonts w:ascii="Arial" w:cs="Arial" w:eastAsia="Arial" w:hAnsi="Arial"/>
          <w:sz w:val="10"/>
          <w:szCs w:val="10"/>
          <w:color w:val="auto"/>
        </w:rPr>
        <w:t>57</w:t>
      </w:r>
    </w:p>
    <w:p>
      <w:pPr>
        <w:sectPr>
          <w:pgSz w:w="11900" w:h="16838" w:orient="portrait"/>
          <w:cols w:equalWidth="0" w:num="1">
            <w:col w:w="10159"/>
          </w:cols>
          <w:pgMar w:left="300" w:top="354" w:right="1440" w:bottom="1440" w:gutter="0" w:footer="0" w:header="0"/>
          <w:type w:val="continuous"/>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MANAGEMENT’S DISCUSSION AND ANALYSIS OF FINANCIAL CONDITION</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AND RESULTS OF OPERATIONS</w:t>
      </w:r>
    </w:p>
    <w:p>
      <w:pPr>
        <w:spacing w:after="0" w:line="141" w:lineRule="exact"/>
        <w:rPr>
          <w:sz w:val="20"/>
          <w:szCs w:val="20"/>
          <w:color w:val="auto"/>
        </w:rPr>
      </w:pPr>
    </w:p>
    <w:p>
      <w:pPr>
        <w:ind w:left="1980" w:right="1099" w:firstLine="294"/>
        <w:spacing w:after="0" w:line="289"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in conjunction with our historical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9"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aim to industrialize laser communication by focusing on developing standardized and modularized products suitable for a wide array of customers and applications. We have benefited from advancing on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159"/>
          </w:cols>
          <w:pgMar w:left="30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0" w:lineRule="auto"/>
        <w:rPr>
          <w:sz w:val="20"/>
          <w:szCs w:val="20"/>
          <w:color w:val="auto"/>
        </w:rPr>
      </w:pPr>
      <w:r>
        <w:rPr>
          <w:rFonts w:ascii="Arial" w:cs="Arial" w:eastAsia="Arial" w:hAnsi="Arial"/>
          <w:sz w:val="11"/>
          <w:szCs w:val="11"/>
          <w:color w:val="auto"/>
        </w:rPr>
        <w:t>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5"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Factors Affecting Our Results of Operations</w:t>
      </w:r>
    </w:p>
    <w:p>
      <w:pPr>
        <w:spacing w:after="0" w:line="15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believe that the factors discussed below have significantly affected our results of operations, financial position and cash flow in the historical periods for which financial information is presented in this prospectus, and that these factors will continue to have a material effect on our results of operations, financial position and cash flow in the future.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Development of the Laser Communication Market</w:t>
      </w:r>
    </w:p>
    <w:p>
      <w:pPr>
        <w:spacing w:after="0" w:line="150"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15"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Regulatory Environment and Government Regulation</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16"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Commercialization of our Technology and Serial Production</w:t>
      </w:r>
    </w:p>
    <w:p>
      <w:pPr>
        <w:spacing w:after="0" w:line="150"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rented an additional production facility in Oberpfaffenhofen, Germany, which required substantial installation of manufacturing equipment that has now been completed.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Based on our current set-up, we expect to be able to increase production output from eleven terminals in 2020 to 50 air and space terminals in 2021 and target a per year production rate of up to 2,000 units going forward.</w:t>
      </w:r>
    </w:p>
    <w:p>
      <w:pPr>
        <w:spacing w:after="0" w:line="115"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We will require substantial additional capital to modify our existing technology for use in related products. Until we can generate sufficient revenue from product deliveries, we expect to finance our operations through a combination of existing cash, the net cash proceeds of this offering, possible additional public offerings, debt financings, collaborations, and licensing arrangements. The amount and timing of our future funding requirements will depend on many factors, including the pace and results of our development efforts.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Customer Demand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 communication industry, we are a sub-system supplier for system primes such as aircraft and satellite manufacturers that are prime contractors for the U.S. government. In 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2019, we signed a contract with a commercial customer in the U.K. for certain parts of our CONDOR terminal, which we delivered in 2019.</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did not have any government customers in 2019. In 2020, we received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an order from a U.S. aerospace and defense company in 2020 to introduce our HAWK terminal to the U.S. governmental market. We delivered two HAWK terminals to this customer in the fourth quarter of 2020, following which our customer conducted initial system testing and demonstrations in deployment scenarios. To a limited extent, we also provided development and training services with respect to our HAWK terminals to this customer. We also sold certain components used in our CONDOR terminal to a Canadian customer and conducted a feasibility analysis for a Belgian customer in 2020. While we have not yet entered into contracts directly with the U.S. or non-U.S. governments, we consider our customers that are prime contractors for the U.S. government as government customers. Accordingly, taking into account our Belgian customer for which we conducted a feasibility analysis, we had two commercial customers and one government customer in 2020. In addition, in 2020, we were awarded two contracts by Telesat and a U.S. customer relating to our CONDOR terminals in connection with two U.S. governmental programs launched by DARPA and the SDA, respectively, for which we recognized revenue in the six months ended June 30, 2021.</w:t>
      </w:r>
    </w:p>
    <w:p>
      <w:pPr>
        <w:spacing w:after="0" w:line="117"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w:t>
      </w:r>
    </w:p>
    <w:p>
      <w:pPr>
        <w:spacing w:after="0" w:line="150"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Research and development activities are central to our business. In 2020, we started pre-serial production of both our HAWK and CONDOR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11" w:lineRule="exact"/>
        <w:rPr>
          <w:sz w:val="20"/>
          <w:szCs w:val="20"/>
          <w:color w:val="auto"/>
        </w:rPr>
      </w:pPr>
    </w:p>
    <w:p>
      <w:pPr>
        <w:ind w:left="1980" w:right="1019" w:firstLine="294"/>
        <w:spacing w:after="0" w:line="320" w:lineRule="auto"/>
        <w:rPr>
          <w:sz w:val="20"/>
          <w:szCs w:val="20"/>
          <w:color w:val="auto"/>
        </w:rPr>
      </w:pPr>
      <w:r>
        <w:rPr>
          <w:rFonts w:ascii="Arial" w:cs="Arial" w:eastAsia="Arial" w:hAnsi="Arial"/>
          <w:sz w:val="10"/>
          <w:szCs w:val="10"/>
          <w:color w:val="auto"/>
        </w:rPr>
        <w:t>Under IFRS (as with U.S. GAAP), research costs are expensed. However, unlike U.S. GAAP, IFRS has broad-based guidance that requires companies to capitalize development costs, including internal costs, when certain criteria are met. In particular, internally developed intangible assets (</w:t>
      </w:r>
      <w:r>
        <w:rPr>
          <w:rFonts w:ascii="Arial" w:cs="Arial" w:eastAsia="Arial" w:hAnsi="Arial"/>
          <w:sz w:val="10"/>
          <w:szCs w:val="10"/>
          <w:i w:val="1"/>
          <w:iCs w:val="1"/>
          <w:color w:val="auto"/>
        </w:rPr>
        <w:t>e.g.</w:t>
      </w:r>
      <w:r>
        <w:rPr>
          <w:rFonts w:ascii="Arial" w:cs="Arial" w:eastAsia="Arial" w:hAnsi="Arial"/>
          <w:sz w:val="10"/>
          <w:szCs w:val="10"/>
          <w:color w:val="auto"/>
        </w:rPr>
        <w:t>, development expenses related to a prototype) are generally capitalized and amortized under IFRS, rather than expensed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5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Under our accounting policies, we generally capitalize costs for the development of a technology until the time that development of such technology is completed. For our recent development projects, “AIR technology” (the technological foundation for our HAWK terminal) and “SPACE technology” (the technological foundation for our CONDOR terminal), we defined such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HAWK and CONDOR terminals, respectively. Since we completed the development of the technology for our HAWK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2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2020, we invested a total of €14,449 thousand in research and development of our technology, of which €8,248 thousand was capitalized. We expect that our research and development expenses will increase over the next several years as we continue to modify our existing technology for use in related products and to develop other laser communication-related technologies.</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“Risk Factors—Regulatory, Legal and Tax Risks —We may be unable to adequately protect our intellectual property and proprietary rights and prevent others from making unauthorized use of our products and technology.”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Expenses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Personnel expenses,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 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 things, on our ability to provide competitive compensation. This may require us to increase compensation for current and new employees over time. See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Currency Fluctuations</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Our reporting currency is the euro. Some of our current sales are, and we expect that a significant portion of our future sales will be, denominated in U.S. dollars. Fluctuations in foreign currency exchange rates and, in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“Risk Factors—Risks Related to Our Business—We are exposed to foreign currency exchange risk and our financial position and results of operations may be negatively affected by the fluctuation of different currencies.”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Our financial statements, prepared in accordance with IFRS as issued by IASB, use the nature of expense method. This results in an (unnetted) gross presentation (</w:t>
      </w:r>
      <w:r>
        <w:rPr>
          <w:rFonts w:ascii="Arial" w:cs="Arial" w:eastAsia="Arial" w:hAnsi="Arial"/>
          <w:sz w:val="12"/>
          <w:szCs w:val="12"/>
          <w:i w:val="1"/>
          <w:iCs w:val="1"/>
          <w:color w:val="auto"/>
        </w:rPr>
        <w:t>i.e.</w:t>
      </w:r>
      <w:r>
        <w:rPr>
          <w:rFonts w:ascii="Arial" w:cs="Arial" w:eastAsia="Arial" w:hAnsi="Arial"/>
          <w:sz w:val="12"/>
          <w:szCs w:val="12"/>
          <w:color w:val="auto"/>
        </w:rPr>
        <w:t>, before the deduction of any amounts capitalized) of the sources of earnings broken down by types of expenses and income. All capitalized amounts which relate to the construction of property, plant and equipment or the development of intangible assets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components of our results of operations include the following:</w:t>
      </w:r>
    </w:p>
    <w:p>
      <w:pPr>
        <w:spacing w:after="0" w:line="15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generate revenue from contracts with customers for the delivery of goods or the provision of services. Our goods primarily include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CONDOR and HAWK terminals and the services rendered by us mainly consist of the provision of development and training services for our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 xml:space="preserve">Other operating income: </w:t>
      </w:r>
      <w:r>
        <w:rPr>
          <w:rFonts w:ascii="Arial" w:cs="Arial" w:eastAsia="Arial" w:hAnsi="Arial"/>
          <w:sz w:val="12"/>
          <w:szCs w:val="12"/>
          <w:color w:val="auto"/>
        </w:rPr>
        <w:t>Other operating income comprises income from government grants.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b w:val="1"/>
          <w:bCs w:val="1"/>
          <w:i w:val="1"/>
          <w:iCs w:val="1"/>
          <w:color w:val="auto"/>
        </w:rPr>
        <w:t xml:space="preserve">Cost of materials: </w:t>
      </w:r>
      <w:r>
        <w:rPr>
          <w:rFonts w:ascii="Arial" w:cs="Arial" w:eastAsia="Arial" w:hAnsi="Arial"/>
          <w:sz w:val="11"/>
          <w:szCs w:val="11"/>
          <w:color w:val="auto"/>
        </w:rPr>
        <w:t>Our cost of materials includes cost for raw materials and consumables used as well as expenses for services purchased.</w:t>
      </w:r>
    </w:p>
    <w:p>
      <w:pPr>
        <w:spacing w:after="0" w:line="162" w:lineRule="exact"/>
        <w:rPr>
          <w:sz w:val="20"/>
          <w:szCs w:val="20"/>
          <w:color w:val="auto"/>
        </w:rPr>
      </w:pPr>
    </w:p>
    <w:p>
      <w:pPr>
        <w:jc w:val="both"/>
        <w:ind w:left="1980" w:right="959" w:firstLine="294"/>
        <w:spacing w:after="0" w:line="276" w:lineRule="auto"/>
        <w:rPr>
          <w:sz w:val="20"/>
          <w:szCs w:val="20"/>
          <w:color w:val="auto"/>
        </w:rPr>
      </w:pPr>
      <w:r>
        <w:rPr>
          <w:rFonts w:ascii="Arial" w:cs="Arial" w:eastAsia="Arial" w:hAnsi="Arial"/>
          <w:sz w:val="12"/>
          <w:szCs w:val="12"/>
          <w:b w:val="1"/>
          <w:bCs w:val="1"/>
          <w:i w:val="1"/>
          <w:iCs w:val="1"/>
          <w:color w:val="auto"/>
        </w:rPr>
        <w:t xml:space="preserve">Personnel expenses: </w:t>
      </w:r>
      <w:r>
        <w:rPr>
          <w:rFonts w:ascii="Arial" w:cs="Arial" w:eastAsia="Arial" w:hAnsi="Arial"/>
          <w:sz w:val="12"/>
          <w:szCs w:val="12"/>
          <w:color w:val="auto"/>
        </w:rPr>
        <w:t>Our personnel expenses consist of wages and salaries as well as social security contributions, pensions and other employee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benefits.</w:t>
      </w:r>
    </w:p>
    <w:p>
      <w:pPr>
        <w:spacing w:after="0" w:line="115"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Depreciation and amortization of other intangible assets and property, plant and equipment</w:t>
      </w:r>
      <w:r>
        <w:rPr>
          <w:rFonts w:ascii="Arial" w:cs="Arial" w:eastAsia="Arial" w:hAnsi="Arial"/>
          <w:sz w:val="12"/>
          <w:szCs w:val="12"/>
          <w:color w:val="auto"/>
        </w:rPr>
        <w:t>: Depreciation and amortization of other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and property, plant and equipment includes amortization of intangible assets and depreciation of property, plant and equipment and impairments of rights of use.</w:t>
      </w:r>
    </w:p>
    <w:p>
      <w:pPr>
        <w:spacing w:after="0" w:line="12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Other operating expenses: </w:t>
      </w:r>
      <w:r>
        <w:rPr>
          <w:rFonts w:ascii="Arial" w:cs="Arial" w:eastAsia="Arial" w:hAnsi="Arial"/>
          <w:sz w:val="12"/>
          <w:szCs w:val="12"/>
          <w:color w:val="auto"/>
        </w:rPr>
        <w:t>Our other operating expenses primarily consist of legal and consulting fees, office and IT expenses, selling and travel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expenses, rent and maintenance, other office supplies, costs for preparation and audit of financial statements and accounting expenses, other staff costs as well as administrative offense proceedings.</w:t>
      </w:r>
    </w:p>
    <w:p>
      <w:pPr>
        <w:spacing w:after="0" w:line="122"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b w:val="1"/>
          <w:bCs w:val="1"/>
          <w:i w:val="1"/>
          <w:iCs w:val="1"/>
          <w:color w:val="auto"/>
        </w:rPr>
        <w:t xml:space="preserve">Change in inventories of finished goods and work in progress: </w:t>
      </w:r>
      <w:r>
        <w:rPr>
          <w:rFonts w:ascii="Arial" w:cs="Arial" w:eastAsia="Arial" w:hAnsi="Arial"/>
          <w:sz w:val="12"/>
          <w:szCs w:val="12"/>
          <w:color w:val="auto"/>
        </w:rPr>
        <w:t>Change in inventories of finished goods and work in progress relates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ongoing production of space and air terminals.</w:t>
      </w:r>
    </w:p>
    <w:p>
      <w:pPr>
        <w:spacing w:after="0" w:line="115"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b w:val="1"/>
          <w:bCs w:val="1"/>
          <w:i w:val="1"/>
          <w:iCs w:val="1"/>
          <w:color w:val="auto"/>
        </w:rPr>
        <w:t xml:space="preserve">Own work capitalized: </w:t>
      </w:r>
      <w:r>
        <w:rPr>
          <w:rFonts w:ascii="Arial" w:cs="Arial" w:eastAsia="Arial" w:hAnsi="Arial"/>
          <w:sz w:val="11"/>
          <w:szCs w:val="11"/>
          <w:color w:val="auto"/>
        </w:rPr>
        <w:t>Own work capitalized consists primarily of capitalized development costs shown under internally generated intangible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assets. In addition, other own work capitalized includes own work for the construction of property, plant and equipment.</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shows information for the six months ended June 30, 2020 and June 30, 2021 and is derived from our unaudited condensed interim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0"/>
                <w:szCs w:val="10"/>
                <w:b w:val="1"/>
                <w:bCs w:val="1"/>
                <w:color w:val="auto"/>
                <w:w w:val="98"/>
              </w:rPr>
              <w:t>For the six months ended June 30,</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4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28"/>
              <w:spacing w:after="0" w:line="88" w:lineRule="exact"/>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4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4400" w:type="dxa"/>
            <w:vAlign w:val="bottom"/>
          </w:tcPr>
          <w:p>
            <w:pPr>
              <w:spacing w:after="0"/>
              <w:rPr>
                <w:sz w:val="9"/>
                <w:szCs w:val="9"/>
                <w:color w:val="auto"/>
              </w:rPr>
            </w:pPr>
          </w:p>
        </w:tc>
        <w:tc>
          <w:tcPr>
            <w:tcW w:w="1460" w:type="dxa"/>
            <w:vAlign w:val="bottom"/>
            <w:tcBorders>
              <w:right w:val="single" w:sz="8" w:color="auto"/>
            </w:tcBorders>
            <w:gridSpan w:val="6"/>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1420" w:type="dxa"/>
            <w:vAlign w:val="bottom"/>
            <w:gridSpan w:val="7"/>
          </w:tcPr>
          <w:p>
            <w:pPr>
              <w:jc w:val="center"/>
              <w:ind w:right="18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88"/>
        </w:trPr>
        <w:tc>
          <w:tcPr>
            <w:tcW w:w="4400" w:type="dxa"/>
            <w:vAlign w:val="bottom"/>
          </w:tcPr>
          <w:p>
            <w:pPr>
              <w:spacing w:after="0"/>
              <w:rPr>
                <w:sz w:val="7"/>
                <w:szCs w:val="7"/>
                <w:color w:val="auto"/>
              </w:rPr>
            </w:pPr>
          </w:p>
        </w:tc>
        <w:tc>
          <w:tcPr>
            <w:tcW w:w="440" w:type="dxa"/>
            <w:vAlign w:val="bottom"/>
            <w:tcBorders>
              <w:top w:val="single" w:sz="8" w:color="auto"/>
            </w:tcBorders>
            <w:gridSpan w:val="2"/>
          </w:tcPr>
          <w:p>
            <w:pPr>
              <w:jc w:val="right"/>
              <w:ind w:right="178"/>
              <w:spacing w:after="0" w:line="88" w:lineRule="exact"/>
              <w:rPr>
                <w:sz w:val="20"/>
                <w:szCs w:val="20"/>
                <w:color w:val="auto"/>
              </w:rPr>
            </w:pPr>
            <w:r>
              <w:rPr>
                <w:rFonts w:ascii="Arial" w:cs="Arial" w:eastAsia="Arial" w:hAnsi="Arial"/>
                <w:sz w:val="10"/>
                <w:szCs w:val="10"/>
                <w:b w:val="1"/>
                <w:bCs w:val="1"/>
                <w:color w:val="auto"/>
              </w:rPr>
              <w:t>Air</w:t>
            </w:r>
          </w:p>
        </w:tc>
        <w:tc>
          <w:tcPr>
            <w:tcW w:w="40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w w:val="88"/>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4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left="147"/>
              <w:spacing w:after="0" w:line="124" w:lineRule="exact"/>
              <w:rPr>
                <w:sz w:val="20"/>
                <w:szCs w:val="20"/>
                <w:color w:val="auto"/>
              </w:rPr>
            </w:pPr>
            <w:r>
              <w:rPr>
                <w:rFonts w:ascii="Arial" w:cs="Arial" w:eastAsia="Arial" w:hAnsi="Arial"/>
                <w:sz w:val="11"/>
                <w:szCs w:val="11"/>
                <w:color w:val="auto"/>
                <w:w w:val="81"/>
              </w:rPr>
              <w:t>90</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89</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141</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230</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(696)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(1,826)</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(2,522)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(3,352)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w w:val="91"/>
              </w:rPr>
              <w:t>(2,763)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(4,840)</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1"/>
              </w:rPr>
              <w:t>(7,603)</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(7,901)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(10,812)</w:t>
            </w:r>
            <w:r>
              <w:rPr>
                <w:rFonts w:ascii="Arial" w:cs="Arial" w:eastAsia="Arial" w:hAnsi="Arial"/>
                <w:sz w:val="15"/>
                <w:szCs w:val="15"/>
                <w:color w:val="auto"/>
                <w:vertAlign w:val="superscript"/>
              </w:rPr>
              <w:t>(1)</w:t>
            </w:r>
          </w:p>
        </w:tc>
      </w:tr>
      <w:tr>
        <w:trPr>
          <w:trHeight w:val="130"/>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w w:val="97"/>
              </w:rPr>
              <w:t>Depreciation, amortization and impairment of other intangible assets and property, plant, and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0"/>
        </w:trPr>
        <w:tc>
          <w:tcPr>
            <w:tcW w:w="4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(384)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(1,434)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rPr>
              <w:t>(627)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(1,409)</w:t>
            </w:r>
          </w:p>
        </w:tc>
        <w:tc>
          <w:tcPr>
            <w:tcW w:w="62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9"/>
                <w:szCs w:val="9"/>
                <w:color w:val="auto"/>
              </w:rPr>
              <w:t>(2,147)</w:t>
            </w:r>
            <w:r>
              <w:rPr>
                <w:rFonts w:ascii="Arial" w:cs="Arial" w:eastAsia="Arial" w:hAnsi="Arial"/>
                <w:sz w:val="15"/>
                <w:szCs w:val="15"/>
                <w:color w:val="auto"/>
                <w:vertAlign w:val="superscript"/>
              </w:rPr>
              <w:t>(2)</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(3,236)</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(4,160)</w:t>
            </w:r>
            <w:r>
              <w:rPr>
                <w:rFonts w:ascii="Arial" w:cs="Arial" w:eastAsia="Arial" w:hAnsi="Arial"/>
                <w:sz w:val="15"/>
                <w:szCs w:val="15"/>
                <w:color w:val="auto"/>
                <w:vertAlign w:val="superscript"/>
              </w:rPr>
              <w:t>(3)</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740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740</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568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988</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1,422</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3,330</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2,471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b w:val="1"/>
                <w:bCs w:val="1"/>
                <w:color w:val="auto"/>
                <w:w w:val="91"/>
              </w:rPr>
              <w:t>(2,219)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(7,274)</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(11,288)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(16,240)</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170</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163</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(138)</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(7,271)</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879" w:hanging="288"/>
        <w:spacing w:after="0" w:line="268" w:lineRule="auto"/>
        <w:tabs>
          <w:tab w:leader="none" w:pos="2260" w:val="left"/>
        </w:tabs>
        <w:numPr>
          <w:ilvl w:val="0"/>
          <w:numId w:val="31"/>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ind w:left="2260" w:right="839" w:hanging="288"/>
        <w:spacing w:after="0" w:line="206"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spacing w:after="0" w:line="8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shows information for the years ended December 31, 2019 and December 31, 2020 and is derived from our audited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0"/>
                <w:szCs w:val="10"/>
                <w:b w:val="1"/>
                <w:bCs w:val="1"/>
                <w:color w:val="auto"/>
                <w:w w:val="86"/>
              </w:rPr>
              <w:t>For the year ended December 31,</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1240" w:type="dxa"/>
            <w:vAlign w:val="bottom"/>
            <w:tcBorders>
              <w:bottom w:val="single" w:sz="8" w:color="auto"/>
            </w:tcBorders>
            <w:gridSpan w:val="6"/>
          </w:tcPr>
          <w:p>
            <w:pPr>
              <w:jc w:val="right"/>
              <w:ind w:right="229"/>
              <w:spacing w:after="0" w:line="88" w:lineRule="exact"/>
              <w:rPr>
                <w:sz w:val="20"/>
                <w:szCs w:val="20"/>
                <w:color w:val="auto"/>
              </w:rPr>
            </w:pPr>
            <w:r>
              <w:rPr>
                <w:rFonts w:ascii="Arial" w:cs="Arial" w:eastAsia="Arial" w:hAnsi="Arial"/>
                <w:sz w:val="10"/>
                <w:szCs w:val="10"/>
                <w:b w:val="1"/>
                <w:bCs w:val="1"/>
                <w:color w:val="auto"/>
              </w:rPr>
              <w:t>(in € thousands)</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60" w:type="dxa"/>
            <w:vAlign w:val="bottom"/>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88"/>
              </w:rPr>
              <w:t>Space</w:t>
            </w:r>
          </w:p>
        </w:tc>
        <w:tc>
          <w:tcPr>
            <w:tcW w:w="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tcPr>
          <w:p>
            <w:pPr>
              <w:jc w:val="right"/>
              <w:ind w:right="152"/>
              <w:spacing w:after="0" w:line="88"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2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center"/>
              <w:ind w:left="207"/>
              <w:spacing w:after="0" w:line="124" w:lineRule="exact"/>
              <w:rPr>
                <w:sz w:val="20"/>
                <w:szCs w:val="20"/>
                <w:color w:val="auto"/>
              </w:rPr>
            </w:pPr>
            <w:r>
              <w:rPr>
                <w:rFonts w:ascii="Arial" w:cs="Arial" w:eastAsia="Arial" w:hAnsi="Arial"/>
                <w:sz w:val="11"/>
                <w:szCs w:val="11"/>
                <w:color w:val="auto"/>
                <w:w w:val="81"/>
              </w:rPr>
              <w:t>90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105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147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294</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(1,864)</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(2,290)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(6,221)</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(4,585)</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(1)</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(4,923)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w w:val="92"/>
              </w:rPr>
              <w:t>(11,911)</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w w:val="92"/>
              </w:rPr>
              <w:t>(16,834)</w:t>
            </w:r>
          </w:p>
        </w:tc>
      </w:tr>
      <w:tr>
        <w:trPr>
          <w:trHeight w:val="130"/>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0"/>
        </w:trPr>
        <w:tc>
          <w:tcPr>
            <w:tcW w:w="4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(616)</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(666)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(1,843)</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(1,556)</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(2)</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(1,320)</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272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637</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2,184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3,227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2,102</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7,273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9,375</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(5,091)</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b w:val="1"/>
                <w:bCs w:val="1"/>
                <w:color w:val="auto"/>
                <w:w w:val="97"/>
              </w:rPr>
              <w:t>(6,423)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18</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109</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(531)</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rPr>
              <w:t>182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(513)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367</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1059" w:hanging="288"/>
        <w:spacing w:after="0" w:line="214"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999" w:hanging="288"/>
        <w:spacing w:after="0" w:line="206"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Revenue increased from €90 thousand in the six months ended June 30, 2020 to €1,349 thousand in the six months ended June 30, 2021, due to a substantial increase in revenue in our Space segment driven by sales of our CONDOR terminals. Our Air Segment generated no revenue in the six months ended June 30, 2020 and June 30, 2021.</w:t>
      </w:r>
    </w:p>
    <w:p>
      <w:pPr>
        <w:spacing w:after="0" w:line="122"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On a regional level, revenue in our Space segment in the six months ended June 30, 2021 consisted exclusively of revenue from sales in the United States.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Revenue increased from €114 thousand in 2019 to €679 thousand in 2020, primarily due to a substantial increase in revenue in our Air segment driven by sales of our HAWK terminals from no revenues in 2019 to €589 thousand in 2020. This increase in our Air segment revenue was partially offset by a slight decrease in revenue in our Space segment from €114 thousand in 2019 to €90 thousand in 2020, mainly driven by lower customer orders that contributed to revenue in 2020.</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On a regional level, revenue in our Air segment in 2020 consisted of revenue from sales in the United States and Canada. Revenue in our Space segment in 2019 and 2020 stemmed from sales in the U.K. and Belgium.</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Income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Other operating income increased from €230 thousand in the six months ended June 30, 2020 to €271 thousand in the six months ended June 30, 2021, primarily due to an increase in income from government grants.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Other operating income increased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 of Materials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Cost of materials increased from €2,522 thousand in the six months ended June 30, 2020 to €4,431 thousand in the six months ended June 30, 2021, primarily due to a substantial increase of cost for raw materials and consumables used driven by our requirements for increased quantity of materials in connection with the production of our CONDOR terminals and, more generally, the ongoing preparations for the pre-serial production of our CONDOR and HAWK terminals.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1159" w:firstLine="294"/>
        <w:spacing w:after="0" w:line="298" w:lineRule="auto"/>
        <w:rPr>
          <w:sz w:val="20"/>
          <w:szCs w:val="20"/>
          <w:color w:val="auto"/>
        </w:rPr>
      </w:pPr>
      <w:r>
        <w:rPr>
          <w:rFonts w:ascii="Arial" w:cs="Arial" w:eastAsia="Arial" w:hAnsi="Arial"/>
          <w:sz w:val="11"/>
          <w:szCs w:val="11"/>
          <w:color w:val="auto"/>
        </w:rPr>
        <w:t>Cost of materials increased from €2,790 thousand in 2019 to €6,221 thousand in 2020, primarily due to a substantial increase of cost for raw materials and consumables used from €1,208 thousand in 2019 to €4,715 thousand in 2020 driven by our requirements for increased quantity of materials in 2020 in connection with ongoing preparations for the pre-serial production of our CONDOR and HAWK terminals.</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Expenses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326" w:lineRule="auto"/>
        <w:rPr>
          <w:sz w:val="20"/>
          <w:szCs w:val="20"/>
          <w:color w:val="auto"/>
        </w:rPr>
      </w:pPr>
      <w:r>
        <w:rPr>
          <w:rFonts w:ascii="Arial" w:cs="Arial" w:eastAsia="Arial" w:hAnsi="Arial"/>
          <w:sz w:val="10"/>
          <w:szCs w:val="10"/>
          <w:color w:val="auto"/>
        </w:rPr>
        <w:t>Personnel expenses increased from €7,603 thousand in the six months ended June 30, 2020 to €10,812 thousand in the six months ended June 30, 2021, primarily due to the significant increase in our headcount to support the ramp-up of our pre-serial production activities for our HAWK and CONDOR products as well as to support the increase in our research and development activities. Wages and salaries increased from €6,708 thousand in the six months ended June 30, 2020 to €9,274 thousand in the six months ended June 30, 2021, as we continued to increase our headcount.</w:t>
      </w:r>
    </w:p>
    <w:p>
      <w:pPr>
        <w:spacing w:after="0" w:line="9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Personnel expenses increased from €9,407 thousand in 2019 to €16,834 thousand in 2020, primarily due to the significant increase in our headcount to support the ramp-up of our research and development efforts and pre-serial production activities for our HAWK and CONDOR products. Wages and salaries increased from €8,306 thousand in 2019 to €14,710 thousand in 2020, as we significantly increased our headcount in 2020. Share-based payments amounted to €1,125 thousand in 2020, which mainly related to the accelerated vesting of stock options due to the resignation of two former members of our management board. In 2019, share-based payments amounted to €1,146 thousand, primarily relating to the granting of stock options to Bulent Altan, our Chief Executive Officer and a member of our management board, by one of our shareholders.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Amortization and Impairment of Other Intangible Assets and Property, Plant and Equipment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Depreciation, amortization and impairment of other intangible assets and property, plant and equipment increased from €814 thousand in the six months ended June 30, 2020 to €1,916 thousand in the six months ended June 30, 2021, primarily due to the initial amortization of our SPACE technology, which accounted for €1,434 thousand of depreciation and amortization in the first six months ended June 30, 2021, and the ongoing amortization of our AIR technology.</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jc w:val="both"/>
        <w:ind w:left="1980" w:right="839" w:firstLine="294"/>
        <w:spacing w:after="0" w:line="263" w:lineRule="auto"/>
        <w:rPr>
          <w:sz w:val="20"/>
          <w:szCs w:val="20"/>
          <w:color w:val="auto"/>
        </w:rPr>
      </w:pPr>
      <w:r>
        <w:rPr>
          <w:rFonts w:ascii="Arial" w:cs="Arial" w:eastAsia="Arial" w:hAnsi="Arial"/>
          <w:sz w:val="12"/>
          <w:szCs w:val="12"/>
          <w:color w:val="auto"/>
        </w:rPr>
        <w:t>Depreciation, amortization and impairment of other intangible assets and property, plant and equipment increased from €1,117 thousand in 2019 to €1,843 thousand in 2020, primarily due to higher investments in the expansion of our development and production capacities and the initial amortization of our AIR technology, which accounted for €157 thousand of depreciation and amortization in 2020.</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Expenses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Other operating expenses increased from €2,147 thousand in the six months ended June 30, 2020 to €4,160 thousand in the six months ended June 30, 2021, primarily due to legal and consulting fees as well as ongoing IT costs related to the implementation of a new SAP ERP system. We also incurred higher expenses relating to the purchase of services as well as tools and devices in connection with the continued expansion of our development and production capacities.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85" w:lineRule="auto"/>
        <w:rPr>
          <w:sz w:val="20"/>
          <w:szCs w:val="20"/>
          <w:color w:val="auto"/>
        </w:rPr>
      </w:pPr>
      <w:r>
        <w:rPr>
          <w:rFonts w:ascii="Arial" w:cs="Arial" w:eastAsia="Arial" w:hAnsi="Arial"/>
          <w:sz w:val="11"/>
          <w:szCs w:val="11"/>
          <w:color w:val="auto"/>
        </w:rPr>
        <w:t>Other operating expenses increased from €2,813 thousand in 2019 to €5,344 thousand in 2020, primarily due to the increase in legal and consulting fees as well as reporting, auditing and accounting expenses driven by reorganization considerations, preparations for this offering and the introduction and implementation of a new SAP ERP system. We also incurred higher expenses relating to the purchase of services as well as tools and devices in connection with the continued expansion of our development and production capacities. In addition, other personnel expenses increased, driven by higher recruiting expenses in connection with our increase in headcount.</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Inventories of Finished Goods and Work in Progress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Change in inventories of finished goods and work in progress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87"/>
              </w:rPr>
              <w:t>For the year</w:t>
            </w:r>
          </w:p>
        </w:tc>
        <w:tc>
          <w:tcPr>
            <w:tcW w:w="94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28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18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28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2019</w:t>
            </w:r>
          </w:p>
        </w:tc>
        <w:tc>
          <w:tcPr>
            <w:tcW w:w="46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top w:val="single" w:sz="8" w:color="auto"/>
              <w:bottom w:val="single" w:sz="8" w:color="auto"/>
            </w:tcBorders>
          </w:tcPr>
          <w:p>
            <w:pPr>
              <w:jc w:val="right"/>
              <w:ind w:right="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28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28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18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28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Increase in inventories of work in progress</w:t>
            </w:r>
          </w:p>
        </w:tc>
        <w:tc>
          <w:tcPr>
            <w:tcW w:w="24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128"/>
              <w:spacing w:after="0" w:line="133" w:lineRule="exact"/>
              <w:rPr>
                <w:sz w:val="20"/>
                <w:szCs w:val="20"/>
                <w:color w:val="auto"/>
              </w:rPr>
            </w:pPr>
            <w:r>
              <w:rPr>
                <w:rFonts w:ascii="Arial" w:cs="Arial" w:eastAsia="Arial" w:hAnsi="Arial"/>
                <w:sz w:val="12"/>
                <w:szCs w:val="12"/>
                <w:color w:val="auto"/>
              </w:rPr>
              <w:t>272</w:t>
            </w:r>
          </w:p>
        </w:tc>
        <w:tc>
          <w:tcPr>
            <w:tcW w:w="460" w:type="dxa"/>
            <w:vAlign w:val="bottom"/>
            <w:tcBorders>
              <w:top w:val="single" w:sz="8" w:color="auto"/>
            </w:tcBorders>
            <w:shd w:val="clear" w:color="auto" w:fill="CCEEFF"/>
          </w:tcPr>
          <w:p>
            <w:pPr>
              <w:ind w:left="280"/>
              <w:spacing w:after="0" w:line="133" w:lineRule="exact"/>
              <w:rPr>
                <w:sz w:val="20"/>
                <w:szCs w:val="20"/>
                <w:color w:val="auto"/>
              </w:rPr>
            </w:pPr>
            <w:r>
              <w:rPr>
                <w:rFonts w:ascii="Arial" w:cs="Arial" w:eastAsia="Arial" w:hAnsi="Arial"/>
                <w:sz w:val="12"/>
                <w:szCs w:val="12"/>
                <w:color w:val="auto"/>
                <w:w w:val="79"/>
              </w:rPr>
              <w:t>757</w:t>
            </w: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87"/>
              <w:spacing w:after="0" w:line="133" w:lineRule="exact"/>
              <w:rPr>
                <w:sz w:val="20"/>
                <w:szCs w:val="20"/>
                <w:color w:val="auto"/>
              </w:rPr>
            </w:pPr>
            <w:r>
              <w:rPr>
                <w:rFonts w:ascii="Arial" w:cs="Arial" w:eastAsia="Arial" w:hAnsi="Arial"/>
                <w:sz w:val="12"/>
                <w:szCs w:val="12"/>
                <w:color w:val="auto"/>
              </w:rPr>
              <w:t>467</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820" w:type="dxa"/>
            <w:vAlign w:val="bottom"/>
          </w:tcPr>
          <w:p>
            <w:pPr>
              <w:spacing w:after="0"/>
              <w:rPr>
                <w:sz w:val="20"/>
                <w:szCs w:val="20"/>
                <w:color w:val="auto"/>
              </w:rPr>
            </w:pPr>
            <w:r>
              <w:rPr>
                <w:rFonts w:ascii="Arial" w:cs="Arial" w:eastAsia="Arial" w:hAnsi="Arial"/>
                <w:sz w:val="12"/>
                <w:szCs w:val="12"/>
                <w:color w:val="auto"/>
              </w:rPr>
              <w:t>Increase in inventories finished goods</w:t>
            </w:r>
          </w:p>
        </w:tc>
        <w:tc>
          <w:tcPr>
            <w:tcW w:w="2400" w:type="dxa"/>
            <w:vAlign w:val="bottom"/>
          </w:tcPr>
          <w:p>
            <w:pPr>
              <w:spacing w:after="0"/>
              <w:rPr>
                <w:sz w:val="12"/>
                <w:szCs w:val="12"/>
                <w:color w:val="auto"/>
              </w:rPr>
            </w:pPr>
          </w:p>
        </w:tc>
        <w:tc>
          <w:tcPr>
            <w:tcW w:w="480" w:type="dxa"/>
            <w:vAlign w:val="bottom"/>
          </w:tcPr>
          <w:p>
            <w:pPr>
              <w:jc w:val="right"/>
              <w:ind w:right="188"/>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87"/>
              <w:spacing w:after="0"/>
              <w:rPr>
                <w:sz w:val="20"/>
                <w:szCs w:val="20"/>
                <w:color w:val="auto"/>
              </w:rPr>
            </w:pPr>
            <w:r>
              <w:rPr>
                <w:rFonts w:ascii="Arial" w:cs="Arial" w:eastAsia="Arial" w:hAnsi="Arial"/>
                <w:sz w:val="12"/>
                <w:szCs w:val="12"/>
                <w:color w:val="auto"/>
              </w:rPr>
              <w:t>393</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970</w:t>
            </w:r>
          </w:p>
        </w:tc>
      </w:tr>
      <w:tr>
        <w:trPr>
          <w:trHeight w:val="144"/>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Write-downs</w:t>
            </w:r>
          </w:p>
        </w:tc>
        <w:tc>
          <w:tcPr>
            <w:tcW w:w="28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-120</w:t>
            </w:r>
          </w:p>
        </w:tc>
        <w:tc>
          <w:tcPr>
            <w:tcW w:w="480" w:type="dxa"/>
            <w:vAlign w:val="bottom"/>
            <w:shd w:val="clear" w:color="auto" w:fill="CCEEFF"/>
          </w:tcPr>
          <w:p>
            <w:pPr>
              <w:jc w:val="right"/>
              <w:ind w:right="87"/>
              <w:spacing w:after="0"/>
              <w:rPr>
                <w:sz w:val="20"/>
                <w:szCs w:val="20"/>
                <w:color w:val="auto"/>
              </w:rPr>
            </w:pPr>
            <w:r>
              <w:rPr>
                <w:rFonts w:ascii="Arial" w:cs="Arial" w:eastAsia="Arial" w:hAnsi="Arial"/>
                <w:sz w:val="12"/>
                <w:szCs w:val="12"/>
                <w:color w:val="auto"/>
              </w:rPr>
              <w:t>-120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r>
      <w:tr>
        <w:trPr>
          <w:trHeight w:val="157"/>
        </w:trPr>
        <w:tc>
          <w:tcPr>
            <w:tcW w:w="2820" w:type="dxa"/>
            <w:vAlign w:val="bottom"/>
          </w:tcPr>
          <w:p>
            <w:pPr>
              <w:spacing w:after="0"/>
              <w:rPr>
                <w:sz w:val="20"/>
                <w:szCs w:val="20"/>
                <w:color w:val="auto"/>
              </w:rPr>
            </w:pPr>
            <w:r>
              <w:rPr>
                <w:rFonts w:ascii="Arial" w:cs="Arial" w:eastAsia="Arial" w:hAnsi="Arial"/>
                <w:sz w:val="12"/>
                <w:szCs w:val="12"/>
                <w:b w:val="1"/>
                <w:bCs w:val="1"/>
                <w:color w:val="auto"/>
              </w:rPr>
              <w:t>Total changes in inventories</w:t>
            </w:r>
          </w:p>
        </w:tc>
        <w:tc>
          <w:tcPr>
            <w:tcW w:w="2880" w:type="dxa"/>
            <w:vAlign w:val="bottom"/>
            <w:gridSpan w:val="2"/>
          </w:tcPr>
          <w:p>
            <w:pPr>
              <w:jc w:val="right"/>
              <w:ind w:right="128"/>
              <w:spacing w:after="0"/>
              <w:rPr>
                <w:sz w:val="20"/>
                <w:szCs w:val="20"/>
                <w:color w:val="auto"/>
              </w:rPr>
            </w:pPr>
            <w:r>
              <w:rPr>
                <w:rFonts w:ascii="Arial" w:cs="Arial" w:eastAsia="Arial" w:hAnsi="Arial"/>
                <w:sz w:val="12"/>
                <w:szCs w:val="12"/>
                <w:b w:val="1"/>
                <w:bCs w:val="1"/>
                <w:color w:val="auto"/>
              </w:rPr>
              <w:t>272</w:t>
            </w:r>
          </w:p>
        </w:tc>
        <w:tc>
          <w:tcPr>
            <w:tcW w:w="700" w:type="dxa"/>
            <w:vAlign w:val="bottom"/>
            <w:gridSpan w:val="2"/>
          </w:tcPr>
          <w:p>
            <w:pPr>
              <w:ind w:left="280"/>
              <w:spacing w:after="0"/>
              <w:rPr>
                <w:sz w:val="20"/>
                <w:szCs w:val="20"/>
                <w:color w:val="auto"/>
              </w:rPr>
            </w:pPr>
            <w:r>
              <w:rPr>
                <w:rFonts w:ascii="Arial" w:cs="Arial" w:eastAsia="Arial" w:hAnsi="Arial"/>
                <w:sz w:val="12"/>
                <w:szCs w:val="12"/>
                <w:b w:val="1"/>
                <w:bCs w:val="1"/>
                <w:color w:val="auto"/>
              </w:rPr>
              <w:t>637</w:t>
            </w:r>
          </w:p>
        </w:tc>
        <w:tc>
          <w:tcPr>
            <w:tcW w:w="480" w:type="dxa"/>
            <w:vAlign w:val="bottom"/>
          </w:tcPr>
          <w:p>
            <w:pPr>
              <w:jc w:val="right"/>
              <w:ind w:right="87"/>
              <w:spacing w:after="0"/>
              <w:rPr>
                <w:sz w:val="20"/>
                <w:szCs w:val="20"/>
                <w:color w:val="auto"/>
              </w:rPr>
            </w:pPr>
            <w:r>
              <w:rPr>
                <w:rFonts w:ascii="Arial" w:cs="Arial" w:eastAsia="Arial" w:hAnsi="Arial"/>
                <w:sz w:val="12"/>
                <w:szCs w:val="12"/>
                <w:b w:val="1"/>
                <w:bCs w:val="1"/>
                <w:color w:val="auto"/>
              </w:rPr>
              <w:t>740</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988</w:t>
            </w:r>
          </w:p>
        </w:tc>
      </w:tr>
      <w:tr>
        <w:trPr>
          <w:trHeight w:val="230"/>
        </w:trPr>
        <w:tc>
          <w:tcPr>
            <w:tcW w:w="2820" w:type="dxa"/>
            <w:vAlign w:val="bottom"/>
          </w:tcPr>
          <w:p>
            <w:pPr>
              <w:spacing w:after="0"/>
              <w:rPr>
                <w:sz w:val="20"/>
                <w:szCs w:val="20"/>
                <w:color w:val="auto"/>
              </w:rPr>
            </w:pPr>
          </w:p>
        </w:tc>
        <w:tc>
          <w:tcPr>
            <w:tcW w:w="2400" w:type="dxa"/>
            <w:vAlign w:val="bottom"/>
          </w:tcPr>
          <w:p>
            <w:pPr>
              <w:jc w:val="right"/>
              <w:ind w:right="1440"/>
              <w:spacing w:after="0"/>
              <w:rPr>
                <w:sz w:val="20"/>
                <w:szCs w:val="20"/>
                <w:color w:val="auto"/>
              </w:rPr>
            </w:pPr>
            <w:r>
              <w:rPr>
                <w:rFonts w:ascii="Arial" w:cs="Arial" w:eastAsia="Arial" w:hAnsi="Arial"/>
                <w:sz w:val="12"/>
                <w:szCs w:val="12"/>
                <w:color w:val="auto"/>
              </w:rPr>
              <w:t>67</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1459" w:firstLine="294"/>
        <w:spacing w:after="0" w:line="323" w:lineRule="auto"/>
        <w:rPr>
          <w:sz w:val="20"/>
          <w:szCs w:val="20"/>
          <w:color w:val="auto"/>
        </w:rPr>
      </w:pPr>
      <w:r>
        <w:rPr>
          <w:rFonts w:ascii="Arial" w:cs="Arial" w:eastAsia="Arial" w:hAnsi="Arial"/>
          <w:sz w:val="11"/>
          <w:szCs w:val="11"/>
          <w:color w:val="auto"/>
        </w:rPr>
        <w:t>Change in inventories of finished goods and work in progress increased from €393 thousand in the six months ended June 30, 2020 to €970 thousand in the six months ended June 30, 2021, primarily due to ramped up production of our HAWK and CONDOR terminals.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Change in inventories of finished goods and work in progress increased from €272 thousand in 2019 to €637 thousand in 2020, primarily due to ramped up production of our HAWK terminals in connection with a contract we entered into with a U.S. customer to introduce our HAWK product to the U.S. governmental market. This increase was partially offset by impairments with respect to two HAWK terminals in 2020 in the amount of €120 thousand due to technological improvements in our products resulting in such terminals becoming obsolete.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Own Work Capitalized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Own work capitalized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7"/>
              </w:rPr>
              <w:t>For the year</w:t>
            </w:r>
          </w:p>
        </w:tc>
        <w:tc>
          <w:tcPr>
            <w:tcW w:w="8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88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38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5"/>
              <w:spacing w:after="0" w:line="88"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127"/>
              <w:spacing w:after="0" w:line="88"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88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480" w:type="dxa"/>
            <w:vAlign w:val="bottom"/>
            <w:tcBorders>
              <w:top w:val="single" w:sz="8" w:color="auto"/>
            </w:tcBorders>
            <w:shd w:val="clear" w:color="auto" w:fill="CCEEFF"/>
          </w:tcPr>
          <w:p>
            <w:pPr>
              <w:jc w:val="right"/>
              <w:ind w:right="85"/>
              <w:spacing w:after="0" w:line="133" w:lineRule="exact"/>
              <w:rPr>
                <w:sz w:val="20"/>
                <w:szCs w:val="20"/>
                <w:color w:val="auto"/>
              </w:rPr>
            </w:pPr>
            <w:r>
              <w:rPr>
                <w:rFonts w:ascii="Arial" w:cs="Arial" w:eastAsia="Arial" w:hAnsi="Arial"/>
                <w:sz w:val="12"/>
                <w:szCs w:val="12"/>
                <w:color w:val="auto"/>
              </w:rPr>
              <w:t>2,089</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4,073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67"/>
              <w:spacing w:after="0" w:line="133" w:lineRule="exact"/>
              <w:rPr>
                <w:sz w:val="20"/>
                <w:szCs w:val="20"/>
                <w:color w:val="auto"/>
              </w:rPr>
            </w:pPr>
            <w:r>
              <w:rPr>
                <w:rFonts w:ascii="Arial" w:cs="Arial" w:eastAsia="Arial" w:hAnsi="Arial"/>
                <w:sz w:val="12"/>
                <w:szCs w:val="12"/>
                <w:color w:val="auto"/>
                <w:w w:val="99"/>
              </w:rPr>
              <w:t>1,710</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Personnel expenses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2,551</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3,921</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w w:val="99"/>
              </w:rPr>
              <w:t>2,247</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1,392</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w w:val="97"/>
              </w:rPr>
              <w:t>Depreciation, amortization and impairment of other intangible assets and property, plant and equipment</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494</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802</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color w:val="auto"/>
              </w:rPr>
              <w:t>462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w:t>
            </w: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Other operating expenses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277</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579</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rPr>
              <w:t>333</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260</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b w:val="1"/>
                <w:bCs w:val="1"/>
                <w:color w:val="auto"/>
              </w:rPr>
              <w:t>5,411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9,375</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b w:val="1"/>
                <w:bCs w:val="1"/>
                <w:color w:val="auto"/>
                <w:w w:val="99"/>
              </w:rPr>
              <w:t>4,752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2,471</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Own work capitalized decreased from €4,752 thousand in the six months ended June 30, 2020 to €2,471 thousand in the six months ended</w:t>
      </w:r>
    </w:p>
    <w:p>
      <w:pPr>
        <w:spacing w:after="0" w:line="26" w:lineRule="exact"/>
        <w:rPr>
          <w:sz w:val="20"/>
          <w:szCs w:val="20"/>
          <w:color w:val="auto"/>
        </w:rPr>
      </w:pPr>
    </w:p>
    <w:p>
      <w:pPr>
        <w:jc w:val="both"/>
        <w:ind w:left="1980" w:right="879"/>
        <w:spacing w:after="0" w:line="260" w:lineRule="auto"/>
        <w:rPr>
          <w:sz w:val="20"/>
          <w:szCs w:val="20"/>
          <w:color w:val="auto"/>
        </w:rPr>
      </w:pPr>
      <w:r>
        <w:rPr>
          <w:rFonts w:ascii="Arial" w:cs="Arial" w:eastAsia="Arial" w:hAnsi="Arial"/>
          <w:sz w:val="12"/>
          <w:szCs w:val="12"/>
          <w:color w:val="auto"/>
        </w:rPr>
        <w:t>June 30, 2021, primarily due to the final development of our SPACE technology, followed by delivery of our products based on such final technology to customers in March 2021.</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Own work capitalized increased from €5,411 thousand in 2019 to €9,375 thousand in 2020, primarily due to an increase in capitalized development costs driven by further development of our space products. In addition, own work capitalized for the construction of property, plant and equipment increased from €87 thousand in 2019 to €1,127 thousand in 2020, mainly due to the ongoing expansion of our development and production capacities in 2020, which includes our link testbed and clean room facilities.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Operating Profit / (Loss) (EBIT)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39" w:firstLine="294"/>
        <w:spacing w:after="0" w:line="340" w:lineRule="auto"/>
        <w:rPr>
          <w:sz w:val="20"/>
          <w:szCs w:val="20"/>
          <w:color w:val="auto"/>
        </w:rPr>
      </w:pPr>
      <w:r>
        <w:rPr>
          <w:rFonts w:ascii="Arial" w:cs="Arial" w:eastAsia="Arial" w:hAnsi="Arial"/>
          <w:sz w:val="10"/>
          <w:szCs w:val="10"/>
          <w:color w:val="auto"/>
        </w:rPr>
        <w:t>Operating loss (EBIT) increased from €7,274 thousand in the six months ended June 30, 2020 to €16,240 thousand in the six months ended June 30, 2021, primarily due to higher investments in our development and production capacities and higher personnel expenses resulting from headcount growth. The substantial increase in operating loss (EBIT) was further driven by the completion of the development of our AIR technology in mid-2020</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and of our SPACE technology in March 2021 following which all expenses incurred to maintain the value of our AIR and SPACE technology have been recognized as expenses, see “—Key Factors Affecting Our Results of Operations—Research and Development.” Broken down by segment, the increase in operating loss was primarily driven by our Space segment.</w:t>
      </w:r>
    </w:p>
    <w:p>
      <w:pPr>
        <w:spacing w:after="0" w:line="122"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In our Space segment, operating loss (EBIT) increased from a loss of €4,944 thousand in the six months ended June 30, 2020 to €11,288 thousand in the six months ended June 30, 2021, which was mainly due to significantly higher personnel expenses and cost of purchased material and services in connection with the initial development and ongoing improvements of our space products. Furthermore, as we completed the development of our SPACE technology in March 2021, all subsequent expenses incurred in connection with our SPACE technology have been recognized as expenses, which further contributed to the increase in operating loss (EBIT) in our Space segment in the six months ended June 30, 2021.</w:t>
      </w:r>
    </w:p>
    <w:p>
      <w:pPr>
        <w:spacing w:after="0" w:line="97"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In our Air segment, operating loss (EBIT) increased from a loss of €2,219 thousand in the six months ended June 30, 2020 to €4,509 thousand in the six months ended June 30, 2021, mainly due to the significantly higher personnel expenses and cost of purchased material and services in connection with the initial development and ongoing improvements of our space products. The increase in operating loss (EBIT) was further impacted by the completion of the development of our AIR technology in mid-2020 following which all expenses incurred to maintain the value of our AIR technology have been recognized as expenses.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Operating loss (EBIT) increased from €10,078 thousand in 2019 to €19,257 thousand in 2020, primarily driven by higher investments in our development and production capacities and higher personnel expenses resulting from headcount growth. The substantial increase in operating loss (EBIT) was further driven by the completion of the development of our AIR technology in mid-2020 following which all expenses incurred to maintain the value of our AIR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Operating loss (EBIT) in our Space segment increased from a loss of €5,091 thousand in 2019 to €12,391 thousand in 2020, mainly as a result of the significantly higher personnel expenses and cost of purchased material and services in connection with the initial development and ongoing improvements of our space products.</w:t>
      </w:r>
    </w:p>
    <w:p>
      <w:pPr>
        <w:spacing w:after="0" w:line="122" w:lineRule="exact"/>
        <w:rPr>
          <w:sz w:val="20"/>
          <w:szCs w:val="20"/>
          <w:color w:val="auto"/>
        </w:rPr>
      </w:pPr>
    </w:p>
    <w:p>
      <w:pPr>
        <w:ind w:left="1980" w:right="1279" w:firstLine="294"/>
        <w:spacing w:after="0" w:line="263" w:lineRule="auto"/>
        <w:rPr>
          <w:sz w:val="20"/>
          <w:szCs w:val="20"/>
          <w:color w:val="auto"/>
        </w:rPr>
      </w:pPr>
      <w:r>
        <w:rPr>
          <w:rFonts w:ascii="Arial" w:cs="Arial" w:eastAsia="Arial" w:hAnsi="Arial"/>
          <w:sz w:val="12"/>
          <w:szCs w:val="12"/>
          <w:color w:val="auto"/>
        </w:rPr>
        <w:t>In our Air segment, operating loss (EBIT) increased from a loss of €3,767 thousand in 2019 to €6,423 thousand in 2020 mainly due to the significantly higher personnel expenses and cost of purchased material and services in connection with the initial development and ongoing improvements of our air products.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Net Finance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jc w:val="both"/>
        <w:ind w:left="1980" w:right="839" w:firstLine="294"/>
        <w:spacing w:after="0" w:line="263" w:lineRule="auto"/>
        <w:rPr>
          <w:sz w:val="20"/>
          <w:szCs w:val="20"/>
          <w:color w:val="auto"/>
        </w:rPr>
      </w:pPr>
      <w:r>
        <w:rPr>
          <w:rFonts w:ascii="Arial" w:cs="Arial" w:eastAsia="Arial" w:hAnsi="Arial"/>
          <w:sz w:val="12"/>
          <w:szCs w:val="12"/>
          <w:color w:val="auto"/>
        </w:rPr>
        <w:t>Net finance costs increased from negative €19 thousand in the six months ended June 30, 2020 to €163 thousand in the six months ended June 30, 2021, primarily due to a positive result from foreign currency effects relating to the U.S. dollar in connection with an intercompany loan granted by us to our U.S. subsidiary.</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Net finance costs increased from €182 thousand in 2019 to negative €513 thousand in 2020, primarily due to a negative result from foreign currency effects relating to the U.S. dollar in connection with an intercompany loan granted by us to our U.S. subsidiary.</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Profit / Loss before Taxes (EBT)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Profit / loss before taxes (EBT) increased from a loss of €7,293 thousand in the six months ended June 30, 2020 to a loss of €16,077 thousand in the six months ended June 30, 2021 due to the foregoing reasons.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Profit / loss before taxes (EBT) increased from a loss of €9,896 thousand in 2019 to a loss of €19,770 thousand in 2020 due to the foregoing reasons.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Since our inception, we have not generated any significant revenue from the sale of our technology or products, and have incurred significant operating losses and negative cash flows from our operations. We are in the early phases of serial production and have only recently begun to monetize our technology. To date, we have primarily raised capital and funded our operations with proceeds from the sale of our ordinary shares and debt financing, and we have also received limited grants from government agencies and similar bodies like the European Union for participation in specific research and development projects. As of June 30, 2021, we had cash and cash equivalents of €18.4 million compared to €43.2 million as of December 31, 2020. Our cash and cash equivalents consist primarily of cash in bank accounts. In September 2021, we entered into a credit agreement for a credit line of approximately €25 million in September 2021 (see “—Credit Agreement”). As of October 15, 2021, we had €28 million in available liquidity primarily consisting of cash and cash equivalents and unused credit lines available as well as other highly liquid assets.</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have planned for significant increases in revenue and cash flows in 2022 as we ramp up the commercial production of our CONDOR and HAWK terminals. While some of the revenues planned for 2022 are subject to firm contractual obligations, significant amounts are not or are based on our expectations that more than the contractually agreed minimum number of terminals will be ordered by the respective customers. Furthermore, we are actively pursuing multiple commercial opportunities to sell our CONDOR and HAWK terminals to an expanding customer base. In light of the uncertainties associated with realizing our operational plan, we seek to raise sufficient financing through this offering and we are actively pursuing other options, including both equity and debt financing, to fund our operations. Our ability to raise external financing has been, and will continue to be, highly dependent on making further progress in the development of our technology and products. We believe, however, that we will be successful in raising the required financing to fund our operational and financial obligations. If we are unable to do so, these material uncertainties may cast substantial doubt on our ability to continue as a going concern.</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Credit Agreement</w:t>
      </w:r>
    </w:p>
    <w:p>
      <w:pPr>
        <w:spacing w:after="0" w:line="150"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2022. Loans can be drawn in a minimum amount of €5 million subject to a drawdown fee of 1% of the utilized amount. Outstanding loans under the credit agreement bear interest at a rate of 1% per beginning 30 days. The credit agreement also requires us to pay a commitment fee totaling 6% of the aggregate commitments of approximately €25 million. The commitment fee and interest on the drawn amount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19, 2021, the outstanding loan amount under the credit agreement was €7.5 million.</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 Statement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shows selected information taken from our cash flow statement for the years ended December 31, 2019 and 2020:</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86"/>
              </w:rPr>
              <w:t>For the year ended December 31,</w:t>
            </w:r>
          </w:p>
        </w:tc>
        <w:tc>
          <w:tcPr>
            <w:tcW w:w="17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For the six months ended June 30,</w:t>
            </w:r>
          </w:p>
        </w:tc>
      </w:tr>
      <w:tr>
        <w:trPr>
          <w:trHeight w:val="88"/>
        </w:trPr>
        <w:tc>
          <w:tcPr>
            <w:tcW w:w="348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w w:val="89"/>
              </w:rPr>
              <w:t>2020</w:t>
            </w:r>
          </w:p>
        </w:tc>
        <w:tc>
          <w:tcPr>
            <w:tcW w:w="420" w:type="dxa"/>
            <w:vAlign w:val="bottom"/>
          </w:tcPr>
          <w:p>
            <w:pPr>
              <w:spacing w:after="0"/>
              <w:rPr>
                <w:sz w:val="7"/>
                <w:szCs w:val="7"/>
                <w:color w:val="auto"/>
              </w:rPr>
            </w:pPr>
          </w:p>
        </w:tc>
        <w:tc>
          <w:tcPr>
            <w:tcW w:w="1240" w:type="dxa"/>
            <w:vAlign w:val="bottom"/>
            <w:tcBorders>
              <w:top w:val="single" w:sz="8" w:color="auto"/>
              <w:bottom w:val="single" w:sz="8" w:color="auto"/>
            </w:tcBorders>
          </w:tcPr>
          <w:p>
            <w:pPr>
              <w:jc w:val="right"/>
              <w:ind w:right="769"/>
              <w:spacing w:after="0" w:line="88" w:lineRule="exact"/>
              <w:rPr>
                <w:sz w:val="20"/>
                <w:szCs w:val="20"/>
                <w:color w:val="auto"/>
              </w:rPr>
            </w:pPr>
            <w:r>
              <w:rPr>
                <w:rFonts w:ascii="Arial" w:cs="Arial" w:eastAsia="Arial" w:hAnsi="Arial"/>
                <w:sz w:val="10"/>
                <w:szCs w:val="10"/>
                <w:b w:val="1"/>
                <w:bCs w:val="1"/>
                <w:color w:val="auto"/>
              </w:rPr>
              <w:t>2020</w:t>
            </w:r>
          </w:p>
        </w:tc>
        <w:tc>
          <w:tcPr>
            <w:tcW w:w="480" w:type="dxa"/>
            <w:vAlign w:val="bottom"/>
            <w:tcBorders>
              <w:top w:val="single" w:sz="8" w:color="auto"/>
              <w:bottom w:val="single" w:sz="8" w:color="auto"/>
            </w:tcBorders>
          </w:tcPr>
          <w:p>
            <w:pPr>
              <w:jc w:val="right"/>
              <w:ind w:right="187"/>
              <w:spacing w:after="0" w:line="88" w:lineRule="exact"/>
              <w:rPr>
                <w:sz w:val="20"/>
                <w:szCs w:val="20"/>
                <w:color w:val="auto"/>
              </w:rPr>
            </w:pPr>
            <w:r>
              <w:rPr>
                <w:rFonts w:ascii="Arial" w:cs="Arial" w:eastAsia="Arial" w:hAnsi="Arial"/>
                <w:sz w:val="10"/>
                <w:szCs w:val="10"/>
                <w:b w:val="1"/>
                <w:bCs w:val="1"/>
                <w:color w:val="auto"/>
                <w:w w:val="98"/>
              </w:rPr>
              <w:t>2021</w:t>
            </w:r>
          </w:p>
        </w:tc>
        <w:tc>
          <w:tcPr>
            <w:tcW w:w="60" w:type="dxa"/>
            <w:vAlign w:val="bottom"/>
          </w:tcPr>
          <w:p>
            <w:pPr>
              <w:spacing w:after="0"/>
              <w:rPr>
                <w:sz w:val="7"/>
                <w:szCs w:val="7"/>
                <w:color w:val="auto"/>
              </w:rPr>
            </w:pPr>
          </w:p>
        </w:tc>
      </w:tr>
      <w:tr>
        <w:trPr>
          <w:trHeight w:val="74"/>
        </w:trPr>
        <w:tc>
          <w:tcPr>
            <w:tcW w:w="3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jc w:val="center"/>
              <w:ind w:left="429"/>
              <w:spacing w:after="0" w:line="74" w:lineRule="exact"/>
              <w:rPr>
                <w:sz w:val="20"/>
                <w:szCs w:val="20"/>
                <w:color w:val="auto"/>
              </w:rPr>
            </w:pPr>
            <w:r>
              <w:rPr>
                <w:rFonts w:ascii="Arial" w:cs="Arial" w:eastAsia="Arial" w:hAnsi="Arial"/>
                <w:sz w:val="8"/>
                <w:szCs w:val="8"/>
                <w:b w:val="1"/>
                <w:bCs w:val="1"/>
                <w:color w:val="auto"/>
              </w:rPr>
              <w:t>(unaudited)</w:t>
            </w: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13"/>
        </w:trPr>
        <w:tc>
          <w:tcPr>
            <w:tcW w:w="3480" w:type="dxa"/>
            <w:vAlign w:val="bottom"/>
          </w:tcPr>
          <w:p>
            <w:pPr>
              <w:spacing w:after="0"/>
              <w:rPr>
                <w:sz w:val="9"/>
                <w:szCs w:val="9"/>
                <w:color w:val="auto"/>
              </w:rPr>
            </w:pPr>
          </w:p>
        </w:tc>
        <w:tc>
          <w:tcPr>
            <w:tcW w:w="1220" w:type="dxa"/>
            <w:vAlign w:val="bottom"/>
            <w:gridSpan w:val="3"/>
          </w:tcPr>
          <w:p>
            <w:pPr>
              <w:jc w:val="center"/>
              <w:ind w:left="388"/>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jc w:val="center"/>
              <w:ind w:left="409"/>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(8,319)</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(16,935)</w:t>
            </w:r>
          </w:p>
        </w:tc>
        <w:tc>
          <w:tcPr>
            <w:tcW w:w="1240" w:type="dxa"/>
            <w:vAlign w:val="bottom"/>
            <w:shd w:val="clear" w:color="auto" w:fill="CCEEFF"/>
          </w:tcPr>
          <w:p>
            <w:pPr>
              <w:jc w:val="right"/>
              <w:ind w:right="509"/>
              <w:spacing w:after="0"/>
              <w:rPr>
                <w:sz w:val="20"/>
                <w:szCs w:val="20"/>
                <w:color w:val="auto"/>
              </w:rPr>
            </w:pPr>
            <w:r>
              <w:rPr>
                <w:rFonts w:ascii="Arial" w:cs="Arial" w:eastAsia="Arial" w:hAnsi="Arial"/>
                <w:sz w:val="11"/>
                <w:szCs w:val="11"/>
                <w:color w:val="auto"/>
              </w:rPr>
              <w:t>(7,854)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(18,220)</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(7,167)</w:t>
            </w:r>
          </w:p>
        </w:tc>
        <w:tc>
          <w:tcPr>
            <w:tcW w:w="18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1"/>
                <w:szCs w:val="11"/>
                <w:color w:val="auto"/>
              </w:rPr>
              <w:t>(15,010)</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(6,378)</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11,466</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66,340</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12,022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(588)</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(4,020)</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34,395</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(2,210)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(24,780)</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12,923</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8,914</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36"/>
        </w:trPr>
        <w:tc>
          <w:tcPr>
            <w:tcW w:w="348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1040" w:type="dxa"/>
            <w:vAlign w:val="bottom"/>
            <w:gridSpan w:val="2"/>
          </w:tcPr>
          <w:p>
            <w:pPr>
              <w:jc w:val="right"/>
              <w:ind w:right="400"/>
              <w:spacing w:after="0"/>
              <w:rPr>
                <w:sz w:val="20"/>
                <w:szCs w:val="20"/>
                <w:color w:val="auto"/>
              </w:rPr>
            </w:pPr>
            <w:r>
              <w:rPr>
                <w:rFonts w:ascii="Arial" w:cs="Arial" w:eastAsia="Arial" w:hAnsi="Arial"/>
                <w:sz w:val="11"/>
                <w:szCs w:val="11"/>
                <w:color w:val="auto"/>
              </w:rPr>
              <w:t>8,914</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43,198</w:t>
            </w:r>
          </w:p>
        </w:tc>
        <w:tc>
          <w:tcPr>
            <w:tcW w:w="1240" w:type="dxa"/>
            <w:vAlign w:val="bottom"/>
          </w:tcPr>
          <w:p>
            <w:pPr>
              <w:jc w:val="right"/>
              <w:ind w:right="549"/>
              <w:spacing w:after="0"/>
              <w:rPr>
                <w:sz w:val="20"/>
                <w:szCs w:val="20"/>
                <w:color w:val="auto"/>
              </w:rPr>
            </w:pPr>
            <w:r>
              <w:rPr>
                <w:rFonts w:ascii="Arial" w:cs="Arial" w:eastAsia="Arial" w:hAnsi="Arial"/>
                <w:sz w:val="11"/>
                <w:szCs w:val="11"/>
                <w:color w:val="auto"/>
              </w:rPr>
              <w:t>6,700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18,444</w:t>
            </w:r>
          </w:p>
        </w:tc>
      </w:tr>
    </w:tbl>
    <w:p>
      <w:pPr>
        <w:spacing w:after="0" w:line="13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operating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Net cash used in operating activities increased from a cash outflow of €7.9 million in the six months ended June 30, 2020 to a cash outflow of €18.2 million in the six months ended June 30, 2021, mainly driven by an increase in net loss for the six months ended June 30, 2021. Changes in working capital further contributed to the higher cash outflow as inventories increased due to ongoing preparations for serial production. Adjustments for non-cash items, however, had a positive effect as they increased substantially in the six months ended June 30, 2021 compared to the six months ended June 30, 2020, mainly due to an increase in depreciation, amortization and impairments driven by the completion of the development of our AIR technology in mid-2020 and of our SPACE technology in March 2021.</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investing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Net cash used in investing activities decreased from a cash outflow of €6.4 million in the six months ended June 30, 2020 to a cash outflow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€6.0 million in the six months ended June 30, 2021. This decrease was partially due to the final development of our AIR and SPACE technologies which</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resulted in a lower cash outflow of acquisition of intangible assets. Cash outflow relating to acquisition of property, plant and equipment, however,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increased from €1.6 million in the six months ended June 30, 2020 compared to €3.5 million in the six months ended June 30, 2021, primarily driven by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expansion of our development and production capacity at our production facilities.</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999" w:firstLine="294"/>
        <w:spacing w:after="0" w:line="285" w:lineRule="auto"/>
        <w:rPr>
          <w:sz w:val="20"/>
          <w:szCs w:val="20"/>
          <w:color w:val="auto"/>
        </w:rPr>
      </w:pPr>
      <w:r>
        <w:rPr>
          <w:rFonts w:ascii="Arial" w:cs="Arial" w:eastAsia="Arial" w:hAnsi="Arial"/>
          <w:sz w:val="11"/>
          <w:szCs w:val="11"/>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from financing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jc w:val="both"/>
        <w:ind w:left="1980" w:right="839" w:firstLine="294"/>
        <w:spacing w:after="0" w:line="298" w:lineRule="auto"/>
        <w:rPr>
          <w:sz w:val="20"/>
          <w:szCs w:val="20"/>
          <w:color w:val="auto"/>
        </w:rPr>
      </w:pPr>
      <w:r>
        <w:rPr>
          <w:rFonts w:ascii="Arial" w:cs="Arial" w:eastAsia="Arial" w:hAnsi="Arial"/>
          <w:sz w:val="11"/>
          <w:szCs w:val="11"/>
          <w:color w:val="auto"/>
        </w:rPr>
        <w:t>Net cash used in financing activities increased from a cash inflow of €12.0 million in the six months ended June 30, 2020 to a cash outflow of €0.6 million in the six months ended June 30, 2021. This was primarily due to the lack of proceeds from issue of share capital which significantly contributed to the high cash inflow in the six months ended June 30, 2020 and a decrease in proceeds from other financial assets.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table below summarizes the maturity profile of our financial liabilities based on contractual undiscounted payments as of June 30, 2021:</w:t>
      </w:r>
    </w:p>
    <w:p>
      <w:pPr>
        <w:spacing w:after="0" w:line="15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7"/>
              </w:rPr>
              <w:t>Less than</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7"/>
              </w:rPr>
              <w:t>More than</w:t>
            </w:r>
          </w:p>
        </w:tc>
      </w:tr>
      <w:tr>
        <w:trPr>
          <w:trHeight w:val="113"/>
        </w:trPr>
        <w:tc>
          <w:tcPr>
            <w:tcW w:w="4320" w:type="dxa"/>
            <w:vAlign w:val="bottom"/>
          </w:tcPr>
          <w:p>
            <w:pPr>
              <w:spacing w:after="0"/>
              <w:rPr>
                <w:sz w:val="9"/>
                <w:szCs w:val="9"/>
                <w:color w:val="auto"/>
              </w:rPr>
            </w:pPr>
          </w:p>
        </w:tc>
        <w:tc>
          <w:tcPr>
            <w:tcW w:w="10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Carrying amount</w:t>
            </w:r>
          </w:p>
        </w:tc>
        <w:tc>
          <w:tcPr>
            <w:tcW w:w="7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1 year</w:t>
            </w:r>
          </w:p>
        </w:tc>
        <w:tc>
          <w:tcPr>
            <w:tcW w:w="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1-5 years</w:t>
            </w:r>
          </w:p>
        </w:tc>
        <w:tc>
          <w:tcPr>
            <w:tcW w:w="48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5 years</w:t>
            </w:r>
          </w:p>
        </w:tc>
      </w:tr>
      <w:tr>
        <w:trPr>
          <w:trHeight w:val="88"/>
        </w:trPr>
        <w:tc>
          <w:tcPr>
            <w:tcW w:w="43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3"/>
              </w:rPr>
              <w:t>(in € thousands)</w:t>
            </w: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Trade payables and other payables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6.512</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6.512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320" w:type="dxa"/>
            <w:vAlign w:val="bottom"/>
          </w:tcPr>
          <w:p>
            <w:pPr>
              <w:spacing w:after="0"/>
              <w:rPr>
                <w:sz w:val="20"/>
                <w:szCs w:val="20"/>
                <w:color w:val="auto"/>
              </w:rPr>
            </w:pPr>
            <w:r>
              <w:rPr>
                <w:rFonts w:ascii="Arial" w:cs="Arial" w:eastAsia="Arial" w:hAnsi="Arial"/>
                <w:sz w:val="11"/>
                <w:szCs w:val="11"/>
                <w:color w:val="auto"/>
              </w:rPr>
              <w:t>Lease liabilities</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7.935</w:t>
            </w:r>
          </w:p>
        </w:tc>
        <w:tc>
          <w:tcPr>
            <w:tcW w:w="34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1.295</w:t>
            </w: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3.969</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3.251</w:t>
            </w: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432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14.527</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7.887</w:t>
            </w:r>
          </w:p>
        </w:tc>
        <w:tc>
          <w:tcPr>
            <w:tcW w:w="3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3.969</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3.251</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Accounting Policies and Disclosures</w:t>
      </w:r>
    </w:p>
    <w:p>
      <w:pPr>
        <w:spacing w:after="0" w:line="154" w:lineRule="exact"/>
        <w:rPr>
          <w:sz w:val="20"/>
          <w:szCs w:val="20"/>
          <w:color w:val="auto"/>
        </w:rPr>
      </w:pPr>
    </w:p>
    <w:p>
      <w:pPr>
        <w:ind w:left="1980" w:right="1179" w:firstLine="294"/>
        <w:spacing w:after="0" w:line="326" w:lineRule="auto"/>
        <w:rPr>
          <w:sz w:val="20"/>
          <w:szCs w:val="20"/>
          <w:color w:val="auto"/>
        </w:rPr>
      </w:pPr>
      <w:r>
        <w:rPr>
          <w:rFonts w:ascii="Arial" w:cs="Arial" w:eastAsia="Arial" w:hAnsi="Arial"/>
          <w:sz w:val="10"/>
          <w:szCs w:val="10"/>
          <w:color w:val="auto"/>
        </w:rPr>
        <w:t>Certain new accounting standards and interpretations have been published that are not mandatory for the audited financial statements as of December 31, 2020 and have not been early-adopted by us. These standards are not expected to have a material impact on our audited financial statements in the current or future reporting periods. For information regarding changes in accounting policies, and the impact of such changes in accounting policies on our financial statements, if any, see note 3.3 to our consolidated financial statements included elsewhere in this prospectus.</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4" w:lineRule="exact"/>
        <w:rPr>
          <w:sz w:val="20"/>
          <w:szCs w:val="20"/>
          <w:color w:val="auto"/>
        </w:rPr>
      </w:pPr>
    </w:p>
    <w:p>
      <w:pPr>
        <w:ind w:left="1980" w:right="1079" w:firstLine="294"/>
        <w:spacing w:after="0" w:line="259" w:lineRule="auto"/>
        <w:rPr>
          <w:sz w:val="20"/>
          <w:szCs w:val="20"/>
          <w:color w:val="auto"/>
        </w:rPr>
      </w:pPr>
      <w:r>
        <w:rPr>
          <w:rFonts w:ascii="Arial" w:cs="Arial" w:eastAsia="Arial" w:hAnsi="Arial"/>
          <w:sz w:val="12"/>
          <w:szCs w:val="12"/>
          <w:color w:val="auto"/>
        </w:rPr>
        <w:t>We are exposed to a variety of risks in the ordinary course of our business, including, but not limited to, credit risk, liquidity risk, default risk, market risk, and currency and interest rate risk. We regularly assess each of these risks to minimize any adverse effects on our business as a result of those factors. For discussion and sensitivity analyses of our exposure to these risks, see note 33 to our consolidated financial statements included elsewhere in this prospectus.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 and Use of Estimates and Assumptions</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prepare our financial statements in accordance with IFRS, which includes all standards issued by the IASB and related interpretations issued by the IFRS Interpretations Committee. The preparation of our audited financial statements requires us to make judgments, estimates and assumptions that affect the reported amounts in the audited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 For information on critical accounting policies and our use of estimates and assumptions, see note 4 to our consolidated financial statements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54"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15"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As part of this plan, we intend to (i) implement an enterprise resource planning (ERP) system from SAP AG in the second half of 2021, and (ii) to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See also “Risk Factors—Risks Related to the ADSs and this Offering—We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9"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and most of the units produced in 2021 are intended for customer delivery.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FTEs as of March 31, 2021.</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Market Opportunity</w:t>
      </w:r>
    </w:p>
    <w:p>
      <w:pPr>
        <w:spacing w:after="0" w:line="15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IoT, which are to be supported by high speed, high bandwidth networks.</w:t>
      </w:r>
    </w:p>
    <w:p>
      <w:pPr>
        <w:spacing w:after="0" w:line="128"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98" w:lineRule="auto"/>
        <w:rPr>
          <w:sz w:val="20"/>
          <w:szCs w:val="20"/>
          <w:color w:val="auto"/>
        </w:rPr>
      </w:pPr>
      <w:r>
        <w:rPr>
          <w:rFonts w:ascii="Arial" w:cs="Arial" w:eastAsia="Arial" w:hAnsi="Arial"/>
          <w:sz w:val="11"/>
          <w:szCs w:val="11"/>
          <w:color w:val="auto"/>
        </w:rPr>
        <w:t>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05"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Value Proposition</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168" w:lineRule="exact"/>
        <w:rPr>
          <w:sz w:val="20"/>
          <w:szCs w:val="20"/>
          <w:color w:val="auto"/>
        </w:rPr>
      </w:pPr>
    </w:p>
    <w:p>
      <w:pPr>
        <w:ind w:left="2540" w:right="899" w:hanging="280"/>
        <w:spacing w:after="0" w:line="256" w:lineRule="auto"/>
        <w:tabs>
          <w:tab w:leader="none" w:pos="2540" w:val="left"/>
        </w:tabs>
        <w:numPr>
          <w:ilvl w:val="0"/>
          <w:numId w:val="33"/>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 wavelength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146" w:lineRule="exact"/>
        <w:rPr>
          <w:rFonts w:ascii="Arial" w:cs="Arial" w:eastAsia="Arial" w:hAnsi="Arial"/>
          <w:sz w:val="12"/>
          <w:szCs w:val="12"/>
          <w:color w:val="auto"/>
        </w:rPr>
      </w:pPr>
    </w:p>
    <w:p>
      <w:pPr>
        <w:ind w:left="2540" w:right="1019" w:hanging="280"/>
        <w:spacing w:after="0" w:line="280" w:lineRule="auto"/>
        <w:tabs>
          <w:tab w:leader="none" w:pos="2540" w:val="left"/>
        </w:tabs>
        <w:numPr>
          <w:ilvl w:val="0"/>
          <w:numId w:val="33"/>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 bespoke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OISL industry standard.</w:t>
      </w:r>
    </w:p>
    <w:p>
      <w:pPr>
        <w:spacing w:after="0" w:line="133" w:lineRule="exact"/>
        <w:rPr>
          <w:rFonts w:ascii="Arial" w:cs="Arial" w:eastAsia="Arial" w:hAnsi="Arial"/>
          <w:sz w:val="11"/>
          <w:szCs w:val="11"/>
          <w:color w:val="auto"/>
        </w:rPr>
      </w:pPr>
    </w:p>
    <w:p>
      <w:pPr>
        <w:ind w:left="2540" w:right="899" w:hanging="280"/>
        <w:spacing w:after="0" w:line="283" w:lineRule="auto"/>
        <w:tabs>
          <w:tab w:leader="none" w:pos="2540" w:val="left"/>
        </w:tabs>
        <w:numPr>
          <w:ilvl w:val="0"/>
          <w:numId w:val="33"/>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 laser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more than 60%. We expect to be able to further reduce both material costs and assembly costs in connection with the commencement of serial production.</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859" w:hanging="280"/>
        <w:spacing w:after="0" w:line="256" w:lineRule="auto"/>
        <w:tabs>
          <w:tab w:leader="none" w:pos="254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High volume terminal production capabilities</w:t>
      </w:r>
      <w:r>
        <w:rPr>
          <w:rFonts w:ascii="Arial" w:cs="Arial" w:eastAsia="Arial" w:hAnsi="Arial"/>
          <w:sz w:val="12"/>
          <w:szCs w:val="12"/>
          <w:color w:val="auto"/>
        </w:rPr>
        <w:t>: We believe that the ability to manufacture laser terminals at scale will be a key differentiator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Investment Highlights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Significant growth potential for laser communication in government and commercial markets</w:t>
      </w:r>
    </w:p>
    <w:p>
      <w:pPr>
        <w:spacing w:after="0" w:line="150" w:lineRule="exact"/>
        <w:rPr>
          <w:sz w:val="20"/>
          <w:szCs w:val="20"/>
          <w:color w:val="auto"/>
        </w:rPr>
      </w:pPr>
    </w:p>
    <w:p>
      <w:pPr>
        <w:ind w:left="1980" w:right="979" w:firstLine="29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20"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and low value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Multi-year government programs driving near-term adoption and technology validation</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CJADC2, the ultimate goal of which is to digitally connect all elements of the U.S. military across all five warfighting domains, consisting of air, land, sea, space and cyberspace.</w:t>
      </w:r>
    </w:p>
    <w:p>
      <w:pPr>
        <w:spacing w:after="0" w:line="124"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most prominent government projects currently deploying laser communication are the SDA’s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119" w:lineRule="exact"/>
        <w:rPr>
          <w:sz w:val="20"/>
          <w:szCs w:val="20"/>
          <w:color w:val="auto"/>
        </w:rPr>
      </w:pPr>
    </w:p>
    <w:p>
      <w:pPr>
        <w:ind w:left="2540" w:right="839" w:hanging="280"/>
        <w:spacing w:after="0" w:line="279" w:lineRule="auto"/>
        <w:tabs>
          <w:tab w:leader="none" w:pos="2540" w:val="left"/>
        </w:tabs>
        <w:numPr>
          <w:ilvl w:val="0"/>
          <w:numId w:val="35"/>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 layers will</w:t>
      </w:r>
      <w:r>
        <w:rPr>
          <w:rFonts w:ascii="Arial" w:cs="Arial" w:eastAsia="Arial" w:hAnsi="Arial"/>
          <w:sz w:val="11"/>
          <w:szCs w:val="11"/>
          <w:b w:val="1"/>
          <w:bCs w:val="1"/>
          <w:color w:val="auto"/>
        </w:rPr>
        <w:t xml:space="preserve"> </w:t>
      </w:r>
      <w:r>
        <w:rPr>
          <w:rFonts w:ascii="Arial" w:cs="Arial" w:eastAsia="Arial" w:hAnsi="Arial"/>
          <w:sz w:val="11"/>
          <w:szCs w:val="11"/>
          <w:color w:val="auto"/>
        </w:rPr>
        <w:t>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128" w:lineRule="exact"/>
        <w:rPr>
          <w:rFonts w:ascii="Arial" w:cs="Arial" w:eastAsia="Arial" w:hAnsi="Arial"/>
          <w:sz w:val="11"/>
          <w:szCs w:val="11"/>
          <w:color w:val="auto"/>
        </w:rPr>
      </w:pPr>
    </w:p>
    <w:p>
      <w:pPr>
        <w:ind w:left="2540" w:right="959" w:hanging="280"/>
        <w:spacing w:after="0" w:line="318" w:lineRule="auto"/>
        <w:tabs>
          <w:tab w:leader="none" w:pos="2540" w:val="left"/>
        </w:tabs>
        <w:numPr>
          <w:ilvl w:val="0"/>
          <w:numId w:val="35"/>
        </w:numPr>
        <w:rPr>
          <w:rFonts w:ascii="Arial" w:cs="Arial" w:eastAsia="Arial" w:hAnsi="Arial"/>
          <w:sz w:val="10"/>
          <w:szCs w:val="10"/>
          <w:color w:val="auto"/>
        </w:rPr>
      </w:pPr>
      <w:r>
        <w:rPr>
          <w:rFonts w:ascii="Arial" w:cs="Arial" w:eastAsia="Arial" w:hAnsi="Arial"/>
          <w:sz w:val="10"/>
          <w:szCs w:val="10"/>
          <w:b w:val="1"/>
          <w:bCs w:val="1"/>
          <w:color w:val="auto"/>
        </w:rPr>
        <w:t>DARPA’s Blackjack program</w:t>
      </w:r>
      <w:r>
        <w:rPr>
          <w:rFonts w:ascii="Arial" w:cs="Arial" w:eastAsia="Arial" w:hAnsi="Arial"/>
          <w:sz w:val="10"/>
          <w:szCs w:val="10"/>
          <w:color w:val="auto"/>
        </w:rPr>
        <w:t>: Much of the technology that the SDA needs for its constellations is being co-developed under DARPA’s</w:t>
      </w:r>
      <w:r>
        <w:rPr>
          <w:rFonts w:ascii="Arial" w:cs="Arial" w:eastAsia="Arial" w:hAnsi="Arial"/>
          <w:sz w:val="10"/>
          <w:szCs w:val="10"/>
          <w:b w:val="1"/>
          <w:bCs w:val="1"/>
          <w:color w:val="auto"/>
        </w:rPr>
        <w:t xml:space="preserve"> </w:t>
      </w:r>
      <w:r>
        <w:rPr>
          <w:rFonts w:ascii="Arial" w:cs="Arial" w:eastAsia="Arial" w:hAnsi="Arial"/>
          <w:sz w:val="10"/>
          <w:szCs w:val="10"/>
          <w:color w:val="auto"/>
        </w:rPr>
        <w:t>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9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Well-positioned in the government market with significant program wins</w:t>
      </w:r>
    </w:p>
    <w:p>
      <w:pPr>
        <w:spacing w:after="0" w:line="150"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Most notably, in connection with the SDA’s NDSA, in September 2020, we were awarded the first part of an expected multi-million Euro contract in the mid-seven digit range for the delivery of our CONDOR terminals to a customer for its work on Tranche 0, with delivery scheduled for the second half of 2021. Tranche 0 is set to launch at the end of 2022 and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13" w:lineRule="exact"/>
        <w:rPr>
          <w:sz w:val="20"/>
          <w:szCs w:val="20"/>
          <w:color w:val="auto"/>
        </w:rPr>
      </w:pPr>
    </w:p>
    <w:p>
      <w:pPr>
        <w:ind w:left="1980" w:right="959" w:firstLine="294"/>
        <w:spacing w:after="0" w:line="254" w:lineRule="auto"/>
        <w:rPr>
          <w:sz w:val="20"/>
          <w:szCs w:val="20"/>
          <w:color w:val="auto"/>
        </w:rPr>
      </w:pPr>
      <w:r>
        <w:rPr>
          <w:rFonts w:ascii="Arial" w:cs="Arial" w:eastAsia="Arial" w:hAnsi="Arial"/>
          <w:sz w:val="12"/>
          <w:szCs w:val="12"/>
          <w:color w:val="auto"/>
        </w:rPr>
        <w:t>In October 2020, we were selected by Telesat to supply multiple units of our CONDOR terminals for Telesat’s work on DARPA’s Blackjack program. Our CONDOR terminals are scheduled to be delivered in mid-2021 to Lockheed Martin, which is acting as DARPA’s system integrator, with the satellites scheduled to launch in late 2021.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3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2020, we received an order for two of our HAWK terminals from a U.S. aerospace and defense customer, introducing our HAWK product to the U.S. government market. We delivered the pre-serial product versions of 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w:t>
      </w:r>
    </w:p>
    <w:p>
      <w:pPr>
        <w:spacing w:after="0" w:line="12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Strong positioning in the commercial market, leveraging government track record</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316" w:lineRule="auto"/>
        <w:rPr>
          <w:sz w:val="20"/>
          <w:szCs w:val="20"/>
          <w:color w:val="auto"/>
        </w:rPr>
      </w:pPr>
      <w:r>
        <w:rPr>
          <w:rFonts w:ascii="Arial" w:cs="Arial" w:eastAsia="Arial" w:hAnsi="Arial"/>
          <w:sz w:val="10"/>
          <w:szCs w:val="10"/>
          <w:color w:val="auto"/>
        </w:rPr>
        <w:t>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0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jc w:val="both"/>
        <w:ind w:left="1980" w:right="1059" w:firstLine="29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Industry leading production capabilities with flexibility to scale</w:t>
      </w:r>
    </w:p>
    <w:p>
      <w:pPr>
        <w:spacing w:after="0" w:line="150"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Learning curve benefits driving continued cost reductions over time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more than 60%.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Highly skilled management team with strong industry expertise and deep relationships</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the case of our co-founder and Chief</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Operations</w:t>
      </w:r>
    </w:p>
    <w:p>
      <w:pPr>
        <w:spacing w:after="0" w:line="154"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We source the majority of the components for our products from third-party suppliers. Although some components are manufactured to our specifications, many of our components are commercial off-the-shelf and are broadly available.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Products</w:t>
      </w:r>
    </w:p>
    <w:p>
      <w:pPr>
        <w:spacing w:after="0" w:line="150"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Product Roadmap</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Arial" w:cs="Arial" w:eastAsia="Arial" w:hAnsi="Arial"/>
          <w:sz w:val="11"/>
          <w:szCs w:val="11"/>
          <w:color w:val="auto"/>
        </w:rPr>
        <w:t>We have a strong track record of designing and manufacturing space and airborne laser communication terminals that deliver superior technological results and performance. In 2012, we developed an initial prototype of an airborne laser terminal (which we refer to as a “singleton”).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(singleton)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flagship CONDOR and HAWK terminals in 2021 and 2020, respectively.</w:t>
      </w:r>
    </w:p>
    <w:p>
      <w:pPr>
        <w:spacing w:after="0" w:line="117"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In addition to our flagship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531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57575"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Space Terminals</w:t>
      </w:r>
    </w:p>
    <w:p>
      <w:pPr>
        <w:spacing w:after="0" w:line="150"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In our Space segment, we currently offer our flagship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57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5757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We started pre-serial production of our CONDOR terminals for internal testing and qualification purposes in 2020 and expect to be able to deliver first CONDOR terminals to initial customers in the second half of 2021.</w:t>
      </w:r>
    </w:p>
    <w:p>
      <w:pPr>
        <w:spacing w:after="0" w:line="115"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By leveraging our SPACE technology, we recently entered into a definitive agreement with SpaceLink to develop a new spaceborne laser communication terminal for SpaceLink’s satellites in MEO. These MEO terminals will be designed to relay data within SpaceLink’s MEO constellation as well as from MEO</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satellites to space systems in LEO. In developing our new MEO terminals, we will focus on unit design and qualification, including component selection and radiation testing, to meet SpaceLink’s mission, system and programmatic requirements.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Air Terminals</w:t>
      </w:r>
    </w:p>
    <w:p>
      <w:pPr>
        <w:spacing w:after="0" w:line="150"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In our Air segment, we currently offer our flagship HAWK terminal for air operations, which is installed on airborne vehicles and provides high-speed laser connections between aircraft, balloons, drones and other UAVs. Our HAWK terminal is designed for air-to-air and air-to-ground scenarios by using advanced sensor technology. Use cases include, among others, ultra-secure connectivity for ISR missions of UAVs in defense theaters, the establishment of temporary or regionally limited optical mesh networks to provide broadband connectivity and general high-speed UAV connectivity for government and commercial applications.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HAWK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9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5757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started pre-serial production of our HAWK terminals in 2020 with initial production units used for internal testing and qualification purposes.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Customer-led testing campaigns started in late 2020 and are expected to continue throughout 2021.</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Go-To-Market Strategy</w:t>
      </w:r>
    </w:p>
    <w:p>
      <w:pPr>
        <w:spacing w:after="0" w:line="150" w:lineRule="exact"/>
        <w:rPr>
          <w:sz w:val="20"/>
          <w:szCs w:val="20"/>
          <w:color w:val="auto"/>
        </w:rPr>
      </w:pPr>
    </w:p>
    <w:p>
      <w:pPr>
        <w:ind w:left="1980" w:right="1219" w:firstLine="294"/>
        <w:spacing w:after="0" w:line="263" w:lineRule="auto"/>
        <w:rPr>
          <w:sz w:val="20"/>
          <w:szCs w:val="20"/>
          <w:color w:val="auto"/>
        </w:rPr>
      </w:pPr>
      <w:r>
        <w:rPr>
          <w:rFonts w:ascii="Arial" w:cs="Arial" w:eastAsia="Arial" w:hAnsi="Arial"/>
          <w:sz w:val="12"/>
          <w:szCs w:val="12"/>
          <w:color w:val="auto"/>
        </w:rPr>
        <w:t>We are a sub-system supplier in the aerospace communication industry providing products to system primes, such as aircraft and satellite manufacturers, and in certain cases (such as with Telesat) to system operators. We aim to influence both the system primes who build the satellite constellations and the system operators who make the ultimate decisions to deploy laser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7258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5757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Currently, our largest market is North America, specifically the United States. We also focus on selling our products into select other countries such as Israel, Japan, Korea and India and Western European countries. Over time, we believe that additional potential markets may develop across the globe.</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Acquisition</w:t>
      </w:r>
    </w:p>
    <w:p>
      <w:pPr>
        <w:spacing w:after="0" w:line="150" w:lineRule="exact"/>
        <w:rPr>
          <w:sz w:val="20"/>
          <w:szCs w:val="20"/>
          <w:color w:val="auto"/>
        </w:rPr>
      </w:pPr>
    </w:p>
    <w:p>
      <w:pPr>
        <w:jc w:val="both"/>
        <w:ind w:left="1980" w:right="959" w:firstLine="294"/>
        <w:spacing w:after="0" w:line="259" w:lineRule="auto"/>
        <w:rPr>
          <w:sz w:val="20"/>
          <w:szCs w:val="20"/>
          <w:color w:val="auto"/>
        </w:rPr>
      </w:pPr>
      <w:r>
        <w:rPr>
          <w:rFonts w:ascii="Arial" w:cs="Arial" w:eastAsia="Arial" w:hAnsi="Arial"/>
          <w:sz w:val="12"/>
          <w:szCs w:val="12"/>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2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may establish a U.S. entity cleared for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in the government market, we also seek to establish and advance our relationships with system primes, which focus on integrating new technologies and products into existing airframes of vehicles manufactured by third parties.</w:t>
      </w:r>
    </w:p>
    <w:p>
      <w:pPr>
        <w:spacing w:after="0" w:line="113"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In addition to our direct sales and marketing activities, we have developed a global network of distributors for our airborne laser-based communication products. For example, for our HAWK terminal, we have distribution relationships in Australia, Israel and Japan and we are actively working to establish additional partnerships in other jurisdictions, such as India and South America.</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Sales Cycle</w:t>
      </w:r>
    </w:p>
    <w:p>
      <w:pPr>
        <w:spacing w:after="0" w:line="150"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119" w:lineRule="exact"/>
        <w:rPr>
          <w:sz w:val="20"/>
          <w:szCs w:val="20"/>
          <w:color w:val="auto"/>
        </w:rPr>
      </w:pPr>
    </w:p>
    <w:p>
      <w:pPr>
        <w:jc w:val="both"/>
        <w:ind w:left="1980" w:right="1019" w:firstLine="294"/>
        <w:spacing w:after="0" w:line="263" w:lineRule="auto"/>
        <w:rPr>
          <w:sz w:val="20"/>
          <w:szCs w:val="20"/>
          <w:color w:val="auto"/>
        </w:rPr>
      </w:pPr>
      <w:r>
        <w:rPr>
          <w:rFonts w:ascii="Arial" w:cs="Arial" w:eastAsia="Arial" w:hAnsi="Arial"/>
          <w:sz w:val="12"/>
          <w:szCs w:val="12"/>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Awards</w:t>
      </w:r>
    </w:p>
    <w:p>
      <w:pPr>
        <w:spacing w:after="0" w:line="150"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September 2020, we were awarded the first part of an expected multi-million Euro contract in the mid-seven digit range for the delivery of our CONDOR terminals to a customer for its work on Tranche 0. Delivery of our CONDOR terminals to this customer is scheduled for the second half of 2021. As part of this program, we successfully cooperated with the U.S. Naval Research Laboratory in connecting OISL standard-compliant modems via optical fiber in an R&amp;D environment. This is, to our knowledge, the first successful interoperability demonstration between two independently developed implementations of laser communication under the SDA’s OISL standard communications protocol.</w:t>
      </w:r>
    </w:p>
    <w:p>
      <w:pPr>
        <w:spacing w:after="0" w:line="113"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Additionally, in October 2020, we were selected by Telesat to supply multiple units of our CONDOR terminals for Telesat’s work (as system operator) on DARPA’s Blackjack Track B program. The terminals are scheduled to be delivered in mid-2021 to DARPA’s Blackjack system integrator, with satellites scheduled to launch in late 2021. Through this mission, Telesat aims to demonstrate the capabilities, as well as the interoperability, of laser communication products from different vendors. As part of this program, we have agreed to establish the industry’s first interoperability laboratory in Los Angeles that will simulate conditions in space to test interoperability between different laser communication terminals.</w:t>
      </w:r>
    </w:p>
    <w:p>
      <w:pPr>
        <w:spacing w:after="0" w:line="113" w:lineRule="exact"/>
        <w:rPr>
          <w:sz w:val="20"/>
          <w:szCs w:val="20"/>
          <w:color w:val="auto"/>
        </w:rPr>
      </w:pPr>
    </w:p>
    <w:p>
      <w:pPr>
        <w:ind w:left="1980" w:right="1099" w:firstLine="294"/>
        <w:spacing w:after="0" w:line="259" w:lineRule="auto"/>
        <w:rPr>
          <w:sz w:val="20"/>
          <w:szCs w:val="20"/>
          <w:color w:val="auto"/>
        </w:rPr>
      </w:pPr>
      <w:r>
        <w:rPr>
          <w:rFonts w:ascii="Arial" w:cs="Arial" w:eastAsia="Arial" w:hAnsi="Arial"/>
          <w:sz w:val="12"/>
          <w:szCs w:val="12"/>
          <w:color w:val="auto"/>
        </w:rPr>
        <w:t>In April 2020, we received an order for HAWK terminals from a major U.S. aerospace and defense company. We delivered pre-serial product versions of our HAWK terminals to this customer in the fourth quarter of 2020, following which our customer conducted initial system testing and demonstrations in deployment scenarios. We continue to work with this customer to expand the mission scope of our HAWK product in airborne scenarios.</w:t>
      </w:r>
    </w:p>
    <w:p>
      <w:pPr>
        <w:spacing w:after="0" w:line="12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w:t>
      </w:r>
    </w:p>
    <w:p>
      <w:pPr>
        <w:spacing w:after="0" w:line="12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Technology</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4800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575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1"/>
          <w:szCs w:val="11"/>
          <w:i w:val="1"/>
          <w:iCs w:val="1"/>
          <w:color w:val="auto"/>
        </w:rPr>
        <w:t>i.e.</w:t>
      </w:r>
      <w:r>
        <w:rPr>
          <w:rFonts w:ascii="Arial" w:cs="Arial" w:eastAsia="Arial" w:hAnsi="Arial"/>
          <w:sz w:val="11"/>
          <w:szCs w:val="11"/>
          <w:color w:val="auto"/>
        </w:rPr>
        <w:t>, systems utilizing radio frequencies in the electromagnetic spectrum bands).</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14801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57575"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 and Engineering</w:t>
      </w:r>
    </w:p>
    <w:p>
      <w:pPr>
        <w:spacing w:after="0" w:line="150"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8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98" w:lineRule="auto"/>
        <w:rPr>
          <w:sz w:val="20"/>
          <w:szCs w:val="20"/>
          <w:color w:val="auto"/>
        </w:rPr>
      </w:pPr>
      <w:r>
        <w:rPr>
          <w:rFonts w:ascii="Arial" w:cs="Arial" w:eastAsia="Arial" w:hAnsi="Arial"/>
          <w:sz w:val="11"/>
          <w:szCs w:val="11"/>
          <w:color w:val="auto"/>
        </w:rPr>
        <w:t>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0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We are currently working on expanding our manufacturing capabilities to bring the telescope production for our CONDOR terminal in-house in the near-term.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1"/>
          <w:szCs w:val="11"/>
          <w:i w:val="1"/>
          <w:iCs w:val="1"/>
          <w:color w:val="auto"/>
        </w:rPr>
        <w:t>e.g.</w:t>
      </w:r>
      <w:r>
        <w:rPr>
          <w:rFonts w:ascii="Arial" w:cs="Arial" w:eastAsia="Arial" w:hAnsi="Arial"/>
          <w:sz w:val="11"/>
          <w:szCs w:val="11"/>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are currently working on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March 31, 2021, we had 120 FTEs dedicated to research and development.</w:t>
      </w:r>
    </w:p>
    <w:p>
      <w:pPr>
        <w:spacing w:after="0" w:line="11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have made substantial investments in product and technology development since our inception. Research and development expenditure totaled €7.4 million in the year ended December 31, 2019 and €14.4 million in the year ended December 31, 2020, of which €5.3 million and €8.2 million, respectively, were capitalized. For more information on the capitalization of development costs under IFRS, see “Management’s Discussion and Analysis of Financial Condition and Results of Operations—Key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Manufacturing and Supply Chain</w:t>
      </w:r>
    </w:p>
    <w:p>
      <w:pPr>
        <w:spacing w:after="0" w:line="150"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have developed highly sophisticated and proprietary manufacturing capabilities in recent years. Initially, we manufactured the prototypes and pre-serial product versions of our CONDOR and HAWK terminals in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and warehouse space and we currently employ around 30 FTEs in the production of our laser terminals in this facility. Based on our current set-up, we expect to be able to increase production output from eleven terminals in 2020 to 50 terminals in 2021.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13"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framework agreements with certain suppliers to ensure continuous supply of critical components for our products.</w:t>
      </w:r>
    </w:p>
    <w:p>
      <w:pPr>
        <w:spacing w:after="0" w:line="13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Competitive Landscape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To our knowledge, only a limited number of companies focus on the development of laser communication capabilities in the aerospace industry.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main direct competitors include, among others:</w:t>
      </w:r>
    </w:p>
    <w:p>
      <w:pPr>
        <w:spacing w:after="0" w:line="159" w:lineRule="exact"/>
        <w:rPr>
          <w:sz w:val="20"/>
          <w:szCs w:val="20"/>
          <w:color w:val="auto"/>
        </w:rPr>
      </w:pPr>
    </w:p>
    <w:p>
      <w:pPr>
        <w:ind w:left="2540" w:right="859" w:hanging="280"/>
        <w:spacing w:after="0" w:line="27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TESAT Spacecom</w:t>
      </w:r>
      <w:r>
        <w:rPr>
          <w:rFonts w:ascii="Arial" w:cs="Arial" w:eastAsia="Arial" w:hAnsi="Arial"/>
          <w:sz w:val="12"/>
          <w:szCs w:val="12"/>
          <w:color w:val="auto"/>
        </w:rPr>
        <w:t>, an Airbus subsidiary headquartered in Germany, specializing in the production of payload equipment for communication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satellites;</w:t>
      </w:r>
    </w:p>
    <w:p>
      <w:pPr>
        <w:spacing w:after="0" w:line="132"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Thales Alenia Space</w:t>
      </w:r>
      <w:r>
        <w:rPr>
          <w:rFonts w:ascii="Arial" w:cs="Arial" w:eastAsia="Arial" w:hAnsi="Arial"/>
          <w:sz w:val="12"/>
          <w:szCs w:val="12"/>
          <w:color w:val="auto"/>
        </w:rPr>
        <w:t>, a joint venture between Thales and Leonardo headquartered in France, that designs, operates and delivers satellite-based systems that help customers position and connect;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SA Photonics</w:t>
      </w:r>
      <w:r>
        <w:rPr>
          <w:rFonts w:ascii="Arial" w:cs="Arial" w:eastAsia="Arial" w:hAnsi="Arial"/>
          <w:sz w:val="12"/>
          <w:szCs w:val="12"/>
          <w:color w:val="auto"/>
        </w:rPr>
        <w:t>, a privately-held company headquartered in California, USA, specializing in free space optical communications, fiber lasers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optical sensing systems; and</w:t>
      </w:r>
    </w:p>
    <w:p>
      <w:pPr>
        <w:spacing w:after="0" w:line="132" w:lineRule="exact"/>
        <w:rPr>
          <w:rFonts w:ascii="Arial" w:cs="Arial" w:eastAsia="Arial" w:hAnsi="Arial"/>
          <w:sz w:val="12"/>
          <w:szCs w:val="12"/>
          <w:color w:val="auto"/>
        </w:rPr>
      </w:pPr>
    </w:p>
    <w:p>
      <w:pPr>
        <w:ind w:left="2540" w:right="979" w:hanging="280"/>
        <w:spacing w:after="0" w:line="27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Ball Aerospace</w:t>
      </w:r>
      <w:r>
        <w:rPr>
          <w:rFonts w:ascii="Arial" w:cs="Arial" w:eastAsia="Arial" w:hAnsi="Arial"/>
          <w:sz w:val="12"/>
          <w:szCs w:val="12"/>
          <w:color w:val="auto"/>
        </w:rPr>
        <w:t>, a Ball Corporation subsidiary headquartered in Colorado, USA, specializing in the development and testing of terrestrial-based applications for laser technology.</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Technology</w:t>
      </w:r>
    </w:p>
    <w:p>
      <w:pPr>
        <w:spacing w:after="0" w:line="154"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We use several standard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54"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13"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97" w:lineRule="exact"/>
        <w:rPr>
          <w:sz w:val="20"/>
          <w:szCs w:val="20"/>
          <w:color w:val="auto"/>
        </w:rPr>
      </w:pPr>
    </w:p>
    <w:p>
      <w:pPr>
        <w:ind w:left="1980" w:right="1079" w:firstLine="294"/>
        <w:spacing w:after="0" w:line="316" w:lineRule="auto"/>
        <w:rPr>
          <w:sz w:val="20"/>
          <w:szCs w:val="20"/>
          <w:color w:val="auto"/>
        </w:rPr>
      </w:pPr>
      <w:r>
        <w:rPr>
          <w:rFonts w:ascii="Arial" w:cs="Arial" w:eastAsia="Arial" w:hAnsi="Arial"/>
          <w:sz w:val="10"/>
          <w:szCs w:val="10"/>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“Risk Factors—Risks Related to Our Business—We may be unable to adequately protect our intellectual property and proprietary rights and prevent others from making unauthorized use of our products and technology.”</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Insurance Coverage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w:t>
      </w:r>
    </w:p>
    <w:p>
      <w:pPr>
        <w:spacing w:after="0" w:line="124"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have also taken out a directors and officers (“D&amp;O”) insurance policy that covers the current and future members of the management board and supervisory board with total coverage of up to €5.0 million per year and various sublimits depending on the specific nature of claims. Our D&amp;O insurance also provides for a deductible for all members of the management board in line with the relevant provisions of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each member of the management board remains personally responsible in the case of any finding of personal liability, as the case may be, for 10% of the total amount of such personal liability. Claims in the United States or Canada, or pursuant to United States or Canadian law, are subject to a deductible in the amount of 10% of the related damages, at a minimum of €50,000 and a maximum of €100,000 for each claim.</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54"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As of June 30, 2021, we employed 214 FTEs, of which 198 FTEs were based in Germany and 16 FTEs were based in the United States.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the figures of our FTEs broken down by region as of the relevant date indicated:</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500" w:type="dxa"/>
            <w:vAlign w:val="bottom"/>
            <w:gridSpan w:val="4"/>
          </w:tcPr>
          <w:p>
            <w:pPr>
              <w:ind w:left="180"/>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As of June 30,</w:t>
            </w:r>
          </w:p>
        </w:tc>
      </w:tr>
      <w:tr>
        <w:trPr>
          <w:trHeight w:val="88"/>
        </w:trPr>
        <w:tc>
          <w:tcPr>
            <w:tcW w:w="524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360" w:type="dxa"/>
            <w:vAlign w:val="bottom"/>
            <w:tcBorders>
              <w:top w:val="single" w:sz="8" w:color="auto"/>
              <w:bottom w:val="single" w:sz="8" w:color="CCEEFF"/>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8"/>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r>
      <w:tr>
        <w:trPr>
          <w:trHeight w:val="124"/>
        </w:trPr>
        <w:tc>
          <w:tcPr>
            <w:tcW w:w="524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Germany</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92.5</w:t>
            </w:r>
          </w:p>
        </w:tc>
        <w:tc>
          <w:tcPr>
            <w:tcW w:w="3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179.6</w:t>
            </w: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198.0</w:t>
            </w:r>
          </w:p>
        </w:tc>
        <w:tc>
          <w:tcPr>
            <w:tcW w:w="40" w:type="dxa"/>
            <w:vAlign w:val="bottom"/>
            <w:shd w:val="clear" w:color="auto" w:fill="CCEEFF"/>
          </w:tcPr>
          <w:p>
            <w:pPr>
              <w:spacing w:after="0"/>
              <w:rPr>
                <w:sz w:val="10"/>
                <w:szCs w:val="10"/>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United States</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16</w:t>
            </w:r>
          </w:p>
        </w:tc>
      </w:tr>
      <w:tr>
        <w:trPr>
          <w:trHeight w:val="20"/>
        </w:trPr>
        <w:tc>
          <w:tcPr>
            <w:tcW w:w="5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97.5</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186.6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214</w:t>
            </w:r>
          </w:p>
        </w:tc>
      </w:tr>
      <w:tr>
        <w:trPr>
          <w:trHeight w:val="27"/>
        </w:trPr>
        <w:tc>
          <w:tcPr>
            <w:tcW w:w="5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employ a significant number of temporary employees.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currently own any real property.</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w:t>
      </w:r>
    </w:p>
    <w:p>
      <w:pPr>
        <w:spacing w:after="0" w:line="12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also maintain offices in California and the Washington D.C. area. Our office in California is located at 13100 Yukon Ave Unit A, Hawthorne, CA 90250. Our lease for this office covers approximately 900 square meters (approximately 10,000 square feet) of office space and development facilities (such as our interoperability laboratory) and has a term of 63 months, expiring in 2026. Our Washington D.C. area office is located at Arlington Tower, 1300 North 17</w:t>
      </w:r>
      <w:r>
        <w:rPr>
          <w:rFonts w:ascii="Arial" w:cs="Arial" w:eastAsia="Arial" w:hAnsi="Arial"/>
          <w:sz w:val="9"/>
          <w:szCs w:val="9"/>
          <w:color w:val="auto"/>
        </w:rPr>
        <w:t>th</w:t>
      </w:r>
      <w:r>
        <w:rPr>
          <w:rFonts w:ascii="Arial" w:cs="Arial" w:eastAsia="Arial" w:hAnsi="Arial"/>
          <w:sz w:val="11"/>
          <w:szCs w:val="11"/>
          <w:color w:val="auto"/>
        </w:rPr>
        <w:t xml:space="preserve">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1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believe this office space will be sufficient to meet our needs for the next 12 to 18 months and that suitable additional space will be available as and when needed.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From time to time, we may be involved in various claims and government, legal or arbitration proceedings arising out of our operations, including ordinary course litigation with former employees. As of the date of this prospectus, we are involved in the following proceedings:</w:t>
      </w:r>
    </w:p>
    <w:p>
      <w:pPr>
        <w:spacing w:after="0" w:line="92" w:lineRule="exact"/>
        <w:rPr>
          <w:sz w:val="20"/>
          <w:szCs w:val="20"/>
          <w:color w:val="auto"/>
        </w:rPr>
      </w:pPr>
    </w:p>
    <w:p>
      <w:pPr>
        <w:ind w:left="1980" w:right="1019" w:firstLine="294"/>
        <w:spacing w:after="0" w:line="255" w:lineRule="auto"/>
        <w:rPr>
          <w:sz w:val="20"/>
          <w:szCs w:val="20"/>
          <w:color w:val="auto"/>
        </w:rPr>
      </w:pPr>
      <w:r>
        <w:rPr>
          <w:rFonts w:ascii="Arial" w:cs="Arial" w:eastAsia="Arial" w:hAnsi="Arial"/>
          <w:sz w:val="12"/>
          <w:szCs w:val="12"/>
          <w:color w:val="auto"/>
        </w:rPr>
        <w:t>In July 2020, the German Federal Ministry for Economic Affairs and Energy (</w:t>
      </w:r>
      <w:r>
        <w:rPr>
          <w:rFonts w:ascii="Arial" w:cs="Arial" w:eastAsia="Arial" w:hAnsi="Arial"/>
          <w:sz w:val="12"/>
          <w:szCs w:val="12"/>
          <w:i w:val="1"/>
          <w:iCs w:val="1"/>
          <w:color w:val="auto"/>
        </w:rPr>
        <w:t>Bundesministerium für Wirtschaft und Energie</w:t>
      </w:r>
      <w:r>
        <w:rPr>
          <w:rFonts w:ascii="Arial" w:cs="Arial" w:eastAsia="Arial" w:hAnsi="Arial"/>
          <w:sz w:val="12"/>
          <w:szCs w:val="12"/>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2"/>
          <w:szCs w:val="12"/>
          <w:i w:val="1"/>
          <w:iCs w:val="1"/>
          <w:color w:val="auto"/>
        </w:rPr>
        <w:t>Außenwirtschaftsgesetz</w:t>
      </w:r>
      <w:r>
        <w:rPr>
          <w:rFonts w:ascii="Arial" w:cs="Arial" w:eastAsia="Arial" w:hAnsi="Arial"/>
          <w:sz w:val="12"/>
          <w:szCs w:val="12"/>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54"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340" w:lineRule="auto"/>
        <w:rPr>
          <w:sz w:val="20"/>
          <w:szCs w:val="20"/>
          <w:color w:val="auto"/>
        </w:rPr>
      </w:pPr>
      <w:r>
        <w:rPr>
          <w:rFonts w:ascii="Arial" w:cs="Arial" w:eastAsia="Arial" w:hAnsi="Arial"/>
          <w:sz w:val="10"/>
          <w:szCs w:val="10"/>
          <w:color w:val="auto"/>
        </w:rPr>
        <w:t>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87" w:lineRule="exact"/>
        <w:rPr>
          <w:sz w:val="20"/>
          <w:szCs w:val="20"/>
          <w:color w:val="auto"/>
        </w:rPr>
      </w:pPr>
    </w:p>
    <w:p>
      <w:pPr>
        <w:ind w:left="1980" w:right="859" w:firstLine="294"/>
        <w:spacing w:after="0" w:line="307" w:lineRule="auto"/>
        <w:rPr>
          <w:sz w:val="20"/>
          <w:szCs w:val="20"/>
          <w:color w:val="auto"/>
        </w:rPr>
      </w:pPr>
      <w:r>
        <w:rPr>
          <w:rFonts w:ascii="Arial" w:cs="Arial" w:eastAsia="Arial" w:hAnsi="Arial"/>
          <w:sz w:val="10"/>
          <w:szCs w:val="10"/>
          <w:color w:val="auto"/>
        </w:rPr>
        <w:t>On February 17, 2020, the German Federal Financial Supervisory Authority (</w:t>
      </w:r>
      <w:r>
        <w:rPr>
          <w:rFonts w:ascii="Arial" w:cs="Arial" w:eastAsia="Arial" w:hAnsi="Arial"/>
          <w:sz w:val="10"/>
          <w:szCs w:val="10"/>
          <w:i w:val="1"/>
          <w:iCs w:val="1"/>
          <w:color w:val="auto"/>
        </w:rPr>
        <w:t>Bundesanstalt für Finanzdienstleistungsaufsicht</w:t>
      </w:r>
      <w:r>
        <w:rPr>
          <w:rFonts w:ascii="Arial" w:cs="Arial" w:eastAsia="Arial" w:hAnsi="Arial"/>
          <w:sz w:val="10"/>
          <w:szCs w:val="10"/>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0"/>
          <w:szCs w:val="10"/>
          <w:i w:val="1"/>
          <w:iCs w:val="1"/>
          <w:color w:val="auto"/>
        </w:rPr>
        <w:t>Ordnungswidrigkeit</w:t>
      </w:r>
      <w:r>
        <w:rPr>
          <w:rFonts w:ascii="Arial" w:cs="Arial" w:eastAsia="Arial" w:hAnsi="Arial"/>
          <w:sz w:val="10"/>
          <w:szCs w:val="10"/>
          <w:color w:val="auto"/>
        </w:rPr>
        <w:t>). Should an administrative offence be found, the amount of any fine would depend on BaFin’s determination of the severity of the offence. We expect a minimum fine of at least €225,000 to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w:t>
      </w:r>
    </w:p>
    <w:p>
      <w:pPr>
        <w:spacing w:after="0" w:line="251"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w:t>
      </w:r>
    </w:p>
    <w:p>
      <w:pPr>
        <w:spacing w:after="0" w:line="10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are expected to begin in October 2021.</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54"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REGULATORY ENVIRONMENT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prospectus,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“Risk Factors—Regulatory, Legal and Tax Risks.”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provides a brief overview of certain selected areas of laws and regulations applicable to our business operations.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Laser Safety Provisions</w:t>
      </w:r>
    </w:p>
    <w:p>
      <w:pPr>
        <w:spacing w:after="0" w:line="154"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1"/>
          <w:szCs w:val="11"/>
          <w:i w:val="1"/>
          <w:iCs w:val="1"/>
          <w:color w:val="auto"/>
        </w:rPr>
        <w:t>Verordnung zum Schutz der Beschäftigten vor Gefährdungen</w:t>
      </w:r>
      <w:r>
        <w:rPr>
          <w:rFonts w:ascii="Arial" w:cs="Arial" w:eastAsia="Arial" w:hAnsi="Arial"/>
          <w:sz w:val="11"/>
          <w:szCs w:val="11"/>
          <w:color w:val="auto"/>
        </w:rPr>
        <w:t xml:space="preserve"> </w:t>
      </w:r>
      <w:r>
        <w:rPr>
          <w:rFonts w:ascii="Arial" w:cs="Arial" w:eastAsia="Arial" w:hAnsi="Arial"/>
          <w:sz w:val="11"/>
          <w:szCs w:val="11"/>
          <w:i w:val="1"/>
          <w:iCs w:val="1"/>
          <w:color w:val="auto"/>
        </w:rPr>
        <w:t>durch künstliche optische Strahlung</w:t>
      </w:r>
      <w:r>
        <w:rPr>
          <w:rFonts w:ascii="Arial" w:cs="Arial" w:eastAsia="Arial" w:hAnsi="Arial"/>
          <w:sz w:val="11"/>
          <w:szCs w:val="11"/>
          <w:color w:val="auto"/>
        </w:rPr>
        <w:t>) and the Regulation on Preventive Occupational Medicine (</w:t>
      </w:r>
      <w:r>
        <w:rPr>
          <w:rFonts w:ascii="Arial" w:cs="Arial" w:eastAsia="Arial" w:hAnsi="Arial"/>
          <w:sz w:val="11"/>
          <w:szCs w:val="11"/>
          <w:i w:val="1"/>
          <w:iCs w:val="1"/>
          <w:color w:val="auto"/>
        </w:rPr>
        <w:t>Verordnung zur arbeitsmedizinischen Vorsorge</w:t>
      </w:r>
      <w:r>
        <w:rPr>
          <w:rFonts w:ascii="Arial" w:cs="Arial" w:eastAsia="Arial" w:hAnsi="Arial"/>
          <w:sz w:val="11"/>
          <w:szCs w:val="11"/>
          <w:color w:val="auto"/>
        </w:rPr>
        <w:t>). Among</w:t>
      </w:r>
      <w:r>
        <w:rPr>
          <w:rFonts w:ascii="Arial" w:cs="Arial" w:eastAsia="Arial" w:hAnsi="Arial"/>
          <w:sz w:val="11"/>
          <w:szCs w:val="11"/>
          <w:i w:val="1"/>
          <w:iCs w:val="1"/>
          <w:color w:val="auto"/>
        </w:rPr>
        <w:t xml:space="preserve"> </w:t>
      </w:r>
      <w:r>
        <w:rPr>
          <w:rFonts w:ascii="Arial" w:cs="Arial" w:eastAsia="Arial" w:hAnsi="Arial"/>
          <w:sz w:val="11"/>
          <w:szCs w:val="11"/>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1"/>
          <w:szCs w:val="11"/>
          <w:i w:val="1"/>
          <w:iCs w:val="1"/>
          <w:color w:val="auto"/>
        </w:rPr>
        <w:t>Laserschutzbeauftragter</w:t>
      </w:r>
      <w:r>
        <w:rPr>
          <w:rFonts w:ascii="Arial" w:cs="Arial" w:eastAsia="Arial" w:hAnsi="Arial"/>
          <w:sz w:val="11"/>
          <w:szCs w:val="11"/>
          <w:color w:val="auto"/>
        </w:rPr>
        <w:t>) and the use of laser protective glasses and screens.</w:t>
      </w:r>
    </w:p>
    <w:p>
      <w:pPr>
        <w:spacing w:after="0" w:line="119"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of Production Facilities and Storage Sites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Emissions</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Regulation of Hazardous Incidents</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Germany, the Seveso III Directive was implemented on December 7, 2016, with the Seveso III Transposition Act (</w:t>
      </w:r>
      <w:r>
        <w:rPr>
          <w:rFonts w:ascii="Arial" w:cs="Arial" w:eastAsia="Arial" w:hAnsi="Arial"/>
          <w:sz w:val="12"/>
          <w:szCs w:val="12"/>
          <w:i w:val="1"/>
          <w:iCs w:val="1"/>
          <w:color w:val="auto"/>
        </w:rPr>
        <w:t>Seveso III</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Umsetzungsgesetz</w:t>
      </w:r>
      <w:r>
        <w:rPr>
          <w:rFonts w:ascii="Arial" w:cs="Arial" w:eastAsia="Arial" w:hAnsi="Arial"/>
          <w:sz w:val="12"/>
          <w:szCs w:val="12"/>
          <w:color w:val="auto"/>
        </w:rPr>
        <w:t>) which includes, among others, the amendment of certain provisions of the German Federal Immission Control Act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Bundesimmissionsschutzgesetz</w:t>
      </w:r>
      <w:r>
        <w:rPr>
          <w:rFonts w:ascii="Arial" w:cs="Arial" w:eastAsia="Arial" w:hAnsi="Arial"/>
          <w:sz w:val="11"/>
          <w:szCs w:val="11"/>
          <w:color w:val="auto"/>
        </w:rPr>
        <w:t>), the Environmental Impact Assessment Act (</w:t>
      </w:r>
      <w:r>
        <w:rPr>
          <w:rFonts w:ascii="Arial" w:cs="Arial" w:eastAsia="Arial" w:hAnsi="Arial"/>
          <w:sz w:val="11"/>
          <w:szCs w:val="11"/>
          <w:i w:val="1"/>
          <w:iCs w:val="1"/>
          <w:color w:val="auto"/>
        </w:rPr>
        <w:t>Umweltvertäglichkeitsprüfungsgesetz</w:t>
      </w:r>
      <w:r>
        <w:rPr>
          <w:rFonts w:ascii="Arial" w:cs="Arial" w:eastAsia="Arial" w:hAnsi="Arial"/>
          <w:sz w:val="11"/>
          <w:szCs w:val="11"/>
          <w:color w:val="auto"/>
        </w:rPr>
        <w:t>), and the Environmental Legal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Remedies Act (</w:t>
      </w:r>
      <w:r>
        <w:rPr>
          <w:rFonts w:ascii="Arial" w:cs="Arial" w:eastAsia="Arial" w:hAnsi="Arial"/>
          <w:sz w:val="11"/>
          <w:szCs w:val="11"/>
          <w:i w:val="1"/>
          <w:iCs w:val="1"/>
          <w:color w:val="auto"/>
        </w:rPr>
        <w:t>Umweltrechtsbehelfgesetz</w:t>
      </w:r>
      <w:r>
        <w:rPr>
          <w:rFonts w:ascii="Arial" w:cs="Arial" w:eastAsia="Arial" w:hAnsi="Arial"/>
          <w:sz w:val="11"/>
          <w:szCs w:val="11"/>
          <w:color w:val="auto"/>
        </w:rPr>
        <w:t>). Additional legislative changes came into force on January 14, 2017 with the amendment of the twelfth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ordinance under the German Federal Emissions Control Act (the so-called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Production, Possession, and Handling of Waste</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1"/>
          <w:szCs w:val="11"/>
          <w:i w:val="1"/>
          <w:iCs w:val="1"/>
          <w:color w:val="auto"/>
        </w:rPr>
        <w:t>Kreislaufwirtschaftsgesetz</w:t>
      </w:r>
      <w:r>
        <w:rPr>
          <w:rFonts w:ascii="Arial" w:cs="Arial" w:eastAsia="Arial" w:hAnsi="Arial"/>
          <w:sz w:val="11"/>
          <w:szCs w:val="11"/>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1"/>
          <w:szCs w:val="11"/>
          <w:i w:val="1"/>
          <w:iCs w:val="1"/>
          <w:color w:val="auto"/>
        </w:rPr>
        <w:t>gefährliche Abfälle</w:t>
      </w:r>
      <w:r>
        <w:rPr>
          <w:rFonts w:ascii="Arial" w:cs="Arial" w:eastAsia="Arial" w:hAnsi="Arial"/>
          <w:sz w:val="11"/>
          <w:szCs w:val="11"/>
          <w:color w:val="auto"/>
        </w:rPr>
        <w:t>) by waste disposal (</w:t>
      </w:r>
      <w:r>
        <w:rPr>
          <w:rFonts w:ascii="Arial" w:cs="Arial" w:eastAsia="Arial" w:hAnsi="Arial"/>
          <w:sz w:val="11"/>
          <w:szCs w:val="11"/>
          <w:i w:val="1"/>
          <w:iCs w:val="1"/>
          <w:color w:val="auto"/>
        </w:rPr>
        <w:t>Entsorgungsnachweis</w:t>
      </w:r>
      <w:r>
        <w:rPr>
          <w:rFonts w:ascii="Arial" w:cs="Arial" w:eastAsia="Arial" w:hAnsi="Arial"/>
          <w:sz w:val="11"/>
          <w:szCs w:val="11"/>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Act on Environmental Liability</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If damage is caused to persons or property by one of our facilities, we may be held strictly liable under the German Environmental Liability Act (</w:t>
      </w:r>
      <w:r>
        <w:rPr>
          <w:rFonts w:ascii="Arial" w:cs="Arial" w:eastAsia="Arial" w:hAnsi="Arial"/>
          <w:sz w:val="12"/>
          <w:szCs w:val="12"/>
          <w:i w:val="1"/>
          <w:iCs w:val="1"/>
          <w:color w:val="auto"/>
        </w:rPr>
        <w:t>Umwelthaftungsgesetz</w:t>
      </w:r>
      <w:r>
        <w:rPr>
          <w:rFonts w:ascii="Arial" w:cs="Arial" w:eastAsia="Arial" w:hAnsi="Arial"/>
          <w:sz w:val="12"/>
          <w:szCs w:val="12"/>
          <w:color w:val="auto"/>
        </w:rPr>
        <w:t>). Liability under the Environmental Liability Act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 in the future, we may be required to provide financial security (</w:t>
      </w:r>
      <w:r>
        <w:rPr>
          <w:rFonts w:ascii="Arial" w:cs="Arial" w:eastAsia="Arial" w:hAnsi="Arial"/>
          <w:sz w:val="12"/>
          <w:szCs w:val="12"/>
          <w:i w:val="1"/>
          <w:iCs w:val="1"/>
          <w:color w:val="auto"/>
        </w:rPr>
        <w:t>Deckungsvorsorge</w:t>
      </w:r>
      <w:r>
        <w:rPr>
          <w:rFonts w:ascii="Arial" w:cs="Arial" w:eastAsia="Arial" w:hAnsi="Arial"/>
          <w:sz w:val="12"/>
          <w:szCs w:val="12"/>
          <w:color w:val="auto"/>
        </w:rPr>
        <w:t>) for environmental damages.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Occupational Health and Safety Requirements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Germany, general health and safety requirements for employees are laid down by the Working Conditions Act (</w:t>
      </w:r>
      <w:r>
        <w:rPr>
          <w:rFonts w:ascii="Arial" w:cs="Arial" w:eastAsia="Arial" w:hAnsi="Arial"/>
          <w:sz w:val="11"/>
          <w:szCs w:val="11"/>
          <w:i w:val="1"/>
          <w:iCs w:val="1"/>
          <w:color w:val="auto"/>
        </w:rPr>
        <w:t>Arbeitsschutzgesetz</w:t>
      </w:r>
      <w:r>
        <w:rPr>
          <w:rFonts w:ascii="Arial" w:cs="Arial" w:eastAsia="Arial" w:hAnsi="Arial"/>
          <w:sz w:val="11"/>
          <w:szCs w:val="11"/>
          <w:color w:val="auto"/>
        </w:rPr>
        <w:t>),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Occupational Safety Act (</w:t>
      </w:r>
      <w:r>
        <w:rPr>
          <w:rFonts w:ascii="Arial" w:cs="Arial" w:eastAsia="Arial" w:hAnsi="Arial"/>
          <w:sz w:val="10"/>
          <w:szCs w:val="10"/>
          <w:i w:val="1"/>
          <w:iCs w:val="1"/>
          <w:color w:val="auto"/>
        </w:rPr>
        <w:t>Arbeitssicherheitsgesetz</w:t>
      </w:r>
      <w:r>
        <w:rPr>
          <w:rFonts w:ascii="Arial" w:cs="Arial" w:eastAsia="Arial" w:hAnsi="Arial"/>
          <w:sz w:val="10"/>
          <w:szCs w:val="10"/>
          <w:color w:val="auto"/>
        </w:rPr>
        <w:t>) and the Ordinance on Industrial Safety (</w:t>
      </w:r>
      <w:r>
        <w:rPr>
          <w:rFonts w:ascii="Arial" w:cs="Arial" w:eastAsia="Arial" w:hAnsi="Arial"/>
          <w:sz w:val="10"/>
          <w:szCs w:val="10"/>
          <w:i w:val="1"/>
          <w:iCs w:val="1"/>
          <w:color w:val="auto"/>
        </w:rPr>
        <w:t>Betriebssicherheitsverordnung</w:t>
      </w:r>
      <w:r>
        <w:rPr>
          <w:rFonts w:ascii="Arial" w:cs="Arial" w:eastAsia="Arial" w:hAnsi="Arial"/>
          <w:sz w:val="10"/>
          <w:szCs w:val="10"/>
          <w:color w:val="auto"/>
        </w:rPr>
        <w:t>). For the provision and use of</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working equipment, the Product Safety Act (</w:t>
      </w:r>
      <w:r>
        <w:rPr>
          <w:rFonts w:ascii="Arial" w:cs="Arial" w:eastAsia="Arial" w:hAnsi="Arial"/>
          <w:sz w:val="12"/>
          <w:szCs w:val="12"/>
          <w:i w:val="1"/>
          <w:iCs w:val="1"/>
          <w:color w:val="auto"/>
        </w:rPr>
        <w:t>Produktsicherheitsgesetz</w:t>
      </w:r>
      <w:r>
        <w:rPr>
          <w:rFonts w:ascii="Arial" w:cs="Arial" w:eastAsia="Arial" w:hAnsi="Arial"/>
          <w:sz w:val="12"/>
          <w:szCs w:val="12"/>
          <w:color w:val="auto"/>
        </w:rPr>
        <w:t>) applies, along with the Ordinance on Health and Safety at Work</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Arbeitsstättenverordnung</w:t>
      </w:r>
      <w:r>
        <w:rPr>
          <w:rFonts w:ascii="Arial" w:cs="Arial" w:eastAsia="Arial" w:hAnsi="Arial"/>
          <w:sz w:val="11"/>
          <w:szCs w:val="11"/>
          <w:color w:val="auto"/>
        </w:rPr>
        <w:t>). As regards exposure to hazardous substances, the Ordinance on Hazardous Substances (</w:t>
      </w:r>
      <w:r>
        <w:rPr>
          <w:rFonts w:ascii="Arial" w:cs="Arial" w:eastAsia="Arial" w:hAnsi="Arial"/>
          <w:sz w:val="11"/>
          <w:szCs w:val="11"/>
          <w:i w:val="1"/>
          <w:iCs w:val="1"/>
          <w:color w:val="auto"/>
        </w:rPr>
        <w:t>Gefahrstoffverordnung</w:t>
      </w:r>
      <w:r>
        <w:rPr>
          <w:rFonts w:ascii="Arial" w:cs="Arial" w:eastAsia="Arial" w:hAnsi="Arial"/>
          <w:sz w:val="11"/>
          <w:szCs w:val="11"/>
          <w:color w:val="auto"/>
        </w:rPr>
        <w:t>) and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Technical Rules for Hazardous Substances 900 (</w:t>
      </w:r>
      <w:r>
        <w:rPr>
          <w:rFonts w:ascii="Arial" w:cs="Arial" w:eastAsia="Arial" w:hAnsi="Arial"/>
          <w:sz w:val="10"/>
          <w:szCs w:val="10"/>
          <w:i w:val="1"/>
          <w:iCs w:val="1"/>
          <w:color w:val="auto"/>
        </w:rPr>
        <w:t>Technische Regel für Gefahrstoffe 900</w:t>
      </w:r>
      <w:r>
        <w:rPr>
          <w:rFonts w:ascii="Arial" w:cs="Arial" w:eastAsia="Arial" w:hAnsi="Arial"/>
          <w:sz w:val="10"/>
          <w:szCs w:val="10"/>
          <w:color w:val="auto"/>
        </w:rPr>
        <w:t>) set out limits for workplaces. All these requirements are further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specified by German trade associations (</w:t>
      </w:r>
      <w:r>
        <w:rPr>
          <w:rFonts w:ascii="Arial" w:cs="Arial" w:eastAsia="Arial" w:hAnsi="Arial"/>
          <w:sz w:val="11"/>
          <w:szCs w:val="11"/>
          <w:i w:val="1"/>
          <w:iCs w:val="1"/>
          <w:color w:val="auto"/>
        </w:rPr>
        <w:t>Berufsgenossenschaften</w:t>
      </w:r>
      <w:r>
        <w:rPr>
          <w:rFonts w:ascii="Arial" w:cs="Arial" w:eastAsia="Arial" w:hAnsi="Arial"/>
          <w:sz w:val="11"/>
          <w:szCs w:val="11"/>
          <w:color w:val="auto"/>
        </w:rPr>
        <w:t>) in their accident prevention regulations (</w:t>
      </w:r>
      <w:r>
        <w:rPr>
          <w:rFonts w:ascii="Arial" w:cs="Arial" w:eastAsia="Arial" w:hAnsi="Arial"/>
          <w:sz w:val="11"/>
          <w:szCs w:val="11"/>
          <w:i w:val="1"/>
          <w:iCs w:val="1"/>
          <w:color w:val="auto"/>
        </w:rPr>
        <w:t>Unfallverhütungsvorschriften</w:t>
      </w:r>
      <w:r>
        <w:rPr>
          <w:rFonts w:ascii="Arial" w:cs="Arial" w:eastAsia="Arial" w:hAnsi="Arial"/>
          <w:sz w:val="11"/>
          <w:szCs w:val="11"/>
          <w:color w:val="auto"/>
        </w:rPr>
        <w:t>), which also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address specific health and safety risks of our business.</w:t>
      </w:r>
    </w:p>
    <w:p>
      <w:pPr>
        <w:spacing w:after="0" w:line="14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Export Control Regime</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and German Dual-Use Export Control Regime</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1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Dual-Use Regulation provides for four types of export authorizations: (i) EU general export authorizations (</w:t>
      </w:r>
      <w:r>
        <w:rPr>
          <w:rFonts w:ascii="Arial" w:cs="Arial" w:eastAsia="Arial" w:hAnsi="Arial"/>
          <w:sz w:val="12"/>
          <w:szCs w:val="12"/>
          <w:i w:val="1"/>
          <w:iCs w:val="1"/>
          <w:color w:val="auto"/>
        </w:rPr>
        <w:t>EU-Allgemeingenehmigungen</w:t>
      </w:r>
      <w:r>
        <w:rPr>
          <w:rFonts w:ascii="Arial" w:cs="Arial" w:eastAsia="Arial" w:hAnsi="Arial"/>
          <w:sz w:val="12"/>
          <w:szCs w:val="12"/>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hanging="8"/>
        <w:spacing w:after="0" w:line="263" w:lineRule="auto"/>
        <w:tabs>
          <w:tab w:leader="none" w:pos="2183" w:val="left"/>
        </w:tabs>
        <w:numPr>
          <w:ilvl w:val="0"/>
          <w:numId w:val="37"/>
        </w:numPr>
        <w:rPr>
          <w:rFonts w:ascii="Arial" w:cs="Arial" w:eastAsia="Arial" w:hAnsi="Arial"/>
          <w:sz w:val="12"/>
          <w:szCs w:val="12"/>
          <w:color w:val="auto"/>
        </w:rPr>
      </w:pPr>
      <w:r>
        <w:rPr>
          <w:rFonts w:ascii="Arial" w:cs="Arial" w:eastAsia="Arial" w:hAnsi="Arial"/>
          <w:sz w:val="12"/>
          <w:szCs w:val="12"/>
          <w:color w:val="auto"/>
        </w:rPr>
        <w:t>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22"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General export authorizations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15"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1"/>
          <w:szCs w:val="11"/>
          <w:i w:val="1"/>
          <w:iCs w:val="1"/>
          <w:color w:val="auto"/>
        </w:rPr>
        <w:t>Bundesamt für Wirtschaft und Ausfuhrkontrolle</w:t>
      </w:r>
      <w:r>
        <w:rPr>
          <w:rFonts w:ascii="Arial" w:cs="Arial" w:eastAsia="Arial" w:hAnsi="Arial"/>
          <w:sz w:val="11"/>
          <w:szCs w:val="11"/>
          <w:color w:val="auto"/>
        </w:rPr>
        <w:t>; “BAFA”) as the competent authority for issuing such authorization. In addition to control lists set out under the Dual-Use Regulation, EU member states may also set out their own lists of controlled dual-use items. Germany, for instance, has done so by including additional dual-use items on its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that are not already covered by the Dual-Use Regulation (</w:t>
      </w:r>
      <w:r>
        <w:rPr>
          <w:rFonts w:ascii="Arial" w:cs="Arial" w:eastAsia="Arial" w:hAnsi="Arial"/>
          <w:sz w:val="11"/>
          <w:szCs w:val="11"/>
          <w:i w:val="1"/>
          <w:iCs w:val="1"/>
          <w:color w:val="auto"/>
        </w:rPr>
        <w:t>e.g.</w:t>
      </w:r>
      <w:r>
        <w:rPr>
          <w:rFonts w:ascii="Arial" w:cs="Arial" w:eastAsia="Arial" w:hAnsi="Arial"/>
          <w:sz w:val="11"/>
          <w:szCs w:val="11"/>
          <w:color w:val="auto"/>
        </w:rPr>
        <w:t>,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Export Regulations</w:t>
      </w:r>
    </w:p>
    <w:p>
      <w:pPr>
        <w:spacing w:after="0" w:line="150"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International Traffic in Arms Regulations</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The International Traffic in Arms Regulations (the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479"/>
        <w:spacing w:after="0" w:line="276" w:lineRule="auto"/>
        <w:rPr>
          <w:sz w:val="20"/>
          <w:szCs w:val="20"/>
          <w:color w:val="auto"/>
        </w:rPr>
      </w:pPr>
      <w:r>
        <w:rPr>
          <w:rFonts w:ascii="Arial" w:cs="Arial" w:eastAsia="Arial" w:hAnsi="Arial"/>
          <w:sz w:val="12"/>
          <w:szCs w:val="12"/>
          <w:color w:val="auto"/>
        </w:rPr>
        <w:t>Controls (“DDTC”) interprets and enforces the ITAR. Nearly every item subject to the ITAR requires a license from DDTC for exportation, re-exportation or transfer, unless an ITAR exemption applies.</w:t>
      </w:r>
    </w:p>
    <w:p>
      <w:pPr>
        <w:spacing w:after="0" w:line="115"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Trade Sanctions</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3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Embargoes and Trade Sanctions</w:t>
      </w:r>
    </w:p>
    <w:p>
      <w:pPr>
        <w:spacing w:after="0" w:line="150"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 xml:space="preserve">U.S. sanctions may take the form of country- or territory-based sanctions or list-based sanctions. Currently, country- or territory-based sanctions target, </w:t>
      </w:r>
      <w:r>
        <w:rPr>
          <w:rFonts w:ascii="Arial" w:cs="Arial" w:eastAsia="Arial" w:hAnsi="Arial"/>
          <w:sz w:val="11"/>
          <w:szCs w:val="11"/>
          <w:i w:val="1"/>
          <w:iCs w:val="1"/>
          <w:color w:val="auto"/>
        </w:rPr>
        <w:t>inter alia</w:t>
      </w:r>
      <w:r>
        <w:rPr>
          <w:rFonts w:ascii="Arial" w:cs="Arial" w:eastAsia="Arial" w:hAnsi="Arial"/>
          <w:sz w:val="11"/>
          <w:szCs w:val="11"/>
          <w:color w:val="auto"/>
        </w:rPr>
        <w:t>, the Crimea region of Ukraine,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13"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Embargoes and Trade Sanctions</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commitments in terms of sanctions and embargoes mainly (but not exclusively) derive from Council Regulation (EC) No 2580/2001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 December 2001 on specific restrictive measures directed against certain persons and entities with a view to combating terrorism. It aims to prevent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prohibit the financing of terrorist acts by prohibiting that funds, other financial assets, and economic resources are made available, directly 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indirectly, to, or for the benefit of, a natural or legal person, group, or entity included in the list of restricted parties, or by prohibiting financial or other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related services from being rendered for the benefit of restricted parties.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Foreign Investment Regime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2"/>
          <w:szCs w:val="12"/>
          <w:i w:val="1"/>
          <w:iCs w:val="1"/>
          <w:color w:val="auto"/>
        </w:rPr>
        <w:t>Unionsfremder</w:t>
      </w:r>
      <w:r>
        <w:rPr>
          <w:rFonts w:ascii="Arial" w:cs="Arial" w:eastAsia="Arial" w:hAnsi="Arial"/>
          <w:sz w:val="12"/>
          <w:szCs w:val="12"/>
          <w:color w:val="auto"/>
        </w:rPr>
        <w:t>) if it endangers the public order or the security of Germany.</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 xml:space="preserve">According to an amendment to the AWV, which came into force on May 1, 2021, statutory notification requirements apply, </w:t>
      </w:r>
      <w:r>
        <w:rPr>
          <w:rFonts w:ascii="Arial" w:cs="Arial" w:eastAsia="Arial" w:hAnsi="Arial"/>
          <w:sz w:val="10"/>
          <w:szCs w:val="10"/>
          <w:i w:val="1"/>
          <w:iCs w:val="1"/>
          <w:color w:val="auto"/>
        </w:rPr>
        <w:t>inter alia</w:t>
      </w:r>
      <w:r>
        <w:rPr>
          <w:rFonts w:ascii="Arial" w:cs="Arial" w:eastAsia="Arial" w:hAnsi="Arial"/>
          <w:sz w:val="10"/>
          <w:szCs w:val="10"/>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 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03"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28"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Anti-Bribery, Anti-Corruption, Antitrust and Competition</w:t>
      </w:r>
    </w:p>
    <w:p>
      <w:pPr>
        <w:spacing w:after="0" w:line="154"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1"/>
          <w:szCs w:val="11"/>
          <w:i w:val="1"/>
          <w:iCs w:val="1"/>
          <w:color w:val="auto"/>
        </w:rPr>
        <w:t>Strafgesetzbuch</w:t>
      </w:r>
      <w:r>
        <w:rPr>
          <w:rFonts w:ascii="Arial" w:cs="Arial" w:eastAsia="Arial" w:hAnsi="Arial"/>
          <w:sz w:val="11"/>
          <w:szCs w:val="11"/>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17"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1"/>
          <w:szCs w:val="11"/>
          <w:i w:val="1"/>
          <w:iCs w:val="1"/>
          <w:color w:val="auto"/>
        </w:rPr>
        <w:t>Gesetz gegen Wettbewerbsbeschränkungen</w:t>
      </w:r>
      <w:r>
        <w:rPr>
          <w:rFonts w:ascii="Arial" w:cs="Arial" w:eastAsia="Arial" w:hAnsi="Arial"/>
          <w:sz w:val="11"/>
          <w:szCs w:val="11"/>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Structure</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are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xml:space="preserve"> or </w:t>
      </w:r>
      <w:r>
        <w:rPr>
          <w:rFonts w:ascii="Arial" w:cs="Arial" w:eastAsia="Arial" w:hAnsi="Arial"/>
          <w:sz w:val="12"/>
          <w:szCs w:val="12"/>
          <w:i w:val="1"/>
          <w:iCs w:val="1"/>
          <w:color w:val="auto"/>
        </w:rPr>
        <w:t>AG</w:t>
      </w:r>
      <w:r>
        <w:rPr>
          <w:rFonts w:ascii="Arial" w:cs="Arial" w:eastAsia="Arial" w:hAnsi="Arial"/>
          <w:sz w:val="12"/>
          <w:szCs w:val="12"/>
          <w:color w:val="auto"/>
        </w:rPr>
        <w:t>) with our registered seat in Germany. We are subject to German legislation on stock corporations, most importantly the German Stock Corporation Act (</w:t>
      </w:r>
      <w:r>
        <w:rPr>
          <w:rFonts w:ascii="Arial" w:cs="Arial" w:eastAsia="Arial" w:hAnsi="Arial"/>
          <w:sz w:val="12"/>
          <w:szCs w:val="12"/>
          <w:i w:val="1"/>
          <w:iCs w:val="1"/>
          <w:color w:val="auto"/>
        </w:rPr>
        <w:t>Aktiengesetz</w:t>
      </w:r>
      <w:r>
        <w:rPr>
          <w:rFonts w:ascii="Arial" w:cs="Arial" w:eastAsia="Arial" w:hAnsi="Arial"/>
          <w:sz w:val="12"/>
          <w:szCs w:val="12"/>
          <w:color w:val="auto"/>
        </w:rPr>
        <w:t>). In accordance with the German Stock Corporation Act, our corporate bodies are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and the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Our management board and supervisory board are entirely separate and, as a rule, no individual may simultaneously be a member of both the management board and the supervisory board.</w:t>
      </w:r>
    </w:p>
    <w:p>
      <w:pPr>
        <w:spacing w:after="0" w:line="12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Our management board is responsible for the day-to-day management of our business in accordance with applicable laws, our articles of association (</w:t>
      </w:r>
      <w:r>
        <w:rPr>
          <w:rFonts w:ascii="Arial" w:cs="Arial" w:eastAsia="Arial" w:hAnsi="Arial"/>
          <w:sz w:val="11"/>
          <w:szCs w:val="11"/>
          <w:i w:val="1"/>
          <w:iCs w:val="1"/>
          <w:color w:val="auto"/>
        </w:rPr>
        <w:t>Satzung</w:t>
      </w:r>
      <w:r>
        <w:rPr>
          <w:rFonts w:ascii="Arial" w:cs="Arial" w:eastAsia="Arial" w:hAnsi="Arial"/>
          <w:sz w:val="11"/>
          <w:szCs w:val="11"/>
          <w:color w:val="auto"/>
        </w:rPr>
        <w:t>) and the management board’s internal rules of procedure (</w:t>
      </w:r>
      <w:r>
        <w:rPr>
          <w:rFonts w:ascii="Arial" w:cs="Arial" w:eastAsia="Arial" w:hAnsi="Arial"/>
          <w:sz w:val="11"/>
          <w:szCs w:val="11"/>
          <w:i w:val="1"/>
          <w:iCs w:val="1"/>
          <w:color w:val="auto"/>
        </w:rPr>
        <w:t>Geschäftsordnung</w:t>
      </w:r>
      <w:r>
        <w:rPr>
          <w:rFonts w:ascii="Arial" w:cs="Arial" w:eastAsia="Arial" w:hAnsi="Arial"/>
          <w:sz w:val="11"/>
          <w:szCs w:val="11"/>
          <w:color w:val="auto"/>
        </w:rPr>
        <w:t>). Our management board represents us in our dealings with third parties and is responsible for implementing an internal monitoring system for risk management purposes.</w:t>
      </w:r>
    </w:p>
    <w:p>
      <w:pPr>
        <w:spacing w:after="0" w:line="10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German law, the management board and the supervisory board are solely responsible for and manage their own areas of competency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Kompetenztrennung</w:t>
      </w:r>
      <w:r>
        <w:rPr>
          <w:rFonts w:ascii="Arial" w:cs="Arial" w:eastAsia="Arial" w:hAnsi="Arial"/>
          <w:sz w:val="11"/>
          <w:szCs w:val="11"/>
          <w:color w:val="auto"/>
        </w:rPr>
        <w:t>); therefore, neither board may make decisions that, pursuant to applicable law, our articles of association or our internal rules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procedure, are the responsibility of the other board. Members of both boards owe a duty of loyalty and care to us. In carrying out their duties,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management board and supervisory board members are required to exercise the standard of care of a prudent and diligent businessperson or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member, as the case may be. If they fail to observe the appropriate standard of care, they may become liable to the company.</w:t>
      </w:r>
    </w:p>
    <w:p>
      <w:pPr>
        <w:spacing w:after="0" w:line="141"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2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30"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following description, as far as it relates to our articles of association, is based on our articles of association, as adopted by our general shareholders’ meeting on May 14, 2021.</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2"/>
          <w:szCs w:val="12"/>
          <w:i w:val="1"/>
          <w:iCs w:val="1"/>
          <w:color w:val="auto"/>
        </w:rPr>
        <w:t>Prokurist</w:t>
      </w:r>
      <w:r>
        <w:rPr>
          <w:rFonts w:ascii="Arial" w:cs="Arial" w:eastAsia="Arial" w:hAnsi="Arial"/>
          <w:sz w:val="12"/>
          <w:szCs w:val="12"/>
          <w:color w:val="auto"/>
        </w:rPr>
        <w:t>). Currently, the management board consists of the following three members: Bulent Altan (Chief Executive Officer), Stefan Berndt-von Bülow (Chief Financial Officer), and Joachim Horwath (Chief Technology Officer).</w:t>
      </w:r>
    </w:p>
    <w:p>
      <w:pPr>
        <w:spacing w:after="0" w:line="12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142" w:lineRule="exact"/>
        <w:rPr>
          <w:sz w:val="20"/>
          <w:szCs w:val="20"/>
          <w:color w:val="auto"/>
        </w:rPr>
      </w:pPr>
    </w:p>
    <w:p>
      <w:pPr>
        <w:ind w:left="2540" w:hanging="280"/>
        <w:spacing w:after="0"/>
        <w:tabs>
          <w:tab w:leader="none" w:pos="25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preparing our annual financial statements;</w:t>
      </w:r>
    </w:p>
    <w:p>
      <w:pPr>
        <w:spacing w:after="0" w:line="168"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making a proposal to be submitted to our shareholders’ meeting on how our profits (if any) should be allocated (such proposal to be submitted simultaneously to the supervisory board); and</w:t>
      </w:r>
    </w:p>
    <w:p>
      <w:pPr>
        <w:spacing w:after="0" w:line="132"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17"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2"/>
          <w:szCs w:val="12"/>
          <w:i w:val="1"/>
          <w:iCs w:val="1"/>
          <w:color w:val="auto"/>
        </w:rPr>
        <w:t>Gesamtzuständigkeit</w:t>
      </w:r>
      <w:r>
        <w:rPr>
          <w:rFonts w:ascii="Arial" w:cs="Arial" w:eastAsia="Arial" w:hAnsi="Arial"/>
          <w:sz w:val="12"/>
          <w:szCs w:val="12"/>
          <w:color w:val="auto"/>
        </w:rPr>
        <w:t>). Such matters include the following:</w:t>
      </w:r>
    </w:p>
    <w:p>
      <w:pPr>
        <w:spacing w:after="0" w:line="140" w:lineRule="exact"/>
        <w:rPr>
          <w:sz w:val="20"/>
          <w:szCs w:val="20"/>
          <w:color w:val="auto"/>
        </w:rPr>
      </w:pPr>
    </w:p>
    <w:p>
      <w:pPr>
        <w:ind w:left="2540" w:right="109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preparation of the annual financial statements, the management report, the consolidated financial statements and the group management report;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convocation of the annual shareholders’ meeting as well as motions and proposals of the management board on the adoption of resolutions by the shareholders’ meeting;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039" w:hanging="280"/>
        <w:spacing w:after="0" w:line="263"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matters of profound significance or economic risk for a business area (</w:t>
      </w:r>
      <w:r>
        <w:rPr>
          <w:rFonts w:ascii="Arial" w:cs="Arial" w:eastAsia="Arial" w:hAnsi="Arial"/>
          <w:sz w:val="12"/>
          <w:szCs w:val="12"/>
          <w:i w:val="1"/>
          <w:iCs w:val="1"/>
          <w:color w:val="auto"/>
        </w:rPr>
        <w:t>i.e.</w:t>
      </w:r>
      <w:r>
        <w:rPr>
          <w:rFonts w:ascii="Arial" w:cs="Arial" w:eastAsia="Arial" w:hAnsi="Arial"/>
          <w:sz w:val="12"/>
          <w:szCs w:val="12"/>
          <w:color w:val="auto"/>
        </w:rPr>
        <w:t>, a business area that has been allocated by means of a business responsibilities plan among the members of the management board), for example with respect to such business area’s organizational structure, business policy, or investment and financial planning;</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determination of fundamental objectives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1"/>
          <w:szCs w:val="11"/>
          <w:color w:val="auto"/>
        </w:rPr>
      </w:pPr>
      <w:r>
        <w:rPr>
          <w:rFonts w:ascii="Arial" w:cs="Arial" w:eastAsia="Arial" w:hAnsi="Arial"/>
          <w:sz w:val="11"/>
          <w:szCs w:val="11"/>
          <w:color w:val="auto"/>
        </w:rPr>
        <w:t>disputes among the members of the management board (in particular with regard to such matters that affect several business areas</w:t>
      </w:r>
    </w:p>
    <w:p>
      <w:pPr>
        <w:spacing w:after="0" w:line="26" w:lineRule="exact"/>
        <w:rPr>
          <w:rFonts w:ascii="Arial" w:cs="Arial" w:eastAsia="Arial" w:hAnsi="Arial"/>
          <w:sz w:val="11"/>
          <w:szCs w:val="11"/>
          <w:color w:val="auto"/>
        </w:rPr>
      </w:pPr>
    </w:p>
    <w:p>
      <w:pPr>
        <w:ind w:left="2540" w:right="939"/>
        <w:spacing w:after="0" w:line="260" w:lineRule="auto"/>
        <w:rPr>
          <w:rFonts w:ascii="Arial" w:cs="Arial" w:eastAsia="Arial" w:hAnsi="Arial"/>
          <w:sz w:val="11"/>
          <w:szCs w:val="11"/>
          <w:color w:val="auto"/>
        </w:rPr>
      </w:pPr>
      <w:r>
        <w:rPr>
          <w:rFonts w:ascii="Arial" w:cs="Arial" w:eastAsia="Arial" w:hAnsi="Arial"/>
          <w:sz w:val="12"/>
          <w:szCs w:val="12"/>
          <w:color w:val="auto"/>
        </w:rPr>
        <w:t>(</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 or due to unclear responsibilities according to the schedule of responsibilities);</w:t>
      </w:r>
    </w:p>
    <w:p>
      <w:pPr>
        <w:spacing w:after="0" w:line="142" w:lineRule="exact"/>
        <w:rPr>
          <w:rFonts w:ascii="Arial" w:cs="Arial" w:eastAsia="Arial" w:hAnsi="Arial"/>
          <w:sz w:val="11"/>
          <w:szCs w:val="11"/>
          <w:color w:val="auto"/>
        </w:rPr>
      </w:pPr>
    </w:p>
    <w:p>
      <w:pPr>
        <w:ind w:left="2540" w:right="113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matters affecting all business areas (</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w:t>
      </w:r>
    </w:p>
    <w:p>
      <w:pPr>
        <w:spacing w:after="0" w:line="132" w:lineRule="exact"/>
        <w:rPr>
          <w:rFonts w:ascii="Arial" w:cs="Arial" w:eastAsia="Arial" w:hAnsi="Arial"/>
          <w:sz w:val="12"/>
          <w:szCs w:val="12"/>
          <w:color w:val="auto"/>
        </w:rPr>
      </w:pPr>
    </w:p>
    <w:p>
      <w:pPr>
        <w:ind w:left="2540" w:right="119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matters within the area of responsibility of a member of the management board, which the member submits for decision by the whole management board;</w:t>
      </w:r>
    </w:p>
    <w:p>
      <w:pPr>
        <w:spacing w:after="0" w:line="132" w:lineRule="exact"/>
        <w:rPr>
          <w:rFonts w:ascii="Arial" w:cs="Arial" w:eastAsia="Arial" w:hAnsi="Arial"/>
          <w:sz w:val="12"/>
          <w:szCs w:val="12"/>
          <w:color w:val="auto"/>
        </w:rPr>
      </w:pPr>
    </w:p>
    <w:p>
      <w:pPr>
        <w:ind w:left="2540" w:right="91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matters outside the scope of responsibility of a member of the management board, but for which that member of the management board has doubts as to their legality and/or significant concerns as to their appropriateness;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matters requiring the approval by the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coordination of reporting to the supervisory board;</w:t>
      </w:r>
    </w:p>
    <w:p>
      <w:pPr>
        <w:spacing w:after="0" w:line="168"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0"/>
        </w:numPr>
        <w:rPr>
          <w:rFonts w:ascii="Arial" w:cs="Arial" w:eastAsia="Arial" w:hAnsi="Arial"/>
          <w:sz w:val="11"/>
          <w:szCs w:val="11"/>
          <w:color w:val="auto"/>
        </w:rPr>
      </w:pPr>
      <w:r>
        <w:rPr>
          <w:rFonts w:ascii="Arial" w:cs="Arial" w:eastAsia="Arial" w:hAnsi="Arial"/>
          <w:sz w:val="11"/>
          <w:szCs w:val="11"/>
          <w:color w:val="auto"/>
        </w:rPr>
        <w:t>conclusion and termination of employee contracts with a total annual compensation (base salary and variable compensation components, but excluding fringe benefits and long-term incentives) of €100,000 or more, including in the case of replacement hires; and</w:t>
      </w:r>
    </w:p>
    <w:p>
      <w:pPr>
        <w:spacing w:after="0" w:line="109" w:lineRule="exact"/>
        <w:rPr>
          <w:rFonts w:ascii="Arial" w:cs="Arial" w:eastAsia="Arial" w:hAnsi="Arial"/>
          <w:sz w:val="11"/>
          <w:szCs w:val="11"/>
          <w:color w:val="auto"/>
        </w:rPr>
      </w:pPr>
    </w:p>
    <w:p>
      <w:pPr>
        <w:ind w:left="2540" w:right="93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entering into consulting agreements (fee-based and other freelance contracts) that are of material financial or strategic importance, i.e., that obligate the Company to pay a consideration of at least €200,000 per financial year.</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Management Board</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management board, their ages, the year of expiration of their term as management board members and position:</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Year in which</w:t>
            </w:r>
          </w:p>
        </w:tc>
        <w:tc>
          <w:tcPr>
            <w:tcW w:w="3300" w:type="dxa"/>
            <w:vAlign w:val="bottom"/>
          </w:tcPr>
          <w:p>
            <w:pPr>
              <w:spacing w:after="0"/>
              <w:rPr>
                <w:sz w:val="10"/>
                <w:szCs w:val="10"/>
                <w:color w:val="auto"/>
              </w:rPr>
            </w:pPr>
          </w:p>
        </w:tc>
      </w:tr>
      <w:tr>
        <w:trPr>
          <w:trHeight w:val="133"/>
        </w:trPr>
        <w:tc>
          <w:tcPr>
            <w:tcW w:w="2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Age</w:t>
            </w: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Term Expires</w:t>
            </w:r>
          </w:p>
        </w:tc>
        <w:tc>
          <w:tcPr>
            <w:tcW w:w="3300" w:type="dxa"/>
            <w:vAlign w:val="bottom"/>
          </w:tcPr>
          <w:p>
            <w:pPr>
              <w:ind w:left="1480"/>
              <w:spacing w:after="0" w:line="114" w:lineRule="exact"/>
              <w:rPr>
                <w:sz w:val="20"/>
                <w:szCs w:val="20"/>
                <w:color w:val="auto"/>
              </w:rPr>
            </w:pPr>
            <w:r>
              <w:rPr>
                <w:rFonts w:ascii="Arial" w:cs="Arial" w:eastAsia="Arial" w:hAnsi="Arial"/>
                <w:sz w:val="10"/>
                <w:szCs w:val="10"/>
                <w:b w:val="1"/>
                <w:bCs w:val="1"/>
                <w:color w:val="auto"/>
              </w:rPr>
              <w:t>Position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w w:val="70"/>
              </w:rPr>
              <w:t>Bulent</w:t>
            </w:r>
          </w:p>
        </w:tc>
        <w:tc>
          <w:tcPr>
            <w:tcW w:w="2480" w:type="dxa"/>
            <w:vAlign w:val="bottom"/>
          </w:tcPr>
          <w:p>
            <w:pPr>
              <w:ind w:left="60"/>
              <w:spacing w:after="0" w:line="100" w:lineRule="exact"/>
              <w:rPr>
                <w:sz w:val="20"/>
                <w:szCs w:val="20"/>
                <w:color w:val="auto"/>
              </w:rPr>
            </w:pPr>
            <w:r>
              <w:rPr>
                <w:rFonts w:ascii="Arial" w:cs="Arial" w:eastAsia="Arial" w:hAnsi="Arial"/>
                <w:sz w:val="11"/>
                <w:szCs w:val="11"/>
                <w:color w:val="auto"/>
              </w:rPr>
              <w:t>Altan</w:t>
            </w:r>
          </w:p>
        </w:tc>
        <w:tc>
          <w:tcPr>
            <w:tcW w:w="220" w:type="dxa"/>
            <w:vAlign w:val="bottom"/>
            <w:tcBorders>
              <w:top w:val="single" w:sz="8" w:color="auto"/>
            </w:tcBorders>
          </w:tcPr>
          <w:p>
            <w:pPr>
              <w:jc w:val="right"/>
              <w:ind w:right="72"/>
              <w:spacing w:after="0" w:line="108" w:lineRule="exact"/>
              <w:rPr>
                <w:sz w:val="20"/>
                <w:szCs w:val="20"/>
                <w:color w:val="auto"/>
              </w:rPr>
            </w:pPr>
            <w:r>
              <w:rPr>
                <w:rFonts w:ascii="Arial" w:cs="Arial" w:eastAsia="Arial" w:hAnsi="Arial"/>
                <w:sz w:val="10"/>
                <w:szCs w:val="10"/>
                <w:color w:val="auto"/>
                <w:w w:val="71"/>
              </w:rPr>
              <w:t>44</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ind w:right="528"/>
              <w:spacing w:after="0" w:line="108" w:lineRule="exact"/>
              <w:rPr>
                <w:sz w:val="20"/>
                <w:szCs w:val="20"/>
                <w:color w:val="auto"/>
              </w:rPr>
            </w:pPr>
            <w:r>
              <w:rPr>
                <w:rFonts w:ascii="Arial" w:cs="Arial" w:eastAsia="Arial" w:hAnsi="Arial"/>
                <w:sz w:val="11"/>
                <w:szCs w:val="11"/>
                <w:color w:val="auto"/>
                <w:w w:val="81"/>
              </w:rPr>
              <w:t>2022</w:t>
            </w:r>
          </w:p>
        </w:tc>
        <w:tc>
          <w:tcPr>
            <w:tcW w:w="160" w:type="dxa"/>
            <w:vAlign w:val="bottom"/>
          </w:tcPr>
          <w:p>
            <w:pPr>
              <w:spacing w:after="0"/>
              <w:rPr>
                <w:sz w:val="9"/>
                <w:szCs w:val="9"/>
                <w:color w:val="auto"/>
              </w:rPr>
            </w:pPr>
          </w:p>
        </w:tc>
        <w:tc>
          <w:tcPr>
            <w:tcW w:w="330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46</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Financial Officer</w:t>
            </w:r>
          </w:p>
        </w:tc>
      </w:tr>
      <w:tr>
        <w:trPr>
          <w:trHeight w:val="136"/>
        </w:trPr>
        <w:tc>
          <w:tcPr>
            <w:tcW w:w="2720" w:type="dxa"/>
            <w:vAlign w:val="bottom"/>
            <w:gridSpan w:val="2"/>
          </w:tcPr>
          <w:p>
            <w:pPr>
              <w:spacing w:after="0"/>
              <w:rPr>
                <w:sz w:val="20"/>
                <w:szCs w:val="20"/>
                <w:color w:val="auto"/>
              </w:rPr>
            </w:pPr>
            <w:r>
              <w:rPr>
                <w:rFonts w:ascii="Arial" w:cs="Arial" w:eastAsia="Arial" w:hAnsi="Arial"/>
                <w:sz w:val="11"/>
                <w:szCs w:val="11"/>
                <w:color w:val="auto"/>
              </w:rPr>
              <w:t>Joachim Horwath</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48</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2024</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Technology Officer</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Unless otherwise indicated, the current business address for each management board member is the same as our business address: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Dornierstraße 19, 82205 Gilching, Germany.</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management board:</w:t>
      </w:r>
    </w:p>
    <w:p>
      <w:pPr>
        <w:spacing w:after="0" w:line="150"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b w:val="1"/>
          <w:bCs w:val="1"/>
          <w:i w:val="1"/>
          <w:iCs w:val="1"/>
          <w:color w:val="auto"/>
        </w:rPr>
        <w:t xml:space="preserve">Bulent Altan </w:t>
      </w:r>
      <w:r>
        <w:rPr>
          <w:rFonts w:ascii="Arial" w:cs="Arial" w:eastAsia="Arial" w:hAnsi="Arial"/>
          <w:sz w:val="12"/>
          <w:szCs w:val="12"/>
          <w:color w:val="auto"/>
        </w:rPr>
        <w:t>has been our Chief Executive Officer (CEO) since March 2019. Mr. Altan has been active in the aerospace industry since 2004,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when he started his professional career at Space Exploration Technologies Corp. (SpaceX), a private U.S. aerospace manufacturer and space transportation services company headquartered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w:t>
      </w:r>
    </w:p>
    <w:p>
      <w:pPr>
        <w:spacing w:after="0" w:line="4"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Mr. Altan holds a Master of Science degree (</w:t>
      </w:r>
      <w:r>
        <w:rPr>
          <w:rFonts w:ascii="Arial" w:cs="Arial" w:eastAsia="Arial" w:hAnsi="Arial"/>
          <w:sz w:val="12"/>
          <w:szCs w:val="12"/>
          <w:i w:val="1"/>
          <w:iCs w:val="1"/>
          <w:color w:val="auto"/>
        </w:rPr>
        <w:t>Dipl.-Inf</w:t>
      </w:r>
      <w:r>
        <w:rPr>
          <w:rFonts w:ascii="Arial" w:cs="Arial" w:eastAsia="Arial" w:hAnsi="Arial"/>
          <w:sz w:val="12"/>
          <w:szCs w:val="12"/>
          <w:color w:val="auto"/>
        </w:rPr>
        <w:t>.) in computer science from the Technical University of Munich and a Master of Science degree in aeronautics and astronautics from Stanford University.</w:t>
      </w:r>
    </w:p>
    <w:p>
      <w:pPr>
        <w:spacing w:after="0" w:line="124" w:lineRule="exact"/>
        <w:rPr>
          <w:sz w:val="20"/>
          <w:szCs w:val="20"/>
          <w:color w:val="auto"/>
        </w:rPr>
      </w:pPr>
    </w:p>
    <w:p>
      <w:pPr>
        <w:ind w:left="1980" w:right="1019" w:firstLine="294"/>
        <w:spacing w:after="0" w:line="311" w:lineRule="auto"/>
        <w:rPr>
          <w:sz w:val="20"/>
          <w:szCs w:val="20"/>
          <w:color w:val="auto"/>
        </w:rPr>
      </w:pPr>
      <w:r>
        <w:rPr>
          <w:rFonts w:ascii="Arial" w:cs="Arial" w:eastAsia="Arial" w:hAnsi="Arial"/>
          <w:sz w:val="10"/>
          <w:szCs w:val="10"/>
          <w:b w:val="1"/>
          <w:bCs w:val="1"/>
          <w:i w:val="1"/>
          <w:iCs w:val="1"/>
          <w:color w:val="auto"/>
        </w:rPr>
        <w:t xml:space="preserve">Stefan Berndt-von Bülow </w:t>
      </w:r>
      <w:r>
        <w:rPr>
          <w:rFonts w:ascii="Arial" w:cs="Arial" w:eastAsia="Arial" w:hAnsi="Arial"/>
          <w:sz w:val="10"/>
          <w:szCs w:val="10"/>
          <w:color w:val="auto"/>
        </w:rPr>
        <w:t>has been our Chief Financial Officer (CFO) since September 2020. He began his professional career in 2002 at LKC</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us at the end of 2018 as head of finance before being appointed as our CFO in September 2020. Mr. Berndt-von Bülow graduated from the University of Munich and holds a degree in Business Administration (</w:t>
      </w:r>
      <w:r>
        <w:rPr>
          <w:rFonts w:ascii="Arial" w:cs="Arial" w:eastAsia="Arial" w:hAnsi="Arial"/>
          <w:sz w:val="10"/>
          <w:szCs w:val="10"/>
          <w:i w:val="1"/>
          <w:iCs w:val="1"/>
          <w:color w:val="auto"/>
        </w:rPr>
        <w:t>Dipl.-Kaufmann</w:t>
      </w:r>
      <w:r>
        <w:rPr>
          <w:rFonts w:ascii="Arial" w:cs="Arial" w:eastAsia="Arial" w:hAnsi="Arial"/>
          <w:sz w:val="10"/>
          <w:szCs w:val="10"/>
          <w:color w:val="auto"/>
        </w:rPr>
        <w:t>).</w:t>
      </w:r>
    </w:p>
    <w:p>
      <w:pPr>
        <w:spacing w:after="0" w:line="104"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Joachim Horwath </w:t>
      </w:r>
      <w:r>
        <w:rPr>
          <w:rFonts w:ascii="Arial" w:cs="Arial" w:eastAsia="Arial" w:hAnsi="Arial"/>
          <w:sz w:val="11"/>
          <w:szCs w:val="11"/>
          <w:color w:val="auto"/>
        </w:rPr>
        <w:t>has been our Chief Technology Officer (CTO) since 2009. Following a research stay at Siemens optical networks for his thesis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Simulation of Optical Fiber Amplifiers</w:t>
      </w:r>
      <w:r>
        <w:rPr>
          <w:rFonts w:ascii="Arial" w:cs="Arial" w:eastAsia="Arial" w:hAnsi="Arial"/>
          <w:sz w:val="11"/>
          <w:szCs w:val="11"/>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1"/>
          <w:szCs w:val="11"/>
          <w:i w:val="1"/>
          <w:iCs w:val="1"/>
          <w:color w:val="auto"/>
        </w:rPr>
        <w:t>Erwin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Schrödinger Preis </w:t>
      </w:r>
      <w:r>
        <w:rPr>
          <w:rFonts w:ascii="Arial" w:cs="Arial" w:eastAsia="Arial" w:hAnsi="Arial"/>
          <w:sz w:val="11"/>
          <w:szCs w:val="11"/>
          <w:color w:val="auto"/>
        </w:rPr>
        <w:t>in 2015 for his contributions to Quantum Cryptography. In 2009, Mr. Horwath co-founded Mynaric Lasercom GmbH and has been</w:t>
      </w:r>
      <w:r>
        <w:rPr>
          <w:rFonts w:ascii="Arial" w:cs="Arial" w:eastAsia="Arial" w:hAnsi="Arial"/>
          <w:sz w:val="11"/>
          <w:szCs w:val="11"/>
          <w:i w:val="1"/>
          <w:iCs w:val="1"/>
          <w:color w:val="auto"/>
        </w:rPr>
        <w:t xml:space="preserve"> </w:t>
      </w:r>
      <w:r>
        <w:rPr>
          <w:rFonts w:ascii="Arial" w:cs="Arial" w:eastAsia="Arial" w:hAnsi="Arial"/>
          <w:sz w:val="11"/>
          <w:szCs w:val="11"/>
          <w:color w:val="auto"/>
        </w:rPr>
        <w:t>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1"/>
          <w:szCs w:val="11"/>
          <w:i w:val="1"/>
          <w:iCs w:val="1"/>
          <w:color w:val="auto"/>
        </w:rPr>
        <w:t>Dipl.-Elektroingenieur</w:t>
      </w:r>
      <w:r>
        <w:rPr>
          <w:rFonts w:ascii="Arial" w:cs="Arial" w:eastAsia="Arial" w:hAnsi="Arial"/>
          <w:sz w:val="11"/>
          <w:szCs w:val="11"/>
          <w:color w:val="auto"/>
        </w:rPr>
        <w:t>).</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Supervisory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German law requires that the supervisory board consists of at least three members, whereby the articles of association may stipulate a higher number. Pursuant to our articles of association, our supervisory board shall</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consist of five (5) members. As we grow, our supervisory board may be required to include employee representatives subject to the provisions of the German One-Third Employee 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 applies to companies that on a regular basis employ more than 500 employees in Germany (on a headcount basis), or the German Co-Determination Act (</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13"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05"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supervisory board elects a chairperson and a deputy chairperson from among its members. The deputy chairperson assumes the chairperson’s responsibilities and duties whenever the chairperson is unable to discharge his or her duties. Manfred Krischke, Peter Müller-Brühl, Steve Geskos, Hans Königsmann and Vincent Wobbe are the current members of our supervisory board. The members of our supervisory board have elected Manfred Krischke as chairperson of the supervisory board and Peter Müller-Brühl as deputy chairperson of the supervisory board, each for his respective term of office.</w:t>
      </w:r>
    </w:p>
    <w:p>
      <w:pPr>
        <w:spacing w:after="0" w:line="128"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German law does not require the majority of our supervisory board members to be independent. However, pursuant to recommendations contained in the German Corporate Governance Code (as in force as of the date of this prospectus),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the German Corporate Governance Code, in case the supervisory board is composed of no more than six (6) members, at least one</w:t>
      </w:r>
    </w:p>
    <w:p>
      <w:pPr>
        <w:spacing w:after="0" w:line="26" w:lineRule="exact"/>
        <w:rPr>
          <w:sz w:val="20"/>
          <w:szCs w:val="20"/>
          <w:color w:val="auto"/>
        </w:rPr>
      </w:pPr>
    </w:p>
    <w:p>
      <w:pPr>
        <w:ind w:left="2140" w:hanging="168"/>
        <w:spacing w:after="0"/>
        <w:tabs>
          <w:tab w:leader="none" w:pos="21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member of the supervisory board shall be independent from the controlling shareholder. In case the supervisory board comprises more than six</w:t>
      </w:r>
    </w:p>
    <w:p>
      <w:pPr>
        <w:spacing w:after="0" w:line="17" w:lineRule="exact"/>
        <w:rPr>
          <w:rFonts w:ascii="Arial" w:cs="Arial" w:eastAsia="Arial" w:hAnsi="Arial"/>
          <w:sz w:val="11"/>
          <w:szCs w:val="11"/>
          <w:color w:val="auto"/>
        </w:rPr>
      </w:pPr>
    </w:p>
    <w:p>
      <w:pPr>
        <w:ind w:left="1980" w:right="1079" w:hanging="8"/>
        <w:spacing w:after="0" w:line="260" w:lineRule="auto"/>
        <w:tabs>
          <w:tab w:leader="none" w:pos="215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members, at least two (2) members of the supervisory board shall be independent from the controlling shareholder. A member of the supervisory board is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2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28" w:lineRule="exact"/>
        <w:rPr>
          <w:sz w:val="20"/>
          <w:szCs w:val="20"/>
          <w:color w:val="auto"/>
        </w:rPr>
      </w:pPr>
    </w:p>
    <w:p>
      <w:pPr>
        <w:ind w:left="1980" w:right="1319" w:firstLine="294"/>
        <w:spacing w:after="0" w:line="323" w:lineRule="auto"/>
        <w:rPr>
          <w:sz w:val="20"/>
          <w:szCs w:val="20"/>
          <w:color w:val="auto"/>
        </w:rPr>
      </w:pPr>
      <w:r>
        <w:rPr>
          <w:rFonts w:ascii="Arial" w:cs="Arial" w:eastAsia="Arial" w:hAnsi="Arial"/>
          <w:sz w:val="11"/>
          <w:szCs w:val="11"/>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the German Stock Corporation Act, our supervisory board is not permitted to make management decisions. However, in accordance with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German law, our supervisory board determined that certain matters require its prior consent, including:</w:t>
      </w:r>
    </w:p>
    <w:p>
      <w:pPr>
        <w:spacing w:after="0" w:line="159" w:lineRule="exact"/>
        <w:rPr>
          <w:sz w:val="20"/>
          <w:szCs w:val="20"/>
          <w:color w:val="auto"/>
        </w:rPr>
      </w:pPr>
    </w:p>
    <w:p>
      <w:pPr>
        <w:ind w:left="2540" w:right="859" w:hanging="280"/>
        <w:spacing w:after="0" w:line="276" w:lineRule="auto"/>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formation, acquisition, sale and dissolution of companies, business units, fixed and current assets related to operations and participations, silent partnerships as well as related transactions;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establishment and discontinuation of branches of the Company; changes to material strategic objectives of the existing business;</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entry into and termination of lease agreements with a fixed term exceeding one year, provided that the annual rent exceeds €250,000;</w:t>
      </w:r>
    </w:p>
    <w:p>
      <w:pPr>
        <w:spacing w:after="0" w:line="179" w:lineRule="exact"/>
        <w:rPr>
          <w:rFonts w:ascii="Arial" w:cs="Arial" w:eastAsia="Arial" w:hAnsi="Arial"/>
          <w:sz w:val="11"/>
          <w:szCs w:val="11"/>
          <w:color w:val="auto"/>
        </w:rPr>
      </w:pPr>
    </w:p>
    <w:p>
      <w:pPr>
        <w:ind w:left="2540" w:right="1299" w:hanging="280"/>
        <w:spacing w:after="0" w:line="276" w:lineRule="auto"/>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adoption of measures or entry into agreements or making investments related to property, plant and equipment, and financial assets, exceeding the approved budget, with a value of over €50,000;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entry into credit agreements exceeding an amount of €500,000;</w:t>
      </w:r>
    </w:p>
    <w:p>
      <w:pPr>
        <w:spacing w:after="0" w:line="168" w:lineRule="exact"/>
        <w:rPr>
          <w:rFonts w:ascii="Arial" w:cs="Arial" w:eastAsia="Arial" w:hAnsi="Arial"/>
          <w:sz w:val="12"/>
          <w:szCs w:val="12"/>
          <w:color w:val="auto"/>
        </w:rPr>
      </w:pPr>
    </w:p>
    <w:p>
      <w:pPr>
        <w:ind w:left="2540" w:right="1019" w:hanging="280"/>
        <w:spacing w:after="0" w:line="298" w:lineRule="auto"/>
        <w:tabs>
          <w:tab w:leader="none" w:pos="25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122" w:lineRule="exact"/>
        <w:rPr>
          <w:rFonts w:ascii="Arial" w:cs="Arial" w:eastAsia="Arial" w:hAnsi="Arial"/>
          <w:sz w:val="11"/>
          <w:szCs w:val="11"/>
          <w:color w:val="auto"/>
        </w:rPr>
      </w:pPr>
    </w:p>
    <w:p>
      <w:pPr>
        <w:ind w:left="2540" w:right="939" w:hanging="280"/>
        <w:spacing w:after="0" w:line="263" w:lineRule="auto"/>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termination of employment or other restructuring measures affecting more than 10% of the Company’s total head count;</w:t>
      </w:r>
    </w:p>
    <w:p>
      <w:pPr>
        <w:spacing w:after="0" w:line="168" w:lineRule="exact"/>
        <w:rPr>
          <w:rFonts w:ascii="Arial" w:cs="Arial" w:eastAsia="Arial" w:hAnsi="Arial"/>
          <w:sz w:val="12"/>
          <w:szCs w:val="12"/>
          <w:color w:val="auto"/>
        </w:rPr>
      </w:pPr>
    </w:p>
    <w:p>
      <w:pPr>
        <w:ind w:left="2540" w:right="1139" w:hanging="280"/>
        <w:spacing w:after="0" w:line="276" w:lineRule="auto"/>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commencement and termination of legal action having a material effect or a financial risk exceeding €200,000, both by and against the Company;</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acquisition, sale or encumbrance of real estate, sections of land and comparable rights as well as their development;</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87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entry into speculative financial transactions (particularly investment in currencies, derivatives or securities);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granting security interests to third parties (excluding affiliates), particularly the assumption of suretyships and other guarantees;</w:t>
      </w:r>
    </w:p>
    <w:p>
      <w:pPr>
        <w:spacing w:after="0" w:line="168" w:lineRule="exact"/>
        <w:rPr>
          <w:rFonts w:ascii="Arial" w:cs="Arial" w:eastAsia="Arial" w:hAnsi="Arial"/>
          <w:sz w:val="12"/>
          <w:szCs w:val="12"/>
          <w:color w:val="auto"/>
        </w:rPr>
      </w:pPr>
    </w:p>
    <w:p>
      <w:pPr>
        <w:ind w:left="2540" w:right="85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entry into agreements with members of the Management Board or related persons within the meaning of Section 15 of the German Tax Code or corporations, with the exception of agreements with consolidated companies;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whole or partial sales of material portions of the Company’s assets or mergers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establishment or modification of administrative headquarters, branches or permanent establishments for tax purposes;</w:t>
      </w:r>
    </w:p>
    <w:p>
      <w:pPr>
        <w:spacing w:after="0" w:line="168"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grants and revocations of general powers of representation (</w:t>
      </w:r>
      <w:r>
        <w:rPr>
          <w:rFonts w:ascii="Arial" w:cs="Arial" w:eastAsia="Arial" w:hAnsi="Arial"/>
          <w:sz w:val="12"/>
          <w:szCs w:val="12"/>
          <w:i w:val="1"/>
          <w:iCs w:val="1"/>
          <w:color w:val="auto"/>
        </w:rPr>
        <w:t>Prokura</w:t>
      </w:r>
      <w:r>
        <w:rPr>
          <w:rFonts w:ascii="Arial" w:cs="Arial" w:eastAsia="Arial" w:hAnsi="Arial"/>
          <w:sz w:val="12"/>
          <w:szCs w:val="12"/>
          <w:color w:val="auto"/>
        </w:rPr>
        <w:t>) and general powers of attorney in accordance with applicable German laws;</w:t>
      </w:r>
    </w:p>
    <w:p>
      <w:pPr>
        <w:spacing w:after="0" w:line="132"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132" w:lineRule="exact"/>
        <w:rPr>
          <w:rFonts w:ascii="Arial" w:cs="Arial" w:eastAsia="Arial" w:hAnsi="Arial"/>
          <w:sz w:val="12"/>
          <w:szCs w:val="12"/>
          <w:color w:val="auto"/>
        </w:rPr>
      </w:pPr>
    </w:p>
    <w:p>
      <w:pPr>
        <w:ind w:left="2540" w:right="115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disposal of tangible and intangible assets (including trademarks, domains and patents) related to the Company’s operations outside the ordinary course of business;</w:t>
      </w:r>
    </w:p>
    <w:p>
      <w:pPr>
        <w:spacing w:after="0" w:line="132"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entry into, modification or termination of intercompany agreements within the meaning of Sections 291 et seq. of the German Stock Corporation Act;</w:t>
      </w:r>
    </w:p>
    <w:p>
      <w:pPr>
        <w:spacing w:after="0" w:line="132" w:lineRule="exact"/>
        <w:rPr>
          <w:rFonts w:ascii="Arial" w:cs="Arial" w:eastAsia="Arial" w:hAnsi="Arial"/>
          <w:sz w:val="12"/>
          <w:szCs w:val="12"/>
          <w:color w:val="auto"/>
        </w:rPr>
      </w:pPr>
    </w:p>
    <w:p>
      <w:pPr>
        <w:ind w:left="2540" w:right="107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entry into, modification or termination of joint venture agreements or consortium contracts and other partnership agreements outside the ordinary course of business; and</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changes to material accounting policies.</w:t>
      </w:r>
    </w:p>
    <w:p>
      <w:pPr>
        <w:spacing w:after="0" w:line="150"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Supervisory Board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our articles of association, our supervisory board shall consist of five (5) members. On October 5, Mr. Gerd Gruppe, deputy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chairperson of our supervisory board, resigned with immediate effect from his position for personal reasons. The remaining members of the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board elected Mr. Peter Müller-Brühl to serve as deputy chairperson of our supervisory board. To fill the vacant position, the supervisory board has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nominated Mr. Hans Königsmann to serve as substitute member on our supervisory board until the next general meeting held in 2022. Vacant positions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 the supervisory board can only be filled with an individual either elected by the general meeting or appointed by the competent court upon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application by the Company. Accordingly, on October 11, 2021, the supervisory board submitted an application to the competent local court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of Munich requesting the appointment of Mr. Hans Königsmann as member of our supervisory board. On October 14, 2021,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competent local court (</w:t>
      </w:r>
      <w:r>
        <w:rPr>
          <w:rFonts w:ascii="Arial" w:cs="Arial" w:eastAsia="Arial" w:hAnsi="Arial"/>
          <w:sz w:val="12"/>
          <w:szCs w:val="12"/>
          <w:i w:val="1"/>
          <w:iCs w:val="1"/>
          <w:color w:val="auto"/>
        </w:rPr>
        <w:t>Amtsgericht</w:t>
      </w:r>
      <w:r>
        <w:rPr>
          <w:rFonts w:ascii="Arial" w:cs="Arial" w:eastAsia="Arial" w:hAnsi="Arial"/>
          <w:sz w:val="12"/>
          <w:szCs w:val="12"/>
          <w:color w:val="auto"/>
        </w:rPr>
        <w:t>) of Munich appointed Mr. Hans Königsmann as a member of our supervisory board.</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supervisory board, their ages, their terms (which expire on the date of the relevant year’s general shareholders’ meeting) and their principal occupations: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Year in which</w:t>
            </w:r>
          </w:p>
        </w:tc>
        <w:tc>
          <w:tcPr>
            <w:tcW w:w="4340" w:type="dxa"/>
            <w:vAlign w:val="bottom"/>
          </w:tcPr>
          <w:p>
            <w:pPr>
              <w:spacing w:after="0"/>
              <w:rPr>
                <w:sz w:val="10"/>
                <w:szCs w:val="10"/>
                <w:color w:val="auto"/>
              </w:rPr>
            </w:pPr>
          </w:p>
        </w:tc>
      </w:tr>
      <w:tr>
        <w:trPr>
          <w:trHeight w:val="133"/>
        </w:trPr>
        <w:tc>
          <w:tcPr>
            <w:tcW w:w="19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Age</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Term Expires</w:t>
            </w:r>
          </w:p>
        </w:tc>
        <w:tc>
          <w:tcPr>
            <w:tcW w:w="4340" w:type="dxa"/>
            <w:vAlign w:val="bottom"/>
          </w:tcPr>
          <w:p>
            <w:pPr>
              <w:ind w:left="1740"/>
              <w:spacing w:after="0" w:line="114" w:lineRule="exact"/>
              <w:rPr>
                <w:sz w:val="20"/>
                <w:szCs w:val="20"/>
                <w:color w:val="auto"/>
              </w:rPr>
            </w:pPr>
            <w:r>
              <w:rPr>
                <w:rFonts w:ascii="Arial" w:cs="Arial" w:eastAsia="Arial" w:hAnsi="Arial"/>
                <w:sz w:val="10"/>
                <w:szCs w:val="10"/>
                <w:b w:val="1"/>
                <w:bCs w:val="1"/>
                <w:color w:val="auto"/>
              </w:rPr>
              <w:t>Principal occupation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Dr.</w:t>
            </w:r>
          </w:p>
        </w:tc>
        <w:tc>
          <w:tcPr>
            <w:tcW w:w="1660" w:type="dxa"/>
            <w:vAlign w:val="bottom"/>
          </w:tcPr>
          <w:p>
            <w:pPr>
              <w:spacing w:after="0" w:line="100" w:lineRule="exact"/>
              <w:rPr>
                <w:sz w:val="20"/>
                <w:szCs w:val="20"/>
                <w:color w:val="auto"/>
              </w:rPr>
            </w:pPr>
            <w:r>
              <w:rPr>
                <w:rFonts w:ascii="Arial" w:cs="Arial" w:eastAsia="Arial" w:hAnsi="Arial"/>
                <w:sz w:val="11"/>
                <w:szCs w:val="11"/>
                <w:color w:val="auto"/>
              </w:rPr>
              <w:t>Manfred Krischke (chairperson)</w:t>
            </w:r>
          </w:p>
        </w:tc>
        <w:tc>
          <w:tcPr>
            <w:tcW w:w="18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55</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ind w:right="428"/>
              <w:spacing w:after="0" w:line="108" w:lineRule="exact"/>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9"/>
                <w:szCs w:val="9"/>
                <w:color w:val="auto"/>
              </w:rPr>
            </w:pPr>
          </w:p>
        </w:tc>
        <w:tc>
          <w:tcPr>
            <w:tcW w:w="43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 of cloudeo AG</w:t>
            </w:r>
          </w:p>
        </w:tc>
      </w:tr>
      <w:tr>
        <w:trPr>
          <w:trHeight w:val="135"/>
        </w:trPr>
        <w:tc>
          <w:tcPr>
            <w:tcW w:w="1900" w:type="dxa"/>
            <w:vAlign w:val="bottom"/>
            <w:gridSpan w:val="2"/>
          </w:tcPr>
          <w:p>
            <w:pPr>
              <w:spacing w:after="0"/>
              <w:rPr>
                <w:sz w:val="20"/>
                <w:szCs w:val="20"/>
                <w:color w:val="auto"/>
              </w:rPr>
            </w:pPr>
            <w:r>
              <w:rPr>
                <w:rFonts w:ascii="Arial" w:cs="Arial" w:eastAsia="Arial" w:hAnsi="Arial"/>
                <w:sz w:val="11"/>
                <w:szCs w:val="11"/>
                <w:color w:val="auto"/>
                <w:w w:val="97"/>
              </w:rPr>
              <w:t>Peter Müller-Brühl (deputy chairperson)</w:t>
            </w:r>
          </w:p>
        </w:tc>
        <w:tc>
          <w:tcPr>
            <w:tcW w:w="180" w:type="dxa"/>
            <w:vAlign w:val="bottom"/>
          </w:tcPr>
          <w:p>
            <w:pPr>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Chief operating officer of GreenCom Networks AG</w:t>
            </w:r>
          </w:p>
        </w:tc>
      </w:tr>
      <w:tr>
        <w:trPr>
          <w:trHeight w:val="131"/>
        </w:trPr>
        <w:tc>
          <w:tcPr>
            <w:tcW w:w="1900" w:type="dxa"/>
            <w:vAlign w:val="bottom"/>
            <w:gridSpan w:val="2"/>
          </w:tcPr>
          <w:p>
            <w:pPr>
              <w:spacing w:after="0"/>
              <w:rPr>
                <w:sz w:val="20"/>
                <w:szCs w:val="20"/>
                <w:color w:val="auto"/>
              </w:rPr>
            </w:pPr>
            <w:r>
              <w:rPr>
                <w:rFonts w:ascii="Arial" w:cs="Arial" w:eastAsia="Arial" w:hAnsi="Arial"/>
                <w:sz w:val="11"/>
                <w:szCs w:val="11"/>
                <w:color w:val="auto"/>
              </w:rPr>
              <w:t>Steve Geskos</w:t>
            </w:r>
          </w:p>
        </w:tc>
        <w:tc>
          <w:tcPr>
            <w:tcW w:w="180" w:type="dxa"/>
            <w:vAlign w:val="bottom"/>
          </w:tcPr>
          <w:p>
            <w:pPr>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Managing director of Rose Park Advisors</w:t>
            </w: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9"/>
                <w:szCs w:val="9"/>
                <w:color w:val="auto"/>
              </w:rPr>
              <w:t>Hans Königsmann</w:t>
            </w:r>
            <w:r>
              <w:rPr>
                <w:rFonts w:ascii="Arial" w:cs="Arial" w:eastAsia="Arial" w:hAnsi="Arial"/>
                <w:sz w:val="15"/>
                <w:szCs w:val="15"/>
                <w:color w:val="auto"/>
                <w:vertAlign w:val="superscript"/>
              </w:rPr>
              <w:t>(2)</w:t>
            </w:r>
          </w:p>
        </w:tc>
        <w:tc>
          <w:tcPr>
            <w:tcW w:w="180" w:type="dxa"/>
            <w:vAlign w:val="bottom"/>
          </w:tcPr>
          <w:p>
            <w:pPr>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Former vice president of flight reliability at SpaceX</w:t>
            </w:r>
          </w:p>
        </w:tc>
      </w:tr>
      <w:tr>
        <w:trPr>
          <w:trHeight w:val="238"/>
        </w:trPr>
        <w:tc>
          <w:tcPr>
            <w:tcW w:w="1900" w:type="dxa"/>
            <w:vAlign w:val="bottom"/>
            <w:gridSpan w:val="2"/>
          </w:tcPr>
          <w:p>
            <w:pPr>
              <w:spacing w:after="0"/>
              <w:rPr>
                <w:sz w:val="20"/>
                <w:szCs w:val="20"/>
                <w:color w:val="auto"/>
              </w:rPr>
            </w:pPr>
            <w:r>
              <w:rPr>
                <w:rFonts w:ascii="Arial" w:cs="Arial" w:eastAsia="Arial" w:hAnsi="Arial"/>
                <w:sz w:val="11"/>
                <w:szCs w:val="11"/>
                <w:color w:val="auto"/>
              </w:rPr>
              <w:t>Vincent Wobbe</w:t>
            </w:r>
            <w:r>
              <w:rPr>
                <w:rFonts w:ascii="Arial" w:cs="Arial" w:eastAsia="Arial" w:hAnsi="Arial"/>
                <w:sz w:val="18"/>
                <w:szCs w:val="18"/>
                <w:color w:val="auto"/>
                <w:vertAlign w:val="superscript"/>
              </w:rPr>
              <w:t>(3)</w:t>
            </w:r>
          </w:p>
        </w:tc>
        <w:tc>
          <w:tcPr>
            <w:tcW w:w="180" w:type="dxa"/>
            <w:vAlign w:val="bottom"/>
          </w:tcPr>
          <w:p>
            <w:pPr>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0"/>
                <w:szCs w:val="20"/>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1"/>
                <w:szCs w:val="11"/>
                <w:color w:val="auto"/>
                <w:w w:val="89"/>
              </w:rPr>
              <w:t>Head of public markets investments &amp; co-head equity capital markets of Apeiron Investment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-2540</wp:posOffset>
            </wp:positionV>
            <wp:extent cx="51435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260" w:right="1059" w:hanging="288"/>
        <w:spacing w:after="0" w:line="214"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Peter Müller-Brühl was elected deputy chairperson in the supervisory board meeting held on October 5, 2021 following resignation of Gerd Gruppe as member of the supervisory board.</w:t>
      </w:r>
    </w:p>
    <w:p>
      <w:pPr>
        <w:ind w:left="2260" w:right="999" w:hanging="288"/>
        <w:spacing w:after="0" w:line="206"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Hans Königsmann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Gerd Gruppe as a member of the supervisory board in October 2021.</w:t>
      </w:r>
    </w:p>
    <w:p>
      <w:pPr>
        <w:ind w:left="2260" w:right="1099" w:hanging="288"/>
        <w:spacing w:after="0" w:line="221"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Vincent Wobbe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Thomas Hanke as member of the supervisory board in June 2021.</w:t>
      </w:r>
    </w:p>
    <w:p>
      <w:pPr>
        <w:spacing w:after="0" w:line="12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Unless otherwise indicated, the current business address for each supervisory board member is the same as our business address: Dornierstraße 19, 82205 Gilching, Germany.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supervisory board:</w:t>
      </w:r>
    </w:p>
    <w:p>
      <w:pPr>
        <w:spacing w:after="0" w:line="150"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b w:val="1"/>
          <w:bCs w:val="1"/>
          <w:i w:val="1"/>
          <w:iCs w:val="1"/>
          <w:color w:val="auto"/>
        </w:rPr>
        <w:t xml:space="preserve">Dr. Manfred Krischke </w:t>
      </w:r>
      <w:r>
        <w:rPr>
          <w:rFonts w:ascii="Arial" w:cs="Arial" w:eastAsia="Arial" w:hAnsi="Arial"/>
          <w:sz w:val="10"/>
          <w:szCs w:val="10"/>
          <w:color w:val="auto"/>
        </w:rPr>
        <w:t>has been a member of our supervisory board since May 2017 and currently serves as chairperson of our supervisory board.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0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Peter Müller-Brühl </w:t>
      </w:r>
      <w:r>
        <w:rPr>
          <w:rFonts w:ascii="Arial" w:cs="Arial" w:eastAsia="Arial" w:hAnsi="Arial"/>
          <w:sz w:val="11"/>
          <w:szCs w:val="11"/>
          <w:color w:val="auto"/>
        </w:rPr>
        <w:t>has been a member of our supervisory board since July 2018. Mr. Müller-Brühl holds business degrees from Middlesex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chief operating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b w:val="1"/>
          <w:bCs w:val="1"/>
          <w:i w:val="1"/>
          <w:iCs w:val="1"/>
          <w:color w:val="auto"/>
        </w:rPr>
        <w:t xml:space="preserve">Steve Geskos </w:t>
      </w:r>
      <w:r>
        <w:rPr>
          <w:rFonts w:ascii="Arial" w:cs="Arial" w:eastAsia="Arial" w:hAnsi="Arial"/>
          <w:sz w:val="11"/>
          <w:szCs w:val="11"/>
          <w:color w:val="auto"/>
        </w:rPr>
        <w:t>has been a member of our supervisory board since May 2021. He received a B.A. in history from Brandeis University and an MBA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 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 xml:space="preserve">Hans Königsmann </w:t>
      </w:r>
      <w:r>
        <w:rPr>
          <w:rFonts w:ascii="Arial" w:cs="Arial" w:eastAsia="Arial" w:hAnsi="Arial"/>
          <w:sz w:val="11"/>
          <w:szCs w:val="11"/>
          <w:color w:val="auto"/>
        </w:rPr>
        <w:t>has been a member of our supervisory board since October 2021. He holds a degree in aerospace engineering (</w:t>
      </w:r>
      <w:r>
        <w:rPr>
          <w:rFonts w:ascii="Arial" w:cs="Arial" w:eastAsia="Arial" w:hAnsi="Arial"/>
          <w:sz w:val="11"/>
          <w:szCs w:val="11"/>
          <w:i w:val="1"/>
          <w:iCs w:val="1"/>
          <w:color w:val="auto"/>
        </w:rPr>
        <w:t>Dipl.-Ingenieur</w:t>
      </w:r>
      <w:r>
        <w:rPr>
          <w:rFonts w:ascii="Arial" w:cs="Arial" w:eastAsia="Arial" w:hAnsi="Arial"/>
          <w:sz w:val="11"/>
          <w:szCs w:val="11"/>
          <w:color w:val="auto"/>
        </w:rPr>
        <w:t>,</w:t>
      </w:r>
      <w:r>
        <w:rPr>
          <w:rFonts w:ascii="Arial" w:cs="Arial" w:eastAsia="Arial" w:hAnsi="Arial"/>
          <w:sz w:val="11"/>
          <w:szCs w:val="11"/>
          <w:i w:val="1"/>
          <w:iCs w:val="1"/>
          <w:color w:val="auto"/>
        </w:rPr>
        <w:t xml:space="preserve"> Aerospace</w:t>
      </w:r>
      <w:r>
        <w:rPr>
          <w:rFonts w:ascii="Arial" w:cs="Arial" w:eastAsia="Arial" w:hAnsi="Arial"/>
          <w:sz w:val="11"/>
          <w:szCs w:val="11"/>
          <w:color w:val="auto"/>
        </w:rPr>
        <w:t>) from the Technical University Berlin and a Ph.D. in aerospace engineering and production technology from the University of</w:t>
      </w:r>
      <w:r>
        <w:rPr>
          <w:rFonts w:ascii="Arial" w:cs="Arial" w:eastAsia="Arial" w:hAnsi="Arial"/>
          <w:sz w:val="11"/>
          <w:szCs w:val="11"/>
          <w:i w:val="1"/>
          <w:iCs w:val="1"/>
          <w:color w:val="auto"/>
        </w:rPr>
        <w:t xml:space="preserve"> </w:t>
      </w:r>
      <w:r>
        <w:rPr>
          <w:rFonts w:ascii="Arial" w:cs="Arial" w:eastAsia="Arial" w:hAnsi="Arial"/>
          <w:sz w:val="11"/>
          <w:szCs w:val="11"/>
          <w:color w:val="auto"/>
        </w:rPr>
        <w:t>Bremen. Mr. Königsmann started his career in 1989, first as research assistant and later as space system division manager, at the Center of Applied Space Technology and Microgravity at the University of Bremen. In 1996, he joined Microcosm, Inc. as chief scientist, responsible, among other things, for the development of algorithms and simulations to control spacecraft attitude and orbital position. In 2002, Mr. Königsmann joined Space Exploration Technologies (SpaceX), where he remained for nearly 20 years until his retirement in 2021. During his time at SpaceX, he held the positions of vice president Avionics until 2008, vice president launch chief engineer until 2012 and vice president of flight reliability until September 2021. Ultimately, he was responsible for the reliability from production through the operational lifecycle of the vehicles Falcon 9 and Dragon, including re-used boosters and fairing. Mr. Königsmann was awarded the NASA Distinguished Public Service Medal in 2014, the highest form of recognition by NASA for non-Government individuals.</w:t>
      </w:r>
    </w:p>
    <w:p>
      <w:pPr>
        <w:spacing w:after="0" w:line="119"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b w:val="1"/>
          <w:bCs w:val="1"/>
          <w:i w:val="1"/>
          <w:iCs w:val="1"/>
          <w:color w:val="auto"/>
        </w:rPr>
        <w:t xml:space="preserve">Vincent Wobbe </w:t>
      </w:r>
      <w:r>
        <w:rPr>
          <w:rFonts w:ascii="Arial" w:cs="Arial" w:eastAsia="Arial" w:hAnsi="Arial"/>
          <w:sz w:val="10"/>
          <w:szCs w:val="10"/>
          <w:color w:val="auto"/>
        </w:rPr>
        <w:t>has been a member of our supervisory board since June 2021. Mr. Wobbe holds a Master of Science in Financial Management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from Hull University Business School and a Bachelor of Science in European Management from the European Business School.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as head of public markets investments and co-head of the equity capital markets team. He currently serves on the supervisory board of nextmarkets AG.</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Supervisory Board Practices</w:t>
      </w:r>
    </w:p>
    <w:p>
      <w:pPr>
        <w:spacing w:after="0" w:line="150" w:lineRule="exact"/>
        <w:rPr>
          <w:sz w:val="20"/>
          <w:szCs w:val="20"/>
          <w:color w:val="auto"/>
        </w:rPr>
      </w:pPr>
    </w:p>
    <w:p>
      <w:pPr>
        <w:jc w:val="both"/>
        <w:ind w:left="1980" w:right="939" w:firstLine="294"/>
        <w:spacing w:after="0" w:line="289" w:lineRule="auto"/>
        <w:rPr>
          <w:sz w:val="20"/>
          <w:szCs w:val="20"/>
          <w:color w:val="auto"/>
        </w:rPr>
      </w:pPr>
      <w:r>
        <w:rPr>
          <w:rFonts w:ascii="Arial" w:cs="Arial" w:eastAsia="Arial" w:hAnsi="Arial"/>
          <w:sz w:val="11"/>
          <w:szCs w:val="11"/>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24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0159"/>
          </w:cols>
          <w:pgMar w:left="30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firstLine="294"/>
        <w:spacing w:after="0" w:line="259" w:lineRule="auto"/>
        <w:rPr>
          <w:sz w:val="20"/>
          <w:szCs w:val="20"/>
          <w:color w:val="auto"/>
        </w:rPr>
      </w:pPr>
      <w:r>
        <w:rPr>
          <w:rFonts w:ascii="Arial" w:cs="Arial" w:eastAsia="Arial" w:hAnsi="Arial"/>
          <w:sz w:val="12"/>
          <w:szCs w:val="12"/>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124" w:lineRule="exact"/>
        <w:rPr>
          <w:sz w:val="20"/>
          <w:szCs w:val="20"/>
          <w:color w:val="auto"/>
        </w:rPr>
      </w:pPr>
    </w:p>
    <w:p>
      <w:pPr>
        <w:jc w:val="both"/>
        <w:ind w:left="1980" w:right="899" w:firstLine="294"/>
        <w:spacing w:after="0" w:line="276" w:lineRule="auto"/>
        <w:rPr>
          <w:sz w:val="20"/>
          <w:szCs w:val="20"/>
          <w:color w:val="auto"/>
        </w:rPr>
      </w:pPr>
      <w:r>
        <w:rPr>
          <w:rFonts w:ascii="Arial" w:cs="Arial" w:eastAsia="Arial" w:hAnsi="Arial"/>
          <w:sz w:val="12"/>
          <w:szCs w:val="12"/>
          <w:color w:val="auto"/>
        </w:rPr>
        <w:t>Pursuant to its internal rules of procedure, the supervisory board has established an audit committee, a compensation committee and a nomination committee: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Name of committee</w:t>
            </w:r>
          </w:p>
        </w:tc>
        <w:tc>
          <w:tcPr>
            <w:tcW w:w="3160" w:type="dxa"/>
            <w:vAlign w:val="bottom"/>
            <w:gridSpan w:val="2"/>
          </w:tcPr>
          <w:p>
            <w:pPr>
              <w:spacing w:after="0"/>
              <w:rPr>
                <w:sz w:val="20"/>
                <w:szCs w:val="20"/>
                <w:color w:val="auto"/>
              </w:rPr>
            </w:pPr>
            <w:r>
              <w:rPr>
                <w:rFonts w:ascii="Arial" w:cs="Arial" w:eastAsia="Arial" w:hAnsi="Arial"/>
                <w:sz w:val="10"/>
                <w:szCs w:val="10"/>
                <w:b w:val="1"/>
                <w:bCs w:val="1"/>
                <w:color w:val="auto"/>
              </w:rPr>
              <w:t>Current Members</w:t>
            </w:r>
          </w:p>
        </w:tc>
      </w:tr>
      <w:tr>
        <w:trPr>
          <w:trHeight w:val="119"/>
        </w:trPr>
        <w:tc>
          <w:tcPr>
            <w:tcW w:w="80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w w:val="98"/>
              </w:rPr>
              <w:t>Audit committee</w:t>
            </w:r>
          </w:p>
        </w:tc>
        <w:tc>
          <w:tcPr>
            <w:tcW w:w="30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rPr>
              <w:t>Steve Geskos</w:t>
            </w:r>
          </w:p>
        </w:tc>
        <w:tc>
          <w:tcPr>
            <w:tcW w:w="2400" w:type="dxa"/>
            <w:vAlign w:val="bottom"/>
          </w:tcPr>
          <w:p>
            <w:pPr>
              <w:spacing w:after="0" w:line="119" w:lineRule="exact"/>
              <w:rPr>
                <w:sz w:val="20"/>
                <w:szCs w:val="20"/>
                <w:color w:val="auto"/>
              </w:rPr>
            </w:pPr>
            <w:r>
              <w:rPr>
                <w:rFonts w:ascii="Arial" w:cs="Arial" w:eastAsia="Arial" w:hAnsi="Arial"/>
                <w:sz w:val="11"/>
                <w:szCs w:val="11"/>
                <w:color w:val="auto"/>
                <w:w w:val="88"/>
              </w:rPr>
              <w:t>(chairperson), Manfred Krischke and Peter-Müller Brühl</w:t>
            </w:r>
          </w:p>
        </w:tc>
      </w:tr>
      <w:tr>
        <w:trPr>
          <w:trHeight w:val="135"/>
        </w:trPr>
        <w:tc>
          <w:tcPr>
            <w:tcW w:w="3880" w:type="dxa"/>
            <w:vAlign w:val="bottom"/>
            <w:gridSpan w:val="2"/>
          </w:tcPr>
          <w:p>
            <w:pPr>
              <w:spacing w:after="0"/>
              <w:rPr>
                <w:sz w:val="20"/>
                <w:szCs w:val="20"/>
                <w:color w:val="auto"/>
              </w:rPr>
            </w:pPr>
            <w:r>
              <w:rPr>
                <w:rFonts w:ascii="Arial" w:cs="Arial" w:eastAsia="Arial" w:hAnsi="Arial"/>
                <w:sz w:val="11"/>
                <w:szCs w:val="11"/>
                <w:color w:val="auto"/>
              </w:rPr>
              <w:t>Compensation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r>
        <w:trPr>
          <w:trHeight w:val="145"/>
        </w:trPr>
        <w:tc>
          <w:tcPr>
            <w:tcW w:w="3880" w:type="dxa"/>
            <w:vAlign w:val="bottom"/>
            <w:gridSpan w:val="2"/>
          </w:tcPr>
          <w:p>
            <w:pPr>
              <w:spacing w:after="0"/>
              <w:rPr>
                <w:sz w:val="20"/>
                <w:szCs w:val="20"/>
                <w:color w:val="auto"/>
              </w:rPr>
            </w:pPr>
            <w:r>
              <w:rPr>
                <w:rFonts w:ascii="Arial" w:cs="Arial" w:eastAsia="Arial" w:hAnsi="Arial"/>
                <w:sz w:val="11"/>
                <w:szCs w:val="11"/>
                <w:color w:val="auto"/>
              </w:rPr>
              <w:t>Corporate governance and nominations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Audit Committee</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Our audit committee assists the supervisory board in 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audit committee’s duties and responsibilities to carry out its purposes include, among others:</w:t>
      </w:r>
    </w:p>
    <w:p>
      <w:pPr>
        <w:spacing w:after="0" w:line="168" w:lineRule="exact"/>
        <w:rPr>
          <w:sz w:val="20"/>
          <w:szCs w:val="20"/>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review of our accounting processes;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review of the effectiveness of our internal control systems, risk management and compliance;</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review and the handling of matters and processes related to auditor independence;</w:t>
      </w:r>
    </w:p>
    <w:p>
      <w:pPr>
        <w:spacing w:after="0" w:line="168"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preparation of the supervisory board recommendation to the shareholders’ meeting on the appointment of the independent auditors to audit our financial statements and the related proposal to the supervisory board;</w:t>
      </w:r>
    </w:p>
    <w:p>
      <w:pPr>
        <w:spacing w:after="0" w:line="132" w:lineRule="exact"/>
        <w:rPr>
          <w:rFonts w:ascii="Arial" w:cs="Arial" w:eastAsia="Arial" w:hAnsi="Arial"/>
          <w:sz w:val="12"/>
          <w:szCs w:val="12"/>
          <w:color w:val="auto"/>
        </w:rPr>
      </w:pPr>
    </w:p>
    <w:p>
      <w:pPr>
        <w:ind w:left="2540" w:right="1019" w:hanging="280"/>
        <w:spacing w:after="0" w:line="263"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140" w:lineRule="exact"/>
        <w:rPr>
          <w:rFonts w:ascii="Arial" w:cs="Arial" w:eastAsia="Arial" w:hAnsi="Arial"/>
          <w:sz w:val="12"/>
          <w:szCs w:val="12"/>
          <w:color w:val="auto"/>
        </w:rPr>
      </w:pPr>
    </w:p>
    <w:p>
      <w:pPr>
        <w:ind w:left="2540" w:right="143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pre-approval, or the adoption of appropriate procedures to pre-approve, all audit and non-audit services to be provided by the independent auditors;</w:t>
      </w:r>
    </w:p>
    <w:p>
      <w:pPr>
        <w:spacing w:after="0" w:line="132" w:lineRule="exact"/>
        <w:rPr>
          <w:rFonts w:ascii="Arial" w:cs="Arial" w:eastAsia="Arial" w:hAnsi="Arial"/>
          <w:sz w:val="12"/>
          <w:szCs w:val="12"/>
          <w:color w:val="auto"/>
        </w:rPr>
      </w:pPr>
    </w:p>
    <w:p>
      <w:pPr>
        <w:ind w:left="2540" w:right="899" w:hanging="280"/>
        <w:spacing w:after="0" w:line="263"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review and approval of all our related party transactions in accordance with our policies in effect from time to time.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audit committee has the resources and authority appropriate to discharge its duties and responsibilities, including the authority to select, retain, terminate, and approve the fees and other engagement terms of special 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0159"/>
          </w:cols>
          <w:pgMar w:left="30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85" w:lineRule="auto"/>
        <w:rPr>
          <w:sz w:val="20"/>
          <w:szCs w:val="20"/>
          <w:color w:val="auto"/>
        </w:rPr>
      </w:pPr>
      <w:r>
        <w:rPr>
          <w:rFonts w:ascii="Arial" w:cs="Arial" w:eastAsia="Arial" w:hAnsi="Arial"/>
          <w:sz w:val="11"/>
          <w:szCs w:val="11"/>
          <w:color w:val="auto"/>
        </w:rPr>
        <w:t>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Subject to certain limited exceptions, each member of the audit committee must be independent according to the following criteria:</w:t>
      </w:r>
    </w:p>
    <w:p>
      <w:pPr>
        <w:spacing w:after="0" w:line="168" w:lineRule="exact"/>
        <w:rPr>
          <w:sz w:val="20"/>
          <w:szCs w:val="20"/>
          <w:color w:val="auto"/>
        </w:rPr>
      </w:pPr>
    </w:p>
    <w:p>
      <w:pPr>
        <w:ind w:left="2540" w:right="859" w:hanging="280"/>
        <w:spacing w:after="0" w:line="323" w:lineRule="auto"/>
        <w:tabs>
          <w:tab w:leader="none" w:pos="2540" w:val="left"/>
        </w:tabs>
        <w:numPr>
          <w:ilvl w:val="0"/>
          <w:numId w:val="47"/>
        </w:numPr>
        <w:rPr>
          <w:rFonts w:ascii="Arial" w:cs="Arial" w:eastAsia="Arial" w:hAnsi="Arial"/>
          <w:sz w:val="11"/>
          <w:szCs w:val="11"/>
          <w:color w:val="auto"/>
        </w:rPr>
      </w:pPr>
      <w:r>
        <w:rPr>
          <w:rFonts w:ascii="Arial" w:cs="Arial" w:eastAsia="Arial" w:hAnsi="Arial"/>
          <w:sz w:val="11"/>
          <w:szCs w:val="11"/>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109" w:lineRule="exact"/>
        <w:rPr>
          <w:rFonts w:ascii="Arial" w:cs="Arial" w:eastAsia="Arial" w:hAnsi="Arial"/>
          <w:sz w:val="11"/>
          <w:szCs w:val="11"/>
          <w:color w:val="auto"/>
        </w:rPr>
      </w:pPr>
    </w:p>
    <w:p>
      <w:pPr>
        <w:ind w:left="2540" w:right="879" w:hanging="280"/>
        <w:spacing w:after="0" w:line="259" w:lineRule="auto"/>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At least one member of the audit committee shall qualify as an “audit committee financial expert” as defined under the Exchange Act.</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Compensation Committee</w:t>
      </w:r>
    </w:p>
    <w:p>
      <w:pPr>
        <w:spacing w:after="0" w:line="15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Our compensation committee consists of three members, one of whom is the chairperson of the supervisory board. Our compensation committee is responsible for:</w:t>
      </w:r>
    </w:p>
    <w:p>
      <w:pPr>
        <w:spacing w:after="0" w:line="133" w:lineRule="exact"/>
        <w:rPr>
          <w:sz w:val="20"/>
          <w:szCs w:val="20"/>
          <w:color w:val="auto"/>
        </w:rPr>
      </w:pPr>
    </w:p>
    <w:p>
      <w:pPr>
        <w:ind w:left="2540" w:right="899" w:hanging="280"/>
        <w:spacing w:after="0" w:line="259"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142" w:lineRule="exact"/>
        <w:rPr>
          <w:rFonts w:ascii="Arial" w:cs="Arial" w:eastAsia="Arial" w:hAnsi="Arial"/>
          <w:sz w:val="12"/>
          <w:szCs w:val="12"/>
          <w:color w:val="auto"/>
        </w:rPr>
      </w:pPr>
    </w:p>
    <w:p>
      <w:pPr>
        <w:ind w:left="2540" w:right="117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considering the compensation and general employment terms for second level management, and in this regard it is authorized to make recommendations to the management board;</w:t>
      </w:r>
    </w:p>
    <w:p>
      <w:pPr>
        <w:spacing w:after="0" w:line="132" w:lineRule="exact"/>
        <w:rPr>
          <w:rFonts w:ascii="Arial" w:cs="Arial" w:eastAsia="Arial" w:hAnsi="Arial"/>
          <w:sz w:val="12"/>
          <w:szCs w:val="12"/>
          <w:color w:val="auto"/>
        </w:rPr>
      </w:pPr>
    </w:p>
    <w:p>
      <w:pPr>
        <w:jc w:val="both"/>
        <w:ind w:left="2540" w:right="97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140" w:lineRule="exact"/>
        <w:rPr>
          <w:rFonts w:ascii="Arial" w:cs="Arial" w:eastAsia="Arial" w:hAnsi="Arial"/>
          <w:sz w:val="12"/>
          <w:szCs w:val="12"/>
          <w:color w:val="auto"/>
        </w:rPr>
      </w:pPr>
    </w:p>
    <w:p>
      <w:pPr>
        <w:ind w:left="2540" w:right="109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presenting an evaluation of the management board’s performance and making a recommendation to the supervisory board regarding the employment terms and compensation of the management board;</w:t>
      </w:r>
    </w:p>
    <w:p>
      <w:pPr>
        <w:spacing w:after="0" w:line="132" w:lineRule="exact"/>
        <w:rPr>
          <w:rFonts w:ascii="Arial" w:cs="Arial" w:eastAsia="Arial" w:hAnsi="Arial"/>
          <w:sz w:val="12"/>
          <w:szCs w:val="12"/>
          <w:color w:val="auto"/>
        </w:rPr>
      </w:pPr>
    </w:p>
    <w:p>
      <w:pPr>
        <w:jc w:val="both"/>
        <w:ind w:left="2540" w:right="103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140" w:lineRule="exact"/>
        <w:rPr>
          <w:rFonts w:ascii="Arial" w:cs="Arial" w:eastAsia="Arial" w:hAnsi="Arial"/>
          <w:sz w:val="12"/>
          <w:szCs w:val="12"/>
          <w:color w:val="auto"/>
        </w:rPr>
      </w:pPr>
    </w:p>
    <w:p>
      <w:pPr>
        <w:ind w:left="2540" w:right="123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examining compensation guidelines that serve as a framework for all compensation matters to be submitted to and determined by the supervisory board.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Corporate Governance and Nominations Committee</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Our corporate governance and nominations committee consists of at least three members. The committee is responsible for, among other things, preparing all recommendations to the supervisory board with regard to the following items:</w:t>
      </w:r>
    </w:p>
    <w:p>
      <w:pPr>
        <w:spacing w:after="0" w:line="133" w:lineRule="exact"/>
        <w:rPr>
          <w:sz w:val="20"/>
          <w:szCs w:val="20"/>
          <w:color w:val="auto"/>
        </w:rPr>
      </w:pPr>
    </w:p>
    <w:p>
      <w:pPr>
        <w:ind w:left="2540" w:hanging="280"/>
        <w:spacing w:after="0"/>
        <w:tabs>
          <w:tab w:leader="none" w:pos="25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the appointment and dismissal of management board members, as well as the nomination of the management board chairperson;</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completion of, amendments to and termination of employment contracts with management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election proposals for suitable supervisory board candidates to be presented to the shareholders’ meeting.</w:t>
      </w:r>
    </w:p>
    <w:p>
      <w:pPr>
        <w:spacing w:after="0" w:line="150" w:lineRule="exact"/>
        <w:rPr>
          <w:sz w:val="20"/>
          <w:szCs w:val="20"/>
          <w:color w:val="auto"/>
        </w:rPr>
      </w:pPr>
    </w:p>
    <w:p>
      <w:pPr>
        <w:jc w:val="both"/>
        <w:ind w:left="1980" w:right="959" w:firstLine="294"/>
        <w:spacing w:after="0" w:line="298" w:lineRule="auto"/>
        <w:rPr>
          <w:sz w:val="20"/>
          <w:szCs w:val="20"/>
          <w:color w:val="auto"/>
        </w:rPr>
      </w:pPr>
      <w:r>
        <w:rPr>
          <w:rFonts w:ascii="Arial" w:cs="Arial" w:eastAsia="Arial" w:hAnsi="Arial"/>
          <w:sz w:val="11"/>
          <w:szCs w:val="11"/>
          <w:color w:val="auto"/>
        </w:rPr>
        <w:t>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of Management Board and Supervisory Board Members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Management Board Members</w:t>
      </w:r>
    </w:p>
    <w:p>
      <w:pPr>
        <w:spacing w:after="0" w:line="150"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The service agreements entered into with the members of our management board provide for an annual fixed base salary and an annual performance award (annual bonus). In addition to the fixed and variable remuneration components, the members of our management board are entitled to additional benefits under the terms of their service agreements, including reimbursement of out-of-pocket expenses incurred in the course of providing services to our Company in accordance with our applicable expense policies. We have obtained directors’ &amp; officers’ (D&amp;O) indemnity insurance policies for the benefit of the members of our management board covering the statutory liability arising from their activities in this capacity. The D&amp;O insurance has a deductible of 10% of the damage incurred. Following this offering, we will re-evaluate the compensation paid under the service agreements entered into with the members of our management board and may consider an increase of such compensation.</w:t>
      </w:r>
    </w:p>
    <w:p>
      <w:pPr>
        <w:spacing w:after="0" w:line="115"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The current members of the management board are entitled to a bonus payment in the case of a successful closing of an offering of our shares or of ADSs representing our shares on the New York Stock Exchange or Nasdaq including this offering (the “IPO Bonus”). The amounts to be paid to the beneficiaries under the IPO Bonus depend on the amount of gross proceeds raised in this offering. If the gross proceeds of this offering (taking into account any proceeds of the underwriters’ option to purchase additional ADSs) equal or exceed $150 million, Mr. Altan, Mr. Berndt-von Bülow and Mr. Horwath will be entitled to an IPO Bonus payment of 0.7%, 0.5% and 0.3%, respectively, of the amount of gross proceeds. If the gross proceeds of this offering (taking into account any proceeds of the underwriters’ option to purchase additional ADSs) equal or exceed $100 million but amount to less than $150 million, the IPO Bonus will be calculated on a linear basis in which case the minimum IPO Bonus entitlement (i.e., in case gross proceeds amount to $100 million) of Mr. Altan, Mr. Berndt-von Bülow and Mr. Horwath will amount to 0.35%, 0.25% and 0.15%, respectively, of the gross proceeds of the offering. While the IPO Bonus will be paid out in cash, each beneficiary is obliged to re-invest 50% of such beneficiary’s bonus payment in our shares or ADSs representing shares in the Company (“IPO Bonus Shares”). Each beneficiary is obliged to hold the IPO Bonus Shares, subject to a repayment obligation further explained below, for a minimum period of 12 months following this offering and may not transfer, pledge or otherwise dispose of the IPO Bonus Shares during such period. If a beneficiary ceases to a be a member of our management board during such 12 month period for reasons that are attributable to such beneficiary, such beneficiary will be obliged</w:t>
      </w:r>
    </w:p>
    <w:p>
      <w:pPr>
        <w:spacing w:after="0" w:line="7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to repay to the Company an amount of cash equal to the actual amount re-invested in the IPO Bonus Shares unless the supervisory board decides otherwise.</w:t>
      </w:r>
    </w:p>
    <w:p>
      <w:pPr>
        <w:spacing w:after="0" w:line="115"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In addition, Bulent Altan (CEO) and Stefan Berndt-von Bülow (CFO), both current members of our management board, are entitled to a yearly cash bonus of up to €125,000 and €200,000, respectively, if certain annual goals agreed upon by the management board and the Company have been met. In addition, both are entitled to a one-time bonus for investments by strategic investors which exceed 5% of the then current share capital of the Company.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We believe that the service agreements between us and the members of our management board provide for payments and benefits that are in line with customary market practice for similar companies who are operating in our industry.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Remuneration of the Members of the Management Board in 2020</w:t>
      </w:r>
    </w:p>
    <w:p>
      <w:pPr>
        <w:spacing w:after="0" w:line="150" w:lineRule="exact"/>
        <w:rPr>
          <w:sz w:val="20"/>
          <w:szCs w:val="20"/>
          <w:color w:val="auto"/>
        </w:rPr>
      </w:pPr>
    </w:p>
    <w:p>
      <w:pPr>
        <w:jc w:val="both"/>
        <w:ind w:left="1980" w:right="1019" w:firstLine="294"/>
        <w:spacing w:after="0" w:line="298" w:lineRule="auto"/>
        <w:rPr>
          <w:sz w:val="20"/>
          <w:szCs w:val="20"/>
          <w:color w:val="auto"/>
        </w:rPr>
      </w:pPr>
      <w:r>
        <w:rPr>
          <w:rFonts w:ascii="Arial" w:cs="Arial" w:eastAsia="Arial" w:hAnsi="Arial"/>
          <w:sz w:val="11"/>
          <w:szCs w:val="11"/>
          <w:color w:val="auto"/>
        </w:rPr>
        <w:t>In 2020, our management board initially comprised Bulent Altan (Chief Executive Officer), Wolfram Peschko (former Chief Financial Officer) and Hubertus Edler von Janecek (former Chief Sales Officer). Mr. Peschko and Mr. Edler von Janecek both resigned from our management board in June and July 2020, respectively. Stefan Berndt-von Bülow was appointed to our management board in September 2020.</w:t>
      </w:r>
    </w:p>
    <w:p>
      <w:pPr>
        <w:spacing w:after="0" w:line="10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2020, the members of our management board were entitled to receive total compensation of €882 thousand, which includes base salary in the amount of €525 thousand and short-term variable remuneration in the amount of €357 thousand. In addition, 47,000 stock options were granted to the members of the management board (including former and current members of the management board), for which an aggregate amount of €549 thousand was recognized as expense. 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Mr. Peschko and Mr. Edler von Janecek were both granted severance payments in the amount of €691 thousand and €263 thousand, respectively.</w:t>
      </w:r>
    </w:p>
    <w:p>
      <w:pPr>
        <w:spacing w:after="0" w:line="13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 Ownership of Management Board Members</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Mr. Altan and Mr. Berndt-von Bülow do not hold any shares in our Company. Mr. Horwath holds 220,527 ordinary shares in our Company, which represents 5.4% of our outstanding share capital as of immediately prior to the completion of this offering.</w:t>
      </w:r>
    </w:p>
    <w:p>
      <w:pPr>
        <w:spacing w:after="0" w:line="115"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Mr. Peschko, a former member of our management board who resigned in 2020, holds, to the best of our knowledge, 70,000 ordinary shares in our Company, which represents 1.7% of our outstanding share capital as of immediately prior to the completion of this offering.</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Option Ownership of Management Board Members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the option ownership of our current and former management board members as of June 30, 2021.</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Exercise</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0"/>
              </w:rPr>
              <w:t>Name</w:t>
            </w:r>
          </w:p>
        </w:tc>
        <w:tc>
          <w:tcPr>
            <w:tcW w:w="23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274"/>
              <w:spacing w:after="0" w:line="99" w:lineRule="exact"/>
              <w:rPr>
                <w:sz w:val="20"/>
                <w:szCs w:val="20"/>
                <w:color w:val="auto"/>
              </w:rPr>
            </w:pPr>
            <w:r>
              <w:rPr>
                <w:rFonts w:ascii="Arial" w:cs="Arial" w:eastAsia="Arial" w:hAnsi="Arial"/>
                <w:sz w:val="10"/>
                <w:szCs w:val="10"/>
                <w:b w:val="1"/>
                <w:bCs w:val="1"/>
                <w:color w:val="auto"/>
                <w:w w:val="87"/>
              </w:rPr>
              <w:t>Number of</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1"/>
              </w:rPr>
              <w:t>Price</w:t>
            </w: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0" w:type="dxa"/>
            <w:vAlign w:val="bottom"/>
            <w:tcBorders>
              <w:bottom w:val="single" w:sz="8" w:color="auto"/>
            </w:tcBorders>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34"/>
              <w:spacing w:after="0" w:line="105" w:lineRule="exact"/>
              <w:rPr>
                <w:sz w:val="20"/>
                <w:szCs w:val="20"/>
                <w:color w:val="auto"/>
              </w:rPr>
            </w:pPr>
            <w:r>
              <w:rPr>
                <w:rFonts w:ascii="Arial" w:cs="Arial" w:eastAsia="Arial" w:hAnsi="Arial"/>
                <w:sz w:val="10"/>
                <w:szCs w:val="10"/>
                <w:b w:val="1"/>
                <w:bCs w:val="1"/>
                <w:color w:val="auto"/>
              </w:rPr>
              <w:t>Options</w:t>
            </w:r>
          </w:p>
        </w:tc>
        <w:tc>
          <w:tcPr>
            <w:tcW w:w="960" w:type="dxa"/>
            <w:vAlign w:val="bottom"/>
            <w:gridSpan w:val="2"/>
          </w:tcPr>
          <w:p>
            <w:pPr>
              <w:ind w:left="300"/>
              <w:spacing w:after="0" w:line="105" w:lineRule="exact"/>
              <w:rPr>
                <w:sz w:val="20"/>
                <w:szCs w:val="20"/>
                <w:color w:val="auto"/>
              </w:rPr>
            </w:pPr>
            <w:r>
              <w:rPr>
                <w:rFonts w:ascii="Arial" w:cs="Arial" w:eastAsia="Arial" w:hAnsi="Arial"/>
                <w:sz w:val="10"/>
                <w:szCs w:val="10"/>
                <w:b w:val="1"/>
                <w:bCs w:val="1"/>
                <w:color w:val="auto"/>
              </w:rPr>
              <w:t>Title</w:t>
            </w:r>
          </w:p>
        </w:tc>
        <w:tc>
          <w:tcPr>
            <w:tcW w:w="56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3"/>
              </w:rPr>
              <w:t>(in €)</w:t>
            </w:r>
          </w:p>
        </w:tc>
        <w:tc>
          <w:tcPr>
            <w:tcW w:w="120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Grant Date</w:t>
            </w:r>
          </w:p>
        </w:tc>
        <w:tc>
          <w:tcPr>
            <w:tcW w:w="10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Expiration Date</w:t>
            </w:r>
          </w:p>
        </w:tc>
        <w:tc>
          <w:tcPr>
            <w:tcW w:w="0" w:type="dxa"/>
            <w:vAlign w:val="bottom"/>
          </w:tcPr>
          <w:p>
            <w:pPr>
              <w:spacing w:after="0"/>
              <w:rPr>
                <w:sz w:val="1"/>
                <w:szCs w:val="1"/>
                <w:color w:val="auto"/>
              </w:rPr>
            </w:pPr>
          </w:p>
        </w:tc>
      </w:tr>
      <w:tr>
        <w:trPr>
          <w:trHeight w:val="104"/>
        </w:trPr>
        <w:tc>
          <w:tcPr>
            <w:tcW w:w="26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color w:val="auto"/>
              </w:rPr>
              <w:t>Bulent Altan</w:t>
            </w: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300" w:type="dxa"/>
            <w:vAlign w:val="bottom"/>
            <w:tcBorders>
              <w:top w:val="single" w:sz="8" w:color="CCEEFF"/>
            </w:tcBorders>
            <w:shd w:val="clear" w:color="auto" w:fill="CCEEFF"/>
          </w:tcPr>
          <w:p>
            <w:pPr>
              <w:jc w:val="right"/>
              <w:ind w:right="134"/>
              <w:spacing w:after="0" w:line="96" w:lineRule="exact"/>
              <w:rPr>
                <w:sz w:val="20"/>
                <w:szCs w:val="20"/>
                <w:color w:val="auto"/>
              </w:rPr>
            </w:pPr>
            <w:r>
              <w:rPr>
                <w:rFonts w:ascii="Arial" w:cs="Arial" w:eastAsia="Arial" w:hAnsi="Arial"/>
                <w:sz w:val="9"/>
                <w:szCs w:val="9"/>
                <w:color w:val="auto"/>
                <w:w w:val="90"/>
              </w:rPr>
              <w:t>(1)</w:t>
            </w:r>
          </w:p>
        </w:tc>
        <w:tc>
          <w:tcPr>
            <w:tcW w:w="800" w:type="dxa"/>
            <w:vAlign w:val="bottom"/>
            <w:tcBorders>
              <w:top w:val="single" w:sz="8" w:color="auto"/>
            </w:tcBorders>
            <w:shd w:val="clear" w:color="auto" w:fill="CCEEFF"/>
          </w:tcPr>
          <w:p>
            <w:pPr>
              <w:ind w:left="120"/>
              <w:spacing w:after="0" w:line="104" w:lineRule="exact"/>
              <w:rPr>
                <w:sz w:val="20"/>
                <w:szCs w:val="20"/>
                <w:color w:val="auto"/>
              </w:rPr>
            </w:pPr>
            <w:r>
              <w:rPr>
                <w:rFonts w:ascii="Arial" w:cs="Arial" w:eastAsia="Arial" w:hAnsi="Arial"/>
                <w:sz w:val="11"/>
                <w:szCs w:val="11"/>
                <w:color w:val="auto"/>
                <w:w w:val="84"/>
              </w:rPr>
              <w:t>Ordinary shares</w:t>
            </w: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42.46</w:t>
            </w:r>
          </w:p>
        </w:tc>
        <w:tc>
          <w:tcPr>
            <w:tcW w:w="1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2019</w:t>
            </w:r>
          </w:p>
        </w:tc>
        <w:tc>
          <w:tcPr>
            <w:tcW w:w="18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56,700</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(3)</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August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34"/>
              <w:spacing w:after="0"/>
              <w:rPr>
                <w:sz w:val="20"/>
                <w:szCs w:val="20"/>
                <w:color w:val="auto"/>
              </w:rPr>
            </w:pPr>
            <w:r>
              <w:rPr>
                <w:rFonts w:ascii="Arial" w:cs="Arial" w:eastAsia="Arial" w:hAnsi="Arial"/>
                <w:sz w:val="9"/>
                <w:szCs w:val="9"/>
                <w:color w:val="auto"/>
                <w:w w:val="90"/>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41.03</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December 30,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December 30, 2026</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7"/>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7" w:lineRule="exact"/>
              <w:rPr>
                <w:sz w:val="20"/>
                <w:szCs w:val="20"/>
                <w:color w:val="auto"/>
              </w:rPr>
            </w:pPr>
            <w:r>
              <w:rPr>
                <w:rFonts w:ascii="Arial" w:cs="Arial" w:eastAsia="Arial" w:hAnsi="Arial"/>
                <w:sz w:val="9"/>
                <w:szCs w:val="9"/>
                <w:color w:val="auto"/>
              </w:rPr>
              <w:t>Wolfram Peschko</w:t>
            </w:r>
            <w:r>
              <w:rPr>
                <w:rFonts w:ascii="Arial" w:cs="Arial" w:eastAsia="Arial" w:hAnsi="Arial"/>
                <w:sz w:val="14"/>
                <w:szCs w:val="14"/>
                <w:color w:val="auto"/>
                <w:vertAlign w:val="superscript"/>
              </w:rPr>
              <w:t>(5)</w:t>
            </w:r>
          </w:p>
        </w:tc>
        <w:tc>
          <w:tcPr>
            <w:tcW w:w="160" w:type="dxa"/>
            <w:vAlign w:val="bottom"/>
          </w:tcPr>
          <w:p>
            <w:pPr>
              <w:spacing w:after="0"/>
              <w:rPr>
                <w:sz w:val="10"/>
                <w:szCs w:val="10"/>
                <w:color w:val="auto"/>
              </w:rPr>
            </w:pPr>
          </w:p>
        </w:tc>
        <w:tc>
          <w:tcPr>
            <w:tcW w:w="780" w:type="dxa"/>
            <w:vAlign w:val="bottom"/>
            <w:gridSpan w:val="2"/>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9"/>
                <w:szCs w:val="9"/>
                <w:color w:val="auto"/>
              </w:rPr>
              <w:t>Hubertus Edler von Janecek</w:t>
            </w:r>
            <w:r>
              <w:rPr>
                <w:rFonts w:ascii="Arial" w:cs="Arial" w:eastAsia="Arial" w:hAnsi="Arial"/>
                <w:sz w:val="14"/>
                <w:szCs w:val="14"/>
                <w:color w:val="auto"/>
                <w:vertAlign w:val="superscript"/>
              </w:rPr>
              <w:t>(5)</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86" w:lineRule="exact"/>
        <w:rPr>
          <w:sz w:val="20"/>
          <w:szCs w:val="20"/>
          <w:color w:val="auto"/>
        </w:rPr>
      </w:pPr>
    </w:p>
    <w:p>
      <w:pPr>
        <w:ind w:left="2260" w:hanging="288"/>
        <w:spacing w:after="0"/>
        <w:tabs>
          <w:tab w:leader="none" w:pos="22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Indicates beneficial ownership of less than 1% of our outstanding ordinary shares.</w:t>
      </w:r>
    </w:p>
    <w:p>
      <w:pPr>
        <w:ind w:left="2260" w:hanging="288"/>
        <w:spacing w:after="0" w:line="20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Granted under the 2019 Plan.</w:t>
      </w:r>
    </w:p>
    <w:p>
      <w:pPr>
        <w:ind w:left="2260" w:hanging="288"/>
        <w:spacing w:after="0" w:line="20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Granted under the 2020 Plan.</w:t>
      </w:r>
    </w:p>
    <w:p>
      <w:pPr>
        <w:ind w:left="2260" w:right="1059" w:hanging="288"/>
        <w:spacing w:after="0" w:line="20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Granted under a stock option agreement entered into by and between Bulent Altan, our Chief Executive Officer and a member of our management board, and Apeiron Investment Group Ltd., one of our shareholders, on August 13, 2019, as amended on March 31, 2021.</w:t>
      </w:r>
    </w:p>
    <w:p>
      <w:pPr>
        <w:ind w:left="2260" w:hanging="288"/>
        <w:spacing w:after="0" w:line="20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Granted under the 2021 Plan.</w:t>
      </w:r>
    </w:p>
    <w:p>
      <w:pPr>
        <w:ind w:left="2260" w:hanging="288"/>
        <w:spacing w:after="0" w:line="23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Mr. Peschko and Mr. Edler von Janecek both resigned from our management board in June and July 2020, respectively.</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Supervisory Board Members</w:t>
      </w:r>
    </w:p>
    <w:p>
      <w:pPr>
        <w:spacing w:after="0" w:line="150"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Our articles of association provide for a fixed annual compensation for each member of the supervisory board of €30,000. The chairperson of the supervisory board is entitled to receive a fixed annual compensation of €60,000, and the deputy chairperson €45,000. 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 remunerated pro rata. Members of the supervisory board will also receive an attendance fee for the attendance in any board meeting or the passing of a resolution by means of a telephone conference. Subject to the listing of our shares on a foreign stock exchange (including pursuant to this offering), supervisory board compensation will be increased to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31"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addition to the aforementioned compensation, the members of the supervisory board will be reimbursed for their reasonable out-of-pocket expenses incurred in the performance of their duties as supervisory board members as well as the value-added tax on their compensation and out-of-pocket expenses. For the year ended December 31, 2020, the aggregate remuneration paid to our supervisory board amounted to €130 thousand (December 31, 2019: €63 thousand). In addition, the members of the supervisory board are covered by a directors’ and officers’ (“D&amp;O”) insurance policy in line with market practice.</w:t>
      </w:r>
    </w:p>
    <w:p>
      <w:pPr>
        <w:spacing w:after="0" w:line="128" w:lineRule="exact"/>
        <w:rPr>
          <w:sz w:val="20"/>
          <w:szCs w:val="20"/>
          <w:color w:val="auto"/>
        </w:rPr>
      </w:pPr>
    </w:p>
    <w:p>
      <w:pPr>
        <w:ind w:left="1980" w:right="1159" w:firstLine="294"/>
        <w:spacing w:after="0" w:line="263" w:lineRule="auto"/>
        <w:rPr>
          <w:sz w:val="20"/>
          <w:szCs w:val="20"/>
          <w:color w:val="auto"/>
        </w:rPr>
      </w:pPr>
      <w:r>
        <w:rPr>
          <w:rFonts w:ascii="Arial" w:cs="Arial" w:eastAsia="Arial" w:hAnsi="Arial"/>
          <w:sz w:val="12"/>
          <w:szCs w:val="12"/>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2"/>
          <w:szCs w:val="12"/>
          <w:i w:val="1"/>
          <w:iCs w:val="1"/>
          <w:color w:val="auto"/>
        </w:rPr>
        <w:t>haftungsbeschränkt</w:t>
      </w:r>
      <w:r>
        <w:rPr>
          <w:rFonts w:ascii="Arial" w:cs="Arial" w:eastAsia="Arial" w:hAnsi="Arial"/>
          <w:sz w:val="12"/>
          <w:szCs w:val="12"/>
          <w:color w:val="auto"/>
        </w:rPr>
        <w:t>), a German limited liability entrepreneurial company (</w:t>
      </w:r>
      <w:r>
        <w:rPr>
          <w:rFonts w:ascii="Arial" w:cs="Arial" w:eastAsia="Arial" w:hAnsi="Arial"/>
          <w:sz w:val="12"/>
          <w:szCs w:val="12"/>
          <w:i w:val="1"/>
          <w:iCs w:val="1"/>
          <w:color w:val="auto"/>
        </w:rPr>
        <w:t>Unternehmergesellschaft</w:t>
      </w:r>
      <w:r>
        <w:rPr>
          <w:rFonts w:ascii="Arial" w:cs="Arial" w:eastAsia="Arial" w:hAnsi="Arial"/>
          <w:sz w:val="12"/>
          <w:szCs w:val="12"/>
          <w:color w:val="auto"/>
        </w:rPr>
        <w:t>) wholly-owned by him.</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member of our supervisory board currently owns any options or other equity awards for ordinary shares in the Company.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 Participation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2019</w:t>
      </w:r>
    </w:p>
    <w:p>
      <w:pPr>
        <w:spacing w:after="0" w:line="150" w:lineRule="exact"/>
        <w:rPr>
          <w:sz w:val="20"/>
          <w:szCs w:val="20"/>
          <w:color w:val="auto"/>
        </w:rPr>
      </w:pPr>
    </w:p>
    <w:p>
      <w:pPr>
        <w:jc w:val="both"/>
        <w:ind w:left="1980" w:right="839" w:firstLine="294"/>
        <w:spacing w:after="0" w:line="289" w:lineRule="auto"/>
        <w:rPr>
          <w:sz w:val="20"/>
          <w:szCs w:val="20"/>
          <w:color w:val="auto"/>
        </w:rPr>
      </w:pPr>
      <w:r>
        <w:rPr>
          <w:rFonts w:ascii="Arial" w:cs="Arial" w:eastAsia="Arial" w:hAnsi="Arial"/>
          <w:sz w:val="11"/>
          <w:szCs w:val="11"/>
          <w:color w:val="auto"/>
        </w:rPr>
        <w:t>In 2019, we established another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11" w:lineRule="exact"/>
        <w:rPr>
          <w:sz w:val="20"/>
          <w:szCs w:val="20"/>
          <w:color w:val="auto"/>
        </w:rPr>
      </w:pPr>
    </w:p>
    <w:p>
      <w:pPr>
        <w:ind w:left="1980" w:right="979" w:firstLine="294"/>
        <w:spacing w:after="0" w:line="280" w:lineRule="auto"/>
        <w:rPr>
          <w:sz w:val="20"/>
          <w:szCs w:val="20"/>
          <w:color w:val="auto"/>
        </w:rPr>
      </w:pPr>
      <w:r>
        <w:rPr>
          <w:rFonts w:ascii="Arial" w:cs="Arial" w:eastAsia="Arial" w:hAnsi="Arial"/>
          <w:sz w:val="11"/>
          <w:szCs w:val="11"/>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28"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2019 Plan, we may issue shares by utilizing the Conditional Capital 2019 (as described below under “Description of Share Capital and Articles of Association—Conditional Capital”) or treasury shares. At our discretion, we may also settle the stock options in cash. In addition, the 2019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2020</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1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w:t>
      </w:r>
    </w:p>
    <w:p>
      <w:pPr>
        <w:spacing w:after="0" w:line="128"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13"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2020 Plan, we may issue shares by utilizing the Conditional Capital 2020 (as described below under “Description of Share Capital and Articles of Association—Conditional Capital”)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2021</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connection with this offering, we intend to establish an additional stock option program (the “2021 Plan”) pursuant to which our supervisory board will be authorized to grant up to 103,321 stock options to the members of our management board.</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The stock options under our 2021 Plan will be subject to a vesting period of three years. During this period, the stock options will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the vesting period, in any case within four weeks following the announcement of our annual or half year financial results.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Stock options under the 2021 Plan can only be exercised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exercise day is at least 20% above the exercise price at the end of the vesting period. If the Frankfurt Stock Exchange is such trading system, the XETRA Share Price is the relevant performance standard and the XETRA Share Price on the day preceding the issuance period is the relevant exercise price.</w:t>
      </w:r>
    </w:p>
    <w:p>
      <w:pPr>
        <w:spacing w:after="0" w:line="128"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Under the 2021 Plan, we may issue shares by utilizing the Conditional Capital 2021/II (as described below under “Description of Share Capital and Articles of Association—Conditional Capital”) or treasury shares. At our discretion, we may also settle the stock options in cash.</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Restricted Stock Units Program 2021</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In addition to the 2021 Plan, we intend to implement a restricted stock units program (the “RSU Program”) in connection with this offering. Under the RSU Program, our management board will be authorized to grant up</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to 204,647 restricted stock units (“RSUs”) to (i) selected employees, (ii) selected employees of our affiliates, and (iii) managing directors of our affiliates. Forfeited RSUs under the RSU Program will be available for future grants.</w:t>
      </w:r>
    </w:p>
    <w:p>
      <w:pPr>
        <w:spacing w:after="0" w:line="115"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will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will vest. Following the expiry of the Cliff Period, the remaining RSUs will vest in instalments of one-twelfth for each fully completed quarter during which the beneficiary’s employment continues without termination, subject to certain exceptions. In a good leaver event (as defined), all vested RSUs will be retained and all unvested RSUs will forfeit without entitlement to compensation. In a bad leaver event (as defined), all vested and unvested RSUs will forfeit without entitlement to compensation.</w:t>
      </w:r>
    </w:p>
    <w:p>
      <w:pPr>
        <w:spacing w:after="0" w:line="119"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At our discretion, we may settle vested RSUs either (i) by way of new shares utilizing the Authorized Capital 2021/II (as described below under “Description of Share Capital and Articles of Association—Conditional Capital”), (ii) by way of a cash settlement, or (iii) a combination of both.</w:t>
      </w:r>
    </w:p>
    <w:p>
      <w:pPr>
        <w:spacing w:after="0" w:line="9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Each RSU entitles a beneficiary to a cash payment claim against us. Such payment claim will correspond to (i) 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or (ii) in case of a cash settlement, the average closing price of our shares or share certificates during the 30 trading days following the publication of our annual results,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Corporate Governance Code</w:t>
      </w:r>
    </w:p>
    <w:p>
      <w:pPr>
        <w:spacing w:after="0" w:line="154"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German Corporate Governance Code (the “Corporate Governance Code”), sets out recognized standards of good and responsible corporate governance. The current version of the Corporate Governance Code is the version as amended as of December 16, 2019 and published in the German Federal Gazette (</w:t>
      </w:r>
      <w:r>
        <w:rPr>
          <w:rFonts w:ascii="Arial" w:cs="Arial" w:eastAsia="Arial" w:hAnsi="Arial"/>
          <w:sz w:val="12"/>
          <w:szCs w:val="12"/>
          <w:i w:val="1"/>
          <w:iCs w:val="1"/>
          <w:color w:val="auto"/>
        </w:rPr>
        <w:t>Bundesanzeiger</w:t>
      </w:r>
      <w:r>
        <w:rPr>
          <w:rFonts w:ascii="Arial" w:cs="Arial" w:eastAsia="Arial" w:hAnsi="Arial"/>
          <w:sz w:val="12"/>
          <w:szCs w:val="12"/>
          <w:color w:val="auto"/>
        </w:rPr>
        <w:t>) on March 20, 2020.</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Corporate Governance Code contains principles (</w:t>
      </w:r>
      <w:r>
        <w:rPr>
          <w:rFonts w:ascii="Arial" w:cs="Arial" w:eastAsia="Arial" w:hAnsi="Arial"/>
          <w:sz w:val="10"/>
          <w:szCs w:val="10"/>
          <w:i w:val="1"/>
          <w:iCs w:val="1"/>
          <w:color w:val="auto"/>
        </w:rPr>
        <w:t>Grundsätze</w:t>
      </w:r>
      <w:r>
        <w:rPr>
          <w:rFonts w:ascii="Arial" w:cs="Arial" w:eastAsia="Arial" w:hAnsi="Arial"/>
          <w:sz w:val="10"/>
          <w:szCs w:val="10"/>
          <w:color w:val="auto"/>
        </w:rPr>
        <w:t>), recommendations (</w:t>
      </w:r>
      <w:r>
        <w:rPr>
          <w:rFonts w:ascii="Arial" w:cs="Arial" w:eastAsia="Arial" w:hAnsi="Arial"/>
          <w:sz w:val="10"/>
          <w:szCs w:val="10"/>
          <w:i w:val="1"/>
          <w:iCs w:val="1"/>
          <w:color w:val="auto"/>
        </w:rPr>
        <w:t>Empfehlungen</w:t>
      </w:r>
      <w:r>
        <w:rPr>
          <w:rFonts w:ascii="Arial" w:cs="Arial" w:eastAsia="Arial" w:hAnsi="Arial"/>
          <w:sz w:val="10"/>
          <w:szCs w:val="10"/>
          <w:color w:val="auto"/>
        </w:rPr>
        <w:t>) and suggestions (</w:t>
      </w:r>
      <w:r>
        <w:rPr>
          <w:rFonts w:ascii="Arial" w:cs="Arial" w:eastAsia="Arial" w:hAnsi="Arial"/>
          <w:sz w:val="10"/>
          <w:szCs w:val="10"/>
          <w:i w:val="1"/>
          <w:iCs w:val="1"/>
          <w:color w:val="auto"/>
        </w:rPr>
        <w:t>Anregungen</w:t>
      </w:r>
      <w:r>
        <w:rPr>
          <w:rFonts w:ascii="Arial" w:cs="Arial" w:eastAsia="Arial" w:hAnsi="Arial"/>
          <w:sz w:val="10"/>
          <w:szCs w:val="10"/>
          <w:color w:val="auto"/>
        </w:rPr>
        <w:t>) relating to</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management and supervision of German companies whose shares are listed on the regulated market of a stock exchange in the European Union (or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equivalent supervised foreign market), and companies that both have other securities listed on a regulated market of a stock exchange in the European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Union (or equivalent supervised foreign market) and initiated the trading of their shares on a multilateral trading facility (MTF). The principles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Grundsätze</w:t>
      </w:r>
      <w:r>
        <w:rPr>
          <w:rFonts w:ascii="Arial" w:cs="Arial" w:eastAsia="Arial" w:hAnsi="Arial"/>
          <w:sz w:val="10"/>
          <w:szCs w:val="10"/>
          <w:color w:val="auto"/>
        </w:rPr>
        <w:t>) constitute only a purely informal reproduction of significant legal requirements under German substantive law. The Corporate Governance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Code follows nationally and internationally recognized standards for good and responsible corporate governance. The purpose of the Corporate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Governance Code is to make the German system of corporate governance transparent for investors. The Corporate Governance Code includes corporate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governance recommendations and suggestions with respect to shareholders and shareholders’ meetings, the management board and the supervisory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transparency, accounting policies and auditing.</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 xml:space="preserve">There is no obligation to comply with the recommendations or suggestions of the Corporate Governance Code. The German Stock Corporation Act merely requires that the management board and the supervisory board of a listed German company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Arial" w:cs="Arial" w:eastAsia="Arial" w:hAnsi="Arial"/>
          <w:sz w:val="11"/>
          <w:szCs w:val="11"/>
          <w:i w:val="1"/>
          <w:iCs w:val="1"/>
          <w:color w:val="auto"/>
        </w:rPr>
        <w:t>Entsprechenserklärung</w:t>
      </w:r>
      <w:r>
        <w:rPr>
          <w:rFonts w:ascii="Arial" w:cs="Arial" w:eastAsia="Arial" w:hAnsi="Arial"/>
          <w:sz w:val="11"/>
          <w:szCs w:val="11"/>
          <w:color w:val="auto"/>
        </w:rPr>
        <w:t>). In addition, a company subject to the Corporate Governance Code is also required to state in its annual compliance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whether it intends to comply with the recommendations or list the recommendations it does not intend to comply with in the future. These compliance statements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17"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The Corporate Governance Code does not currently apply to us, as our shares are not listed on the regulated market of a stock exchange in the European Union (or equivalent supervised foreign market) and we do not have other securities listed on a regulated market of a stock exchange in the European Union (or equivalent supervised foreign market) nor do our shares trade on a MTF. Following our listing on Nasdaq, the Corporate Governance Code will apply to us and we will be required to issue annual compliance statements as described above. Our management board and supervisory board will be obliged to comply with the Corporate Governance Code except for such provisions, which are explicitly listed in such annual compliance statements and for which they provide an explanation of non-compliance.</w:t>
      </w:r>
    </w:p>
    <w:p>
      <w:pPr>
        <w:spacing w:after="0" w:line="113"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In connection with the completion of this offering, we intend to adopt a written code of business conduct and ethics, or code of conduct, which will outline the principles of legal and ethical business conduct under which we do business. The code of conduct will apply to all of our management board members, supervisory board members and employees. Upon the effectiveness of the registration statement of which this prospectus forms a part, the full text of the code of conduct will be available on our website at www.mynaric.com. This website address is included in this prospectus as an inactive textual reference only. The information and other content appearing on our website are not part of this prospectus. Any amendments to, or waivers from, the provisions of the code of conduct applicable to members of our supervisory board and management board will be disclosed on our website promptly following the date of such amendment or waiver.</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addition, we intend to implement a compliance handbook which describes the compliance management system that we are going to implement for us and our subsidiaries. Our compliance handbook will be designed to ensure compliance with all legal requirements, while at the same time implementing high ethical standards that are mandatory for both management and each employee. The overall responsibility for the compliance management system lies with the management board.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Foreign Private Issuer Exemptions</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As a “foreign private issuer,” as defined by SEC rules, we are permitted to follow certain German corporate governance practices instead of those otherwise required under Nasdaq rules for domestic U.S. issuers. 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w:t>
      </w:r>
    </w:p>
    <w:p>
      <w:pPr>
        <w:spacing w:after="0" w:line="10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The significant differences between the corporate governance practices that we follow and those set forth in the Nasdaq stock market rules are described below:</w:t>
      </w:r>
    </w:p>
    <w:p>
      <w:pPr>
        <w:spacing w:after="0" w:line="133" w:lineRule="exact"/>
        <w:rPr>
          <w:sz w:val="20"/>
          <w:szCs w:val="20"/>
          <w:color w:val="auto"/>
        </w:rPr>
      </w:pPr>
    </w:p>
    <w:p>
      <w:pPr>
        <w:ind w:left="2540" w:right="919" w:hanging="280"/>
        <w:spacing w:after="0" w:line="285" w:lineRule="auto"/>
        <w:tabs>
          <w:tab w:leader="none" w:pos="2540" w:val="left"/>
        </w:tabs>
        <w:numPr>
          <w:ilvl w:val="0"/>
          <w:numId w:val="52"/>
        </w:numPr>
        <w:rPr>
          <w:rFonts w:ascii="Arial" w:cs="Arial" w:eastAsia="Arial" w:hAnsi="Arial"/>
          <w:sz w:val="11"/>
          <w:szCs w:val="11"/>
          <w:color w:val="auto"/>
        </w:rPr>
      </w:pPr>
      <w:r>
        <w:rPr>
          <w:rFonts w:ascii="Arial" w:cs="Arial" w:eastAsia="Arial" w:hAnsi="Arial"/>
          <w:sz w:val="11"/>
          <w:szCs w:val="11"/>
          <w:i w:val="1"/>
          <w:iCs w:val="1"/>
          <w:color w:val="auto"/>
        </w:rPr>
        <w:t>Distribution of Annual and Interim Reports</w:t>
      </w:r>
      <w:r>
        <w:rPr>
          <w:rFonts w:ascii="Arial" w:cs="Arial" w:eastAsia="Arial" w:hAnsi="Arial"/>
          <w:sz w:val="11"/>
          <w:szCs w:val="11"/>
          <w:color w:val="auto"/>
        </w:rPr>
        <w:t>. Nasdaq Listing Rule 5250(d) requires that annual and interim reports be distributed or made</w:t>
      </w:r>
      <w:r>
        <w:rPr>
          <w:rFonts w:ascii="Arial" w:cs="Arial" w:eastAsia="Arial" w:hAnsi="Arial"/>
          <w:sz w:val="11"/>
          <w:szCs w:val="11"/>
          <w:i w:val="1"/>
          <w:iCs w:val="1"/>
          <w:color w:val="auto"/>
        </w:rPr>
        <w:t xml:space="preserve"> </w:t>
      </w:r>
      <w:r>
        <w:rPr>
          <w:rFonts w:ascii="Arial" w:cs="Arial" w:eastAsia="Arial" w:hAnsi="Arial"/>
          <w:sz w:val="11"/>
          <w:szCs w:val="11"/>
          <w:color w:val="auto"/>
        </w:rPr>
        <w:t>available to shareholders within a reasonable period of time following filing with the SEC. Consistent with applicable rules and regulations in Germany, we do not distribute annual and interim reports automatically to shareholders. Instead, our annual and interim reports are available to shareholders on our website and delivery of printed versions thereof can be requested online. Furthermore, our annual and interim reports are also filed with the German Company Register (</w:t>
      </w:r>
      <w:r>
        <w:rPr>
          <w:rFonts w:ascii="Arial" w:cs="Arial" w:eastAsia="Arial" w:hAnsi="Arial"/>
          <w:sz w:val="11"/>
          <w:szCs w:val="11"/>
          <w:i w:val="1"/>
          <w:iCs w:val="1"/>
          <w:color w:val="auto"/>
        </w:rPr>
        <w:t>Unternehmensregister</w:t>
      </w:r>
      <w:r>
        <w:rPr>
          <w:rFonts w:ascii="Arial" w:cs="Arial" w:eastAsia="Arial" w:hAnsi="Arial"/>
          <w:sz w:val="11"/>
          <w:szCs w:val="11"/>
          <w:color w:val="auto"/>
        </w:rPr>
        <w:t>).</w:t>
      </w:r>
    </w:p>
    <w:p>
      <w:pPr>
        <w:spacing w:after="0" w:line="131" w:lineRule="exact"/>
        <w:rPr>
          <w:rFonts w:ascii="Arial" w:cs="Arial" w:eastAsia="Arial" w:hAnsi="Arial"/>
          <w:sz w:val="11"/>
          <w:szCs w:val="11"/>
          <w:color w:val="auto"/>
        </w:rPr>
      </w:pPr>
    </w:p>
    <w:p>
      <w:pPr>
        <w:ind w:left="2540" w:right="999" w:hanging="280"/>
        <w:spacing w:after="0" w:line="256"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i w:val="1"/>
          <w:iCs w:val="1"/>
          <w:color w:val="auto"/>
        </w:rPr>
        <w:t>Independent Directors</w:t>
      </w:r>
      <w:r>
        <w:rPr>
          <w:rFonts w:ascii="Arial" w:cs="Arial" w:eastAsia="Arial" w:hAnsi="Arial"/>
          <w:sz w:val="12"/>
          <w:szCs w:val="12"/>
          <w:color w:val="auto"/>
        </w:rPr>
        <w:t>. Nasdaq Listing Rule 5605(b)(1) requires listed companies to have a majority of independent directors. There is no</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w:t>
      </w:r>
    </w:p>
    <w:p>
      <w:pPr>
        <w:spacing w:after="0" w:line="146" w:lineRule="exact"/>
        <w:rPr>
          <w:rFonts w:ascii="Arial" w:cs="Arial" w:eastAsia="Arial" w:hAnsi="Arial"/>
          <w:sz w:val="12"/>
          <w:szCs w:val="12"/>
          <w:color w:val="auto"/>
        </w:rPr>
      </w:pPr>
    </w:p>
    <w:p>
      <w:pPr>
        <w:ind w:left="2540" w:right="939" w:hanging="280"/>
        <w:spacing w:after="0" w:line="289" w:lineRule="auto"/>
        <w:tabs>
          <w:tab w:leader="none" w:pos="2540" w:val="left"/>
        </w:tabs>
        <w:numPr>
          <w:ilvl w:val="0"/>
          <w:numId w:val="52"/>
        </w:numPr>
        <w:rPr>
          <w:rFonts w:ascii="Arial" w:cs="Arial" w:eastAsia="Arial" w:hAnsi="Arial"/>
          <w:sz w:val="11"/>
          <w:szCs w:val="11"/>
          <w:color w:val="auto"/>
        </w:rPr>
      </w:pPr>
      <w:r>
        <w:rPr>
          <w:rFonts w:ascii="Arial" w:cs="Arial" w:eastAsia="Arial" w:hAnsi="Arial"/>
          <w:sz w:val="11"/>
          <w:szCs w:val="11"/>
          <w:i w:val="1"/>
          <w:iCs w:val="1"/>
          <w:color w:val="auto"/>
        </w:rPr>
        <w:t>Executive Sessions</w:t>
      </w:r>
      <w:r>
        <w:rPr>
          <w:rFonts w:ascii="Arial" w:cs="Arial" w:eastAsia="Arial" w:hAnsi="Arial"/>
          <w:sz w:val="11"/>
          <w:szCs w:val="11"/>
          <w:color w:val="auto"/>
        </w:rPr>
        <w:t>. Nasdaq Listing Rule 5605(b)(2) requires that independent directors have regularly scheduled meetings during which</w:t>
      </w:r>
      <w:r>
        <w:rPr>
          <w:rFonts w:ascii="Arial" w:cs="Arial" w:eastAsia="Arial" w:hAnsi="Arial"/>
          <w:sz w:val="11"/>
          <w:szCs w:val="11"/>
          <w:i w:val="1"/>
          <w:iCs w:val="1"/>
          <w:color w:val="auto"/>
        </w:rPr>
        <w:t xml:space="preserve"> </w:t>
      </w:r>
      <w:r>
        <w:rPr>
          <w:rFonts w:ascii="Arial" w:cs="Arial" w:eastAsia="Arial" w:hAnsi="Arial"/>
          <w:sz w:val="11"/>
          <w:szCs w:val="11"/>
          <w:color w:val="auto"/>
        </w:rPr>
        <w:t>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w:t>
      </w:r>
    </w:p>
    <w:p>
      <w:pPr>
        <w:spacing w:after="0" w:line="128" w:lineRule="exact"/>
        <w:rPr>
          <w:rFonts w:ascii="Arial" w:cs="Arial" w:eastAsia="Arial" w:hAnsi="Arial"/>
          <w:sz w:val="11"/>
          <w:szCs w:val="11"/>
          <w:color w:val="auto"/>
        </w:rPr>
      </w:pPr>
    </w:p>
    <w:p>
      <w:pPr>
        <w:ind w:left="2540" w:right="859" w:hanging="280"/>
        <w:spacing w:after="0" w:line="283" w:lineRule="auto"/>
        <w:tabs>
          <w:tab w:leader="none" w:pos="2540" w:val="left"/>
        </w:tabs>
        <w:numPr>
          <w:ilvl w:val="0"/>
          <w:numId w:val="52"/>
        </w:numPr>
        <w:rPr>
          <w:rFonts w:ascii="Arial" w:cs="Arial" w:eastAsia="Arial" w:hAnsi="Arial"/>
          <w:sz w:val="11"/>
          <w:szCs w:val="11"/>
          <w:color w:val="auto"/>
        </w:rPr>
      </w:pPr>
      <w:r>
        <w:rPr>
          <w:rFonts w:ascii="Arial" w:cs="Arial" w:eastAsia="Arial" w:hAnsi="Arial"/>
          <w:sz w:val="11"/>
          <w:szCs w:val="11"/>
          <w:i w:val="1"/>
          <w:iCs w:val="1"/>
          <w:color w:val="auto"/>
        </w:rPr>
        <w:t>Audit Committee Responsibilities and Authority</w:t>
      </w:r>
      <w:r>
        <w:rPr>
          <w:rFonts w:ascii="Arial" w:cs="Arial" w:eastAsia="Arial" w:hAnsi="Arial"/>
          <w:sz w:val="11"/>
          <w:szCs w:val="11"/>
          <w:color w:val="auto"/>
        </w:rPr>
        <w:t>. Nasdaq Listing Rule 5605(c)(1) requires companies to adopt a formal written audit</w:t>
      </w:r>
      <w:r>
        <w:rPr>
          <w:rFonts w:ascii="Arial" w:cs="Arial" w:eastAsia="Arial" w:hAnsi="Arial"/>
          <w:sz w:val="11"/>
          <w:szCs w:val="11"/>
          <w:i w:val="1"/>
          <w:iCs w:val="1"/>
          <w:color w:val="auto"/>
        </w:rPr>
        <w:t xml:space="preserve"> </w:t>
      </w:r>
      <w:r>
        <w:rPr>
          <w:rFonts w:ascii="Arial" w:cs="Arial" w:eastAsia="Arial" w:hAnsi="Arial"/>
          <w:sz w:val="11"/>
          <w:szCs w:val="11"/>
          <w:color w:val="auto"/>
        </w:rPr>
        <w:t>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w:t>
      </w:r>
    </w:p>
    <w:p>
      <w:pPr>
        <w:spacing w:after="0" w:line="131" w:lineRule="exact"/>
        <w:rPr>
          <w:rFonts w:ascii="Arial" w:cs="Arial" w:eastAsia="Arial" w:hAnsi="Arial"/>
          <w:sz w:val="11"/>
          <w:szCs w:val="11"/>
          <w:color w:val="auto"/>
        </w:rPr>
      </w:pPr>
    </w:p>
    <w:p>
      <w:pPr>
        <w:ind w:left="2540" w:right="919" w:hanging="280"/>
        <w:spacing w:after="0" w:line="285" w:lineRule="auto"/>
        <w:tabs>
          <w:tab w:leader="none" w:pos="2540" w:val="left"/>
        </w:tabs>
        <w:numPr>
          <w:ilvl w:val="0"/>
          <w:numId w:val="52"/>
        </w:numPr>
        <w:rPr>
          <w:rFonts w:ascii="Arial" w:cs="Arial" w:eastAsia="Arial" w:hAnsi="Arial"/>
          <w:sz w:val="11"/>
          <w:szCs w:val="11"/>
          <w:color w:val="auto"/>
        </w:rPr>
      </w:pPr>
      <w:r>
        <w:rPr>
          <w:rFonts w:ascii="Arial" w:cs="Arial" w:eastAsia="Arial" w:hAnsi="Arial"/>
          <w:sz w:val="11"/>
          <w:szCs w:val="11"/>
          <w:i w:val="1"/>
          <w:iCs w:val="1"/>
          <w:color w:val="auto"/>
        </w:rPr>
        <w:t xml:space="preserve">Proxy Solicitation. </w:t>
      </w:r>
      <w:r>
        <w:rPr>
          <w:rFonts w:ascii="Arial" w:cs="Arial" w:eastAsia="Arial" w:hAnsi="Arial"/>
          <w:sz w:val="11"/>
          <w:szCs w:val="11"/>
          <w:color w:val="auto"/>
        </w:rPr>
        <w:t>Nasdaq Listing Rule 5620(b) requires companies that are not a limited partnership to solicit proxies and provide proxy</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w:t>
      </w:r>
    </w:p>
    <w:p>
      <w:pPr>
        <w:spacing w:after="0" w:line="131" w:lineRule="exact"/>
        <w:rPr>
          <w:rFonts w:ascii="Arial" w:cs="Arial" w:eastAsia="Arial" w:hAnsi="Arial"/>
          <w:sz w:val="11"/>
          <w:szCs w:val="11"/>
          <w:color w:val="auto"/>
        </w:rPr>
      </w:pPr>
    </w:p>
    <w:p>
      <w:pPr>
        <w:ind w:left="2540" w:right="999" w:hanging="280"/>
        <w:spacing w:after="0" w:line="263"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i w:val="1"/>
          <w:iCs w:val="1"/>
          <w:color w:val="auto"/>
        </w:rPr>
        <w:t>Quorum</w:t>
      </w:r>
      <w:r>
        <w:rPr>
          <w:rFonts w:ascii="Arial" w:cs="Arial" w:eastAsia="Arial" w:hAnsi="Arial"/>
          <w:sz w:val="12"/>
          <w:szCs w:val="12"/>
          <w:color w:val="auto"/>
        </w:rPr>
        <w:t>. Nasdaq Listing Rule 5605(c) provides that the minimum quorum requirement for a meeting of shareholders is 331/3%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ordinary shares. Neither German law nor our articles of association provide for a minimum participation for a quorum for our shareholders’ meetings.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339" w:hanging="280"/>
        <w:spacing w:after="0" w:line="276" w:lineRule="auto"/>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Shareholder Approval</w:t>
      </w:r>
      <w:r>
        <w:rPr>
          <w:rFonts w:ascii="Arial" w:cs="Arial" w:eastAsia="Arial" w:hAnsi="Arial"/>
          <w:sz w:val="12"/>
          <w:szCs w:val="12"/>
          <w:color w:val="auto"/>
        </w:rPr>
        <w:t>. Nasdaq Listing Rule 5635 requires companies to obtain shareholder approval before undertaking any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transactions:</w:t>
      </w:r>
    </w:p>
    <w:p>
      <w:pPr>
        <w:spacing w:after="0" w:line="132" w:lineRule="exact"/>
        <w:rPr>
          <w:rFonts w:ascii="Arial" w:cs="Arial" w:eastAsia="Arial" w:hAnsi="Arial"/>
          <w:sz w:val="12"/>
          <w:szCs w:val="12"/>
          <w:color w:val="auto"/>
        </w:rPr>
      </w:pPr>
    </w:p>
    <w:p>
      <w:pPr>
        <w:ind w:left="2920" w:right="979" w:hanging="288"/>
        <w:spacing w:after="0" w:line="276" w:lineRule="auto"/>
        <w:rPr>
          <w:rFonts w:ascii="Arial" w:cs="Arial" w:eastAsia="Arial" w:hAnsi="Arial"/>
          <w:sz w:val="12"/>
          <w:szCs w:val="12"/>
          <w:color w:val="auto"/>
        </w:rPr>
      </w:pPr>
      <w:r>
        <w:rPr>
          <w:rFonts w:ascii="Arial" w:cs="Arial" w:eastAsia="Arial" w:hAnsi="Arial"/>
          <w:sz w:val="12"/>
          <w:szCs w:val="12"/>
          <w:color w:val="auto"/>
        </w:rPr>
        <w:t>–acquiring the stock or assets of another company, where such acquisition results in the issuance of 20% or more of our outstanding share capital or voting power;</w:t>
      </w:r>
    </w:p>
    <w:p>
      <w:pPr>
        <w:spacing w:after="0" w:line="132"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entering into any change of control transaction;</w:t>
      </w:r>
    </w:p>
    <w:p>
      <w:pPr>
        <w:spacing w:after="0" w:line="168"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establishing or materially amending any equity compensation arrangement; and</w:t>
      </w:r>
    </w:p>
    <w:p>
      <w:pPr>
        <w:spacing w:after="0" w:line="168" w:lineRule="exact"/>
        <w:rPr>
          <w:rFonts w:ascii="Arial" w:cs="Arial" w:eastAsia="Arial" w:hAnsi="Arial"/>
          <w:sz w:val="12"/>
          <w:szCs w:val="12"/>
          <w:color w:val="auto"/>
        </w:rPr>
      </w:pPr>
    </w:p>
    <w:p>
      <w:pPr>
        <w:ind w:left="2920" w:right="1059" w:hanging="288"/>
        <w:spacing w:after="0" w:line="298"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entering into any transaction other than a public offering involving the sale, issuance or potential issuance by us of shares (or securities convertible into or exercisable for shares) equal to 20% or more of our outstanding share capital or 20% or more of the voting power outstanding before the issuance for less than the greater of book or market value of the stock.</w:t>
      </w:r>
    </w:p>
    <w:p>
      <w:pPr>
        <w:spacing w:after="0" w:line="105" w:lineRule="exact"/>
        <w:rPr>
          <w:sz w:val="20"/>
          <w:szCs w:val="20"/>
          <w:color w:val="auto"/>
        </w:rPr>
      </w:pPr>
    </w:p>
    <w:p>
      <w:pPr>
        <w:ind w:left="2640" w:right="919"/>
        <w:spacing w:after="0" w:line="323" w:lineRule="auto"/>
        <w:rPr>
          <w:sz w:val="20"/>
          <w:szCs w:val="20"/>
          <w:color w:val="auto"/>
        </w:rPr>
      </w:pPr>
      <w:r>
        <w:rPr>
          <w:rFonts w:ascii="Arial" w:cs="Arial" w:eastAsia="Arial" w:hAnsi="Arial"/>
          <w:sz w:val="11"/>
          <w:szCs w:val="11"/>
          <w:color w:val="auto"/>
        </w:rPr>
        <w:t>Consistent with applicable German law, approval by the shareholders’ meeting is generally required for the issuance of any shares as well as any securities granting the respective holder the right to acquire shares (including options and convertibles).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may utilize these and other exemptions for as long as we continue to qualify as a foreign private issuer.</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0159"/>
          </w:cols>
          <w:pgMar w:left="30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PRINCIPAL SHAREHOLDERS</w:t>
      </w:r>
    </w:p>
    <w:p>
      <w:pPr>
        <w:spacing w:after="0" w:line="154" w:lineRule="exact"/>
        <w:rPr>
          <w:sz w:val="20"/>
          <w:szCs w:val="20"/>
          <w:color w:val="auto"/>
        </w:rPr>
      </w:pPr>
    </w:p>
    <w:p>
      <w:pPr>
        <w:ind w:left="2260"/>
        <w:spacing w:after="0"/>
        <w:tabs>
          <w:tab w:leader="none" w:pos="5060" w:val="left"/>
        </w:tabs>
        <w:rPr>
          <w:sz w:val="20"/>
          <w:szCs w:val="20"/>
          <w:color w:val="auto"/>
        </w:rPr>
      </w:pPr>
      <w:r>
        <w:rPr>
          <w:rFonts w:ascii="Arial" w:cs="Arial" w:eastAsia="Arial" w:hAnsi="Arial"/>
          <w:sz w:val="12"/>
          <w:szCs w:val="12"/>
          <w:color w:val="auto"/>
        </w:rPr>
        <w:t>The following table sets forth information, as of</w:t>
      </w:r>
      <w:r>
        <w:rPr>
          <w:sz w:val="20"/>
          <w:szCs w:val="20"/>
          <w:color w:val="auto"/>
        </w:rPr>
        <w:tab/>
      </w:r>
      <w:r>
        <w:rPr>
          <w:rFonts w:ascii="Arial" w:cs="Arial" w:eastAsia="Arial" w:hAnsi="Arial"/>
          <w:sz w:val="11"/>
          <w:szCs w:val="11"/>
          <w:color w:val="auto"/>
        </w:rPr>
        <w:t>, 2021, regarding the beneficial ownership of our ordinary shares: (i) prior to the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completion of this offering and (ii) as adjusted to reflect the sale of the ADSs in this offering, for:</w:t>
      </w:r>
    </w:p>
    <w:p>
      <w:pPr>
        <w:spacing w:after="0" w:line="159" w:lineRule="exact"/>
        <w:rPr>
          <w:sz w:val="20"/>
          <w:szCs w:val="20"/>
          <w:color w:val="auto"/>
        </w:rPr>
      </w:pPr>
    </w:p>
    <w:p>
      <w:pPr>
        <w:ind w:left="2540" w:hanging="280"/>
        <w:spacing w:after="0"/>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members of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members of our management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members of our supervisory board and our management board as a group;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each person who, to the best of our knowledge, beneficially owns 5% or more of our outstanding ordinary shares.</w:t>
      </w:r>
    </w:p>
    <w:p>
      <w:pPr>
        <w:spacing w:after="0" w:line="150"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w:t>
      </w:r>
    </w:p>
    <w:p>
      <w:pPr>
        <w:spacing w:after="0" w:line="1" w:lineRule="exact"/>
        <w:rPr>
          <w:sz w:val="20"/>
          <w:szCs w:val="20"/>
          <w:color w:val="auto"/>
        </w:rPr>
      </w:pPr>
    </w:p>
    <w:p>
      <w:pPr>
        <w:ind w:left="1980" w:right="1019"/>
        <w:spacing w:after="0" w:line="255" w:lineRule="auto"/>
        <w:rPr>
          <w:sz w:val="20"/>
          <w:szCs w:val="20"/>
          <w:color w:val="auto"/>
        </w:rPr>
      </w:pPr>
      <w:r>
        <w:rPr>
          <w:rFonts w:ascii="Arial" w:cs="Arial" w:eastAsia="Arial" w:hAnsi="Arial"/>
          <w:sz w:val="12"/>
          <w:szCs w:val="12"/>
          <w:color w:val="auto"/>
        </w:rPr>
        <w:t>or investment power as well as any shares that the individual has the right to acquire within 60 days of ,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27" w:lineRule="exact"/>
        <w:rPr>
          <w:sz w:val="20"/>
          <w:szCs w:val="20"/>
          <w:color w:val="auto"/>
        </w:rPr>
      </w:pPr>
    </w:p>
    <w:p>
      <w:pPr>
        <w:ind w:left="2260"/>
        <w:spacing w:after="0"/>
        <w:tabs>
          <w:tab w:leader="none" w:pos="7220" w:val="left"/>
        </w:tabs>
        <w:rPr>
          <w:sz w:val="20"/>
          <w:szCs w:val="20"/>
          <w:color w:val="auto"/>
        </w:rPr>
      </w:pPr>
      <w:r>
        <w:rPr>
          <w:rFonts w:ascii="Arial" w:cs="Arial" w:eastAsia="Arial" w:hAnsi="Arial"/>
          <w:sz w:val="12"/>
          <w:szCs w:val="12"/>
          <w:color w:val="auto"/>
        </w:rPr>
        <w:t>The percentage of shares beneficially owned before this offering is computed on the basis of</w:t>
      </w:r>
      <w:r>
        <w:rPr>
          <w:sz w:val="20"/>
          <w:szCs w:val="20"/>
          <w:color w:val="auto"/>
        </w:rPr>
        <w:tab/>
      </w:r>
      <w:r>
        <w:rPr>
          <w:rFonts w:ascii="Arial" w:cs="Arial" w:eastAsia="Arial" w:hAnsi="Arial"/>
          <w:sz w:val="10"/>
          <w:szCs w:val="10"/>
          <w:color w:val="auto"/>
        </w:rPr>
        <w:t>outstanding ordinary shares as of</w:t>
      </w:r>
    </w:p>
    <w:p>
      <w:pPr>
        <w:spacing w:after="0" w:line="15" w:lineRule="exact"/>
        <w:rPr>
          <w:sz w:val="20"/>
          <w:szCs w:val="20"/>
          <w:color w:val="auto"/>
        </w:rPr>
      </w:pPr>
    </w:p>
    <w:p>
      <w:pPr>
        <w:ind w:left="2460"/>
        <w:spacing w:after="0"/>
        <w:tabs>
          <w:tab w:leader="none" w:pos="8340" w:val="left"/>
        </w:tabs>
        <w:rPr>
          <w:sz w:val="20"/>
          <w:szCs w:val="20"/>
          <w:color w:val="auto"/>
        </w:rPr>
      </w:pPr>
      <w:r>
        <w:rPr>
          <w:rFonts w:ascii="Arial" w:cs="Arial" w:eastAsia="Arial" w:hAnsi="Arial"/>
          <w:sz w:val="12"/>
          <w:szCs w:val="12"/>
          <w:color w:val="auto"/>
        </w:rPr>
        <w:t>, 2021. The percentage of ordinary shares beneficially owned on an adjusted basis after this offering is based on</w:t>
      </w:r>
      <w:r>
        <w:rPr>
          <w:sz w:val="20"/>
          <w:szCs w:val="20"/>
          <w:color w:val="auto"/>
        </w:rPr>
        <w:tab/>
      </w:r>
      <w:r>
        <w:rPr>
          <w:rFonts w:ascii="Arial" w:cs="Arial" w:eastAsia="Arial" w:hAnsi="Arial"/>
          <w:sz w:val="10"/>
          <w:szCs w:val="10"/>
          <w:color w:val="auto"/>
        </w:rPr>
        <w:t>ordinary shares to</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be outstanding after this offering after giving effect to completion of this offering assuming no exercise of the underwriters’ option to purchase</w:t>
      </w:r>
    </w:p>
    <w:p>
      <w:pPr>
        <w:spacing w:after="0" w:line="18" w:lineRule="exact"/>
        <w:rPr>
          <w:sz w:val="20"/>
          <w:szCs w:val="20"/>
          <w:color w:val="auto"/>
        </w:rPr>
      </w:pPr>
    </w:p>
    <w:p>
      <w:pPr>
        <w:ind w:left="1980"/>
        <w:spacing w:after="0"/>
        <w:tabs>
          <w:tab w:leader="none" w:pos="3920" w:val="left"/>
        </w:tabs>
        <w:rPr>
          <w:sz w:val="20"/>
          <w:szCs w:val="20"/>
          <w:color w:val="auto"/>
        </w:rPr>
      </w:pPr>
      <w:r>
        <w:rPr>
          <w:rFonts w:ascii="Arial" w:cs="Arial" w:eastAsia="Arial" w:hAnsi="Arial"/>
          <w:sz w:val="12"/>
          <w:szCs w:val="12"/>
          <w:color w:val="auto"/>
        </w:rPr>
        <w:t>additional ADSs from us, and</w:t>
      </w:r>
      <w:r>
        <w:rPr>
          <w:sz w:val="20"/>
          <w:szCs w:val="20"/>
          <w:color w:val="auto"/>
        </w:rPr>
        <w:tab/>
      </w:r>
      <w:r>
        <w:rPr>
          <w:rFonts w:ascii="Arial" w:cs="Arial" w:eastAsia="Arial" w:hAnsi="Arial"/>
          <w:sz w:val="11"/>
          <w:szCs w:val="11"/>
          <w:color w:val="auto"/>
        </w:rPr>
        <w:t>ordinary shares to be outstanding after this offering after giving effect to completion of this offering and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assuming full exercise of the underwriters’ option to purchase additional ADSs from us. Shares that a person has the right to acquire within 60 days of</w:t>
      </w:r>
    </w:p>
    <w:p>
      <w:pPr>
        <w:spacing w:after="0" w:line="18" w:lineRule="exact"/>
        <w:rPr>
          <w:sz w:val="20"/>
          <w:szCs w:val="20"/>
          <w:color w:val="auto"/>
        </w:rPr>
      </w:pPr>
    </w:p>
    <w:p>
      <w:pPr>
        <w:ind w:left="1980" w:right="859" w:firstLine="472"/>
        <w:spacing w:after="0" w:line="253" w:lineRule="auto"/>
        <w:tabs>
          <w:tab w:leader="none" w:pos="25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Mynaric AG, Dornierstraße 19, 82205 Gilching, Germany.</w:t>
      </w:r>
    </w:p>
    <w:p>
      <w:pPr>
        <w:spacing w:after="0" w:line="14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8"/>
          </w:tcPr>
          <w:p>
            <w:pPr>
              <w:ind w:left="380"/>
              <w:spacing w:after="0"/>
              <w:rPr>
                <w:sz w:val="20"/>
                <w:szCs w:val="20"/>
                <w:color w:val="auto"/>
              </w:rPr>
            </w:pPr>
            <w:r>
              <w:rPr>
                <w:rFonts w:ascii="Arial" w:cs="Arial" w:eastAsia="Arial" w:hAnsi="Arial"/>
                <w:sz w:val="10"/>
                <w:szCs w:val="10"/>
                <w:b w:val="1"/>
                <w:bCs w:val="1"/>
                <w:color w:val="auto"/>
              </w:rPr>
              <w:t>Shares beneficially owned after this offering</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2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20" w:type="dxa"/>
            <w:vAlign w:val="bottom"/>
            <w:gridSpan w:val="5"/>
          </w:tcPr>
          <w:p>
            <w:pPr>
              <w:ind w:left="80"/>
              <w:spacing w:after="0" w:line="99" w:lineRule="exact"/>
              <w:rPr>
                <w:sz w:val="20"/>
                <w:szCs w:val="20"/>
                <w:color w:val="auto"/>
              </w:rPr>
            </w:pPr>
            <w:r>
              <w:rPr>
                <w:rFonts w:ascii="Arial" w:cs="Arial" w:eastAsia="Arial" w:hAnsi="Arial"/>
                <w:sz w:val="10"/>
                <w:szCs w:val="10"/>
                <w:b w:val="1"/>
                <w:bCs w:val="1"/>
                <w:color w:val="auto"/>
              </w:rPr>
              <w:t>Shares beneficially owned before</w:t>
            </w: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7"/>
              </w:rPr>
              <w:t>additional ADSs from us</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0" w:type="dxa"/>
            <w:vAlign w:val="bottom"/>
          </w:tcPr>
          <w:p>
            <w:pPr>
              <w:spacing w:after="0"/>
              <w:rPr>
                <w:sz w:val="1"/>
                <w:szCs w:val="1"/>
                <w:color w:val="auto"/>
              </w:rPr>
            </w:pPr>
          </w:p>
        </w:tc>
      </w:tr>
      <w:tr>
        <w:trPr>
          <w:trHeight w:val="113"/>
        </w:trPr>
        <w:tc>
          <w:tcPr>
            <w:tcW w:w="500" w:type="dxa"/>
            <w:vAlign w:val="bottom"/>
            <w:vMerge w:val="restart"/>
          </w:tcPr>
          <w:p>
            <w:pPr>
              <w:spacing w:after="0"/>
              <w:rPr>
                <w:sz w:val="20"/>
                <w:szCs w:val="20"/>
                <w:color w:val="auto"/>
              </w:rPr>
            </w:pPr>
            <w:r>
              <w:rPr>
                <w:rFonts w:ascii="Arial" w:cs="Arial" w:eastAsia="Arial" w:hAnsi="Arial"/>
                <w:sz w:val="10"/>
                <w:szCs w:val="10"/>
                <w:b w:val="1"/>
                <w:bCs w:val="1"/>
                <w:color w:val="auto"/>
                <w:w w:val="82"/>
              </w:rPr>
              <w:t>Shareholder</w:t>
            </w:r>
          </w:p>
        </w:tc>
        <w:tc>
          <w:tcPr>
            <w:tcW w:w="2520" w:type="dxa"/>
            <w:vAlign w:val="bottom"/>
            <w:vMerge w:val="restart"/>
          </w:tcPr>
          <w:p>
            <w:pPr>
              <w:spacing w:after="0"/>
              <w:rPr>
                <w:sz w:val="9"/>
                <w:szCs w:val="9"/>
                <w:color w:val="auto"/>
              </w:rPr>
            </w:pPr>
          </w:p>
        </w:tc>
        <w:tc>
          <w:tcPr>
            <w:tcW w:w="1020" w:type="dxa"/>
            <w:vAlign w:val="bottom"/>
            <w:gridSpan w:val="3"/>
          </w:tcPr>
          <w:p>
            <w:pPr>
              <w:ind w:left="500"/>
              <w:spacing w:after="0" w:line="114" w:lineRule="exact"/>
              <w:rPr>
                <w:sz w:val="20"/>
                <w:szCs w:val="20"/>
                <w:color w:val="auto"/>
              </w:rPr>
            </w:pPr>
            <w:r>
              <w:rPr>
                <w:rFonts w:ascii="Arial" w:cs="Arial" w:eastAsia="Arial" w:hAnsi="Arial"/>
                <w:sz w:val="10"/>
                <w:szCs w:val="10"/>
                <w:b w:val="1"/>
                <w:bCs w:val="1"/>
                <w:color w:val="auto"/>
                <w:w w:val="86"/>
              </w:rPr>
              <w:t>this offering</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spacing w:after="0" w:line="114" w:lineRule="exact"/>
              <w:rPr>
                <w:sz w:val="20"/>
                <w:szCs w:val="20"/>
                <w:color w:val="auto"/>
              </w:rPr>
            </w:pPr>
            <w:r>
              <w:rPr>
                <w:rFonts w:ascii="Arial" w:cs="Arial" w:eastAsia="Arial" w:hAnsi="Arial"/>
                <w:sz w:val="10"/>
                <w:szCs w:val="10"/>
                <w:b w:val="1"/>
                <w:bCs w:val="1"/>
                <w:color w:val="auto"/>
                <w:w w:val="81"/>
              </w:rPr>
              <w:t>is not exercised</w:t>
            </w:r>
          </w:p>
        </w:tc>
        <w:tc>
          <w:tcPr>
            <w:tcW w:w="220" w:type="dxa"/>
            <w:vAlign w:val="bottom"/>
          </w:tcPr>
          <w:p>
            <w:pPr>
              <w:spacing w:after="0"/>
              <w:rPr>
                <w:sz w:val="9"/>
                <w:szCs w:val="9"/>
                <w:color w:val="auto"/>
              </w:rPr>
            </w:pPr>
          </w:p>
        </w:tc>
        <w:tc>
          <w:tcPr>
            <w:tcW w:w="1200" w:type="dxa"/>
            <w:vAlign w:val="bottom"/>
            <w:gridSpan w:val="4"/>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is exercised in full</w:t>
            </w:r>
          </w:p>
        </w:tc>
        <w:tc>
          <w:tcPr>
            <w:tcW w:w="0" w:type="dxa"/>
            <w:vAlign w:val="bottom"/>
          </w:tcPr>
          <w:p>
            <w:pPr>
              <w:spacing w:after="0"/>
              <w:rPr>
                <w:sz w:val="1"/>
                <w:szCs w:val="1"/>
                <w:color w:val="auto"/>
              </w:rPr>
            </w:pPr>
          </w:p>
        </w:tc>
      </w:tr>
      <w:tr>
        <w:trPr>
          <w:trHeight w:val="99"/>
        </w:trPr>
        <w:tc>
          <w:tcPr>
            <w:tcW w:w="500" w:type="dxa"/>
            <w:vAlign w:val="bottom"/>
            <w:tcBorders>
              <w:bottom w:val="single" w:sz="8" w:color="auto"/>
            </w:tcBorders>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1020" w:type="dxa"/>
            <w:vAlign w:val="bottom"/>
            <w:tcBorders>
              <w:top w:val="single" w:sz="8" w:color="auto"/>
            </w:tcBorders>
            <w:gridSpan w:val="3"/>
          </w:tcPr>
          <w:p>
            <w:pPr>
              <w:ind w:left="160"/>
              <w:spacing w:after="0" w:line="79" w:lineRule="exact"/>
              <w:rPr>
                <w:sz w:val="20"/>
                <w:szCs w:val="20"/>
                <w:color w:val="auto"/>
              </w:rPr>
            </w:pPr>
            <w:r>
              <w:rPr>
                <w:rFonts w:ascii="Arial" w:cs="Arial" w:eastAsia="Arial" w:hAnsi="Arial"/>
                <w:sz w:val="8"/>
                <w:szCs w:val="8"/>
                <w:b w:val="1"/>
                <w:bCs w:val="1"/>
                <w:color w:val="auto"/>
              </w:rPr>
              <w:t>Number</w:t>
            </w:r>
          </w:p>
        </w:tc>
        <w:tc>
          <w:tcPr>
            <w:tcW w:w="480" w:type="dxa"/>
            <w:vAlign w:val="bottom"/>
            <w:tcBorders>
              <w:top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8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6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0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5% shareholders</w:t>
            </w: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Dr. Markus Knapek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252,347</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6.2</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Apeiron Investment Group Ltd.</w:t>
            </w:r>
            <w:r>
              <w:rPr>
                <w:rFonts w:ascii="Arial" w:cs="Arial" w:eastAsia="Arial" w:hAnsi="Arial"/>
                <w:sz w:val="15"/>
                <w:szCs w:val="15"/>
                <w:color w:val="auto"/>
                <w:vertAlign w:val="superscript"/>
              </w:rPr>
              <w:t>(1)(2)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242,900</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5.9</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supervisory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Manfred Krischke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Steve Geskos</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line="135" w:lineRule="exact"/>
              <w:rPr>
                <w:sz w:val="20"/>
                <w:szCs w:val="20"/>
                <w:color w:val="auto"/>
              </w:rPr>
            </w:pPr>
            <w:r>
              <w:rPr>
                <w:rFonts w:ascii="Arial" w:cs="Arial" w:eastAsia="Arial" w:hAnsi="Arial"/>
                <w:sz w:val="9"/>
                <w:szCs w:val="9"/>
                <w:color w:val="auto"/>
              </w:rPr>
              <w:t>Peter Müller-Brühl</w:t>
            </w:r>
            <w:r>
              <w:rPr>
                <w:rFonts w:ascii="Arial" w:cs="Arial" w:eastAsia="Arial" w:hAnsi="Arial"/>
                <w:sz w:val="15"/>
                <w:szCs w:val="15"/>
                <w:color w:val="auto"/>
                <w:vertAlign w:val="superscript"/>
              </w:rPr>
              <w:t>(3)</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0.1</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Vincent Wobbe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management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Bulent Altan</w:t>
            </w:r>
            <w:r>
              <w:rPr>
                <w:rFonts w:ascii="Arial" w:cs="Arial" w:eastAsia="Arial" w:hAnsi="Arial"/>
                <w:sz w:val="15"/>
                <w:szCs w:val="15"/>
                <w:color w:val="auto"/>
                <w:vertAlign w:val="superscript"/>
              </w:rPr>
              <w:t>(2)</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220,527</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5.4</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All members of our supervisory board and management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00"/>
              <w:spacing w:after="0"/>
              <w:rPr>
                <w:sz w:val="20"/>
                <w:szCs w:val="20"/>
                <w:color w:val="auto"/>
              </w:rPr>
            </w:pPr>
            <w:r>
              <w:rPr>
                <w:rFonts w:ascii="Arial" w:cs="Arial" w:eastAsia="Arial" w:hAnsi="Arial"/>
                <w:sz w:val="11"/>
                <w:szCs w:val="11"/>
                <w:b w:val="1"/>
                <w:bCs w:val="1"/>
                <w:color w:val="auto"/>
              </w:rPr>
              <w:t>board, as a group</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224,972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720,664</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17.6</w:t>
            </w: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59" w:hanging="288"/>
        <w:spacing w:after="0" w:line="214"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Apeiron Investment Group Ltd. is owned and controlled by Christian Angermayer. Mr. Angermayer may be deemed to have beneficial ownership of the shares held by Apeiron Investment Group Ltd. The address for Mr. Angermayer is 66 &amp; 67, Beatrice, Amery Street, Sliema, SLM1707, Malta.</w:t>
      </w:r>
    </w:p>
    <w:p>
      <w:pPr>
        <w:ind w:left="2260" w:right="859" w:hanging="288"/>
        <w:spacing w:after="0" w:line="258" w:lineRule="auto"/>
        <w:tabs>
          <w:tab w:leader="none" w:pos="2260" w:val="left"/>
        </w:tabs>
        <w:numPr>
          <w:ilvl w:val="0"/>
          <w:numId w:val="56"/>
        </w:numPr>
        <w:rPr>
          <w:rFonts w:ascii="Arial" w:cs="Arial" w:eastAsia="Arial" w:hAnsi="Arial"/>
          <w:sz w:val="8"/>
          <w:szCs w:val="8"/>
          <w:color w:val="auto"/>
        </w:rPr>
      </w:pPr>
      <w:r>
        <w:rPr>
          <w:rFonts w:ascii="Arial" w:cs="Arial" w:eastAsia="Arial" w:hAnsi="Arial"/>
          <w:sz w:val="8"/>
          <w:szCs w:val="8"/>
          <w:color w:val="auto"/>
        </w:rPr>
        <w:t>Apeiron Investment Group Ltd. (“Apeiron”) and Bulent Altan entered into an option agreement dated August 13, 2019 (as amended), pursuant to which Bulent Altan was granted the right to acquire 56,700 no-par value bearer shares of the Company from Apeiron. Since the option under the option agreement is immediately exercisable, Mr. Altan may be deemed to have beneficial ownership of 56,700 ordinary shares in the Company. Upon exercise of this option by Mr. Altan, the shareholding of Apeiron will decrease accordingly. For more information on the option agreement, see “Related Party Transactions—Option Agreement with Bulent Altan.”</w:t>
      </w:r>
    </w:p>
    <w:p>
      <w:pPr>
        <w:ind w:left="2260" w:right="1199" w:hanging="288"/>
        <w:spacing w:after="0" w:line="221" w:lineRule="auto"/>
        <w:tabs>
          <w:tab w:leader="none" w:pos="2260" w:val="left"/>
        </w:tabs>
        <w:numPr>
          <w:ilvl w:val="0"/>
          <w:numId w:val="56"/>
        </w:numPr>
        <w:rPr>
          <w:rFonts w:ascii="Arial" w:cs="Arial" w:eastAsia="Arial" w:hAnsi="Arial"/>
          <w:sz w:val="10"/>
          <w:szCs w:val="10"/>
          <w:color w:val="auto"/>
        </w:rPr>
      </w:pPr>
      <w:r>
        <w:rPr>
          <w:rFonts w:ascii="Arial" w:cs="Arial" w:eastAsia="Arial" w:hAnsi="Arial"/>
          <w:sz w:val="10"/>
          <w:szCs w:val="10"/>
          <w:color w:val="auto"/>
        </w:rPr>
        <w:t>Peter Müller-Brühl beneficially owns 4,445 ordinary shares in our Company, which he holds indirectly through EOversal UG (</w:t>
      </w:r>
      <w:r>
        <w:rPr>
          <w:rFonts w:ascii="Arial" w:cs="Arial" w:eastAsia="Arial" w:hAnsi="Arial"/>
          <w:sz w:val="10"/>
          <w:szCs w:val="10"/>
          <w:i w:val="1"/>
          <w:iCs w:val="1"/>
          <w:color w:val="auto"/>
        </w:rPr>
        <w:t>haftungsbeschränkt</w:t>
      </w:r>
      <w:r>
        <w:rPr>
          <w:rFonts w:ascii="Arial" w:cs="Arial" w:eastAsia="Arial" w:hAnsi="Arial"/>
          <w:sz w:val="10"/>
          <w:szCs w:val="10"/>
          <w:color w:val="auto"/>
        </w:rPr>
        <w:t>), a German limited liability entrepreneurial company (</w:t>
      </w:r>
      <w:r>
        <w:rPr>
          <w:rFonts w:ascii="Arial" w:cs="Arial" w:eastAsia="Arial" w:hAnsi="Arial"/>
          <w:sz w:val="10"/>
          <w:szCs w:val="10"/>
          <w:i w:val="1"/>
          <w:iCs w:val="1"/>
          <w:color w:val="auto"/>
        </w:rPr>
        <w:t>Unternehmergesellschaft</w:t>
      </w:r>
      <w:r>
        <w:rPr>
          <w:rFonts w:ascii="Arial" w:cs="Arial" w:eastAsia="Arial" w:hAnsi="Arial"/>
          <w:sz w:val="10"/>
          <w:szCs w:val="10"/>
          <w:color w:val="auto"/>
        </w:rPr>
        <w:t>), wholly-owned by him.</w:t>
      </w:r>
    </w:p>
    <w:p>
      <w:pPr>
        <w:spacing w:after="0" w:line="12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To our knowledge, no other shareholder beneficially owns more than 5% of our shares. Under German law, shareholders of a public company are required to notify the company and the German Federal Financial Supervisory Authority of the number of shares they own when their percentage ownership reaches, exceeds or falls below certain threshold levels. German law does not require a shareholder to update this information unless it again reaches, exceeds or falls below a notification threshold. The thresholds vary for companies listed in different segments of the Frankfurt Stock Exchange. As our ordinary shares are currently listed in the Scale segment of the Frankfurt Stock Exchange, the notification threshold applicable to our shareholders is 25%. As a result, we cannot be certain whether the number of shares owned by the shareholders (other than the shareholders who are members of our supervisory board and management board) listed above is accurate.</w:t>
      </w:r>
    </w:p>
    <w:p>
      <w:pPr>
        <w:spacing w:after="0" w:line="115"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Our ordinary shares are issued only in bearer form. Accordingly, we cannot determine the identity of our shareholders or how many shares a particular shareholder owns and the number of ordinary shares directly held by persons with U.S. addresses.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None of our shareholders will have different voting rights from other shareholders after the completion of this offering. We are not aware of any arrangement that may, at a subsequent date, result in a change of control of our company.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Service Agreement with MCConsult GbR</w:t>
      </w:r>
    </w:p>
    <w:p>
      <w:pPr>
        <w:spacing w:after="0" w:line="154"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2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1"/>
          <w:szCs w:val="11"/>
          <w:i w:val="1"/>
          <w:iCs w:val="1"/>
          <w:color w:val="auto"/>
        </w:rPr>
        <w:t>i.e.</w:t>
      </w:r>
      <w:r>
        <w:rPr>
          <w:rFonts w:ascii="Arial" w:cs="Arial" w:eastAsia="Arial" w:hAnsi="Arial"/>
          <w:sz w:val="11"/>
          <w:szCs w:val="11"/>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connection with the MCConsult Management Agreement and the MCConsult Consulting Agreement, we recorded expenses in the amount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€825 thousand for the financial year ended December 31, 2020, of which €344 thousand were paid to MCConsult GbR for the services provided in 2020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 €591 thousand were recognized as an accrued expense.</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Option Agreement with Bulent Altan</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Apeiron, one of our shareholders, and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Business Opportunity Agreement</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Bulent Altan, member of our management board and Chief Executive Officer, is an investment partner (together with the founder of Apeiron Investment Group Ltd., one of our shareholders) with, and serves as a</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member of the recommendation committee of, Alpine Space Ventures Management GmbH, which acts as the alternative investment fund manager of Alpine Space Ventures Fund I GmbH &amp; Co. KG (the “ASV Fund”). As a result, conflicts of interest could arise in the future between us, on the one hand, and the ASV Fund and its affiliates, on the other hand, concerning potential investment or business opportunities in the field of laser communication technology and products as well as the development and implementation of quantum communication technology for long distance data transmission between moving objects for terrestrial, airborne and spaceborne applications (the “Core Business”).</w:t>
      </w:r>
    </w:p>
    <w:p>
      <w:pPr>
        <w:spacing w:after="0" w:line="113"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In order to address such potential conflicts of interests, we will enter into a business opportunity agreement with Bulent Altan and the ASV Fund (the “Business Opportunity Agreement”) prior to or upon completion of this offering. Pursuant to the Business Opportunity Agreement, the ASV Fund will be required to present any potential business opportunity that is in the scope of our Core Business to us before pursuing, acquiring, or otherwise utilizing such business opportunity. If (and only if) we elect not to pursue such opportunity, the ASV Fund may do so. Under the Business Opportunity Agreement, we will also have a right of first offer, pursuant to which we will be entitled to acquire any existing investments in the Core Business that the ASV Fund intends to transfer to a third party. The Business Opportunity Agreement may be terminated by either party for cause, which includes (i) the application for the opening of insolvency proceedings against any party, (ii) the termination of Mr. Altan’s engagement as the CEO of Mynaric or (iii) the termination of Mr. Altan’s permanent involvement in the affairs of the ASV Fund.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 Former Supervisory Board Member</w:t>
      </w:r>
    </w:p>
    <w:p>
      <w:pPr>
        <w:spacing w:after="0" w:line="154"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Thomas Mayrhofer, a former member of our supervisory board who resigned in 2020, is a partner of Pinsent Masons LLP, a law firm that provided legal advisory services to us in connection with our rights offering in October 2020 and other capital markets related advice. Related party expenses involving Pinsent Masons LLP amounted to €135 thousand and €75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Ariane Knapek</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Ariane Knapek is the spouse of Markus Knapek, a former member of our management board and a significant shareholder in our Company.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Ms. Knapek was a part-time employee with the Company from June 2016 to January 2021 and received a salary at arm’s length terms.</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DESCRIPTION OF SHARE CAPITAL AND ARTICLES OF ASSOCIATION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description is a summary of certain information relating to our share capital as well as certain provisions of our articles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association and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This summary does not purport to be complete and speaks as of the date of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Copies of the articles of association will be publicly available from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in Munich, Germany, electronically at www.unternehmensregister.de and as an exhibit to the registration statement of which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forms a part.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Company History</w:t>
      </w:r>
    </w:p>
    <w:p>
      <w:pPr>
        <w:spacing w:after="0" w:line="15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incorporated under German law. ViaLight Communications GmbH was registered with the commercial register of the local court (</w:t>
      </w:r>
      <w:r>
        <w:rPr>
          <w:rFonts w:ascii="Arial" w:cs="Arial" w:eastAsia="Arial" w:hAnsi="Arial"/>
          <w:sz w:val="11"/>
          <w:szCs w:val="11"/>
          <w:i w:val="1"/>
          <w:iCs w:val="1"/>
          <w:color w:val="auto"/>
        </w:rPr>
        <w:t>Amtsgericht</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of Munich, Germany, on June 15, 2009 under docket number HRB 179806 with an initial share capital of €25,050 and its corporate seat in Weßling, Germany. On August 8, 2012, the shareholders of ViaLight Communications GmbH resolved to move the registered office to Gilching, Germany, which became effective upon registration with the commercial register on August 17, 2012.</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preparation for the initial public offering of our ordinary shares on the Frankfurt Stock Exchange (</w:t>
      </w:r>
      <w:r>
        <w:rPr>
          <w:rFonts w:ascii="Arial" w:cs="Arial" w:eastAsia="Arial" w:hAnsi="Arial"/>
          <w:sz w:val="12"/>
          <w:szCs w:val="12"/>
          <w:i w:val="1"/>
          <w:iCs w:val="1"/>
          <w:color w:val="auto"/>
        </w:rPr>
        <w:t>Frankfurter Wertpapierbörse</w:t>
      </w:r>
      <w:r>
        <w:rPr>
          <w:rFonts w:ascii="Arial" w:cs="Arial" w:eastAsia="Arial" w:hAnsi="Arial"/>
          <w:sz w:val="12"/>
          <w:szCs w:val="12"/>
          <w:color w:val="auto"/>
        </w:rPr>
        <w:t>), the shareholders of ViaLight Communications GmbH decided to incorporate a new entity in the form of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to serve as a holding company for the Mynaric group (formerly ViaLight Communications group). For this purpose, our former Chief Executive Officer, Wolfram Peschko, acquired a shelf company with the legal name Blitz 17-625 AG.</w:t>
      </w:r>
    </w:p>
    <w:p>
      <w:pPr>
        <w:spacing w:after="0" w:line="12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Blitz 17-625 AG (subsequently renamed to Mynaric AG) was established on April 6, 2017, as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incorporated under German law, with its corporate seat in Munich, Germany, and registered with the commercial register of the local court in Munich under docket number HRB 232763. Following the acquisition of Blitz 17-625 AG, Wolfram Peschko, as its sole shareholder, resolved to move the corporate seat to Gilching, Germany. The change of the corporate seat became effective upon registration with the commercial register on May 23, 2017.</w:t>
      </w:r>
    </w:p>
    <w:p>
      <w:pPr>
        <w:spacing w:after="0" w:line="9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On August 1, 2017, the shareholders of ViaLight Communications GmbH, as the sole shareholders of Blitz 17 625 AG, contributed all shares in ViaLight Communications GmbH to Blitz 17-625 AG. In an extraordinary shareholders’ meeting held on August 7, 2017, the shareholders of Blitz 17 625 AG resolved upon a capital increase against contribution in kind (</w:t>
      </w:r>
      <w:r>
        <w:rPr>
          <w:rFonts w:ascii="Arial" w:cs="Arial" w:eastAsia="Arial" w:hAnsi="Arial"/>
          <w:sz w:val="11"/>
          <w:szCs w:val="11"/>
          <w:i w:val="1"/>
          <w:iCs w:val="1"/>
          <w:color w:val="auto"/>
        </w:rPr>
        <w:t>Sachkapitalerhöhung</w:t>
      </w:r>
      <w:r>
        <w:rPr>
          <w:rFonts w:ascii="Arial" w:cs="Arial" w:eastAsia="Arial" w:hAnsi="Arial"/>
          <w:sz w:val="11"/>
          <w:szCs w:val="11"/>
          <w:color w:val="auto"/>
        </w:rPr>
        <w:t>) for purposes of implementing the contribution of the shares in ViaLight Communications GmbH. As a result of this capital increase, which became effective upon registration with the commercial register on August 30, 2017, our share capital was increased by €1,950,000, from €50,000 to €2,000,000, through the issuance of 1,950,000 new ordinary shares, each with a nominal value of €1.00 per share, to the former shareholders of ViaLight Communications GmbH. As a result, we became the sole shareholder of ViaLight Communications GmbH and our shareholders received new shares in the Company issued in the capital increase proportionate to their shareholding in ViaLight Communications GmbH.</w:t>
      </w:r>
    </w:p>
    <w:p>
      <w:pPr>
        <w:spacing w:after="0" w:line="11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On August 7, 2017, our general shareholders’ meeting further resolved to change our legal name from Blitz 17-625 AG to Mynaric AG. The change in our company name became effective upon registration with the commercial register on August 30, 2017.</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On September 8, 2017, we, as the sole shareholder of ViaLight Communications GmbH, resolved to change the company name of ViaLight Communications GmbH to Mynaric Lasercom GmbH. This change became effective upon registration with the commercial register on September 18, 2017.</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54"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Our corporate seat is in Gilching, Germany, and our business address is Dornierstraße 19, 82205 Gilching, Germany.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Capital</w:t>
      </w:r>
    </w:p>
    <w:p>
      <w:pPr>
        <w:spacing w:after="0" w:line="154" w:lineRule="exact"/>
        <w:rPr>
          <w:sz w:val="20"/>
          <w:szCs w:val="20"/>
          <w:color w:val="auto"/>
        </w:rPr>
      </w:pPr>
    </w:p>
    <w:p>
      <w:pPr>
        <w:ind w:left="2260"/>
        <w:spacing w:after="0"/>
        <w:tabs>
          <w:tab w:leader="none" w:pos="7560" w:val="left"/>
        </w:tabs>
        <w:rPr>
          <w:sz w:val="20"/>
          <w:szCs w:val="20"/>
          <w:color w:val="auto"/>
        </w:rPr>
      </w:pPr>
      <w:r>
        <w:rPr>
          <w:rFonts w:ascii="Arial" w:cs="Arial" w:eastAsia="Arial" w:hAnsi="Arial"/>
          <w:sz w:val="12"/>
          <w:szCs w:val="12"/>
          <w:color w:val="auto"/>
        </w:rPr>
        <w:t>As of the date of this prospectus, our share capital registered in the commercial register amounts to €</w:t>
      </w:r>
      <w:r>
        <w:rPr>
          <w:sz w:val="20"/>
          <w:szCs w:val="20"/>
          <w:color w:val="auto"/>
        </w:rPr>
        <w:tab/>
      </w:r>
      <w:r>
        <w:rPr>
          <w:rFonts w:ascii="Arial" w:cs="Arial" w:eastAsia="Arial" w:hAnsi="Arial"/>
          <w:sz w:val="11"/>
          <w:szCs w:val="11"/>
          <w:color w:val="auto"/>
        </w:rPr>
        <w:t>, which is divided in to</w:t>
      </w:r>
    </w:p>
    <w:p>
      <w:pPr>
        <w:spacing w:after="0" w:line="15" w:lineRule="exact"/>
        <w:rPr>
          <w:sz w:val="20"/>
          <w:szCs w:val="20"/>
          <w:color w:val="auto"/>
        </w:rPr>
      </w:pPr>
    </w:p>
    <w:p>
      <w:pPr>
        <w:ind w:left="1980" w:right="1299"/>
        <w:spacing w:after="0" w:line="260" w:lineRule="auto"/>
        <w:rPr>
          <w:sz w:val="20"/>
          <w:szCs w:val="20"/>
          <w:color w:val="auto"/>
        </w:rPr>
      </w:pPr>
      <w:r>
        <w:rPr>
          <w:rFonts w:ascii="Arial" w:cs="Arial" w:eastAsia="Arial" w:hAnsi="Arial"/>
          <w:sz w:val="12"/>
          <w:szCs w:val="12"/>
          <w:color w:val="auto"/>
        </w:rPr>
        <w:t>ordinary bearer shares (</w:t>
      </w:r>
      <w:r>
        <w:rPr>
          <w:rFonts w:ascii="Arial" w:cs="Arial" w:eastAsia="Arial" w:hAnsi="Arial"/>
          <w:sz w:val="12"/>
          <w:szCs w:val="12"/>
          <w:i w:val="1"/>
          <w:iCs w:val="1"/>
          <w:color w:val="auto"/>
        </w:rPr>
        <w:t>Inhaberaktien</w:t>
      </w:r>
      <w:r>
        <w:rPr>
          <w:rFonts w:ascii="Arial" w:cs="Arial" w:eastAsia="Arial" w:hAnsi="Arial"/>
          <w:sz w:val="12"/>
          <w:szCs w:val="12"/>
          <w:color w:val="auto"/>
        </w:rPr>
        <w:t>). All of our outstanding shares are no par-value bearer shares (</w:t>
      </w:r>
      <w:r>
        <w:rPr>
          <w:rFonts w:ascii="Arial" w:cs="Arial" w:eastAsia="Arial" w:hAnsi="Arial"/>
          <w:sz w:val="12"/>
          <w:szCs w:val="12"/>
          <w:i w:val="1"/>
          <w:iCs w:val="1"/>
          <w:color w:val="auto"/>
        </w:rPr>
        <w:t>auf den Inhaber lautende Stückaktien ohne</w:t>
      </w:r>
      <w:r>
        <w:rPr>
          <w:rFonts w:ascii="Arial" w:cs="Arial" w:eastAsia="Arial" w:hAnsi="Arial"/>
          <w:sz w:val="12"/>
          <w:szCs w:val="12"/>
          <w:color w:val="auto"/>
        </w:rPr>
        <w:t xml:space="preserve"> </w:t>
      </w:r>
      <w:r>
        <w:rPr>
          <w:rFonts w:ascii="Arial" w:cs="Arial" w:eastAsia="Arial" w:hAnsi="Arial"/>
          <w:sz w:val="12"/>
          <w:szCs w:val="12"/>
          <w:i w:val="1"/>
          <w:iCs w:val="1"/>
          <w:color w:val="auto"/>
        </w:rPr>
        <w:t>Nennbetrag</w:t>
      </w:r>
      <w:r>
        <w:rPr>
          <w:rFonts w:ascii="Arial" w:cs="Arial" w:eastAsia="Arial" w:hAnsi="Arial"/>
          <w:sz w:val="12"/>
          <w:szCs w:val="12"/>
          <w:color w:val="auto"/>
        </w:rPr>
        <w: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Certification and Transferability of the Shares</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w:t>
      </w:r>
    </w:p>
    <w:p>
      <w:pPr>
        <w:spacing w:after="0" w:line="124" w:lineRule="exact"/>
        <w:rPr>
          <w:sz w:val="20"/>
          <w:szCs w:val="20"/>
          <w:color w:val="auto"/>
        </w:rPr>
      </w:pPr>
    </w:p>
    <w:p>
      <w:pPr>
        <w:ind w:left="1980" w:right="1199" w:firstLine="294"/>
        <w:spacing w:after="0" w:line="323" w:lineRule="auto"/>
        <w:rPr>
          <w:sz w:val="20"/>
          <w:szCs w:val="20"/>
          <w:color w:val="auto"/>
        </w:rPr>
      </w:pPr>
      <w:r>
        <w:rPr>
          <w:rFonts w:ascii="Arial" w:cs="Arial" w:eastAsia="Arial" w:hAnsi="Arial"/>
          <w:sz w:val="11"/>
          <w:szCs w:val="11"/>
          <w:color w:val="auto"/>
        </w:rPr>
        <w:t>Our shares are freely transferable under German law (subject to the AWV amendment described under “Regulatory Environment—German Foreign Investment Regime”), with the transfer of ownership governed by the rules of the relevant clearing system.</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Information on Capital Measures</w:t>
      </w:r>
    </w:p>
    <w:p>
      <w:pPr>
        <w:spacing w:after="0" w:line="154"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Our shareholders’ meeting may also resolve to create so-called authorized share capital (</w:t>
      </w:r>
      <w:r>
        <w:rPr>
          <w:rFonts w:ascii="Arial" w:cs="Arial" w:eastAsia="Arial" w:hAnsi="Arial"/>
          <w:sz w:val="10"/>
          <w:szCs w:val="10"/>
          <w:i w:val="1"/>
          <w:iCs w:val="1"/>
          <w:color w:val="auto"/>
        </w:rPr>
        <w:t>genehmigtes Kapital</w:t>
      </w:r>
      <w:r>
        <w:rPr>
          <w:rFonts w:ascii="Arial" w:cs="Arial" w:eastAsia="Arial" w:hAnsi="Arial"/>
          <w:sz w:val="10"/>
          <w:szCs w:val="10"/>
          <w:color w:val="auto"/>
        </w:rPr>
        <w:t>), authorizing our management board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increase our registered share capital with the consent of our supervisory board within a period of five years by issuing shares for a certain total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amount up to the authorized capital amount. Authorized capital is a German law concept that allows us to issue shares without going through the process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obtaining an additional shareholders’ resolution. The shareholders’ authorization becomes effective upon registration in the commercial register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Handelsregister</w:t>
      </w:r>
      <w:r>
        <w:rPr>
          <w:rFonts w:ascii="Arial" w:cs="Arial" w:eastAsia="Arial" w:hAnsi="Arial"/>
          <w:sz w:val="10"/>
          <w:szCs w:val="10"/>
          <w:color w:val="auto"/>
        </w:rPr>
        <w:t>) and may extend for a period of no more than five years thereafter. The aggregate nominal amount of the authorized capital created by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shareholders may not exceed one half of the share capital existing at the time of registration of the authorized capital with the commercial register.</w:t>
      </w:r>
    </w:p>
    <w:p>
      <w:pPr>
        <w:spacing w:after="0" w:line="15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Furthermore, our shareholders may resolve to amend or create conditional capital (</w:t>
      </w:r>
      <w:r>
        <w:rPr>
          <w:rFonts w:ascii="Arial" w:cs="Arial" w:eastAsia="Arial" w:hAnsi="Arial"/>
          <w:sz w:val="11"/>
          <w:szCs w:val="11"/>
          <w:i w:val="1"/>
          <w:iCs w:val="1"/>
          <w:color w:val="auto"/>
        </w:rPr>
        <w:t>bedingtes Kapital</w:t>
      </w:r>
      <w:r>
        <w:rPr>
          <w:rFonts w:ascii="Arial" w:cs="Arial" w:eastAsia="Arial" w:hAnsi="Arial"/>
          <w:sz w:val="11"/>
          <w:szCs w:val="11"/>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0159"/>
          </w:cols>
          <w:pgMar w:left="30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shareholders may also resolve to increase the share capital from own resources (</w:t>
      </w:r>
      <w:r>
        <w:rPr>
          <w:rFonts w:ascii="Arial" w:cs="Arial" w:eastAsia="Arial" w:hAnsi="Arial"/>
          <w:sz w:val="12"/>
          <w:szCs w:val="12"/>
          <w:i w:val="1"/>
          <w:iCs w:val="1"/>
          <w:color w:val="auto"/>
        </w:rPr>
        <w:t>Kapitalerhöhung aus Gesellschaftsmitteln</w:t>
      </w:r>
      <w:r>
        <w:rPr>
          <w:rFonts w:ascii="Arial" w:cs="Arial" w:eastAsia="Arial" w:hAnsi="Arial"/>
          <w:sz w:val="12"/>
          <w:szCs w:val="12"/>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Our Share Capital during the Last Three Financial Years</w:t>
      </w:r>
    </w:p>
    <w:p>
      <w:pPr>
        <w:sectPr>
          <w:pgSz w:w="11900" w:h="16838" w:orient="portrait"/>
          <w:cols w:equalWidth="0" w:num="1">
            <w:col w:w="10159"/>
          </w:cols>
          <w:pgMar w:left="300" w:top="354" w:right="1440" w:bottom="1440" w:gutter="0" w:footer="0" w:header="0"/>
        </w:sectPr>
      </w:pPr>
    </w:p>
    <w:p>
      <w:pPr>
        <w:spacing w:after="0" w:line="154" w:lineRule="exact"/>
        <w:rPr>
          <w:sz w:val="20"/>
          <w:szCs w:val="20"/>
          <w:color w:val="auto"/>
        </w:rPr>
      </w:pPr>
    </w:p>
    <w:p>
      <w:pPr>
        <w:ind w:left="1980" w:firstLine="294"/>
        <w:spacing w:after="0" w:line="276" w:lineRule="auto"/>
        <w:rPr>
          <w:sz w:val="20"/>
          <w:szCs w:val="20"/>
          <w:color w:val="auto"/>
        </w:rPr>
      </w:pPr>
      <w:r>
        <w:rPr>
          <w:rFonts w:ascii="Arial" w:cs="Arial" w:eastAsia="Arial" w:hAnsi="Arial"/>
          <w:sz w:val="12"/>
          <w:szCs w:val="12"/>
          <w:color w:val="auto"/>
        </w:rPr>
        <w:t>As of , 2021, our share capital as registered with the commercial register amounted to € capital has changed as follows: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 Since January 1, 2018, our share</w:t>
      </w:r>
    </w:p>
    <w:p>
      <w:pPr>
        <w:spacing w:after="0" w:line="335" w:lineRule="exact"/>
        <w:rPr>
          <w:sz w:val="20"/>
          <w:szCs w:val="20"/>
          <w:color w:val="auto"/>
        </w:rPr>
      </w:pPr>
    </w:p>
    <w:p>
      <w:pPr>
        <w:sectPr>
          <w:pgSz w:w="11900" w:h="16838" w:orient="portrait"/>
          <w:cols w:equalWidth="0" w:num="2">
            <w:col w:w="6940" w:space="480"/>
            <w:col w:w="2739"/>
          </w:cols>
          <w:pgMar w:left="300" w:top="354" w:right="1440" w:bottom="1440" w:gutter="0" w:footer="0" w:header="0"/>
          <w:type w:val="continuous"/>
        </w:sectPr>
      </w:pPr>
    </w:p>
    <w:p>
      <w:pPr>
        <w:ind w:left="2620" w:right="879" w:hanging="288"/>
        <w:spacing w:after="0" w:line="263" w:lineRule="auto"/>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On May 14, 2019, our share capital as registered with the commercial register was increased by issuing 200,000 no-par value bearer shares from €2,704,304.00 by €200,000.00 to €2,904,304.00 utilizing the authorized capital granted by our shareholders’ meeting on August 7, 2017.</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On February 7, 2020, our share capital as registered with the commercial register was increased by issuing 290,430 no-par value bearer shares from €2,904,304.00 by €290,430.00 to €3,194,734.00 utilizing the authorized capital granted by our shareholders’ meeting on July 2, 2019.</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On October 13, 2020, our share capital as registered with the commercial register was increased by issuing 800,000 no-par value bearer shares from €3,194,734.00 by €800,000.00 to €3,994,734.00 utilizing the authorized capital granted by our shareholders’ meeting on June 12, 2020.</w:t>
      </w:r>
    </w:p>
    <w:p>
      <w:pPr>
        <w:spacing w:after="0" w:line="140"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authorized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Pursuant to section 4 para. 3 of our articles of association, the management board is authorized until May 13, 2026, subject to the consent of the supervisory board, to increase, once or repeatedly, our share capital by up to a total of €1,841,827.00 through the issuance of up to 1,841,827 new bearer shares with no par value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w:t>
      </w:r>
    </w:p>
    <w:p>
      <w:pPr>
        <w:spacing w:after="0" w:line="12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1"/>
          <w:szCs w:val="11"/>
          <w:i w:val="1"/>
          <w:iCs w:val="1"/>
          <w:color w:val="auto"/>
        </w:rPr>
        <w:t>Gesetz</w:t>
      </w:r>
      <w:r>
        <w:rPr>
          <w:rFonts w:ascii="Arial" w:cs="Arial" w:eastAsia="Arial" w:hAnsi="Arial"/>
          <w:sz w:val="11"/>
          <w:szCs w:val="11"/>
          <w:color w:val="auto"/>
        </w:rPr>
        <w:t xml:space="preserve"> </w:t>
      </w:r>
      <w:r>
        <w:rPr>
          <w:rFonts w:ascii="Arial" w:cs="Arial" w:eastAsia="Arial" w:hAnsi="Arial"/>
          <w:sz w:val="11"/>
          <w:szCs w:val="11"/>
          <w:i w:val="1"/>
          <w:iCs w:val="1"/>
          <w:color w:val="auto"/>
        </w:rPr>
        <w:t>über das Kreditwesen</w:t>
      </w:r>
      <w:r>
        <w:rPr>
          <w:rFonts w:ascii="Arial" w:cs="Arial" w:eastAsia="Arial" w:hAnsi="Arial"/>
          <w:sz w:val="11"/>
          <w:szCs w:val="11"/>
          <w:color w:val="auto"/>
        </w:rPr>
        <w:t>) with the obligation to offer the shares to our shareholders pursuant to Section 186 para. 5 of the German Stock</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59"/>
          </w:cols>
          <w:pgMar w:left="300" w:top="354" w:right="1440" w:bottom="1440" w:gutter="0" w:footer="0" w:header="0"/>
          <w:type w:val="continuous"/>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Corporation Act (so-called indirect subscription right). With the consent of the supervisory board, our management board is authorized to exclude the subscription rights in the following circumstances:</w:t>
      </w:r>
    </w:p>
    <w:p>
      <w:pPr>
        <w:spacing w:after="0" w:line="133" w:lineRule="exact"/>
        <w:rPr>
          <w:sz w:val="20"/>
          <w:szCs w:val="20"/>
          <w:color w:val="auto"/>
        </w:rPr>
      </w:pPr>
    </w:p>
    <w:p>
      <w:pPr>
        <w:ind w:left="2620" w:hanging="288"/>
        <w:spacing w:after="0"/>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to exclude fractional amounts resulting from the statutory subscription rights;</w:t>
      </w:r>
    </w:p>
    <w:p>
      <w:pPr>
        <w:spacing w:after="0" w:line="168"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140" w:lineRule="exact"/>
        <w:rPr>
          <w:rFonts w:ascii="Arial" w:cs="Arial" w:eastAsia="Arial" w:hAnsi="Arial"/>
          <w:sz w:val="12"/>
          <w:szCs w:val="12"/>
          <w:color w:val="auto"/>
        </w:rPr>
      </w:pPr>
    </w:p>
    <w:p>
      <w:pPr>
        <w:ind w:left="2620" w:right="899" w:hanging="288"/>
        <w:spacing w:after="0" w:line="278" w:lineRule="auto"/>
        <w:tabs>
          <w:tab w:leader="none" w:pos="26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136" w:lineRule="exact"/>
        <w:rPr>
          <w:rFonts w:ascii="Arial" w:cs="Arial" w:eastAsia="Arial" w:hAnsi="Arial"/>
          <w:sz w:val="11"/>
          <w:szCs w:val="11"/>
          <w:color w:val="auto"/>
        </w:rPr>
      </w:pPr>
    </w:p>
    <w:p>
      <w:pPr>
        <w:ind w:left="2620" w:right="1019" w:hanging="288"/>
        <w:spacing w:after="0" w:line="276" w:lineRule="auto"/>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 order to introduce shares or ADSs of the Company on a foreign stock exchange including shares or ADSs which shall be used for the exercise or in connection with options to purchase additional shares.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2021/II</w:t>
      </w:r>
    </w:p>
    <w:p>
      <w:pPr>
        <w:spacing w:after="0" w:line="150" w:lineRule="exact"/>
        <w:rPr>
          <w:sz w:val="20"/>
          <w:szCs w:val="20"/>
          <w:color w:val="auto"/>
        </w:rPr>
      </w:pPr>
    </w:p>
    <w:p>
      <w:pPr>
        <w:ind w:left="1980" w:right="999" w:firstLine="294"/>
        <w:spacing w:after="0" w:line="254" w:lineRule="auto"/>
        <w:rPr>
          <w:sz w:val="20"/>
          <w:szCs w:val="20"/>
          <w:color w:val="auto"/>
        </w:rPr>
      </w:pPr>
      <w:r>
        <w:rPr>
          <w:rFonts w:ascii="Arial" w:cs="Arial" w:eastAsia="Arial" w:hAnsi="Arial"/>
          <w:sz w:val="12"/>
          <w:szCs w:val="12"/>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2021/II”). The subscription rights of the shareholders are excluded. The Authorized Capital 2021/II serves to fulfill claims under our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0159"/>
          </w:cols>
          <w:pgMar w:left="30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conditional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2017</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4 of our articles of association, our share capital is conditionally increased by up to €1,500.00 through the issuance of up to 1,500 new no-par value ordinary bearer shares or new no-par value registered shares (“Conditional Capital 2017”).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17"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As of the date of this prospectus, no stock options under the 2017 Plan are outstanding and we do not intend to grant additional stock options under the 2017 Plan.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2019</w:t>
      </w:r>
    </w:p>
    <w:p>
      <w:pPr>
        <w:spacing w:after="0" w:line="150" w:lineRule="exact"/>
        <w:rPr>
          <w:sz w:val="20"/>
          <w:szCs w:val="20"/>
          <w:color w:val="auto"/>
        </w:rPr>
      </w:pPr>
    </w:p>
    <w:p>
      <w:pPr>
        <w:ind w:left="1980" w:right="959" w:firstLine="294"/>
        <w:spacing w:after="0" w:line="310" w:lineRule="auto"/>
        <w:rPr>
          <w:sz w:val="20"/>
          <w:szCs w:val="20"/>
          <w:color w:val="auto"/>
        </w:rPr>
      </w:pPr>
      <w:r>
        <w:rPr>
          <w:rFonts w:ascii="Arial" w:cs="Arial" w:eastAsia="Arial" w:hAnsi="Arial"/>
          <w:sz w:val="10"/>
          <w:szCs w:val="10"/>
          <w:color w:val="auto"/>
        </w:rPr>
        <w:t>Pursuant to section 4 para. 5 of our articles of association, our share capital is conditionally increased by up to €270,000.00 through the issuance of up to 270,000 new no-par value ordinary bearer shares or new no-par value registered shares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6 of our articles of association, our share capital is conditionally increased by up to €34,473.00 through the issuance of up to 34,473 new no-par value ordinary bearer shares or new no-par value registered shares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0159"/>
          </w:cols>
          <w:pgMar w:left="30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2020/II</w:t>
      </w:r>
    </w:p>
    <w:p>
      <w:pPr>
        <w:spacing w:after="0" w:line="150" w:lineRule="exact"/>
        <w:rPr>
          <w:sz w:val="20"/>
          <w:szCs w:val="20"/>
          <w:color w:val="auto"/>
        </w:rPr>
      </w:pPr>
    </w:p>
    <w:p>
      <w:pPr>
        <w:ind w:left="1980" w:right="859" w:firstLine="294"/>
        <w:spacing w:after="0" w:line="303" w:lineRule="auto"/>
        <w:rPr>
          <w:sz w:val="20"/>
          <w:szCs w:val="20"/>
          <w:color w:val="auto"/>
        </w:rPr>
      </w:pPr>
      <w:r>
        <w:rPr>
          <w:rFonts w:ascii="Arial" w:cs="Arial" w:eastAsia="Arial" w:hAnsi="Arial"/>
          <w:sz w:val="10"/>
          <w:szCs w:val="10"/>
          <w:color w:val="auto"/>
        </w:rPr>
        <w:t>Pursuant to section 4 para. 7 of our articles of association, our share capital is conditionally increased by up to €1,179,679.00 through issuance of up to 1,179,679 new no-par value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w:t>
      </w:r>
    </w:p>
    <w:p>
      <w:pPr>
        <w:spacing w:after="0" w:line="1"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Pursuant to section 4 para. 9 of our articles of association, our share capital is conditionally increased by up to €457,501.00 through issuance of up to 457,501 new no-par value bearer shares (“Conditional Capital 2021/I”).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2021/II</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Pursuant to section 4 para. 10 of our articles of association, our share capital is conditionally increased by up to €103,321.00 through the issuance of up to 103,321 new no-par value bearer shares or registered shares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0159"/>
          </w:cols>
          <w:pgMar w:left="300" w:top="354"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Rules regarding Shareholders’ Subscription Rights</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Shareholders’ Meetings, Resolutions and Voting Rights</w:t>
      </w:r>
    </w:p>
    <w:p>
      <w:pPr>
        <w:spacing w:after="0" w:line="154"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w:t>
      </w:r>
      <w:r>
        <w:rPr>
          <w:rFonts w:ascii="Arial" w:cs="Arial" w:eastAsia="Arial" w:hAnsi="Arial"/>
          <w:sz w:val="11"/>
          <w:szCs w:val="11"/>
          <w:i w:val="1"/>
          <w:iCs w:val="1"/>
          <w:color w:val="auto"/>
        </w:rPr>
        <w:t>i.e.</w:t>
      </w:r>
      <w:r>
        <w:rPr>
          <w:rFonts w:ascii="Arial" w:cs="Arial" w:eastAsia="Arial" w:hAnsi="Arial"/>
          <w:sz w:val="11"/>
          <w:szCs w:val="11"/>
          <w:color w:val="auto"/>
        </w:rPr>
        <w:t>,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0159"/>
          </w:cols>
          <w:pgMar w:left="30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40" w:lineRule="auto"/>
        <w:rPr>
          <w:sz w:val="20"/>
          <w:szCs w:val="20"/>
          <w:color w:val="auto"/>
        </w:rPr>
      </w:pPr>
      <w:r>
        <w:rPr>
          <w:rFonts w:ascii="Arial" w:cs="Arial" w:eastAsia="Arial" w:hAnsi="Arial"/>
          <w:sz w:val="10"/>
          <w:szCs w:val="10"/>
          <w:color w:val="auto"/>
        </w:rPr>
        <w:t>voting proposal (</w:t>
      </w:r>
      <w:r>
        <w:rPr>
          <w:rFonts w:ascii="Arial" w:cs="Arial" w:eastAsia="Arial" w:hAnsi="Arial"/>
          <w:sz w:val="10"/>
          <w:szCs w:val="10"/>
          <w:i w:val="1"/>
          <w:iCs w:val="1"/>
          <w:color w:val="auto"/>
        </w:rPr>
        <w:t>Beschlussvorlage</w:t>
      </w:r>
      <w:r>
        <w:rPr>
          <w:rFonts w:ascii="Arial" w:cs="Arial" w:eastAsia="Arial" w:hAnsi="Arial"/>
          <w:sz w:val="10"/>
          <w:szCs w:val="10"/>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87"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33" w:lineRule="exact"/>
        <w:rPr>
          <w:sz w:val="20"/>
          <w:szCs w:val="20"/>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use of our annual net profit determined in accordance with German generally accepted accounting principles;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discharge or ratification of the actions taken by the members of our management board and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approval of our statutory auditors;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increases or decreases in our share capital;</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election of supervisory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to the extent legally required, the approval of our financial statements.</w:t>
      </w:r>
    </w:p>
    <w:p>
      <w:pPr>
        <w:spacing w:after="0" w:line="150"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Each ordinary share grants one vote in a shareholders’ meeting. Voting rights may be exercised by authorized proxies, which may be appointed by the Company (</w:t>
      </w:r>
      <w:r>
        <w:rPr>
          <w:rFonts w:ascii="Arial" w:cs="Arial" w:eastAsia="Arial" w:hAnsi="Arial"/>
          <w:sz w:val="12"/>
          <w:szCs w:val="12"/>
          <w:i w:val="1"/>
          <w:iCs w:val="1"/>
          <w:color w:val="auto"/>
        </w:rPr>
        <w:t>Stimmrechtsvertreter</w:t>
      </w:r>
      <w:r>
        <w:rPr>
          <w:rFonts w:ascii="Arial" w:cs="Arial" w:eastAsia="Arial" w:hAnsi="Arial"/>
          <w:sz w:val="12"/>
          <w:szCs w:val="12"/>
          <w:color w:val="auto"/>
        </w:rPr>
        <w:t>). The granting of a power of attorney must be made in text form. Generally, the shareholder or an authorized proxy must be present at the shareholders’ meeting to cast a vote.</w:t>
      </w:r>
    </w:p>
    <w:p>
      <w:pPr>
        <w:spacing w:after="0" w:line="122" w:lineRule="exact"/>
        <w:rPr>
          <w:sz w:val="20"/>
          <w:szCs w:val="20"/>
          <w:color w:val="auto"/>
        </w:rPr>
      </w:pPr>
    </w:p>
    <w:p>
      <w:pPr>
        <w:jc w:val="both"/>
        <w:ind w:left="1980" w:right="1039" w:firstLine="294"/>
        <w:spacing w:after="0" w:line="263" w:lineRule="auto"/>
        <w:rPr>
          <w:sz w:val="20"/>
          <w:szCs w:val="20"/>
          <w:color w:val="auto"/>
        </w:rPr>
      </w:pPr>
      <w:r>
        <w:rPr>
          <w:rFonts w:ascii="Arial" w:cs="Arial" w:eastAsia="Arial" w:hAnsi="Arial"/>
          <w:sz w:val="12"/>
          <w:szCs w:val="12"/>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2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Neither German law nor our articles of association provide for a minimum participation requirement to form a quorum at our shareholders’ meetings.</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2"/>
          <w:szCs w:val="12"/>
          <w:i w:val="1"/>
          <w:iCs w:val="1"/>
          <w:color w:val="auto"/>
        </w:rPr>
        <w:t>Unternehmensverträge</w:t>
      </w:r>
      <w:r>
        <w:rPr>
          <w:rFonts w:ascii="Arial" w:cs="Arial" w:eastAsia="Arial" w:hAnsi="Arial"/>
          <w:sz w:val="12"/>
          <w:szCs w:val="12"/>
          <w:color w:val="auto"/>
        </w:rPr>
        <w:t>), as defined in the German Stock Corporation Act (in particular domination agreements (</w:t>
      </w:r>
      <w:r>
        <w:rPr>
          <w:rFonts w:ascii="Arial" w:cs="Arial" w:eastAsia="Arial" w:hAnsi="Arial"/>
          <w:sz w:val="12"/>
          <w:szCs w:val="12"/>
          <w:i w:val="1"/>
          <w:iCs w:val="1"/>
          <w:color w:val="auto"/>
        </w:rPr>
        <w:t>Beherrschungsverträge</w:t>
      </w:r>
      <w:r>
        <w:rPr>
          <w:rFonts w:ascii="Arial" w:cs="Arial" w:eastAsia="Arial" w:hAnsi="Arial"/>
          <w:sz w:val="12"/>
          <w:szCs w:val="12"/>
          <w:color w:val="auto"/>
        </w:rPr>
        <w:t>), and profit and loss transfer agreements (</w:t>
      </w:r>
      <w:r>
        <w:rPr>
          <w:rFonts w:ascii="Arial" w:cs="Arial" w:eastAsia="Arial" w:hAnsi="Arial"/>
          <w:sz w:val="12"/>
          <w:szCs w:val="12"/>
          <w:i w:val="1"/>
          <w:iCs w:val="1"/>
          <w:color w:val="auto"/>
        </w:rPr>
        <w:t>Ergebnisabführungsverträge</w:t>
      </w:r>
      <w:r>
        <w:rPr>
          <w:rFonts w:ascii="Arial" w:cs="Arial" w:eastAsia="Arial" w:hAnsi="Arial"/>
          <w:sz w:val="12"/>
          <w:szCs w:val="12"/>
          <w:color w:val="auto"/>
        </w:rPr>
        <w:t>)), and a change of the legal form of a company.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Rights</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0159"/>
          </w:cols>
          <w:pgMar w:left="300" w:top="354"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11"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We have never declared or paid any dividends to our shareholders and, as of the date of this prospectus, have no intention to declare or pay any dividends in the foreseeable future. See “Dividend Policy.” For information about the tax considerations relating to dividend payments, please see “Taxation—German Taxation—German Taxation of ADSs.”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Liquidation Rights</w:t>
      </w:r>
    </w:p>
    <w:p>
      <w:pPr>
        <w:spacing w:after="0" w:line="154" w:lineRule="exact"/>
        <w:rPr>
          <w:sz w:val="20"/>
          <w:szCs w:val="20"/>
          <w:color w:val="auto"/>
        </w:rPr>
      </w:pPr>
    </w:p>
    <w:p>
      <w:pPr>
        <w:jc w:val="both"/>
        <w:ind w:left="1980" w:right="919" w:firstLine="294"/>
        <w:spacing w:after="0" w:line="289" w:lineRule="auto"/>
        <w:rPr>
          <w:sz w:val="20"/>
          <w:szCs w:val="20"/>
          <w:color w:val="auto"/>
        </w:rPr>
      </w:pPr>
      <w:r>
        <w:rPr>
          <w:rFonts w:ascii="Arial" w:cs="Arial" w:eastAsia="Arial" w:hAnsi="Arial"/>
          <w:sz w:val="11"/>
          <w:szCs w:val="11"/>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Authorization to Acquire Our Own Shares</w:t>
      </w:r>
    </w:p>
    <w:p>
      <w:pPr>
        <w:spacing w:after="0" w:line="154"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Squeeze-Out of Minority Shareholders</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2"/>
          <w:szCs w:val="12"/>
          <w:i w:val="1"/>
          <w:iCs w:val="1"/>
          <w:color w:val="auto"/>
        </w:rPr>
        <w:t>Ausschluss von Minderheitsaktionären</w:t>
      </w:r>
      <w:r>
        <w:rPr>
          <w:rFonts w:ascii="Arial" w:cs="Arial" w:eastAsia="Arial" w:hAnsi="Arial"/>
          <w:sz w:val="12"/>
          <w:szCs w:val="12"/>
          <w:color w:val="auto"/>
        </w:rPr>
        <w:t>). This amount must take into account the full value of the company at the time of the resolution, which is generally determined using the future earnings value method (</w:t>
      </w:r>
      <w:r>
        <w:rPr>
          <w:rFonts w:ascii="Arial" w:cs="Arial" w:eastAsia="Arial" w:hAnsi="Arial"/>
          <w:sz w:val="12"/>
          <w:szCs w:val="12"/>
          <w:i w:val="1"/>
          <w:iCs w:val="1"/>
          <w:color w:val="auto"/>
        </w:rPr>
        <w:t>Ertragswertmethode</w:t>
      </w:r>
      <w:r>
        <w:rPr>
          <w:rFonts w:ascii="Arial" w:cs="Arial" w:eastAsia="Arial" w:hAnsi="Arial"/>
          <w:sz w:val="12"/>
          <w:szCs w:val="12"/>
          <w:color w:val="auto"/>
        </w:rPr>
        <w:t>).</w:t>
      </w:r>
    </w:p>
    <w:p>
      <w:pPr>
        <w:spacing w:after="0" w:line="12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A squeeze-out in the context of a merger (</w:t>
      </w:r>
      <w:r>
        <w:rPr>
          <w:rFonts w:ascii="Arial" w:cs="Arial" w:eastAsia="Arial" w:hAnsi="Arial"/>
          <w:sz w:val="12"/>
          <w:szCs w:val="12"/>
          <w:i w:val="1"/>
          <w:iCs w:val="1"/>
          <w:color w:val="auto"/>
        </w:rPr>
        <w:t>umwandlungsrechtlicher Squeeze-Out</w:t>
      </w:r>
      <w:r>
        <w:rPr>
          <w:rFonts w:ascii="Arial" w:cs="Arial" w:eastAsia="Arial" w:hAnsi="Arial"/>
          <w:sz w:val="12"/>
          <w:szCs w:val="12"/>
          <w:color w:val="auto"/>
        </w:rPr>
        <w:t>) only requires a majority shareholder to hold at least 90% of the share capital.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Objects and Purpose of our Company</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Pursuant to Section 2 of our articles of association, our main corporate objectives are the development, production, distribution and operation of equipment, software, systems and solutions for communications networks, in particular in the air and space industries, and related products; as well as the holding and management of shareholdings in companies active in this field and the provision of related services.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59"/>
          </w:cols>
          <w:pgMar w:left="30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We may engage in all business activities which serve, directly or indirectly, our business purpose. In particular, we are allowed to invest in, acquire interests in and dispose of other companies, and to establish domestic and foreign branch offices and subsidiaries.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Agent and Registrar</w:t>
      </w:r>
    </w:p>
    <w:p>
      <w:pPr>
        <w:spacing w:after="0" w:line="154" w:lineRule="exact"/>
        <w:rPr>
          <w:sz w:val="20"/>
          <w:szCs w:val="20"/>
          <w:color w:val="auto"/>
        </w:rPr>
      </w:pPr>
    </w:p>
    <w:p>
      <w:pPr>
        <w:ind w:left="2260"/>
        <w:spacing w:after="0"/>
        <w:tabs>
          <w:tab w:leader="none" w:pos="6880" w:val="left"/>
        </w:tabs>
        <w:rPr>
          <w:sz w:val="20"/>
          <w:szCs w:val="20"/>
          <w:color w:val="auto"/>
        </w:rPr>
      </w:pPr>
      <w:r>
        <w:rPr>
          <w:rFonts w:ascii="Arial" w:cs="Arial" w:eastAsia="Arial" w:hAnsi="Arial"/>
          <w:sz w:val="12"/>
          <w:szCs w:val="12"/>
          <w:color w:val="auto"/>
        </w:rPr>
        <w:t>Upon the closing of this offering, the transfer agent and registrar for the ADSs will be</w:t>
      </w:r>
      <w:r>
        <w:rPr>
          <w:sz w:val="20"/>
          <w:szCs w:val="20"/>
          <w:color w:val="auto"/>
        </w:rPr>
        <w:tab/>
      </w:r>
      <w:r>
        <w:rPr>
          <w:rFonts w:ascii="Arial" w:cs="Arial" w:eastAsia="Arial" w:hAnsi="Arial"/>
          <w:sz w:val="7"/>
          <w:szCs w:val="7"/>
          <w:color w:val="auto"/>
        </w:rPr>
        <w: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Differences in Corporate Law</w:t>
      </w:r>
    </w:p>
    <w:p>
      <w:pPr>
        <w:spacing w:after="0" w:line="15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applicable provisions of the German Stock Corporation Act differ from laws applicable to U.S. corporations and their shareholders. Set forth below is a summary of certain differences between the provisions of the German Stock Corporation Act applicable to us and the Delaware General Corporation Law, in each case relating to shareholders’ rights and protections.</w:t>
      </w:r>
    </w:p>
    <w:p>
      <w:pPr>
        <w:sectPr>
          <w:pgSz w:w="11900" w:h="16838" w:orient="portrait"/>
          <w:cols w:equalWidth="0" w:num="1">
            <w:col w:w="10159"/>
          </w:cols>
          <w:pgMar w:left="300" w:top="354" w:right="1440" w:bottom="1440" w:gutter="0" w:footer="0" w:header="0"/>
        </w:sectPr>
      </w:pP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vMerge w:val="restart"/>
          </w:tcPr>
          <w:p>
            <w:pPr>
              <w:spacing w:after="0"/>
              <w:rPr>
                <w:sz w:val="20"/>
                <w:szCs w:val="20"/>
                <w:color w:val="auto"/>
              </w:rPr>
            </w:pPr>
            <w:r>
              <w:rPr>
                <w:rFonts w:ascii="Arial" w:cs="Arial" w:eastAsia="Arial" w:hAnsi="Arial"/>
                <w:sz w:val="11"/>
                <w:szCs w:val="11"/>
                <w:b w:val="1"/>
                <w:bCs w:val="1"/>
                <w:color w:val="auto"/>
              </w:rPr>
              <w:t>Board System</w:t>
            </w: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89"/>
              </w:rPr>
              <w:t>Under German law, a stock corporation has a two-tier</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board structure composed of the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i w:val="1"/>
                <w:iCs w:val="1"/>
                <w:color w:val="auto"/>
                <w:w w:val="91"/>
              </w:rPr>
              <w:t>Vorstand</w:t>
            </w:r>
            <w:r>
              <w:rPr>
                <w:rFonts w:ascii="Arial" w:cs="Arial" w:eastAsia="Arial" w:hAnsi="Arial"/>
                <w:sz w:val="11"/>
                <w:szCs w:val="11"/>
                <w:color w:val="auto"/>
                <w:w w:val="91"/>
              </w:rPr>
              <w:t>) and the supervisory board (</w:t>
            </w:r>
            <w:r>
              <w:rPr>
                <w:rFonts w:ascii="Arial" w:cs="Arial" w:eastAsia="Arial" w:hAnsi="Arial"/>
                <w:sz w:val="11"/>
                <w:szCs w:val="11"/>
                <w:i w:val="1"/>
                <w:iCs w:val="1"/>
                <w:color w:val="auto"/>
                <w:w w:val="91"/>
              </w:rPr>
              <w:t>Aufsichtsrat</w:t>
            </w:r>
            <w:r>
              <w:rPr>
                <w:rFonts w:ascii="Arial" w:cs="Arial" w:eastAsia="Arial" w:hAnsi="Arial"/>
                <w:sz w:val="11"/>
                <w:szCs w:val="11"/>
                <w:color w:val="auto"/>
                <w:w w:val="91"/>
              </w:rPr>
              <w:t>).</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is responsible for running the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company’s day-to-day business and affairs and</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representing the company in dealings with third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parties.</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 supervisory board has a control and supervisory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function. The supervisory board does not actively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manage the company but certain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actions 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79"/>
        <w:spacing w:after="0" w:line="328" w:lineRule="auto"/>
        <w:rPr>
          <w:sz w:val="20"/>
          <w:szCs w:val="20"/>
          <w:color w:val="auto"/>
        </w:rPr>
      </w:pPr>
      <w:r>
        <w:rPr>
          <w:rFonts w:ascii="Arial" w:cs="Arial" w:eastAsia="Arial" w:hAnsi="Arial"/>
          <w:sz w:val="9"/>
          <w:szCs w:val="9"/>
          <w:color w:val="auto"/>
        </w:rPr>
        <w:t>Under Delaware law, a corporation has a unitary board structure and it is the responsibility of the board of directors to appoint and oversee the management of the corporation on behalf of and in the best interests of the shareholders of the corporation.</w:t>
      </w:r>
    </w:p>
    <w:p>
      <w:pPr>
        <w:spacing w:after="0" w:line="123" w:lineRule="exact"/>
        <w:rPr>
          <w:sz w:val="20"/>
          <w:szCs w:val="20"/>
          <w:color w:val="auto"/>
        </w:rPr>
      </w:pPr>
    </w:p>
    <w:p>
      <w:pPr>
        <w:ind w:right="1119"/>
        <w:spacing w:after="0" w:line="265" w:lineRule="auto"/>
        <w:rPr>
          <w:sz w:val="20"/>
          <w:szCs w:val="20"/>
          <w:color w:val="auto"/>
        </w:rPr>
      </w:pPr>
      <w:r>
        <w:rPr>
          <w:rFonts w:ascii="Arial" w:cs="Arial" w:eastAsia="Arial" w:hAnsi="Arial"/>
          <w:sz w:val="11"/>
          <w:szCs w:val="11"/>
          <w:color w:val="auto"/>
        </w:rPr>
        <w:t>Management is responsible for running the corporation and overseeing its day-to-day operations.</w:t>
      </w:r>
    </w:p>
    <w:p>
      <w:pPr>
        <w:spacing w:after="0" w:line="567"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Number of Board Members / Directors</w:t>
      </w:r>
      <w:r>
        <w:rPr>
          <w:sz w:val="20"/>
          <w:szCs w:val="20"/>
          <w:color w:val="auto"/>
        </w:rPr>
        <w:tab/>
      </w:r>
      <w:r>
        <w:rPr>
          <w:rFonts w:ascii="Arial" w:cs="Arial" w:eastAsia="Arial" w:hAnsi="Arial"/>
          <w:sz w:val="9"/>
          <w:szCs w:val="9"/>
          <w:color w:val="auto"/>
        </w:rPr>
        <w:t>Under German law, the management board of a stock</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corporation must have at least one member, and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members shall be determined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manner provided in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supervisory board of a stock corporation must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at least three but—depending on the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capital—no more than 21 members, whereby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supervisory board members must be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divisible by three if this is necessary for the fulfilment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of</w:t>
      </w:r>
    </w:p>
    <w:p>
      <w:pPr>
        <w:spacing w:after="0" w:line="20" w:lineRule="exact"/>
        <w:rPr>
          <w:sz w:val="20"/>
          <w:szCs w:val="20"/>
          <w:color w:val="auto"/>
        </w:rPr>
      </w:pPr>
      <w:r>
        <w:rPr>
          <w:sz w:val="20"/>
          <w:szCs w:val="20"/>
          <w:color w:val="auto"/>
        </w:rPr>
        <w:br w:type="column"/>
      </w:r>
    </w:p>
    <w:p>
      <w:pPr>
        <w:ind w:right="879"/>
        <w:spacing w:after="0" w:line="259" w:lineRule="auto"/>
        <w:rPr>
          <w:sz w:val="20"/>
          <w:szCs w:val="20"/>
          <w:color w:val="auto"/>
        </w:rPr>
      </w:pPr>
      <w:r>
        <w:rPr>
          <w:rFonts w:ascii="Arial" w:cs="Arial" w:eastAsia="Arial" w:hAnsi="Arial"/>
          <w:sz w:val="11"/>
          <w:szCs w:val="11"/>
          <w:color w:val="auto"/>
        </w:rPr>
        <w:t>Under Delaware law, a corporation must have at least one director and the number of directors shall be fixed by or in the manner provided in the bylaws, unless the certificate of incorporation otherwise fixes the number of directors.</w:t>
      </w:r>
    </w:p>
    <w:p>
      <w:pPr>
        <w:spacing w:after="0" w:line="932"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133</w:t>
      </w:r>
    </w:p>
    <w:p>
      <w:pPr>
        <w:sectPr>
          <w:pgSz w:w="11900" w:h="16838" w:orient="portrait"/>
          <w:cols w:equalWidth="0" w:num="1">
            <w:col w:w="10159"/>
          </w:cols>
          <w:pgMar w:left="300" w:top="354" w:right="1440" w:bottom="1440" w:gutter="0" w:footer="0" w:header="0"/>
          <w:type w:val="continuous"/>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employee co-determination requirements. The articles</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of association of the company must specify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has more than three members.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are either appointed by</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shareholders’ meeting or determined by one 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more individual shareholders based on a delegation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 for such shareholders provided for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articles of 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Depending on the number of employees of the</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 the supervisory board may be required to</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include employee representatives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provisions of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applies to companies that have at least 500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Germany, or the German Co-Determination Act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that have at least 2,000 employees in Germany. 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rules result in different appointment rules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In companies which are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subject to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two-thirds of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while one-third are representatives of the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companies which are subject to the German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Co-Determination Act, half of the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other half are representatives of the employees. 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event of a tie, the Chairperson has the tie-breaking</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vote. The employee representatives in the supervisory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are elected by the employees following certain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 set forth in applicable law.</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 supervisory board of German stock</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corporations that are both listed and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German Co-Determination Act must be composed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at least 30% women or men, depending on which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less represented group.</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0159"/>
          </w:cols>
          <w:pgMar w:left="30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142"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Appointment and Removal of Board Members /</w:t>
      </w:r>
      <w:r>
        <w:rPr>
          <w:sz w:val="20"/>
          <w:szCs w:val="20"/>
          <w:color w:val="auto"/>
        </w:rPr>
        <w:tab/>
      </w:r>
      <w:r>
        <w:rPr>
          <w:rFonts w:ascii="Arial" w:cs="Arial" w:eastAsia="Arial" w:hAnsi="Arial"/>
          <w:sz w:val="9"/>
          <w:szCs w:val="9"/>
          <w:color w:val="auto"/>
        </w:rPr>
        <w:t>Members of the management board of a German</w:t>
      </w:r>
    </w:p>
    <w:p>
      <w:pPr>
        <w:spacing w:after="0" w:line="14"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0"/>
          <w:szCs w:val="10"/>
          <w:b w:val="1"/>
          <w:bCs w:val="1"/>
          <w:color w:val="auto"/>
        </w:rPr>
        <w:t>Directors</w:t>
      </w:r>
      <w:r>
        <w:rPr>
          <w:sz w:val="20"/>
          <w:szCs w:val="20"/>
          <w:color w:val="auto"/>
        </w:rPr>
        <w:tab/>
      </w:r>
      <w:r>
        <w:rPr>
          <w:rFonts w:ascii="Arial" w:cs="Arial" w:eastAsia="Arial" w:hAnsi="Arial"/>
          <w:sz w:val="10"/>
          <w:szCs w:val="10"/>
          <w:color w:val="auto"/>
        </w:rPr>
        <w:t>stock corporation are appointed by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for a maximum period of five years.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Reappointment, including repeated reappointment, is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The supervisory board may remove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 of the management board prior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expiration of his or her term only for good cause, such</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 for gross breach of fiduciary duties or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passes a vote of no-confidence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with respect to such member, unless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board deems the no-confidence vote to be clearly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unreasonable. The shareholders themselves are not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entitled to appoint or dismiss the members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9"/>
          <w:szCs w:val="9"/>
          <w:color w:val="auto"/>
        </w:rPr>
        <w:t>Under German law, a member of a supervisory board</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may be elected for a term of up to approximately five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years depending on the date of the annual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shareholders’ meeting at which such member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elected, which is the standard term of office.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Reelection, including repeated reelection,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Prior to the expiration of his or her term,</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supervisory board members who have been appointed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the shareholders’ meeting may be removed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resolution of the general meeting requiring a three-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quarter majority of the votes cast, unless otherwise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provided by the company’s articles of association.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members who are delegated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 or the company’s employees may be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revoked and the resulting vacancy filled at the sole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discretion of such shareholder or the employees.</w:t>
      </w:r>
    </w:p>
    <w:p>
      <w:pPr>
        <w:spacing w:after="0" w:line="168"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Vacancies on the Boards</w:t>
      </w:r>
      <w:r>
        <w:rPr>
          <w:sz w:val="20"/>
          <w:szCs w:val="20"/>
          <w:color w:val="auto"/>
        </w:rPr>
        <w:tab/>
      </w:r>
      <w:r>
        <w:rPr>
          <w:rFonts w:ascii="Arial" w:cs="Arial" w:eastAsia="Arial" w:hAnsi="Arial"/>
          <w:sz w:val="9"/>
          <w:szCs w:val="9"/>
          <w:color w:val="auto"/>
        </w:rPr>
        <w:t>Under German law, vacant positions on the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9"/>
          <w:szCs w:val="9"/>
          <w:color w:val="auto"/>
        </w:rPr>
        <w:t>management board are filled by the supervisory board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in accordance with the general rules of appointment,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which provide that vacancies are filled by the simple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majority of supervisory board votes cast, unless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otherwise provided by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association. In case of emergencies, a vacant position</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on the management</w:t>
      </w: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 w:right="839"/>
        <w:spacing w:after="0" w:line="284" w:lineRule="auto"/>
        <w:rPr>
          <w:sz w:val="20"/>
          <w:szCs w:val="20"/>
          <w:color w:val="auto"/>
        </w:rPr>
      </w:pPr>
      <w:r>
        <w:rPr>
          <w:rFonts w:ascii="Arial" w:cs="Arial" w:eastAsia="Arial" w:hAnsi="Arial"/>
          <w:sz w:val="10"/>
          <w:szCs w:val="10"/>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right="859"/>
        <w:spacing w:after="0" w:line="313" w:lineRule="auto"/>
        <w:rPr>
          <w:sz w:val="20"/>
          <w:szCs w:val="20"/>
          <w:color w:val="auto"/>
        </w:rPr>
      </w:pPr>
      <w:r>
        <w:rPr>
          <w:rFonts w:ascii="Arial" w:cs="Arial" w:eastAsia="Arial" w:hAnsi="Arial"/>
          <w:sz w:val="9"/>
          <w:szCs w:val="9"/>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1" w:lineRule="exact"/>
        <w:rPr>
          <w:sz w:val="20"/>
          <w:szCs w:val="20"/>
          <w:color w:val="auto"/>
        </w:rPr>
      </w:pPr>
    </w:p>
    <w:p>
      <w:pPr>
        <w:jc w:val="both"/>
        <w:ind w:left="8" w:right="899" w:hanging="8"/>
        <w:spacing w:after="0" w:line="264" w:lineRule="auto"/>
        <w:tabs>
          <w:tab w:leader="none" w:pos="167"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certificate of incorporation directs that a particular class of stock is to elect such director, in which case a majority</w:t>
      </w:r>
    </w:p>
    <w:p>
      <w:pPr>
        <w:sectPr>
          <w:pgSz w:w="11900" w:h="16838" w:orient="portrait"/>
          <w:cols w:equalWidth="0" w:num="2">
            <w:col w:w="7040" w:space="152"/>
            <w:col w:w="2967"/>
          </w:cols>
          <w:pgMar w:left="300" w:top="354" w:right="1440" w:bottom="1440" w:gutter="0" w:footer="0" w:header="0"/>
          <w:type w:val="continuous"/>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left="472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9"/>
          <w:szCs w:val="9"/>
          <w:color w:val="auto"/>
        </w:rPr>
        <w:t>board may be filled by an individual appointed by the</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court.</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the number of supervisory board members falls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9"/>
          <w:szCs w:val="9"/>
          <w:color w:val="auto"/>
        </w:rPr>
        <w:t>below the number of members required for a quorum,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minimum number of members required by law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articles of association, upon application to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court having jurisdiction by the management board, a</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member of the supervisory board or a shareholder to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competent court, the vacant position 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may be filled with an individual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appointed by the court.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19"/>
        <w:spacing w:after="0" w:line="265" w:lineRule="auto"/>
        <w:rPr>
          <w:sz w:val="20"/>
          <w:szCs w:val="20"/>
          <w:color w:val="auto"/>
        </w:rPr>
      </w:pPr>
      <w:r>
        <w:rPr>
          <w:rFonts w:ascii="Arial" w:cs="Arial" w:eastAsia="Arial" w:hAnsi="Arial"/>
          <w:sz w:val="11"/>
          <w:szCs w:val="11"/>
          <w:color w:val="auto"/>
        </w:rPr>
        <w:t>of the other directors elected by such class, or a sole remaining director elected by such class, will fill such vacancy.</w:t>
      </w:r>
    </w:p>
    <w:p>
      <w:pPr>
        <w:spacing w:after="0" w:line="1376" w:lineRule="exact"/>
        <w:rPr>
          <w:sz w:val="20"/>
          <w:szCs w:val="20"/>
          <w:color w:val="auto"/>
        </w:rPr>
      </w:pPr>
    </w:p>
    <w:p>
      <w:pPr>
        <w:sectPr>
          <w:pgSz w:w="11900" w:h="16838" w:orient="portrait"/>
          <w:cols w:equalWidth="0" w:num="2">
            <w:col w:w="7020" w:space="18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Annual Shareholders’ Meeting</w:t>
      </w:r>
      <w:r>
        <w:rPr>
          <w:sz w:val="20"/>
          <w:szCs w:val="20"/>
          <w:color w:val="auto"/>
        </w:rPr>
        <w:tab/>
      </w:r>
      <w:r>
        <w:rPr>
          <w:rFonts w:ascii="Arial" w:cs="Arial" w:eastAsia="Arial" w:hAnsi="Arial"/>
          <w:sz w:val="9"/>
          <w:szCs w:val="9"/>
          <w:color w:val="auto"/>
        </w:rPr>
        <w:t>Under German law, a stock corporation must hold an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annual shareholders’ meeting within eight months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end of its financial year. Unless otherwise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provided for in the articles of association,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shall be held at the company’s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seat or, if applicable, at the venue where its shares are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listed.</w:t>
      </w:r>
    </w:p>
    <w:p>
      <w:pPr>
        <w:spacing w:after="0" w:line="147"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Calling of Shareholders’ Meetings</w:t>
      </w:r>
      <w:r>
        <w:rPr>
          <w:sz w:val="20"/>
          <w:szCs w:val="20"/>
          <w:color w:val="auto"/>
        </w:rPr>
        <w:tab/>
      </w:r>
      <w:r>
        <w:rPr>
          <w:rFonts w:ascii="Arial" w:cs="Arial" w:eastAsia="Arial" w:hAnsi="Arial"/>
          <w:sz w:val="9"/>
          <w:szCs w:val="9"/>
          <w:color w:val="auto"/>
        </w:rPr>
        <w:t>Under German law, extraordinary shareholders’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meetings, in addition to the annual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meetings, may be called by the management board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calling a meeting is required in the best interest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company, the supervisory board.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holding shares representing at least 5% of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share capital may request that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convenes an extraordinary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If the management board does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not convene a shareholders’ meeting upon such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request, the shareholders may petition the German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court having jurisdiction for authorization to convene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shareholders’ meeting.</w:t>
      </w:r>
    </w:p>
    <w:p>
      <w:pPr>
        <w:spacing w:after="0" w:line="20" w:lineRule="exact"/>
        <w:rPr>
          <w:sz w:val="20"/>
          <w:szCs w:val="20"/>
          <w:color w:val="auto"/>
        </w:rPr>
      </w:pPr>
      <w:r>
        <w:rPr>
          <w:sz w:val="20"/>
          <w:szCs w:val="20"/>
          <w:color w:val="auto"/>
        </w:rPr>
        <w:br w:type="column"/>
      </w:r>
    </w:p>
    <w:p>
      <w:pPr>
        <w:ind w:right="859"/>
        <w:spacing w:after="0" w:line="259" w:lineRule="auto"/>
        <w:rPr>
          <w:sz w:val="20"/>
          <w:szCs w:val="20"/>
          <w:color w:val="auto"/>
        </w:rPr>
      </w:pPr>
      <w:r>
        <w:rPr>
          <w:rFonts w:ascii="Arial" w:cs="Arial" w:eastAsia="Arial" w:hAnsi="Arial"/>
          <w:sz w:val="11"/>
          <w:szCs w:val="11"/>
          <w:color w:val="auto"/>
        </w:rPr>
        <w:t>Under Delaware law, the annual meeting of shareholders shall be held at such place, on such date and at such time as may be designated from time to time by the board of directors or as provided in the certificate of incorporation or the bylaws.</w:t>
      </w:r>
    </w:p>
    <w:p>
      <w:pPr>
        <w:spacing w:after="0" w:line="270" w:lineRule="exact"/>
        <w:rPr>
          <w:sz w:val="20"/>
          <w:szCs w:val="20"/>
          <w:color w:val="auto"/>
        </w:rPr>
      </w:pPr>
    </w:p>
    <w:p>
      <w:pPr>
        <w:ind w:right="859"/>
        <w:spacing w:after="0" w:line="292" w:lineRule="auto"/>
        <w:rPr>
          <w:sz w:val="20"/>
          <w:szCs w:val="20"/>
          <w:color w:val="auto"/>
        </w:rPr>
      </w:pPr>
      <w:r>
        <w:rPr>
          <w:rFonts w:ascii="Arial" w:cs="Arial" w:eastAsia="Arial" w:hAnsi="Arial"/>
          <w:sz w:val="10"/>
          <w:szCs w:val="10"/>
          <w:color w:val="auto"/>
        </w:rPr>
        <w:t>Under Delaware law, special meetings of the shareholders may be called by the board of directors or by such person or persons as may be authorized by the certificate of incorporation or by the bylaws.</w:t>
      </w:r>
    </w:p>
    <w:p>
      <w:pPr>
        <w:spacing w:after="0" w:line="1195" w:lineRule="exact"/>
        <w:rPr>
          <w:sz w:val="20"/>
          <w:szCs w:val="20"/>
          <w:color w:val="auto"/>
        </w:rPr>
      </w:pPr>
    </w:p>
    <w:p>
      <w:pPr>
        <w:sectPr>
          <w:pgSz w:w="11900" w:h="16838" w:orient="portrait"/>
          <w:cols w:equalWidth="0" w:num="2">
            <w:col w:w="7020" w:space="18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Notice of Shareholders’ Meetings</w:t>
      </w:r>
      <w:r>
        <w:rPr>
          <w:sz w:val="20"/>
          <w:szCs w:val="20"/>
          <w:color w:val="auto"/>
        </w:rPr>
        <w:tab/>
      </w:r>
      <w:r>
        <w:rPr>
          <w:rFonts w:ascii="Arial" w:cs="Arial" w:eastAsia="Arial" w:hAnsi="Arial"/>
          <w:sz w:val="9"/>
          <w:szCs w:val="9"/>
          <w:color w:val="auto"/>
        </w:rPr>
        <w:t>Under German law, unless a longer period is provided</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for in the articles of association, the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must be given at least 30 days’ advance notice of the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Such notice must at least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specify the name of the company, the statutory seat of</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company as well as the location,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br w:type="column"/>
      </w:r>
    </w:p>
    <w:p>
      <w:pPr>
        <w:ind w:right="859"/>
        <w:spacing w:after="0" w:line="328" w:lineRule="auto"/>
        <w:rPr>
          <w:sz w:val="20"/>
          <w:szCs w:val="20"/>
          <w:color w:val="auto"/>
        </w:rPr>
      </w:pPr>
      <w:r>
        <w:rPr>
          <w:rFonts w:ascii="Arial" w:cs="Arial" w:eastAsia="Arial" w:hAnsi="Arial"/>
          <w:sz w:val="9"/>
          <w:szCs w:val="9"/>
          <w:color w:val="auto"/>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w:t>
      </w:r>
    </w:p>
    <w:p>
      <w:pPr>
        <w:sectPr>
          <w:pgSz w:w="11900" w:h="16838" w:orient="portrait"/>
          <w:cols w:equalWidth="0" w:num="2">
            <w:col w:w="7040" w:space="160"/>
            <w:col w:w="2959"/>
          </w:cols>
          <w:pgMar w:left="300" w:top="354" w:right="1440" w:bottom="1440" w:gutter="0" w:footer="0" w:header="0"/>
          <w:type w:val="continuous"/>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rPr>
              <w:t>date and time of the shareholders’ meeting. In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addition, the invitation must contain the agenda items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as well as the management board’s and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supervisory board’s voting proposal for each agenda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item.</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formalities relating to calling and holding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shareholders’ meeting can be waived, provided that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all shareholders eligible to attend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meeting are present or represented at the meeting and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grant their consent.</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Proxy Voting</w:t>
            </w:r>
          </w:p>
        </w:tc>
        <w:tc>
          <w:tcPr>
            <w:tcW w:w="2340" w:type="dxa"/>
            <w:vAlign w:val="bottom"/>
          </w:tcPr>
          <w:p>
            <w:pPr>
              <w:spacing w:after="0"/>
              <w:rPr>
                <w:sz w:val="20"/>
                <w:szCs w:val="20"/>
                <w:color w:val="auto"/>
              </w:rPr>
            </w:pPr>
            <w:r>
              <w:rPr>
                <w:rFonts w:ascii="Arial" w:cs="Arial" w:eastAsia="Arial" w:hAnsi="Arial"/>
                <w:sz w:val="11"/>
                <w:szCs w:val="11"/>
                <w:color w:val="auto"/>
                <w:w w:val="97"/>
              </w:rPr>
              <w:t>Under German law, a shareholder may authorize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another person to attend, speak and vote at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meeting of the company on such</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behalf by proxy.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management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member may issue a proxy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another management board member to represent him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or her at the meeting and vote on his or her behalf.</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supervisory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supervisory board member may participate in a vote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by written vote issued to, and presented at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meeting by, another supervisory board member or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third party entitled to attend the supervisory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meeting.</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59"/>
        <w:spacing w:after="0" w:line="389" w:lineRule="auto"/>
        <w:rPr>
          <w:sz w:val="20"/>
          <w:szCs w:val="20"/>
          <w:color w:val="auto"/>
        </w:rPr>
      </w:pPr>
      <w:r>
        <w:rPr>
          <w:rFonts w:ascii="Arial" w:cs="Arial" w:eastAsia="Arial" w:hAnsi="Arial"/>
          <w:sz w:val="9"/>
          <w:szCs w:val="9"/>
          <w:color w:val="auto"/>
        </w:rPr>
        <w:t>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99"/>
        <w:spacing w:after="0" w:line="290" w:lineRule="auto"/>
        <w:rPr>
          <w:sz w:val="20"/>
          <w:szCs w:val="20"/>
          <w:color w:val="auto"/>
        </w:rPr>
      </w:pPr>
      <w:r>
        <w:rPr>
          <w:rFonts w:ascii="Arial" w:cs="Arial" w:eastAsia="Arial" w:hAnsi="Arial"/>
          <w:sz w:val="10"/>
          <w:szCs w:val="10"/>
          <w:color w:val="auto"/>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spacing w:after="0" w:line="138" w:lineRule="exact"/>
        <w:rPr>
          <w:sz w:val="20"/>
          <w:szCs w:val="20"/>
          <w:color w:val="auto"/>
        </w:rPr>
      </w:pPr>
    </w:p>
    <w:p>
      <w:pPr>
        <w:jc w:val="both"/>
        <w:ind w:right="939"/>
        <w:spacing w:after="0" w:line="265" w:lineRule="auto"/>
        <w:rPr>
          <w:sz w:val="20"/>
          <w:szCs w:val="20"/>
          <w:color w:val="auto"/>
        </w:rPr>
      </w:pPr>
      <w:r>
        <w:rPr>
          <w:rFonts w:ascii="Arial" w:cs="Arial" w:eastAsia="Arial" w:hAnsi="Arial"/>
          <w:sz w:val="11"/>
          <w:szCs w:val="11"/>
          <w:color w:val="auto"/>
        </w:rPr>
        <w:t>A director of a Delaware corporation may not issue a proxy representing the director’s voting rights as a director.</w:t>
      </w:r>
    </w:p>
    <w:p>
      <w:pPr>
        <w:spacing w:after="0" w:line="972" w:lineRule="exact"/>
        <w:rPr>
          <w:sz w:val="20"/>
          <w:szCs w:val="20"/>
          <w:color w:val="auto"/>
        </w:rPr>
      </w:pPr>
    </w:p>
    <w:p>
      <w:pPr>
        <w:sectPr>
          <w:pgSz w:w="11900" w:h="16838" w:orient="portrait"/>
          <w:cols w:equalWidth="0" w:num="2">
            <w:col w:w="7040" w:space="16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Preemptive / Subscription Rights</w:t>
      </w:r>
      <w:r>
        <w:rPr>
          <w:sz w:val="20"/>
          <w:szCs w:val="20"/>
          <w:color w:val="auto"/>
        </w:rPr>
        <w:tab/>
      </w:r>
      <w:r>
        <w:rPr>
          <w:rFonts w:ascii="Arial" w:cs="Arial" w:eastAsia="Arial" w:hAnsi="Arial"/>
          <w:sz w:val="9"/>
          <w:szCs w:val="9"/>
          <w:color w:val="auto"/>
        </w:rPr>
        <w:t>Under German law, existing shareholders have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subscription rights with respect to any new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shares or securities convertible into shares issued pro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rata to the nominal value of their respective holdings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 the company, unless (i) shareholders holding shares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representing three-quarters of the registered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 represented in the relevant shareholder vote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resolved upon the full or partial exclusion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subscription rights and (ii) such exclusion is justified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good and objective cause. No separate resolution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on the exclusion of subscription rights is required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all shareholders waive their statutory subscription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br w:type="column"/>
      </w:r>
    </w:p>
    <w:p>
      <w:pPr>
        <w:ind w:right="859"/>
        <w:spacing w:after="0" w:line="290" w:lineRule="auto"/>
        <w:rPr>
          <w:sz w:val="20"/>
          <w:szCs w:val="20"/>
          <w:color w:val="auto"/>
        </w:rPr>
      </w:pPr>
      <w:r>
        <w:rPr>
          <w:rFonts w:ascii="Arial" w:cs="Arial" w:eastAsia="Arial" w:hAnsi="Arial"/>
          <w:sz w:val="10"/>
          <w:szCs w:val="10"/>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040" w:space="160"/>
            <w:col w:w="2959"/>
          </w:cols>
          <w:pgMar w:left="300" w:top="354" w:right="1440" w:bottom="1440" w:gutter="0" w:footer="0" w:header="0"/>
          <w:type w:val="continuous"/>
        </w:sectPr>
      </w:pPr>
    </w:p>
    <w:bookmarkStart w:id="148" w:name="page149"/>
    <w:bookmarkEnd w:id="148"/>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313" w:lineRule="exact"/>
        <w:rPr>
          <w:sz w:val="20"/>
          <w:szCs w:val="20"/>
          <w:color w:val="auto"/>
        </w:rPr>
      </w:pPr>
    </w:p>
    <w:p>
      <w:pPr>
        <w:jc w:val="center"/>
        <w:ind w:left="800"/>
        <w:spacing w:after="0"/>
        <w:rPr>
          <w:sz w:val="20"/>
          <w:szCs w:val="20"/>
          <w:color w:val="auto"/>
        </w:rPr>
      </w:pPr>
      <w:r>
        <w:rPr>
          <w:rFonts w:ascii="Arial" w:cs="Arial" w:eastAsia="Arial" w:hAnsi="Arial"/>
          <w:sz w:val="10"/>
          <w:szCs w:val="10"/>
          <w:b w:val="1"/>
          <w:bCs w:val="1"/>
          <w:color w:val="auto"/>
        </w:rPr>
        <w:t>Authority to Allot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-422910</wp:posOffset>
            </wp:positionV>
            <wp:extent cx="72148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4916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9"/>
          <w:szCs w:val="9"/>
          <w:color w:val="auto"/>
        </w:rPr>
        <w:t>Under German law, the management board may not allot shares,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5" w:lineRule="auto"/>
        <w:rPr>
          <w:sz w:val="20"/>
          <w:szCs w:val="20"/>
          <w:color w:val="auto"/>
        </w:rPr>
      </w:pPr>
      <w:r>
        <w:rPr>
          <w:rFonts w:ascii="Arial" w:cs="Arial" w:eastAsia="Arial" w:hAnsi="Arial"/>
          <w:sz w:val="10"/>
          <w:szCs w:val="10"/>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p>
      <w:pPr>
        <w:spacing w:after="0" w:line="120" w:lineRule="exact"/>
        <w:rPr>
          <w:sz w:val="20"/>
          <w:szCs w:val="20"/>
          <w:color w:val="auto"/>
        </w:rPr>
      </w:pPr>
    </w:p>
    <w:p>
      <w:pPr>
        <w:sectPr>
          <w:pgSz w:w="11900" w:h="16838" w:orient="portrait"/>
          <w:cols w:equalWidth="0" w:num="3">
            <w:col w:w="3980" w:space="720"/>
            <w:col w:w="2300" w:space="20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Voting Rights</w:t>
      </w:r>
      <w:r>
        <w:rPr>
          <w:sz w:val="20"/>
          <w:szCs w:val="20"/>
          <w:color w:val="auto"/>
        </w:rPr>
        <w:tab/>
      </w:r>
      <w:r>
        <w:rPr>
          <w:rFonts w:ascii="Arial" w:cs="Arial" w:eastAsia="Arial" w:hAnsi="Arial"/>
          <w:sz w:val="9"/>
          <w:szCs w:val="9"/>
          <w:color w:val="auto"/>
        </w:rPr>
        <w:t>Under German law, each share, except for statutory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preferred non-voting shares (</w:t>
      </w:r>
      <w:r>
        <w:rPr>
          <w:rFonts w:ascii="Arial" w:cs="Arial" w:eastAsia="Arial" w:hAnsi="Arial"/>
          <w:sz w:val="10"/>
          <w:szCs w:val="10"/>
          <w:i w:val="1"/>
          <w:iCs w:val="1"/>
          <w:color w:val="auto"/>
        </w:rPr>
        <w:t>nicht stimmberechtigte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i w:val="1"/>
          <w:iCs w:val="1"/>
          <w:color w:val="auto"/>
        </w:rPr>
        <w:t>Vorzugsaktien</w:t>
      </w:r>
      <w:r>
        <w:rPr>
          <w:rFonts w:ascii="Arial" w:cs="Arial" w:eastAsia="Arial" w:hAnsi="Arial"/>
          <w:sz w:val="11"/>
          <w:szCs w:val="11"/>
          <w:color w:val="auto"/>
        </w:rPr>
        <w:t>), entitles its holder to vote 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and to participate with such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number of votes with respect to one share which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correspond to the quota of such share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company’s share capital. While German law does not</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 for a minimum attendance quorum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general meetings,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association may so provide. In general, resolutions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adopted at a shareholders’ meeting may be passed by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simple majority of votes cast, unless a higher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majority is required by law or under the company’s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articles of association.</w:t>
      </w:r>
    </w:p>
    <w:p>
      <w:pPr>
        <w:spacing w:after="0" w:line="20" w:lineRule="exact"/>
        <w:rPr>
          <w:sz w:val="20"/>
          <w:szCs w:val="20"/>
          <w:color w:val="auto"/>
        </w:rPr>
      </w:pPr>
      <w:r>
        <w:rPr>
          <w:sz w:val="20"/>
          <w:szCs w:val="20"/>
          <w:color w:val="auto"/>
        </w:rPr>
        <w:br w:type="column"/>
      </w:r>
    </w:p>
    <w:p>
      <w:pPr>
        <w:ind w:right="879"/>
        <w:spacing w:after="0" w:line="338" w:lineRule="auto"/>
        <w:rPr>
          <w:sz w:val="20"/>
          <w:szCs w:val="20"/>
          <w:color w:val="auto"/>
        </w:rPr>
      </w:pPr>
      <w:r>
        <w:rPr>
          <w:rFonts w:ascii="Arial" w:cs="Arial" w:eastAsia="Arial" w:hAnsi="Arial"/>
          <w:sz w:val="9"/>
          <w:szCs w:val="9"/>
          <w:color w:val="auto"/>
        </w:rPr>
        <w:t>Delaware law provides that, unless otherwise provided in the certificate of incorporation, each shareholder is entitled to one vote for each share of capital stock held by such shareholder.</w:t>
      </w:r>
    </w:p>
    <w:p>
      <w:pPr>
        <w:spacing w:after="0" w:line="1446" w:lineRule="exact"/>
        <w:rPr>
          <w:sz w:val="20"/>
          <w:szCs w:val="20"/>
          <w:color w:val="auto"/>
        </w:rPr>
      </w:pPr>
    </w:p>
    <w:p>
      <w:pPr>
        <w:sectPr>
          <w:pgSz w:w="11900" w:h="16838" w:orient="portrait"/>
          <w:cols w:equalWidth="0" w:num="2">
            <w:col w:w="7000" w:space="20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Shareholder Vote on Certain Transactions</w:t>
      </w:r>
      <w:r>
        <w:rPr>
          <w:sz w:val="20"/>
          <w:szCs w:val="20"/>
          <w:color w:val="auto"/>
        </w:rPr>
        <w:tab/>
      </w:r>
      <w:r>
        <w:rPr>
          <w:rFonts w:ascii="Arial" w:cs="Arial" w:eastAsia="Arial" w:hAnsi="Arial"/>
          <w:sz w:val="9"/>
          <w:szCs w:val="9"/>
          <w:color w:val="auto"/>
        </w:rPr>
        <w:t>Under German law, certain shareholders’ resolutions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fundamental importance require a majority of at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least three-quarters of the share capital present or</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represented in the vote. Resolutions of fundamental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importance include, in particular, capital increases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exclusion of subscription rights, capital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decreases, the creation of authorized or conditional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 capital, the dissolution of a company, a merger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into or with another company, split-offs and split-ups,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conclusion of inter-company agreements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Unternehmensverträge</w:t>
      </w:r>
      <w:r>
        <w:rPr>
          <w:rFonts w:ascii="Arial" w:cs="Arial" w:eastAsia="Arial" w:hAnsi="Arial"/>
          <w:sz w:val="10"/>
          <w:szCs w:val="10"/>
          <w:color w:val="auto"/>
        </w:rPr>
        <w:t>), in particular domination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agreements</w:t>
      </w:r>
    </w:p>
    <w:p>
      <w:pPr>
        <w:spacing w:after="0" w:line="30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br w:type="column"/>
      </w:r>
    </w:p>
    <w:p>
      <w:pPr>
        <w:ind w:left="8" w:right="859"/>
        <w:spacing w:after="0" w:line="290" w:lineRule="auto"/>
        <w:rPr>
          <w:sz w:val="20"/>
          <w:szCs w:val="20"/>
          <w:color w:val="auto"/>
        </w:rPr>
      </w:pPr>
      <w:r>
        <w:rPr>
          <w:rFonts w:ascii="Arial" w:cs="Arial" w:eastAsia="Arial" w:hAnsi="Arial"/>
          <w:sz w:val="10"/>
          <w:szCs w:val="10"/>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38" w:lineRule="exact"/>
        <w:rPr>
          <w:sz w:val="20"/>
          <w:szCs w:val="20"/>
          <w:color w:val="auto"/>
        </w:rPr>
      </w:pPr>
    </w:p>
    <w:p>
      <w:pPr>
        <w:ind w:left="148" w:hanging="148"/>
        <w:spacing w:after="0"/>
        <w:tabs>
          <w:tab w:leader="none" w:pos="148" w:val="left"/>
        </w:tabs>
        <w:numPr>
          <w:ilvl w:val="0"/>
          <w:numId w:val="61"/>
        </w:numPr>
        <w:rPr>
          <w:rFonts w:ascii="Arial" w:cs="Arial" w:eastAsia="Arial" w:hAnsi="Arial"/>
          <w:sz w:val="10"/>
          <w:szCs w:val="10"/>
          <w:color w:val="auto"/>
        </w:rPr>
      </w:pPr>
      <w:r>
        <w:rPr>
          <w:rFonts w:ascii="Arial" w:cs="Arial" w:eastAsia="Arial" w:hAnsi="Arial"/>
          <w:sz w:val="10"/>
          <w:szCs w:val="10"/>
          <w:color w:val="auto"/>
        </w:rPr>
        <w:t>the approval of the board of directors; and</w:t>
      </w:r>
    </w:p>
    <w:p>
      <w:pPr>
        <w:spacing w:after="0" w:line="182" w:lineRule="exact"/>
        <w:rPr>
          <w:rFonts w:ascii="Arial" w:cs="Arial" w:eastAsia="Arial" w:hAnsi="Arial"/>
          <w:sz w:val="10"/>
          <w:szCs w:val="10"/>
          <w:color w:val="auto"/>
        </w:rPr>
      </w:pPr>
    </w:p>
    <w:p>
      <w:pPr>
        <w:ind w:left="168" w:right="839" w:hanging="168"/>
        <w:spacing w:after="0" w:line="296" w:lineRule="auto"/>
        <w:tabs>
          <w:tab w:leader="none" w:pos="159" w:val="left"/>
        </w:tabs>
        <w:numPr>
          <w:ilvl w:val="0"/>
          <w:numId w:val="61"/>
        </w:numPr>
        <w:rPr>
          <w:rFonts w:ascii="Arial" w:cs="Arial" w:eastAsia="Arial" w:hAnsi="Arial"/>
          <w:sz w:val="10"/>
          <w:szCs w:val="10"/>
          <w:color w:val="auto"/>
        </w:rPr>
      </w:pPr>
      <w:r>
        <w:rPr>
          <w:rFonts w:ascii="Arial" w:cs="Arial" w:eastAsia="Arial" w:hAnsi="Arial"/>
          <w:sz w:val="10"/>
          <w:szCs w:val="10"/>
          <w:color w:val="auto"/>
        </w:rPr>
        <w:t>approval by the vote of the holders of a majority of the outstanding stock or, if the certificate of incorporation provides for more or less than one vote per share, a</w:t>
      </w:r>
    </w:p>
    <w:p>
      <w:pPr>
        <w:sectPr>
          <w:pgSz w:w="11900" w:h="16838" w:orient="portrait"/>
          <w:cols w:equalWidth="0" w:num="2">
            <w:col w:w="7020" w:space="172"/>
            <w:col w:w="2967"/>
          </w:cols>
          <w:pgMar w:left="300" w:top="354" w:right="1440" w:bottom="1440" w:gutter="0" w:footer="0" w:header="0"/>
          <w:type w:val="continuous"/>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w:t>
            </w:r>
            <w:r>
              <w:rPr>
                <w:rFonts w:ascii="Arial" w:cs="Arial" w:eastAsia="Arial" w:hAnsi="Arial"/>
                <w:sz w:val="11"/>
                <w:szCs w:val="11"/>
                <w:i w:val="1"/>
                <w:iCs w:val="1"/>
                <w:color w:val="auto"/>
                <w:w w:val="90"/>
              </w:rPr>
              <w:t>Beherrschungsverträge</w:t>
            </w:r>
            <w:r>
              <w:rPr>
                <w:rFonts w:ascii="Arial" w:cs="Arial" w:eastAsia="Arial" w:hAnsi="Arial"/>
                <w:sz w:val="11"/>
                <w:szCs w:val="11"/>
                <w:color w:val="auto"/>
                <w:w w:val="90"/>
              </w:rPr>
              <w:t>) and profit and loss transfer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agreements (</w:t>
            </w:r>
            <w:r>
              <w:rPr>
                <w:rFonts w:ascii="Arial" w:cs="Arial" w:eastAsia="Arial" w:hAnsi="Arial"/>
                <w:sz w:val="11"/>
                <w:szCs w:val="11"/>
                <w:i w:val="1"/>
                <w:iCs w:val="1"/>
                <w:color w:val="auto"/>
                <w:w w:val="96"/>
              </w:rPr>
              <w:t>Ergebnisabführungsverträge</w:t>
            </w:r>
            <w:r>
              <w:rPr>
                <w:rFonts w:ascii="Arial" w:cs="Arial" w:eastAsia="Arial" w:hAnsi="Arial"/>
                <w:sz w:val="11"/>
                <w:szCs w:val="11"/>
                <w:color w:val="auto"/>
                <w:w w:val="96"/>
              </w:rPr>
              <w:t>), and 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change of the legal form of a company.</w:t>
            </w:r>
          </w:p>
        </w:tc>
      </w:tr>
      <w:tr>
        <w:trPr>
          <w:trHeight w:val="278"/>
        </w:trPr>
        <w:tc>
          <w:tcPr>
            <w:tcW w:w="2720" w:type="dxa"/>
            <w:vAlign w:val="bottom"/>
          </w:tcPr>
          <w:p>
            <w:pPr>
              <w:spacing w:after="0"/>
              <w:rPr>
                <w:sz w:val="20"/>
                <w:szCs w:val="20"/>
                <w:color w:val="auto"/>
              </w:rPr>
            </w:pPr>
            <w:r>
              <w:rPr>
                <w:rFonts w:ascii="Arial" w:cs="Arial" w:eastAsia="Arial" w:hAnsi="Arial"/>
                <w:sz w:val="11"/>
                <w:szCs w:val="11"/>
                <w:b w:val="1"/>
                <w:bCs w:val="1"/>
                <w:color w:val="auto"/>
              </w:rPr>
              <w:t>Liability of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9"/>
              </w:rPr>
              <w:t>Under German law, any provision, whether contained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in the company’s articles of association or any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contract or otherwise, that purports to exempt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or supervisory board member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from any liability that would otherwise result from</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any negligence, default, breach of duty or breach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trust in relation to the company is void.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members of both the management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and members of the supervisory board 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liable to the company, and in certain cases to third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parties or shareholders, for any damage caused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them due to a breach of such member’s duty of care.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Apart from insolvency or special circumstances, only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the company has the right to claim damages from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either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The company may waive claims for damages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 negligent management board or supervisory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member only after the expiry of three years and with</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8"/>
              </w:rPr>
              <w:t>the approval of such waiver by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meeting with a simple majority of the votes cast,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unless shareholders who, in the aggregate, hold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one-tenth or more of the company’s share capital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object to the waiver and have their objection formally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recorded in the minutes of the shareholder meeting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 German civil law notary.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Standard of Conduct for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management board members and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supervisory board members must conduct their affairs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with “the care and diligence of a prudent business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person,” or a prudent supervisory board member, as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the case may be, and act, other than in restructuring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proceedings, in the best interests of the company.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scope of the fiduciary duties of management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and supervisory board</w:t>
            </w:r>
          </w:p>
        </w:tc>
      </w:tr>
      <w:tr>
        <w:trPr>
          <w:trHeight w:val="382"/>
        </w:trPr>
        <w:tc>
          <w:tcPr>
            <w:tcW w:w="2720" w:type="dxa"/>
            <w:vAlign w:val="bottom"/>
          </w:tcPr>
          <w:p>
            <w:pPr>
              <w:spacing w:after="0"/>
              <w:rPr>
                <w:sz w:val="24"/>
                <w:szCs w:val="24"/>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139</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31"/>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left="8" w:right="899"/>
        <w:spacing w:after="0" w:line="326" w:lineRule="auto"/>
        <w:rPr>
          <w:sz w:val="20"/>
          <w:szCs w:val="20"/>
          <w:color w:val="auto"/>
        </w:rPr>
      </w:pPr>
      <w:r>
        <w:rPr>
          <w:rFonts w:ascii="Arial" w:cs="Arial" w:eastAsia="Arial" w:hAnsi="Arial"/>
          <w:sz w:val="10"/>
          <w:szCs w:val="10"/>
          <w:color w:val="auto"/>
        </w:rPr>
        <w:t>majority of the votes of the outstanding stock of a corporation entitled to vote on the matter.</w:t>
      </w:r>
    </w:p>
    <w:p>
      <w:pPr>
        <w:spacing w:after="0" w:line="237" w:lineRule="exact"/>
        <w:rPr>
          <w:sz w:val="20"/>
          <w:szCs w:val="20"/>
          <w:color w:val="auto"/>
        </w:rPr>
      </w:pPr>
    </w:p>
    <w:p>
      <w:pPr>
        <w:ind w:left="8" w:right="879"/>
        <w:spacing w:after="0" w:line="289" w:lineRule="auto"/>
        <w:rPr>
          <w:sz w:val="20"/>
          <w:szCs w:val="20"/>
          <w:color w:val="auto"/>
        </w:rPr>
      </w:pPr>
      <w:r>
        <w:rPr>
          <w:rFonts w:ascii="Arial" w:cs="Arial" w:eastAsia="Arial" w:hAnsi="Arial"/>
          <w:sz w:val="10"/>
          <w:szCs w:val="10"/>
          <w:color w:val="auto"/>
        </w:rPr>
        <w:t>Under Delaware law, a corporation’s certificate of incorporation may include a provision eliminating or limiting the personal liability of a director to the corporation and its shareholders for damages arising from a breach of fiduciary duty as a director. However, no provision can limit the liability of a director for:</w:t>
      </w:r>
    </w:p>
    <w:p>
      <w:pPr>
        <w:spacing w:after="0" w:line="138" w:lineRule="exact"/>
        <w:rPr>
          <w:sz w:val="20"/>
          <w:szCs w:val="20"/>
          <w:color w:val="auto"/>
        </w:rPr>
      </w:pPr>
    </w:p>
    <w:p>
      <w:pPr>
        <w:ind w:left="168" w:right="859" w:hanging="168"/>
        <w:spacing w:after="0" w:line="326" w:lineRule="auto"/>
        <w:tabs>
          <w:tab w:leader="none" w:pos="159" w:val="left"/>
        </w:tabs>
        <w:numPr>
          <w:ilvl w:val="0"/>
          <w:numId w:val="62"/>
        </w:numPr>
        <w:rPr>
          <w:rFonts w:ascii="Arial" w:cs="Arial" w:eastAsia="Arial" w:hAnsi="Arial"/>
          <w:sz w:val="10"/>
          <w:szCs w:val="10"/>
          <w:color w:val="auto"/>
        </w:rPr>
      </w:pPr>
      <w:r>
        <w:rPr>
          <w:rFonts w:ascii="Arial" w:cs="Arial" w:eastAsia="Arial" w:hAnsi="Arial"/>
          <w:sz w:val="10"/>
          <w:szCs w:val="10"/>
          <w:color w:val="auto"/>
        </w:rPr>
        <w:t>any breach of the director’s duty of loyalty to the corporation or its shareholders;</w:t>
      </w:r>
    </w:p>
    <w:p>
      <w:pPr>
        <w:spacing w:after="0" w:line="119" w:lineRule="exact"/>
        <w:rPr>
          <w:rFonts w:ascii="Arial" w:cs="Arial" w:eastAsia="Arial" w:hAnsi="Arial"/>
          <w:sz w:val="10"/>
          <w:szCs w:val="10"/>
          <w:color w:val="auto"/>
        </w:rPr>
      </w:pPr>
    </w:p>
    <w:p>
      <w:pPr>
        <w:ind w:left="168" w:right="879" w:hanging="168"/>
        <w:spacing w:after="0" w:line="265" w:lineRule="auto"/>
        <w:tabs>
          <w:tab w:leader="none" w:pos="159" w:val="left"/>
        </w:tabs>
        <w:numPr>
          <w:ilvl w:val="0"/>
          <w:numId w:val="62"/>
        </w:numPr>
        <w:rPr>
          <w:rFonts w:ascii="Arial" w:cs="Arial" w:eastAsia="Arial" w:hAnsi="Arial"/>
          <w:sz w:val="11"/>
          <w:szCs w:val="11"/>
          <w:color w:val="auto"/>
        </w:rPr>
      </w:pPr>
      <w:r>
        <w:rPr>
          <w:rFonts w:ascii="Arial" w:cs="Arial" w:eastAsia="Arial" w:hAnsi="Arial"/>
          <w:sz w:val="11"/>
          <w:szCs w:val="11"/>
          <w:color w:val="auto"/>
        </w:rPr>
        <w:t>acts or omissions not in good faith or that involve intentional misconduct or a knowing violation of law;</w:t>
      </w:r>
    </w:p>
    <w:p>
      <w:pPr>
        <w:spacing w:after="0" w:line="148" w:lineRule="exact"/>
        <w:rPr>
          <w:rFonts w:ascii="Arial" w:cs="Arial" w:eastAsia="Arial" w:hAnsi="Arial"/>
          <w:sz w:val="11"/>
          <w:szCs w:val="11"/>
          <w:color w:val="auto"/>
        </w:rPr>
      </w:pPr>
    </w:p>
    <w:p>
      <w:pPr>
        <w:jc w:val="both"/>
        <w:ind w:left="168" w:right="859" w:hanging="168"/>
        <w:spacing w:after="0" w:line="265" w:lineRule="auto"/>
        <w:tabs>
          <w:tab w:leader="none" w:pos="159"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intentional or negligent payment of unlawful dividends or stock purchases or redemptions; or</w:t>
      </w:r>
    </w:p>
    <w:p>
      <w:pPr>
        <w:spacing w:after="0" w:line="148" w:lineRule="exact"/>
        <w:rPr>
          <w:rFonts w:ascii="Arial" w:cs="Arial" w:eastAsia="Arial" w:hAnsi="Arial"/>
          <w:sz w:val="11"/>
          <w:szCs w:val="11"/>
          <w:color w:val="auto"/>
        </w:rPr>
      </w:pPr>
    </w:p>
    <w:p>
      <w:pPr>
        <w:ind w:left="168" w:right="1099" w:hanging="168"/>
        <w:spacing w:after="0" w:line="389" w:lineRule="auto"/>
        <w:tabs>
          <w:tab w:leader="none" w:pos="159" w:val="left"/>
        </w:tabs>
        <w:numPr>
          <w:ilvl w:val="0"/>
          <w:numId w:val="62"/>
        </w:numPr>
        <w:rPr>
          <w:rFonts w:ascii="Arial" w:cs="Arial" w:eastAsia="Arial" w:hAnsi="Arial"/>
          <w:sz w:val="9"/>
          <w:szCs w:val="9"/>
          <w:color w:val="auto"/>
        </w:rPr>
      </w:pPr>
      <w:r>
        <w:rPr>
          <w:rFonts w:ascii="Arial" w:cs="Arial" w:eastAsia="Arial" w:hAnsi="Arial"/>
          <w:sz w:val="9"/>
          <w:szCs w:val="9"/>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right="839"/>
        <w:spacing w:after="0" w:line="287" w:lineRule="auto"/>
        <w:rPr>
          <w:sz w:val="20"/>
          <w:szCs w:val="20"/>
          <w:color w:val="auto"/>
        </w:rPr>
      </w:pPr>
      <w:r>
        <w:rPr>
          <w:rFonts w:ascii="Arial" w:cs="Arial" w:eastAsia="Arial" w:hAnsi="Arial"/>
          <w:sz w:val="10"/>
          <w:szCs w:val="10"/>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sectPr>
          <w:pgSz w:w="11900" w:h="16838" w:orient="portrait"/>
          <w:cols w:equalWidth="0" w:num="2">
            <w:col w:w="7040" w:space="152"/>
            <w:col w:w="2967"/>
          </w:cols>
          <w:pgMar w:left="300" w:top="354"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6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0"/>
          <w:szCs w:val="10"/>
          <w:color w:val="auto"/>
        </w:rPr>
        <w:t>members is determined by German legislation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interpreted by the German courts.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and fiduciary duties of members of the</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management board to the company include, among</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others:</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act in accordance with the law, the company’s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articles of association and the rules of procedure</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for the management board, if any;</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report to the supervisory board on a regular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basis as well as on certain important occasions;</w:t>
      </w:r>
    </w:p>
    <w:p>
      <w:pPr>
        <w:spacing w:after="0" w:line="18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exercise reasonable care, skill and diligence;</w:t>
      </w:r>
    </w:p>
    <w:p>
      <w:pPr>
        <w:spacing w:after="0" w:line="182"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maintain a proper accounting system;</w:t>
      </w:r>
    </w:p>
    <w:p>
      <w:pPr>
        <w:spacing w:after="0" w:line="17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not compete, directly or indirectly, with the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company without permission by the supervisory</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board; and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if the company is insolvent, to ensure that no</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further transactions are entered into on behalf of</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company.</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Members of the supervisory board owe substantially</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same statutory and fiduciary duties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company as members of the management board.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their duties include:</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9"/>
          <w:szCs w:val="9"/>
          <w:color w:val="auto"/>
        </w:rPr>
        <w:t>•</w:t>
        <w:tab/>
        <w:t>to effectively supervise the company’s affairs and</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management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evaluate and issue a resolution on certain</w:t>
      </w:r>
    </w:p>
    <w:p>
      <w:pPr>
        <w:spacing w:after="0" w:line="10" w:lineRule="exact"/>
        <w:rPr>
          <w:sz w:val="20"/>
          <w:szCs w:val="20"/>
          <w:color w:val="auto"/>
        </w:rPr>
      </w:pPr>
    </w:p>
    <w:p>
      <w:pPr>
        <w:ind w:left="4860"/>
        <w:spacing w:after="0"/>
        <w:rPr>
          <w:sz w:val="20"/>
          <w:szCs w:val="20"/>
          <w:color w:val="auto"/>
        </w:rPr>
      </w:pPr>
      <w:r>
        <w:rPr>
          <w:rFonts w:ascii="Arial" w:cs="Arial" w:eastAsia="Arial" w:hAnsi="Arial"/>
          <w:sz w:val="9"/>
          <w:szCs w:val="9"/>
          <w:color w:val="auto"/>
        </w:rPr>
        <w:t>transactions which may only be carried out by the</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management board with the consent of the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supervisory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approve the company’s financial statements;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6" w:lineRule="auto"/>
        <w:rPr>
          <w:sz w:val="20"/>
          <w:szCs w:val="20"/>
          <w:color w:val="auto"/>
        </w:rPr>
      </w:pPr>
      <w:r>
        <w:rPr>
          <w:rFonts w:ascii="Arial" w:cs="Arial" w:eastAsia="Arial" w:hAnsi="Arial"/>
          <w:sz w:val="10"/>
          <w:szCs w:val="10"/>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304" w:lineRule="exact"/>
        <w:rPr>
          <w:sz w:val="20"/>
          <w:szCs w:val="20"/>
          <w:color w:val="auto"/>
        </w:rPr>
      </w:pPr>
    </w:p>
    <w:p>
      <w:pPr>
        <w:ind w:right="879"/>
        <w:spacing w:after="0" w:line="284" w:lineRule="auto"/>
        <w:rPr>
          <w:sz w:val="20"/>
          <w:szCs w:val="20"/>
          <w:color w:val="auto"/>
        </w:rPr>
      </w:pPr>
      <w:r>
        <w:rPr>
          <w:rFonts w:ascii="Arial" w:cs="Arial" w:eastAsia="Arial" w:hAnsi="Arial"/>
          <w:sz w:val="10"/>
          <w:szCs w:val="10"/>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44" w:lineRule="exact"/>
        <w:rPr>
          <w:sz w:val="20"/>
          <w:szCs w:val="20"/>
          <w:color w:val="auto"/>
        </w:rPr>
      </w:pPr>
    </w:p>
    <w:p>
      <w:pPr>
        <w:ind w:right="859"/>
        <w:spacing w:after="0" w:line="328" w:lineRule="auto"/>
        <w:rPr>
          <w:sz w:val="20"/>
          <w:szCs w:val="20"/>
          <w:color w:val="auto"/>
        </w:rPr>
      </w:pPr>
      <w:r>
        <w:rPr>
          <w:rFonts w:ascii="Arial" w:cs="Arial" w:eastAsia="Arial" w:hAnsi="Arial"/>
          <w:sz w:val="9"/>
          <w:szCs w:val="9"/>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020" w:space="180"/>
            <w:col w:w="2959"/>
          </w:cols>
          <w:pgMar w:left="300" w:top="354" w:right="1440" w:bottom="1440" w:gutter="0" w:footer="0" w:header="0"/>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  to appoint the management board members and to</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6"/>
              </w:rPr>
              <w:t>represent the company in transactions between the</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7"/>
              </w:rPr>
              <w:t>company and members of the management board;</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and</w:t>
            </w:r>
          </w:p>
        </w:tc>
      </w:tr>
      <w:tr>
        <w:trPr>
          <w:trHeight w:val="458"/>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  to approve service contracts between individual</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members of the management board and the</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company.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Shareholder Suits</w:t>
            </w:r>
          </w:p>
        </w:tc>
        <w:tc>
          <w:tcPr>
            <w:tcW w:w="2340" w:type="dxa"/>
            <w:vAlign w:val="bottom"/>
          </w:tcPr>
          <w:p>
            <w:pPr>
              <w:spacing w:after="0"/>
              <w:rPr>
                <w:sz w:val="20"/>
                <w:szCs w:val="20"/>
                <w:color w:val="auto"/>
              </w:rPr>
            </w:pPr>
            <w:r>
              <w:rPr>
                <w:rFonts w:ascii="Arial" w:cs="Arial" w:eastAsia="Arial" w:hAnsi="Arial"/>
                <w:sz w:val="11"/>
                <w:szCs w:val="11"/>
                <w:color w:val="auto"/>
                <w:w w:val="93"/>
              </w:rPr>
              <w:t>Under German law, generally, the company, rather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than its shareholders, is the proper claimant in an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action with respect to a wrong committed against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company or an irregularity in the company’s internal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management or supervision. Accordingly, such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may only be raised by the company represented by its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management board, or, in the case of a wrong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committed by a member of the management board,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supervisory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Additionally, pursuant to German case law,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supervisory board is generally obliged to pursue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company’s claims against the management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unless in exceptional circumstances it is in the best</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interest of the company not to pursue such claims.</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or, if a claim is made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 member of the management board, the supervisory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is obliged to pursue the company’s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against the relevant individuals if so resolved by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shareholders’ meeting with a simple majority of votes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cast. By way of the admissibility procedure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6"/>
              </w:rPr>
              <w:t>(</w:t>
            </w:r>
            <w:r>
              <w:rPr>
                <w:rFonts w:ascii="Arial" w:cs="Arial" w:eastAsia="Arial" w:hAnsi="Arial"/>
                <w:sz w:val="11"/>
                <w:szCs w:val="11"/>
                <w:i w:val="1"/>
                <w:iCs w:val="1"/>
                <w:color w:val="auto"/>
                <w:w w:val="86"/>
              </w:rPr>
              <w:t>Klagezulassungsverfahren</w:t>
            </w:r>
            <w:r>
              <w:rPr>
                <w:rFonts w:ascii="Arial" w:cs="Arial" w:eastAsia="Arial" w:hAnsi="Arial"/>
                <w:sz w:val="11"/>
                <w:szCs w:val="11"/>
                <w:color w:val="auto"/>
                <w:w w:val="86"/>
              </w:rPr>
              <w:t>), shareholders can request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that a representative pursues the claim on behalf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company.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If the company is unable to fulfill its obligations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vis-à-vis third parties, the company’s creditors may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pursue the company’s damage claims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the management board for certain</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wrongdoings.</w:t>
            </w:r>
          </w:p>
        </w:tc>
      </w:tr>
      <w:tr>
        <w:trPr>
          <w:trHeight w:val="256"/>
        </w:trPr>
        <w:tc>
          <w:tcPr>
            <w:tcW w:w="2720" w:type="dxa"/>
            <w:vAlign w:val="bottom"/>
          </w:tcPr>
          <w:p>
            <w:pPr>
              <w:spacing w:after="0"/>
              <w:rPr>
                <w:sz w:val="22"/>
                <w:szCs w:val="22"/>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141</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right="859"/>
        <w:spacing w:after="0" w:line="296" w:lineRule="auto"/>
        <w:rPr>
          <w:sz w:val="20"/>
          <w:szCs w:val="20"/>
          <w:color w:val="auto"/>
        </w:rPr>
      </w:pPr>
      <w:r>
        <w:rPr>
          <w:rFonts w:ascii="Arial" w:cs="Arial" w:eastAsia="Arial" w:hAnsi="Arial"/>
          <w:sz w:val="10"/>
          <w:szCs w:val="10"/>
          <w:color w:val="auto"/>
        </w:rPr>
        <w:t>Under Delaware law, a shareholder may initiate a derivative action to enforce a right of a corporation if the corporation fails to enforce the right itself. The complaint must:</w:t>
      </w:r>
    </w:p>
    <w:p>
      <w:pPr>
        <w:spacing w:after="0" w:line="135" w:lineRule="exact"/>
        <w:rPr>
          <w:sz w:val="20"/>
          <w:szCs w:val="20"/>
          <w:color w:val="auto"/>
        </w:rPr>
      </w:pPr>
    </w:p>
    <w:p>
      <w:pPr>
        <w:ind w:left="168" w:right="919" w:hanging="168"/>
        <w:spacing w:after="0" w:line="292" w:lineRule="auto"/>
        <w:tabs>
          <w:tab w:leader="none" w:pos="159" w:val="left"/>
        </w:tabs>
        <w:numPr>
          <w:ilvl w:val="0"/>
          <w:numId w:val="63"/>
        </w:numPr>
        <w:rPr>
          <w:rFonts w:ascii="Arial" w:cs="Arial" w:eastAsia="Arial" w:hAnsi="Arial"/>
          <w:sz w:val="10"/>
          <w:szCs w:val="10"/>
          <w:color w:val="auto"/>
        </w:rPr>
      </w:pPr>
      <w:r>
        <w:rPr>
          <w:rFonts w:ascii="Arial" w:cs="Arial" w:eastAsia="Arial" w:hAnsi="Arial"/>
          <w:sz w:val="10"/>
          <w:szCs w:val="10"/>
          <w:color w:val="auto"/>
        </w:rPr>
        <w:t>state that the plaintiff was a shareholder at the time of the transaction with respect to which the plaintiff complains or that the plaintiff’s shares thereafter devolved on the plaintiff by operation of law; and</w:t>
      </w:r>
    </w:p>
    <w:p>
      <w:pPr>
        <w:spacing w:after="0" w:line="137" w:lineRule="exact"/>
        <w:rPr>
          <w:rFonts w:ascii="Arial" w:cs="Arial" w:eastAsia="Arial" w:hAnsi="Arial"/>
          <w:sz w:val="10"/>
          <w:szCs w:val="10"/>
          <w:color w:val="auto"/>
        </w:rPr>
      </w:pPr>
    </w:p>
    <w:p>
      <w:pPr>
        <w:ind w:left="168" w:right="919" w:hanging="168"/>
        <w:spacing w:after="0" w:line="290" w:lineRule="auto"/>
        <w:tabs>
          <w:tab w:leader="none" w:pos="159" w:val="left"/>
        </w:tabs>
        <w:numPr>
          <w:ilvl w:val="0"/>
          <w:numId w:val="63"/>
        </w:numPr>
        <w:rPr>
          <w:rFonts w:ascii="Arial" w:cs="Arial" w:eastAsia="Arial" w:hAnsi="Arial"/>
          <w:sz w:val="10"/>
          <w:szCs w:val="10"/>
          <w:color w:val="auto"/>
        </w:rPr>
      </w:pPr>
      <w:r>
        <w:rPr>
          <w:rFonts w:ascii="Arial" w:cs="Arial" w:eastAsia="Arial" w:hAnsi="Arial"/>
          <w:sz w:val="10"/>
          <w:szCs w:val="10"/>
          <w:color w:val="auto"/>
        </w:rPr>
        <w:t>(i) allege with particularity the efforts made by the plaintiff to obtain the action the plaintiff desires from the directors and the reasons for the plaintiff’s failure to obtain the action or (ii) state the reasons for not making the effort.</w:t>
      </w:r>
    </w:p>
    <w:p>
      <w:pPr>
        <w:spacing w:after="0" w:line="138" w:lineRule="exact"/>
        <w:rPr>
          <w:sz w:val="20"/>
          <w:szCs w:val="20"/>
          <w:color w:val="auto"/>
        </w:rPr>
      </w:pPr>
    </w:p>
    <w:p>
      <w:pPr>
        <w:ind w:left="8" w:right="899"/>
        <w:spacing w:after="0" w:line="292" w:lineRule="auto"/>
        <w:rPr>
          <w:sz w:val="20"/>
          <w:szCs w:val="20"/>
          <w:color w:val="auto"/>
        </w:rPr>
      </w:pPr>
      <w:r>
        <w:rPr>
          <w:rFonts w:ascii="Arial" w:cs="Arial" w:eastAsia="Arial" w:hAnsi="Arial"/>
          <w:sz w:val="10"/>
          <w:szCs w:val="10"/>
          <w:color w:val="auto"/>
        </w:rPr>
        <w:t>Additionally, the plaintiff must remain a shareholder through the duration of the derivative suit. The action will not be dismissed or compromised without the approval of the Delaware Court of Chancery.</w:t>
      </w:r>
    </w:p>
    <w:p>
      <w:pPr>
        <w:sectPr>
          <w:pgSz w:w="11900" w:h="16838" w:orient="portrait"/>
          <w:cols w:equalWidth="0" w:num="2">
            <w:col w:w="7040" w:space="152"/>
            <w:col w:w="2967"/>
          </w:cols>
          <w:pgMar w:left="300" w:top="354" w:right="1440" w:bottom="1440" w:gutter="0" w:footer="0" w:header="0"/>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Under certain circumstances, shareholders can bring</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damage claims of the company against members of its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on the company’s behalf. In order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to bring such a claim, the claimant alone or together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other shareholders needs to hold shares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representing at least 1% or a participation of €100,000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the company’s share capital. Additionally,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claimant must have its claim approved in special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142</w:t>
      </w:r>
    </w:p>
    <w:p>
      <w:pPr>
        <w:sectPr>
          <w:pgSz w:w="11900" w:h="16838" w:orient="portrait"/>
          <w:cols w:equalWidth="0" w:num="1">
            <w:col w:w="10159"/>
          </w:cols>
          <w:pgMar w:left="300" w:top="354"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American Depositary Shares</w:t>
      </w:r>
    </w:p>
    <w:p>
      <w:pPr>
        <w:spacing w:after="0" w:line="154" w:lineRule="exact"/>
        <w:rPr>
          <w:sz w:val="20"/>
          <w:szCs w:val="20"/>
          <w:color w:val="auto"/>
        </w:rPr>
      </w:pPr>
    </w:p>
    <w:p>
      <w:pPr>
        <w:ind w:left="2260"/>
        <w:spacing w:after="0"/>
        <w:tabs>
          <w:tab w:leader="none" w:pos="7000" w:val="left"/>
        </w:tabs>
        <w:rPr>
          <w:sz w:val="20"/>
          <w:szCs w:val="20"/>
          <w:color w:val="auto"/>
        </w:rPr>
      </w:pPr>
      <w:r>
        <w:rPr>
          <w:rFonts w:ascii="Arial" w:cs="Arial" w:eastAsia="Arial" w:hAnsi="Arial"/>
          <w:sz w:val="12"/>
          <w:szCs w:val="12"/>
          <w:color w:val="auto"/>
        </w:rPr>
        <w:t>The Bank of New York Mellon, as depositary, will register and deliver the ADSs. Every</w:t>
      </w:r>
      <w:r>
        <w:rPr>
          <w:sz w:val="20"/>
          <w:szCs w:val="20"/>
          <w:color w:val="auto"/>
        </w:rPr>
        <w:tab/>
      </w:r>
      <w:r>
        <w:rPr>
          <w:rFonts w:ascii="Arial" w:cs="Arial" w:eastAsia="Arial" w:hAnsi="Arial"/>
          <w:sz w:val="10"/>
          <w:szCs w:val="10"/>
          <w:color w:val="auto"/>
        </w:rPr>
        <w:t>ADSs will represent one ordinary share (or a</w:t>
      </w:r>
    </w:p>
    <w:p>
      <w:pPr>
        <w:spacing w:after="0" w:line="15" w:lineRule="exact"/>
        <w:rPr>
          <w:sz w:val="20"/>
          <w:szCs w:val="20"/>
          <w:color w:val="auto"/>
        </w:rPr>
      </w:pPr>
    </w:p>
    <w:p>
      <w:pPr>
        <w:jc w:val="both"/>
        <w:ind w:left="1980" w:right="939"/>
        <w:spacing w:after="0" w:line="284" w:lineRule="auto"/>
        <w:rPr>
          <w:sz w:val="20"/>
          <w:szCs w:val="20"/>
          <w:color w:val="auto"/>
        </w:rPr>
      </w:pPr>
      <w:r>
        <w:rPr>
          <w:rFonts w:ascii="Arial" w:cs="Arial" w:eastAsia="Arial" w:hAnsi="Arial"/>
          <w:sz w:val="11"/>
          <w:szCs w:val="11"/>
          <w:color w:val="auto"/>
        </w:rPr>
        <w:t>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pacing w:after="0" w:line="112"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Registered holders of uncertificated ADSs will receive statements from the depositary confirming their holdings.</w:t>
      </w:r>
    </w:p>
    <w:p>
      <w:pPr>
        <w:spacing w:after="0" w:line="150"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1" w:lineRule="exact"/>
        <w:rPr>
          <w:sz w:val="20"/>
          <w:szCs w:val="20"/>
          <w:color w:val="auto"/>
        </w:rPr>
      </w:pPr>
    </w:p>
    <w:p>
      <w:pPr>
        <w:jc w:val="both"/>
        <w:ind w:left="1980" w:right="1199" w:firstLine="294"/>
        <w:spacing w:after="0" w:line="263" w:lineRule="auto"/>
        <w:rPr>
          <w:sz w:val="20"/>
          <w:szCs w:val="20"/>
          <w:color w:val="auto"/>
        </w:rPr>
      </w:pPr>
      <w:r>
        <w:rPr>
          <w:rFonts w:ascii="Arial" w:cs="Arial" w:eastAsia="Arial" w:hAnsi="Arial"/>
          <w:sz w:val="12"/>
          <w:szCs w:val="12"/>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 and Other Distributions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will ADS holders receive dividends and other distributions on the shares?</w:t>
      </w:r>
    </w:p>
    <w:p>
      <w:pPr>
        <w:spacing w:after="0" w:line="150"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depositary has agreed to pay or distribute to ADS holders the cash dividends, or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b w:val="1"/>
          <w:bCs w:val="1"/>
          <w:i w:val="1"/>
          <w:iCs w:val="1"/>
          <w:color w:val="auto"/>
        </w:rPr>
        <w:t>Cash</w:t>
      </w:r>
      <w:r>
        <w:rPr>
          <w:rFonts w:ascii="Arial" w:cs="Arial" w:eastAsia="Arial" w:hAnsi="Arial"/>
          <w:sz w:val="12"/>
          <w:szCs w:val="12"/>
          <w:color w:val="auto"/>
        </w:rPr>
        <w:t>. The depositary will convert any cash dividend or other cash distribution we pay in respect of our ordinary shares into U.S. dollars, if it can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Before making a distribution, any withholding taxes, or other governmental charges that must be paid will be deducted. See “Taxation” included elsewhere in this prospectus. The depositary will distribute only whole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ectPr>
          <w:pgSz w:w="11900" w:h="16838" w:orient="portrait"/>
          <w:cols w:equalWidth="0" w:num="1">
            <w:col w:w="10159"/>
          </w:cols>
          <w:pgMar w:left="300" w:top="354"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U.S. dollars and cents and will round fractional cents to the nearest whole cent. If the exchange rates fluctuate during a time when the depositary cannot convert the foreign currency, you may lose some of the value of the distribution.</w:t>
      </w:r>
    </w:p>
    <w:p>
      <w:pPr>
        <w:spacing w:after="0" w:line="115"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b w:val="1"/>
          <w:bCs w:val="1"/>
          <w:i w:val="1"/>
          <w:iCs w:val="1"/>
          <w:color w:val="auto"/>
        </w:rPr>
        <w:t>Shares</w:t>
      </w:r>
      <w:r>
        <w:rPr>
          <w:rFonts w:ascii="Arial" w:cs="Arial" w:eastAsia="Arial" w:hAnsi="Arial"/>
          <w:sz w:val="12"/>
          <w:szCs w:val="12"/>
          <w:color w:val="auto"/>
        </w:rPr>
        <w:t>. The depositary may distribute additional ADSs representing any ordinary shares we distribute as a dividend or free distribution.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Rights to purchase additional shares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we offer holders of our securities any rights to subscribe for additional shares or any other rights,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19"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Other distributions</w:t>
      </w:r>
      <w:r>
        <w:rPr>
          <w:rFonts w:ascii="Arial" w:cs="Arial" w:eastAsia="Arial" w:hAnsi="Arial"/>
          <w:sz w:val="11"/>
          <w:szCs w:val="11"/>
          <w:color w:val="auto"/>
        </w:rPr>
        <w:t>. The depositary will send to ADS holders anything else we distribute in respect of deposited securities by any means it thinks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1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Deposit, Withdrawal and Cancellation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are ADSs issued?</w:t>
      </w:r>
    </w:p>
    <w:p>
      <w:pPr>
        <w:spacing w:after="0" w:line="150"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144</w:t>
      </w:r>
    </w:p>
    <w:p>
      <w:pPr>
        <w:sectPr>
          <w:pgSz w:w="11900" w:h="16838" w:orient="portrait"/>
          <w:cols w:equalWidth="0" w:num="1">
            <w:col w:w="10159"/>
          </w:cols>
          <w:pgMar w:left="30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can ADS holders withdraw the deposited securities?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interchange between certificated ADSs and uncertificated ADSs?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Voting Rights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vote?</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131" w:lineRule="exact"/>
        <w:rPr>
          <w:sz w:val="20"/>
          <w:szCs w:val="20"/>
          <w:color w:val="auto"/>
        </w:rPr>
      </w:pPr>
    </w:p>
    <w:p>
      <w:pPr>
        <w:ind w:left="2620" w:hanging="288"/>
        <w:spacing w:after="0"/>
        <w:tabs>
          <w:tab w:leader="none" w:pos="26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we wish the depositary to vote uninstructed shares;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we reasonably do not know of any substantial shareholder opposition to a particular question;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particular question is not materially adverse to the interests of shareholders,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This means that you may not be able to exercise voting rights and there may be nothing you can do if your ordinary shares are not voted as you requested.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145</w:t>
      </w:r>
    </w:p>
    <w:p>
      <w:pPr>
        <w:sectPr>
          <w:pgSz w:w="11900" w:h="16838" w:orient="portrait"/>
          <w:cols w:equalWidth="0" w:num="1">
            <w:col w:w="10159"/>
          </w:cols>
          <w:pgMar w:left="30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Fees and Expenses</w:t>
      </w:r>
    </w:p>
    <w:p>
      <w:pPr>
        <w:sectPr>
          <w:pgSz w:w="11900" w:h="16838" w:orient="portrait"/>
          <w:cols w:equalWidth="0" w:num="1">
            <w:col w:w="10159"/>
          </w:cols>
          <w:pgMar w:left="300" w:top="354" w:right="1440" w:bottom="1440" w:gutter="0" w:footer="0" w:header="0"/>
        </w:sectPr>
      </w:pPr>
    </w:p>
    <w:p>
      <w:pPr>
        <w:spacing w:after="0" w:line="160" w:lineRule="exact"/>
        <w:rPr>
          <w:sz w:val="20"/>
          <w:szCs w:val="20"/>
          <w:color w:val="auto"/>
        </w:rPr>
      </w:pPr>
    </w:p>
    <w:p>
      <w:pPr>
        <w:ind w:left="3120"/>
        <w:spacing w:after="0"/>
        <w:rPr>
          <w:sz w:val="20"/>
          <w:szCs w:val="20"/>
          <w:color w:val="auto"/>
        </w:rPr>
      </w:pPr>
      <w:r>
        <w:rPr>
          <w:rFonts w:ascii="Arial" w:cs="Arial" w:eastAsia="Arial" w:hAnsi="Arial"/>
          <w:sz w:val="10"/>
          <w:szCs w:val="10"/>
          <w:b w:val="1"/>
          <w:bCs w:val="1"/>
          <w:color w:val="auto"/>
        </w:rPr>
        <w:t>Persons Depositing or Withdrawing</w:t>
      </w:r>
    </w:p>
    <w:p>
      <w:pPr>
        <w:ind w:left="3140"/>
        <w:spacing w:after="0" w:line="236" w:lineRule="auto"/>
        <w:rPr>
          <w:sz w:val="20"/>
          <w:szCs w:val="20"/>
          <w:color w:val="auto"/>
        </w:rPr>
      </w:pPr>
      <w:r>
        <w:rPr>
          <w:rFonts w:ascii="Arial" w:cs="Arial" w:eastAsia="Arial" w:hAnsi="Arial"/>
          <w:sz w:val="10"/>
          <w:szCs w:val="10"/>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0</wp:posOffset>
            </wp:positionV>
            <wp:extent cx="238315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w:t>
      </w:r>
    </w:p>
    <w:p>
      <w:pPr>
        <w:spacing w:after="0" w:line="153" w:lineRule="exact"/>
        <w:rPr>
          <w:sz w:val="20"/>
          <w:szCs w:val="20"/>
          <w:color w:val="auto"/>
        </w:rPr>
      </w:pPr>
    </w:p>
    <w:p>
      <w:pPr>
        <w:ind w:left="1980"/>
        <w:spacing w:after="0" w:line="326" w:lineRule="auto"/>
        <w:rPr>
          <w:sz w:val="20"/>
          <w:szCs w:val="20"/>
          <w:color w:val="auto"/>
        </w:rPr>
      </w:pPr>
      <w:r>
        <w:rPr>
          <w:rFonts w:ascii="Arial" w:cs="Arial" w:eastAsia="Arial" w:hAnsi="Arial"/>
          <w:sz w:val="10"/>
          <w:szCs w:val="10"/>
          <w:color w:val="auto"/>
        </w:rPr>
        <w:t>A fee equivalent to the fee that would be payable if securities distributed to you had been shares and the shares had been deposited for issuance of ADSs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 per calendar year</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Registration or transfer fees</w:t>
      </w:r>
    </w:p>
    <w:p>
      <w:pPr>
        <w:spacing w:after="0" w:line="28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Expenses of the depositary</w:t>
      </w:r>
    </w:p>
    <w:p>
      <w:pPr>
        <w:spacing w:after="0" w:line="200" w:lineRule="exact"/>
        <w:rPr>
          <w:sz w:val="20"/>
          <w:szCs w:val="20"/>
          <w:color w:val="auto"/>
        </w:rPr>
      </w:pPr>
    </w:p>
    <w:p>
      <w:pPr>
        <w:spacing w:after="0" w:line="367" w:lineRule="exact"/>
        <w:rPr>
          <w:sz w:val="20"/>
          <w:szCs w:val="20"/>
          <w:color w:val="auto"/>
        </w:rPr>
      </w:pPr>
    </w:p>
    <w:p>
      <w:pPr>
        <w:ind w:left="1980"/>
        <w:spacing w:after="0" w:line="265" w:lineRule="auto"/>
        <w:rPr>
          <w:sz w:val="20"/>
          <w:szCs w:val="20"/>
          <w:color w:val="auto"/>
        </w:rPr>
      </w:pPr>
      <w:r>
        <w:rPr>
          <w:rFonts w:ascii="Arial" w:cs="Arial" w:eastAsia="Arial" w:hAnsi="Arial"/>
          <w:sz w:val="11"/>
          <w:szCs w:val="11"/>
          <w:color w:val="auto"/>
        </w:rPr>
        <w:t>Taxes and other governmental charges the depositary or the custodian must pay in respect of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819"/>
        <w:spacing w:after="0"/>
        <w:rPr>
          <w:sz w:val="20"/>
          <w:szCs w:val="20"/>
          <w:color w:val="auto"/>
        </w:rPr>
      </w:pPr>
      <w:r>
        <w:rPr>
          <w:rFonts w:ascii="Arial" w:cs="Arial" w:eastAsia="Arial" w:hAnsi="Arial"/>
          <w:sz w:val="10"/>
          <w:szCs w:val="10"/>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218884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ind w:right="839"/>
        <w:spacing w:after="0" w:line="274" w:lineRule="auto"/>
        <w:rPr>
          <w:sz w:val="20"/>
          <w:szCs w:val="20"/>
          <w:color w:val="auto"/>
        </w:rPr>
      </w:pPr>
      <w:r>
        <w:rPr>
          <w:rFonts w:ascii="Arial" w:cs="Arial" w:eastAsia="Arial" w:hAnsi="Arial"/>
          <w:sz w:val="11"/>
          <w:szCs w:val="11"/>
          <w:color w:val="auto"/>
        </w:rPr>
        <w:t>Issuance of ADSs, including issuances resulting from a distribution of shares or rights or other property</w:t>
      </w:r>
    </w:p>
    <w:p>
      <w:pPr>
        <w:spacing w:after="0" w:line="125" w:lineRule="exact"/>
        <w:rPr>
          <w:sz w:val="20"/>
          <w:szCs w:val="20"/>
          <w:color w:val="auto"/>
        </w:rPr>
      </w:pPr>
    </w:p>
    <w:p>
      <w:pPr>
        <w:ind w:right="979"/>
        <w:spacing w:after="0" w:line="274" w:lineRule="auto"/>
        <w:rPr>
          <w:sz w:val="20"/>
          <w:szCs w:val="20"/>
          <w:color w:val="auto"/>
        </w:rPr>
      </w:pPr>
      <w:r>
        <w:rPr>
          <w:rFonts w:ascii="Arial" w:cs="Arial" w:eastAsia="Arial" w:hAnsi="Arial"/>
          <w:sz w:val="11"/>
          <w:szCs w:val="11"/>
          <w:color w:val="auto"/>
        </w:rPr>
        <w:t>Cancellation of ADSs for the purpose of withdrawal, including if the deposit agreement terminates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Any cash distribution to ADS holders</w:t>
      </w:r>
    </w:p>
    <w:p>
      <w:pPr>
        <w:spacing w:after="0" w:line="153" w:lineRule="exact"/>
        <w:rPr>
          <w:sz w:val="20"/>
          <w:szCs w:val="20"/>
          <w:color w:val="auto"/>
        </w:rPr>
      </w:pPr>
    </w:p>
    <w:p>
      <w:pPr>
        <w:ind w:right="1239"/>
        <w:spacing w:after="0" w:line="389" w:lineRule="auto"/>
        <w:rPr>
          <w:sz w:val="20"/>
          <w:szCs w:val="20"/>
          <w:color w:val="auto"/>
        </w:rPr>
      </w:pPr>
      <w:r>
        <w:rPr>
          <w:rFonts w:ascii="Arial" w:cs="Arial" w:eastAsia="Arial" w:hAnsi="Arial"/>
          <w:sz w:val="9"/>
          <w:szCs w:val="9"/>
          <w:color w:val="auto"/>
        </w:rPr>
        <w:t>Distribution of securities distributed to holders of deposited securities (including rights) that are distributed by the depositary to ADS holders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Depositary services</w:t>
      </w:r>
    </w:p>
    <w:p>
      <w:pPr>
        <w:spacing w:after="0" w:line="153" w:lineRule="exact"/>
        <w:rPr>
          <w:sz w:val="20"/>
          <w:szCs w:val="20"/>
          <w:color w:val="auto"/>
        </w:rPr>
      </w:pPr>
    </w:p>
    <w:p>
      <w:pPr>
        <w:ind w:right="899"/>
        <w:spacing w:after="0" w:line="326" w:lineRule="auto"/>
        <w:rPr>
          <w:sz w:val="20"/>
          <w:szCs w:val="20"/>
          <w:color w:val="auto"/>
        </w:rPr>
      </w:pPr>
      <w:r>
        <w:rPr>
          <w:rFonts w:ascii="Arial" w:cs="Arial" w:eastAsia="Arial" w:hAnsi="Arial"/>
          <w:sz w:val="10"/>
          <w:szCs w:val="10"/>
          <w:color w:val="auto"/>
        </w:rPr>
        <w:t>Transfer and registration of shares on our share register to or from the name of the depositary or its agent when you deposit or withdraw shares</w:t>
      </w:r>
    </w:p>
    <w:p>
      <w:pPr>
        <w:spacing w:after="0" w:line="102" w:lineRule="exact"/>
        <w:rPr>
          <w:sz w:val="20"/>
          <w:szCs w:val="20"/>
          <w:color w:val="auto"/>
        </w:rPr>
      </w:pPr>
    </w:p>
    <w:p>
      <w:pPr>
        <w:ind w:right="1059"/>
        <w:spacing w:after="0" w:line="274" w:lineRule="auto"/>
        <w:rPr>
          <w:sz w:val="20"/>
          <w:szCs w:val="20"/>
          <w:color w:val="auto"/>
        </w:rPr>
      </w:pPr>
      <w:r>
        <w:rPr>
          <w:rFonts w:ascii="Arial" w:cs="Arial" w:eastAsia="Arial" w:hAnsi="Arial"/>
          <w:sz w:val="11"/>
          <w:szCs w:val="11"/>
          <w:color w:val="auto"/>
        </w:rPr>
        <w:t>Cable and facsimile transmissions (when expressly provided in the deposit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Converting foreign currency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422" w:lineRule="exact"/>
        <w:rPr>
          <w:sz w:val="20"/>
          <w:szCs w:val="20"/>
          <w:color w:val="auto"/>
        </w:rPr>
      </w:pPr>
    </w:p>
    <w:p>
      <w:pPr>
        <w:sectPr>
          <w:pgSz w:w="11900" w:h="16838" w:orient="portrait"/>
          <w:cols w:equalWidth="0" w:num="2">
            <w:col w:w="5600" w:space="260"/>
            <w:col w:w="4299"/>
          </w:cols>
          <w:pgMar w:left="300" w:top="354" w:right="1440" w:bottom="1440" w:gutter="0" w:footer="0" w:header="0"/>
          <w:type w:val="continuous"/>
        </w:sectPr>
      </w:pPr>
    </w:p>
    <w:p>
      <w:pPr>
        <w:ind w:left="1980"/>
        <w:spacing w:after="0"/>
        <w:tabs>
          <w:tab w:leader="none" w:pos="5840" w:val="left"/>
        </w:tabs>
        <w:rPr>
          <w:sz w:val="20"/>
          <w:szCs w:val="20"/>
          <w:color w:val="auto"/>
        </w:rPr>
      </w:pPr>
      <w:r>
        <w:rPr>
          <w:rFonts w:ascii="Arial" w:cs="Arial" w:eastAsia="Arial" w:hAnsi="Arial"/>
          <w:sz w:val="11"/>
          <w:szCs w:val="11"/>
          <w:color w:val="auto"/>
        </w:rPr>
        <w:t>Any charges incurred by the depositary or its agents for servicing the deposited</w:t>
      </w:r>
      <w:r>
        <w:rPr>
          <w:sz w:val="20"/>
          <w:szCs w:val="20"/>
          <w:color w:val="auto"/>
        </w:rPr>
        <w:tab/>
      </w:r>
      <w:r>
        <w:rPr>
          <w:rFonts w:ascii="Arial" w:cs="Arial" w:eastAsia="Arial" w:hAnsi="Arial"/>
          <w:sz w:val="9"/>
          <w:szCs w:val="9"/>
          <w:color w:val="auto"/>
        </w:rPr>
        <w:t>As necessary</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securities</w:t>
      </w:r>
    </w:p>
    <w:p>
      <w:pPr>
        <w:spacing w:after="0" w:line="148"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0"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146</w:t>
      </w:r>
    </w:p>
    <w:p>
      <w:pPr>
        <w:sectPr>
          <w:pgSz w:w="11900" w:h="16838" w:orient="portrait"/>
          <w:cols w:equalWidth="0" w:num="1">
            <w:col w:w="10159"/>
          </w:cols>
          <w:pgMar w:left="300" w:top="354" w:right="1440" w:bottom="1440" w:gutter="0" w:footer="0" w:header="0"/>
          <w:type w:val="continuous"/>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5"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Payment of Taxes</w:t>
      </w:r>
    </w:p>
    <w:p>
      <w:pPr>
        <w:spacing w:after="0" w:line="154"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Tender and Exchange Offers; Redemption, Replacement or Cancellation of Deposited Securities</w:t>
      </w:r>
    </w:p>
    <w:p>
      <w:pPr>
        <w:spacing w:after="0" w:line="154" w:lineRule="exact"/>
        <w:rPr>
          <w:sz w:val="20"/>
          <w:szCs w:val="20"/>
          <w:color w:val="auto"/>
        </w:rPr>
      </w:pPr>
    </w:p>
    <w:p>
      <w:pPr>
        <w:ind w:left="1980" w:right="1459" w:firstLine="294"/>
        <w:spacing w:after="0" w:line="276" w:lineRule="auto"/>
        <w:rPr>
          <w:sz w:val="20"/>
          <w:szCs w:val="20"/>
          <w:color w:val="auto"/>
        </w:rPr>
      </w:pPr>
      <w:r>
        <w:rPr>
          <w:rFonts w:ascii="Arial" w:cs="Arial" w:eastAsia="Arial" w:hAnsi="Arial"/>
          <w:sz w:val="12"/>
          <w:szCs w:val="12"/>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2"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7"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22"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10159"/>
          </w:cols>
          <w:pgMar w:left="30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 and Termination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depositary will initiate termination of the deposit agreement if we instruct it to do so. The depositary may initiate termination of the deposit agreement if:</w:t>
      </w:r>
    </w:p>
    <w:p>
      <w:pPr>
        <w:spacing w:after="0" w:line="133" w:lineRule="exact"/>
        <w:rPr>
          <w:sz w:val="20"/>
          <w:szCs w:val="20"/>
          <w:color w:val="auto"/>
        </w:rPr>
      </w:pPr>
    </w:p>
    <w:p>
      <w:pPr>
        <w:ind w:left="2620" w:right="115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60 days have passed since the depositary told us it wants to resign but a successor depositary has not been appointed and accepted its appointment;</w:t>
      </w:r>
    </w:p>
    <w:p>
      <w:pPr>
        <w:spacing w:after="0" w:line="132"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32"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depositary has reason to believe the ADSs have become, or will become, ineligible for registration on Form F-6 under the Securities Act of 1933;</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we appear to be insolvent or enter insolvency proceedings;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all or substantially all the value of the deposited securities has been distributed either in cash or in the form of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5"/>
        </w:numPr>
        <w:rPr>
          <w:rFonts w:ascii="Arial" w:cs="Arial" w:eastAsia="Arial" w:hAnsi="Arial"/>
          <w:sz w:val="11"/>
          <w:szCs w:val="11"/>
          <w:color w:val="auto"/>
        </w:rPr>
      </w:pPr>
      <w:r>
        <w:rPr>
          <w:rFonts w:ascii="Arial" w:cs="Arial" w:eastAsia="Arial" w:hAnsi="Arial"/>
          <w:sz w:val="11"/>
          <w:szCs w:val="11"/>
          <w:color w:val="auto"/>
        </w:rPr>
        <w:t>there are no deposited securities underlying the ADSs or the underlying deposited securities have become apparently worthless; or</w:t>
      </w:r>
    </w:p>
    <w:p>
      <w:pPr>
        <w:spacing w:after="0" w:line="179" w:lineRule="exact"/>
        <w:rPr>
          <w:rFonts w:ascii="Arial" w:cs="Arial" w:eastAsia="Arial" w:hAnsi="Arial"/>
          <w:sz w:val="11"/>
          <w:szCs w:val="11"/>
          <w:color w:val="auto"/>
        </w:rPr>
      </w:pPr>
    </w:p>
    <w:p>
      <w:pPr>
        <w:ind w:left="2620" w:hanging="288"/>
        <w:spacing w:after="0"/>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there has been a replacement of deposited securities.</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11"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10159"/>
          </w:cols>
          <w:pgMar w:left="30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Limitations on Obligations and Liability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Limits on our Obligations and the Obligations of the Depositary; Limits on Liability to Holders of ADSs</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deposit agreement expressly limits our obligations and the obligations of the depositary. It also limits our liability and the liability of the depositary. We and the depositary:</w:t>
      </w:r>
    </w:p>
    <w:p>
      <w:pPr>
        <w:spacing w:after="0" w:line="133" w:lineRule="exact"/>
        <w:rPr>
          <w:sz w:val="20"/>
          <w:szCs w:val="20"/>
          <w:color w:val="auto"/>
        </w:rPr>
      </w:pPr>
    </w:p>
    <w:p>
      <w:pPr>
        <w:ind w:left="2620" w:right="87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only obligated to take the actions specifically set forth in the deposit agreement without negligence or bad faith, and the depositary will not be a fiduciary or have any fiduciary duty to holders of ADSs;</w:t>
      </w:r>
    </w:p>
    <w:p>
      <w:pPr>
        <w:spacing w:after="0" w:line="132"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not liable if we are or it is prevented or delayed by law or by events or circumstances beyond our or its control from performing our or its obligations under the deposit agreement;</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not liable if we exercise or it exercises discretion permitted under the deposit agreement;</w:t>
      </w:r>
    </w:p>
    <w:p>
      <w:pPr>
        <w:spacing w:after="0" w:line="168" w:lineRule="exact"/>
        <w:rPr>
          <w:rFonts w:ascii="Arial" w:cs="Arial" w:eastAsia="Arial" w:hAnsi="Arial"/>
          <w:sz w:val="12"/>
          <w:szCs w:val="12"/>
          <w:color w:val="auto"/>
        </w:rPr>
      </w:pPr>
    </w:p>
    <w:p>
      <w:pPr>
        <w:ind w:left="2620" w:right="1099" w:hanging="288"/>
        <w:spacing w:after="0" w:line="263"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have no obligation to become involved in a lawsuit or other proceeding related to the ADSs or the deposit agreement on your behalf or on behalf of any other person;</w:t>
      </w:r>
    </w:p>
    <w:p>
      <w:pPr>
        <w:spacing w:after="0" w:line="132"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may rely upon any documents we believe or it believes in good faith to be genuine and to have been signed or presented by the proper person;</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are not liable for the acts or omissions of any securities depository, clearing agency or settlement system; and</w:t>
      </w:r>
    </w:p>
    <w:p>
      <w:pPr>
        <w:spacing w:after="0" w:line="168" w:lineRule="exact"/>
        <w:rPr>
          <w:rFonts w:ascii="Arial" w:cs="Arial" w:eastAsia="Arial" w:hAnsi="Arial"/>
          <w:sz w:val="12"/>
          <w:szCs w:val="12"/>
          <w:color w:val="auto"/>
        </w:rPr>
      </w:pPr>
    </w:p>
    <w:p>
      <w:pPr>
        <w:ind w:left="2620" w:right="899" w:hanging="288"/>
        <w:spacing w:after="0" w:line="259"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the deposit agreement, we and the depositary agree to indemnify each other under certain circumstances.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Requirements for Depositary Actions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Before the depositary will deliver or register a transfer of ADSs, make a distribution in respect of ADSs, or permit withdrawal of ordinary shares, the depositary may require:</w:t>
      </w:r>
    </w:p>
    <w:p>
      <w:pPr>
        <w:spacing w:after="0" w:line="133" w:lineRule="exact"/>
        <w:rPr>
          <w:sz w:val="20"/>
          <w:szCs w:val="20"/>
          <w:color w:val="auto"/>
        </w:rPr>
      </w:pPr>
    </w:p>
    <w:p>
      <w:pPr>
        <w:ind w:left="2620" w:right="109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payment of stock transfer or other taxes or other governmental charges and transfer or registration fees charged by third parties for the transfer of any shares or other deposited securities;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satisfactory proof of the identity and genuineness of any signature or other information it deems necessary; and</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compliance with regulations it may establish, from time to time, consistent with the deposit agreement, including presentation of transfer documents.</w:t>
      </w:r>
    </w:p>
    <w:p>
      <w:pPr>
        <w:spacing w:after="0" w:line="115"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depositary may refuse to deliver ADSs or register transfers of ADSs when the transfer books of the depositary or our transfer books are closed or at any time if the depositary or we think it advisable to do so.</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10159"/>
          </w:cols>
          <w:pgMar w:left="300" w:top="354" w:right="1440" w:bottom="1440" w:gutter="0" w:footer="0" w:header="0"/>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Your Right to Receive the Shares Underlying your ADSs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ADS holders have the right to cancel their ADSs and withdraw the underlying ordinary shares at any time except:</w:t>
      </w:r>
    </w:p>
    <w:p>
      <w:pPr>
        <w:spacing w:after="0" w:line="168" w:lineRule="exact"/>
        <w:rPr>
          <w:sz w:val="20"/>
          <w:szCs w:val="20"/>
          <w:color w:val="auto"/>
        </w:rPr>
      </w:pPr>
    </w:p>
    <w:p>
      <w:pPr>
        <w:ind w:left="2620" w:right="919" w:hanging="288"/>
        <w:spacing w:after="0" w:line="379" w:lineRule="auto"/>
        <w:tabs>
          <w:tab w:leader="none" w:pos="2620" w:val="left"/>
        </w:tabs>
        <w:numPr>
          <w:ilvl w:val="0"/>
          <w:numId w:val="68"/>
        </w:numPr>
        <w:rPr>
          <w:rFonts w:ascii="Arial" w:cs="Arial" w:eastAsia="Arial" w:hAnsi="Arial"/>
          <w:sz w:val="10"/>
          <w:szCs w:val="10"/>
          <w:color w:val="auto"/>
        </w:rPr>
      </w:pPr>
      <w:r>
        <w:rPr>
          <w:rFonts w:ascii="Arial" w:cs="Arial" w:eastAsia="Arial" w:hAnsi="Arial"/>
          <w:sz w:val="10"/>
          <w:szCs w:val="10"/>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86" w:lineRule="exact"/>
        <w:rPr>
          <w:rFonts w:ascii="Arial" w:cs="Arial" w:eastAsia="Arial" w:hAnsi="Arial"/>
          <w:sz w:val="10"/>
          <w:szCs w:val="10"/>
          <w:color w:val="auto"/>
        </w:rPr>
      </w:pPr>
    </w:p>
    <w:p>
      <w:pPr>
        <w:ind w:left="2620" w:hanging="288"/>
        <w:spacing w:after="0"/>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when you owe money to pay fees, taxes and similar charges; or</w:t>
      </w:r>
    </w:p>
    <w:p>
      <w:pPr>
        <w:spacing w:after="0" w:line="168"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when it is necessary to prohibit withdrawals in order to comply with any laws or governmental regulations that apply to ADSs or to the withdrawal of shares or other deposited securities.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 Registration System</w:t>
      </w:r>
    </w:p>
    <w:p>
      <w:pPr>
        <w:spacing w:after="0" w:line="154"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Communications; Inspection of Register of Holders of ADSs</w:t>
      </w:r>
    </w:p>
    <w:p>
      <w:pPr>
        <w:spacing w:after="0" w:line="154"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Jury Trial Waiver</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SHARES AND ADSs ELIGIBLE FOR FUTURE SALE</w:t>
      </w:r>
    </w:p>
    <w:p>
      <w:pPr>
        <w:spacing w:after="0" w:line="154" w:lineRule="exact"/>
        <w:rPr>
          <w:sz w:val="20"/>
          <w:szCs w:val="20"/>
          <w:color w:val="auto"/>
        </w:rPr>
      </w:pPr>
    </w:p>
    <w:p>
      <w:pPr>
        <w:ind w:left="1980" w:right="1079" w:firstLine="294"/>
        <w:spacing w:after="0" w:line="255" w:lineRule="auto"/>
        <w:rPr>
          <w:sz w:val="20"/>
          <w:szCs w:val="20"/>
          <w:color w:val="auto"/>
        </w:rPr>
      </w:pPr>
      <w:r>
        <w:rPr>
          <w:rFonts w:ascii="Arial" w:cs="Arial" w:eastAsia="Arial" w:hAnsi="Arial"/>
          <w:sz w:val="12"/>
          <w:szCs w:val="12"/>
          <w:color w:val="auto"/>
        </w:rPr>
        <w:t>Our ordinary shares are traded on the Scale segment of the Frankfurt Stock Exchange under the symbol “M0Y.” On , 2021, the last closing price of our ordinary shares on the Frankfurt Stock Exchange was € per ordinary share, equivalent to a price of $ per ADS, after giving effect to the Euro/U.S. dollar exchange rate of £1.00 to $ as of , 2021, and an ADS to share ratio of to .</w:t>
      </w:r>
    </w:p>
    <w:p>
      <w:pPr>
        <w:spacing w:after="0" w:line="1" w:lineRule="exact"/>
        <w:rPr>
          <w:sz w:val="20"/>
          <w:szCs w:val="20"/>
          <w:color w:val="auto"/>
        </w:rPr>
      </w:pPr>
    </w:p>
    <w:p>
      <w:pPr>
        <w:ind w:left="1980" w:right="979"/>
        <w:spacing w:after="0" w:line="306" w:lineRule="auto"/>
        <w:rPr>
          <w:sz w:val="20"/>
          <w:szCs w:val="20"/>
          <w:color w:val="auto"/>
        </w:rPr>
      </w:pPr>
      <w:r>
        <w:rPr>
          <w:rFonts w:ascii="Arial" w:cs="Arial" w:eastAsia="Arial" w:hAnsi="Arial"/>
          <w:sz w:val="11"/>
          <w:szCs w:val="11"/>
          <w:color w:val="auto"/>
        </w:rPr>
        <w:t>Prior to this offering, there has been no market for our ADSs. Future sales of substantial amounts of our ordinary shares or ADSs in the public market, or the perception that such sales may occur, could adversely affect prevailing market prices of our ordinary shares or ADSs.</w:t>
      </w:r>
    </w:p>
    <w:p>
      <w:pPr>
        <w:spacing w:after="0" w:line="101" w:lineRule="exact"/>
        <w:rPr>
          <w:sz w:val="20"/>
          <w:szCs w:val="20"/>
          <w:color w:val="auto"/>
        </w:rPr>
      </w:pPr>
    </w:p>
    <w:p>
      <w:pPr>
        <w:ind w:left="1980" w:right="959" w:firstLine="294"/>
        <w:spacing w:after="0" w:line="258" w:lineRule="auto"/>
        <w:rPr>
          <w:sz w:val="20"/>
          <w:szCs w:val="20"/>
          <w:color w:val="auto"/>
        </w:rPr>
      </w:pPr>
      <w:r>
        <w:rPr>
          <w:rFonts w:ascii="Arial" w:cs="Arial" w:eastAsia="Arial" w:hAnsi="Arial"/>
          <w:sz w:val="12"/>
          <w:szCs w:val="12"/>
          <w:color w:val="auto"/>
        </w:rPr>
        <w:t>Upon completion of this offering, ADSs will be outstanding, representing approximately % of our outstanding ordinary shares or, if the underwriters exercise in full their option to buy additional ADSs, ADSs outstanding representing approximately % of our outstanding</w:t>
      </w:r>
    </w:p>
    <w:p>
      <w:pPr>
        <w:ind w:left="1980" w:right="1179"/>
        <w:spacing w:after="0" w:line="260" w:lineRule="auto"/>
        <w:rPr>
          <w:sz w:val="20"/>
          <w:szCs w:val="20"/>
          <w:color w:val="auto"/>
        </w:rPr>
      </w:pPr>
      <w:r>
        <w:rPr>
          <w:rFonts w:ascii="Arial" w:cs="Arial" w:eastAsia="Arial" w:hAnsi="Arial"/>
          <w:sz w:val="12"/>
          <w:szCs w:val="12"/>
          <w:color w:val="auto"/>
        </w:rPr>
        <w:t>ordinary shares. All of the ADSs sold in this offering will be freely transferable by persons other than by our “affiliates,” as that term is defined in Rule 144 under the Securities Act, without restriction or further registration under the Securities Act.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154" w:lineRule="exact"/>
        <w:rPr>
          <w:sz w:val="20"/>
          <w:szCs w:val="20"/>
          <w:color w:val="auto"/>
        </w:rPr>
      </w:pPr>
    </w:p>
    <w:p>
      <w:pPr>
        <w:ind w:left="1980" w:right="979" w:firstLine="294"/>
        <w:spacing w:after="0" w:line="283" w:lineRule="auto"/>
        <w:rPr>
          <w:sz w:val="20"/>
          <w:szCs w:val="20"/>
          <w:color w:val="auto"/>
        </w:rPr>
      </w:pPr>
      <w:r>
        <w:rPr>
          <w:rFonts w:ascii="Arial" w:cs="Arial" w:eastAsia="Arial" w:hAnsi="Arial"/>
          <w:sz w:val="11"/>
          <w:szCs w:val="11"/>
          <w:color w:val="auto"/>
        </w:rPr>
        <w:t>We have agreed to certain restrictions on our ability to sell additional ADSs or ordinary shares for a period of 180 days after the date of this prospectus. In addition, certain members of our management board and supervisory board and certain of our existing shareholders have entered into lockup agreements with the underwriters. We and they have agreed not to directly or indirectly offer for sale, sell, contract to sell, grant any option for the sale of, or otherwise issue or dispose of, any ADSs, ordinary shares or securities convertible into or exchangeable or exercisable for any ADSs or ordinary shares, without the prior written consent of Credit Suisse and Jefferies. The agreements provide exceptions for, among other things, sales to underwriters pursuant to the underwriting agreement. For more information, see “Underwriting.”</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154" w:lineRule="exact"/>
        <w:rPr>
          <w:sz w:val="20"/>
          <w:szCs w:val="20"/>
          <w:color w:val="auto"/>
        </w:rPr>
      </w:pPr>
    </w:p>
    <w:p>
      <w:pPr>
        <w:ind w:left="1980" w:right="979" w:firstLine="294"/>
        <w:spacing w:after="0" w:line="309" w:lineRule="auto"/>
        <w:rPr>
          <w:sz w:val="20"/>
          <w:szCs w:val="20"/>
          <w:color w:val="auto"/>
        </w:rPr>
      </w:pPr>
      <w:r>
        <w:rPr>
          <w:rFonts w:ascii="Arial" w:cs="Arial" w:eastAsia="Arial" w:hAnsi="Arial"/>
          <w:sz w:val="10"/>
          <w:szCs w:val="10"/>
          <w:color w:val="auto"/>
        </w:rPr>
        <w:t>In general, under Rule 144 under the Securities Act as in effect on the date of this prospectus, a person who has beneficially owned our ordinary shares, represented by ADSs or otherwise, that are restricted securities for at least six months would be entitled to sell such securities, provided that</w:t>
      </w:r>
    </w:p>
    <w:p>
      <w:pPr>
        <w:spacing w:after="0" w:line="1" w:lineRule="exact"/>
        <w:rPr>
          <w:sz w:val="20"/>
          <w:szCs w:val="20"/>
          <w:color w:val="auto"/>
        </w:rPr>
      </w:pPr>
    </w:p>
    <w:p>
      <w:pPr>
        <w:jc w:val="both"/>
        <w:ind w:left="1980" w:right="939" w:hanging="8"/>
        <w:spacing w:after="0" w:line="281" w:lineRule="auto"/>
        <w:tabs>
          <w:tab w:leader="none" w:pos="2123" w:val="left"/>
        </w:tabs>
        <w:numPr>
          <w:ilvl w:val="0"/>
          <w:numId w:val="69"/>
        </w:numPr>
        <w:rPr>
          <w:rFonts w:ascii="Arial" w:cs="Arial" w:eastAsia="Arial" w:hAnsi="Arial"/>
          <w:sz w:val="11"/>
          <w:szCs w:val="11"/>
          <w:color w:val="auto"/>
        </w:rPr>
      </w:pPr>
      <w:r>
        <w:rPr>
          <w:rFonts w:ascii="Arial" w:cs="Arial" w:eastAsia="Arial" w:hAnsi="Arial"/>
          <w:sz w:val="11"/>
          <w:szCs w:val="11"/>
          <w:color w:val="auto"/>
        </w:rPr>
        <w:t>such person is not deemed to have been one of our affiliates at the time of, or at any time during the 90 days preceding, a sale and (ii) we are subject to the Exchange Act periodic reporting requirements for at least 90 days before the sale. In addition, under Rule 144, any person who is not an affiliate of ours and has not been an affiliate of ours at the time of, or at any time during the 90 days preceding, a sale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15"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Persons who have beneficially owned our ordinary shares, represented by ADSs or otherwise,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5" w:lineRule="exact"/>
        <w:rPr>
          <w:sz w:val="20"/>
          <w:szCs w:val="20"/>
          <w:color w:val="auto"/>
        </w:rPr>
      </w:pPr>
    </w:p>
    <w:p>
      <w:pPr>
        <w:ind w:left="2620" w:right="165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1% of the number of ordinary shares then outstanding, represented by ADSs or otherwise, which will equal approximately ordinary shares immediately after the completion of this offering; and</w:t>
      </w:r>
    </w:p>
    <w:p>
      <w:pPr>
        <w:spacing w:after="0" w:line="132"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average weekly trading volume of the ADSs on Nasdaq during the four calendar weeks preceding the filing of a notice on Form 144 with respect to the sale;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0159"/>
          </w:cols>
          <w:pgMar w:left="300" w:top="354"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provided, in each case, that we are subject to the Exchange Act periodic reporting requirements for at least 90 days before the sale.</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Sales of restricted ordinary shares, represented by ADSs or otherwise, under Rule 144 held by our affiliates are also subject to requirements regarding the manner of sale, notice and the availability of current public information about us. Rule 144 also requires that affiliates relying on Rule 144 to sell ordinary shares, represented by ADSs or otherwise, that are not restricted securities must nonetheless comply with the same restrictions applicable to restricted shares, other than the holding period requirement. In addition, in each case, these ordinary shares would remain subject to lock-up arrangements and would only become eligible for sale when the lock-up period expires.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S</w:t>
      </w:r>
    </w:p>
    <w:p>
      <w:pPr>
        <w:spacing w:after="0" w:line="154"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including the ADSs, may be sold outside the United States without registration in the United States being required.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133" w:lineRule="exact"/>
        <w:rPr>
          <w:sz w:val="20"/>
          <w:szCs w:val="20"/>
          <w:color w:val="auto"/>
        </w:rPr>
      </w:pPr>
    </w:p>
    <w:p>
      <w:pPr>
        <w:ind w:left="2620" w:right="959" w:hanging="288"/>
        <w:spacing w:after="0" w:line="276"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persons other than affiliates, beginning 90 days after the effective date of the registration statement of which this prospectus forms a part, subject only to the manner-of-sale provisions of Rule 144; and</w:t>
      </w:r>
    </w:p>
    <w:p>
      <w:pPr>
        <w:spacing w:after="0" w:line="132"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but subject to the other Rule 144 restrictions described above.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S-8 Registration Statement</w:t>
      </w:r>
    </w:p>
    <w:p>
      <w:pPr>
        <w:spacing w:after="0" w:line="15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Following the completion of this offering, we intend to file one or more registration statements on Form S-8 under the Securities Act to register our ordinary shares issuable under our stock option programs. The registration statement on Form S-8 will become effective automatically upon filing.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described in “Underwriting.”</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EXCHANGE CONTROLS AND LIMITATIONS AFFECTING SHAREHOLDERS</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There are currently no legal restrictions in Germany on international capital movements and foreign exchange transactions, except in limited embargo circumstances (</w:t>
      </w:r>
      <w:r>
        <w:rPr>
          <w:rFonts w:ascii="Arial" w:cs="Arial" w:eastAsia="Arial" w:hAnsi="Arial"/>
          <w:sz w:val="12"/>
          <w:szCs w:val="12"/>
          <w:i w:val="1"/>
          <w:iCs w:val="1"/>
          <w:color w:val="auto"/>
        </w:rPr>
        <w:t>Teilembargo</w:t>
      </w:r>
      <w:r>
        <w:rPr>
          <w:rFonts w:ascii="Arial" w:cs="Arial" w:eastAsia="Arial" w:hAnsi="Arial"/>
          <w:sz w:val="12"/>
          <w:szCs w:val="12"/>
          <w:color w:val="auto"/>
        </w:rPr>
        <w:t>) relating to certain areas, entities or persons as a result of applicable resolutions adopted by the United Nations and the European Union. Restrictions currently exist with respect to, among others, Belarus, Burundi, Central African Republic, Congo, Guinea, Guinea-Bissau, Iran, Iraq, Lebanon, Libya, Mali, Myanmar, Nicaragua, North Korea, Somalia, South Sudan, Sudan, Syria, Tunisia, Ukraine, Venezuela, Yemen and Zimbabwe.</w:t>
      </w:r>
    </w:p>
    <w:p>
      <w:pPr>
        <w:spacing w:after="0" w:line="12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1"/>
          <w:szCs w:val="11"/>
          <w:i w:val="1"/>
          <w:iCs w:val="1"/>
          <w:color w:val="auto"/>
        </w:rPr>
        <w:t>Deutsche Bundesbank</w:t>
      </w:r>
      <w:r>
        <w:rPr>
          <w:rFonts w:ascii="Arial" w:cs="Arial" w:eastAsia="Arial" w:hAnsi="Arial"/>
          <w:sz w:val="11"/>
          <w:szCs w:val="11"/>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10159"/>
          </w:cols>
          <w:pgMar w:left="30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TAXATION</w:t>
      </w:r>
    </w:p>
    <w:p>
      <w:pPr>
        <w:spacing w:after="0" w:line="15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Taxation</w:t>
      </w:r>
    </w:p>
    <w:p>
      <w:pPr>
        <w:spacing w:after="0" w:line="15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following discussion describes the material German tax consequences of acquiring, owning and disposing of ADSs. With the exception of the subsection “German Taxation of ADSs—Taxation of Holders Tax Resident in Germany” below, which provides an overview of dividend taxation of holders that are tax resident in Germany, this discussion applies only to U.S. treaty beneficiaries (defined below) that acquire ADSs in the offering.</w:t>
      </w:r>
    </w:p>
    <w:p>
      <w:pPr>
        <w:spacing w:after="0" w:line="10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This discussion is based on German tax laws, including, but not limited to, circulars issued by German tax authorities, which are not binding on the German courts, and the Treaty (as defined below). It is based upon tax laws in effect as of the date of this prospectus. These laws are subject to change, possibly on a retroactive basis. For example, certain member states of the 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to sales and/or transfers of ADSs. In addition, in Germany, for example, there are currently ongoing discussions regarding an increase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30"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2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2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Prospective holders of ADSs should consult their own tax advisors regarding the German tax consequences of the purchase, ownership and disposition of ADSs in light of their particular circumstances, including the effect of any state, local, or other foreign or domestic laws or changes in tax law or interpretation.</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Taxation of ADSs</w:t>
      </w:r>
    </w:p>
    <w:p>
      <w:pPr>
        <w:spacing w:after="0" w:line="150"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This subsection “German Taxation of ADSs” is the opinion of Sullivan &amp; Cromwell LLP insofar as it relates to legal conclusions with respect to matters of applicable German tax law as in effect on the effective date of the Registration Statement of which this prospectus forms a part.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General German Tax Treatment of ADSs</w:t>
      </w:r>
    </w:p>
    <w:p>
      <w:pPr>
        <w:spacing w:after="0" w:line="15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2"/>
          <w:szCs w:val="12"/>
          <w:i w:val="1"/>
          <w:iCs w:val="1"/>
          <w:color w:val="auto"/>
        </w:rPr>
        <w:t>Bundesfinanzministerium</w:t>
      </w:r>
      <w:r>
        <w:rPr>
          <w:rFonts w:ascii="Arial" w:cs="Arial" w:eastAsia="Arial" w:hAnsi="Arial"/>
          <w:sz w:val="12"/>
          <w:szCs w:val="12"/>
          <w:color w:val="auto"/>
        </w:rPr>
        <w:t>) dated May 24, 2013, reference number IV C 1-S2204/12/10003, as amended by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 legal owner of the ordinary shares (</w:t>
      </w:r>
      <w:r>
        <w:rPr>
          <w:rFonts w:ascii="Arial" w:cs="Arial" w:eastAsia="Arial" w:hAnsi="Arial"/>
          <w:sz w:val="11"/>
          <w:szCs w:val="11"/>
          <w:i w:val="1"/>
          <w:iCs w:val="1"/>
          <w:color w:val="auto"/>
        </w:rPr>
        <w:t>i.e.</w:t>
      </w:r>
      <w:r>
        <w:rPr>
          <w:rFonts w:ascii="Arial" w:cs="Arial" w:eastAsia="Arial" w:hAnsi="Arial"/>
          <w:sz w:val="11"/>
          <w:szCs w:val="11"/>
          <w:color w:val="auto"/>
        </w:rPr>
        <w:t>,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Taxation of Non-German Resident U.S. Holders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2"/>
          <w:szCs w:val="12"/>
          <w:i w:val="1"/>
          <w:iCs w:val="1"/>
          <w:color w:val="auto"/>
        </w:rPr>
        <w:t>Abkommen zwischen der Bundesrepublik</w:t>
      </w:r>
      <w:r>
        <w:rPr>
          <w:rFonts w:ascii="Arial" w:cs="Arial" w:eastAsia="Arial" w:hAnsi="Arial"/>
          <w:sz w:val="12"/>
          <w:szCs w:val="12"/>
          <w:color w:val="auto"/>
        </w:rPr>
        <w:t xml:space="preserve"> </w:t>
      </w:r>
      <w:r>
        <w:rPr>
          <w:rFonts w:ascii="Arial" w:cs="Arial" w:eastAsia="Arial" w:hAnsi="Arial"/>
          <w:sz w:val="12"/>
          <w:szCs w:val="12"/>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2"/>
          <w:szCs w:val="12"/>
          <w:color w:val="auto"/>
        </w:rPr>
        <w:t>) as</w:t>
      </w:r>
      <w:r>
        <w:rPr>
          <w:rFonts w:ascii="Arial" w:cs="Arial" w:eastAsia="Arial" w:hAnsi="Arial"/>
          <w:sz w:val="12"/>
          <w:szCs w:val="12"/>
          <w:i w:val="1"/>
          <w:iCs w:val="1"/>
          <w:color w:val="auto"/>
        </w:rPr>
        <w:t xml:space="preserve"> </w:t>
      </w:r>
      <w:r>
        <w:rPr>
          <w:rFonts w:ascii="Arial" w:cs="Arial" w:eastAsia="Arial" w:hAnsi="Arial"/>
          <w:sz w:val="12"/>
          <w:szCs w:val="12"/>
          <w:color w:val="auto"/>
        </w:rPr>
        <w:t>published in the German Federal Law Gazette 2008 vol. II pp. 611/851 (hereinafter referred to as the “Treaty”) who is fully eligible for benefits under the Treaty.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A holder will be a U.S. treaty beneficiary entitled to full Treaty benefits in respect of the ADSs if it is, inter alia:</w:t>
      </w:r>
    </w:p>
    <w:p>
      <w:pPr>
        <w:spacing w:after="0" w:line="168" w:lineRule="exact"/>
        <w:rPr>
          <w:sz w:val="20"/>
          <w:szCs w:val="20"/>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beneficial owner of the ADSs (and the dividends paid with respect thereto);</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 U.S. holder (as defined below);</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not also a resident of Germany for German tax purposes; and</w:t>
      </w:r>
    </w:p>
    <w:p>
      <w:pPr>
        <w:spacing w:after="0" w:line="168"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not subject to the limitation on benefits restrictions (i.e., anti-treaty shopping article of the Treaty or German domestic rules) that applies in limited circumstances.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rules apply to pension funds and certain other tax-exempt investors.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u w:val="single" w:color="auto"/>
          <w:color w:val="auto"/>
        </w:rPr>
        <w:t>General Rules for the Taxation of Non-German Tax Resident Holders of ADSs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Non-German resident holders of ADSs are subject to German taxation with respect to certain German source income (</w:t>
      </w:r>
      <w:r>
        <w:rPr>
          <w:rFonts w:ascii="Arial" w:cs="Arial" w:eastAsia="Arial" w:hAnsi="Arial"/>
          <w:sz w:val="12"/>
          <w:szCs w:val="12"/>
          <w:i w:val="1"/>
          <w:iCs w:val="1"/>
          <w:color w:val="auto"/>
        </w:rPr>
        <w:t>beschränkte Steuerpflicht</w:t>
      </w:r>
      <w:r>
        <w:rPr>
          <w:rFonts w:ascii="Arial" w:cs="Arial" w:eastAsia="Arial" w:hAnsi="Arial"/>
          <w:sz w:val="12"/>
          <w:szCs w:val="12"/>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2"/>
          <w:szCs w:val="12"/>
          <w:i w:val="1"/>
          <w:iCs w:val="1"/>
          <w:color w:val="auto"/>
        </w:rPr>
        <w:t>Einlagenrückgewähr</w:t>
      </w:r>
      <w:r>
        <w:rPr>
          <w:rFonts w:ascii="Arial" w:cs="Arial" w:eastAsia="Arial" w:hAnsi="Arial"/>
          <w:sz w:val="12"/>
          <w:szCs w:val="12"/>
          <w:color w:val="auto"/>
        </w:rPr>
        <w:t>) for tax purposes is considered as reduction of the acquisition costs of the respective shares rather than as dividend payment (subject to proper tax declaration by the company in accordance with German tax law).</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2"/>
          <w:szCs w:val="12"/>
          <w:i w:val="1"/>
          <w:iCs w:val="1"/>
          <w:color w:val="auto"/>
        </w:rPr>
        <w:t>Kirchensteuer</w:t>
      </w:r>
      <w:r>
        <w:rPr>
          <w:rFonts w:ascii="Arial" w:cs="Arial" w:eastAsia="Arial" w:hAnsi="Arial"/>
          <w:sz w:val="12"/>
          <w:szCs w:val="12"/>
          <w:color w:val="auto"/>
        </w:rPr>
        <w:t>)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28"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The solidarity surcharge (</w:t>
      </w:r>
      <w:r>
        <w:rPr>
          <w:rFonts w:ascii="Arial" w:cs="Arial" w:eastAsia="Arial" w:hAnsi="Arial"/>
          <w:sz w:val="12"/>
          <w:szCs w:val="12"/>
          <w:i w:val="1"/>
          <w:iCs w:val="1"/>
          <w:color w:val="auto"/>
        </w:rPr>
        <w:t>Solidaritätszuschlag</w:t>
      </w:r>
      <w:r>
        <w:rPr>
          <w:rFonts w:ascii="Arial" w:cs="Arial" w:eastAsia="Arial" w:hAnsi="Arial"/>
          <w:sz w:val="12"/>
          <w:szCs w:val="12"/>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w:t>
      </w:r>
    </w:p>
    <w:p>
      <w:pPr>
        <w:spacing w:after="0" w:line="124"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German withholding tax on capital income (</w:t>
      </w:r>
      <w:r>
        <w:rPr>
          <w:rFonts w:ascii="Arial" w:cs="Arial" w:eastAsia="Arial" w:hAnsi="Arial"/>
          <w:sz w:val="10"/>
          <w:szCs w:val="10"/>
          <w:i w:val="1"/>
          <w:iCs w:val="1"/>
          <w:color w:val="auto"/>
        </w:rPr>
        <w:t>Kapitalertragsteuer</w:t>
      </w:r>
      <w:r>
        <w:rPr>
          <w:rFonts w:ascii="Arial" w:cs="Arial" w:eastAsia="Arial" w:hAnsi="Arial"/>
          <w:sz w:val="10"/>
          <w:szCs w:val="10"/>
          <w:color w:val="auto"/>
        </w:rPr>
        <w:t>) is withheld and remitted to the competent German tax authorities by (i) the German dividend disbursing agent (</w:t>
      </w:r>
      <w:r>
        <w:rPr>
          <w:rFonts w:ascii="Arial" w:cs="Arial" w:eastAsia="Arial" w:hAnsi="Arial"/>
          <w:sz w:val="10"/>
          <w:szCs w:val="10"/>
          <w:i w:val="1"/>
          <w:iCs w:val="1"/>
          <w:color w:val="auto"/>
        </w:rPr>
        <w:t>i.e.</w:t>
      </w:r>
      <w:r>
        <w:rPr>
          <w:rFonts w:ascii="Arial" w:cs="Arial" w:eastAsia="Arial" w:hAnsi="Arial"/>
          <w:sz w:val="10"/>
          <w:szCs w:val="10"/>
          <w:color w:val="auto"/>
        </w:rPr>
        <w:t>,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0"/>
          <w:szCs w:val="10"/>
          <w:i w:val="1"/>
          <w:iCs w:val="1"/>
          <w:color w:val="auto"/>
        </w:rPr>
        <w:t>Kreditwesengesetz</w:t>
      </w:r>
      <w:r>
        <w:rPr>
          <w:rFonts w:ascii="Arial" w:cs="Arial" w:eastAsia="Arial" w:hAnsi="Arial"/>
          <w:sz w:val="10"/>
          <w:szCs w:val="10"/>
          <w:color w:val="auto"/>
        </w:rPr>
        <w:t>)))</w:t>
      </w:r>
    </w:p>
    <w:p>
      <w:pPr>
        <w:spacing w:after="0" w:line="1" w:lineRule="exact"/>
        <w:rPr>
          <w:sz w:val="20"/>
          <w:szCs w:val="20"/>
          <w:color w:val="auto"/>
        </w:rPr>
      </w:pPr>
    </w:p>
    <w:p>
      <w:pPr>
        <w:ind w:left="1980" w:right="899"/>
        <w:spacing w:after="0" w:line="300" w:lineRule="auto"/>
        <w:rPr>
          <w:sz w:val="20"/>
          <w:szCs w:val="20"/>
          <w:color w:val="auto"/>
        </w:rPr>
      </w:pPr>
      <w:r>
        <w:rPr>
          <w:rFonts w:ascii="Arial" w:cs="Arial" w:eastAsia="Arial" w:hAnsi="Arial"/>
          <w:sz w:val="10"/>
          <w:szCs w:val="10"/>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980" w:right="979" w:hanging="8"/>
        <w:spacing w:after="0" w:line="289" w:lineRule="auto"/>
        <w:tabs>
          <w:tab w:leader="none" w:pos="2157"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central securities depository (</w:t>
      </w:r>
      <w:r>
        <w:rPr>
          <w:rFonts w:ascii="Arial" w:cs="Arial" w:eastAsia="Arial" w:hAnsi="Arial"/>
          <w:sz w:val="11"/>
          <w:szCs w:val="11"/>
          <w:i w:val="1"/>
          <w:iCs w:val="1"/>
          <w:color w:val="auto"/>
        </w:rPr>
        <w:t>Wertpapiersammelbank</w:t>
      </w:r>
      <w:r>
        <w:rPr>
          <w:rFonts w:ascii="Arial" w:cs="Arial" w:eastAsia="Arial" w:hAnsi="Arial"/>
          <w:sz w:val="11"/>
          <w:szCs w:val="11"/>
          <w:color w:val="auto"/>
        </w:rPr>
        <w:t>) in terms of the German Depositary Act (</w:t>
      </w:r>
      <w:r>
        <w:rPr>
          <w:rFonts w:ascii="Arial" w:cs="Arial" w:eastAsia="Arial" w:hAnsi="Arial"/>
          <w:sz w:val="11"/>
          <w:szCs w:val="11"/>
          <w:i w:val="1"/>
          <w:iCs w:val="1"/>
          <w:color w:val="auto"/>
        </w:rPr>
        <w:t>Depotgesetz</w:t>
      </w:r>
      <w:r>
        <w:rPr>
          <w:rFonts w:ascii="Arial" w:cs="Arial" w:eastAsia="Arial" w:hAnsi="Arial"/>
          <w:sz w:val="11"/>
          <w:szCs w:val="11"/>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10"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16"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15"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b w:val="1"/>
          <w:bCs w:val="1"/>
          <w:i w:val="1"/>
          <w:iCs w:val="1"/>
          <w:color w:val="auto"/>
        </w:rPr>
        <w:t xml:space="preserve">German Taxation of Capital Gains of U.S. Treaty Beneficiaries of the ADSs. </w:t>
      </w:r>
      <w:r>
        <w:rPr>
          <w:rFonts w:ascii="Arial" w:cs="Arial" w:eastAsia="Arial" w:hAnsi="Arial"/>
          <w:sz w:val="12"/>
          <w:szCs w:val="12"/>
          <w:color w:val="auto"/>
        </w:rPr>
        <w:t>Capital gains from the disposition of ADSs realized by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ADSs without consideration, the previous owner’s holding period and quota would be taken into account when calculating the above holding period and the participation threshold.</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However, U.S. treaty beneficiaries are eligible for treaty benefits under the Treaty (as described above in the section “—Taxation of Non-German Resident U.S. Holders”). Pursuant to the Treaty, U.S. treaty beneficiaries are not subject to German tax with any capital gain derived from the sale of the ADSs, even under the circumstances described in the preceding paragraph and therefore will not be taxed on capital gains from the disposition of the ADSs.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1"/>
          <w:szCs w:val="11"/>
          <w:i w:val="1"/>
          <w:iCs w:val="1"/>
          <w:color w:val="auto"/>
        </w:rPr>
        <w:t>Kreditwesengesetz</w:t>
      </w:r>
      <w:r>
        <w:rPr>
          <w:rFonts w:ascii="Arial" w:cs="Arial" w:eastAsia="Arial" w:hAnsi="Arial"/>
          <w:sz w:val="11"/>
          <w:szCs w:val="11"/>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dated January 18, 2016, reference number IV C 1-S2252/08/10004:017 (published in the German Federal Tax Gazette 2016 vol. I pp. 85), as most recently amended by a circular dated June 3, 2021, reference number IV C 1 -S 2252/19/10003 :002 (published in the German Federal Tax Gazette 2021 vol. I pp. 723),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19"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Under the Withholding Tax Relief Modernization Act (</w:t>
      </w:r>
      <w:r>
        <w:rPr>
          <w:rFonts w:ascii="Arial" w:cs="Arial" w:eastAsia="Arial" w:hAnsi="Arial"/>
          <w:sz w:val="12"/>
          <w:szCs w:val="12"/>
          <w:i w:val="1"/>
          <w:iCs w:val="1"/>
          <w:color w:val="auto"/>
        </w:rPr>
        <w:t>Abzugsteuerentlastungsmodernisierungsgesetz</w:t>
      </w:r>
      <w:r>
        <w:rPr>
          <w:rFonts w:ascii="Arial" w:cs="Arial" w:eastAsia="Arial" w:hAnsi="Arial"/>
          <w:sz w:val="12"/>
          <w:szCs w:val="12"/>
          <w:color w:val="auto"/>
        </w:rPr>
        <w:t>) which was passed into law on June 9,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w:t>
      </w:r>
    </w:p>
    <w:p>
      <w:pPr>
        <w:spacing w:after="0" w:line="128" w:lineRule="exact"/>
        <w:rPr>
          <w:sz w:val="20"/>
          <w:szCs w:val="20"/>
          <w:color w:val="auto"/>
        </w:rPr>
      </w:pPr>
    </w:p>
    <w:p>
      <w:pPr>
        <w:ind w:left="1980" w:right="879" w:firstLine="294"/>
        <w:spacing w:after="0" w:line="303" w:lineRule="auto"/>
        <w:rPr>
          <w:sz w:val="20"/>
          <w:szCs w:val="20"/>
          <w:color w:val="auto"/>
        </w:rPr>
      </w:pPr>
      <w:r>
        <w:rPr>
          <w:rFonts w:ascii="Arial" w:cs="Arial" w:eastAsia="Arial" w:hAnsi="Arial"/>
          <w:sz w:val="10"/>
          <w:szCs w:val="10"/>
          <w:b w:val="1"/>
          <w:bCs w:val="1"/>
          <w:i w:val="1"/>
          <w:iCs w:val="1"/>
          <w:color w:val="auto"/>
        </w:rPr>
        <w:t xml:space="preserve">Withholding Tax Refund for U.S. Treaty Beneficiaries. </w:t>
      </w:r>
      <w:r>
        <w:rPr>
          <w:rFonts w:ascii="Arial" w:cs="Arial" w:eastAsia="Arial" w:hAnsi="Arial"/>
          <w:sz w:val="10"/>
          <w:szCs w:val="10"/>
          <w:color w:val="auto"/>
        </w:rPr>
        <w:t>U.S. treaty beneficiaries are generally eligible for treaty benefits under the Treaty (as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described above in Section “—Taxation of Non-German Resident U.S. 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w:t>
      </w:r>
    </w:p>
    <w:p>
      <w:pPr>
        <w:spacing w:after="0" w:line="1" w:lineRule="exact"/>
        <w:rPr>
          <w:sz w:val="20"/>
          <w:szCs w:val="20"/>
          <w:color w:val="auto"/>
        </w:rPr>
      </w:pPr>
    </w:p>
    <w:p>
      <w:pPr>
        <w:ind w:left="1980" w:right="1019" w:hanging="8"/>
        <w:spacing w:after="0" w:line="260" w:lineRule="auto"/>
        <w:tabs>
          <w:tab w:leader="none" w:pos="2123" w:val="left"/>
        </w:tabs>
        <w:numPr>
          <w:ilvl w:val="0"/>
          <w:numId w:val="74"/>
        </w:numPr>
        <w:rPr>
          <w:rFonts w:ascii="Arial" w:cs="Arial" w:eastAsia="Arial" w:hAnsi="Arial"/>
          <w:sz w:val="12"/>
          <w:szCs w:val="12"/>
          <w:color w:val="auto"/>
        </w:rPr>
      </w:pPr>
      <w:r>
        <w:rPr>
          <w:rFonts w:ascii="Arial" w:cs="Arial" w:eastAsia="Arial" w:hAnsi="Arial"/>
          <w:sz w:val="12"/>
          <w:szCs w:val="12"/>
          <w:color w:val="auto"/>
        </w:rPr>
        <w:t>of this paragraph and has not entered into (acting by itself or through a related party) hedging transactions which lower the change in value risk by more</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9, 2021, reference number IV C 1 – S 2252/19/10035 :014 (published in the German Federal Tax Gazette 2021 vol. I pp. 995), as amended, the withholding tax credit may also be denied as an anti-abuse measure.</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Arial" w:cs="Arial" w:eastAsia="Arial" w:hAnsi="Arial"/>
          <w:sz w:val="11"/>
          <w:szCs w:val="11"/>
          <w:i w:val="1"/>
          <w:iCs w:val="1"/>
          <w:color w:val="auto"/>
        </w:rPr>
        <w:t>Einkommensteuergesetz</w:t>
      </w:r>
      <w:r>
        <w:rPr>
          <w:rFonts w:ascii="Arial" w:cs="Arial" w:eastAsia="Arial" w:hAnsi="Arial"/>
          <w:sz w:val="11"/>
          <w:szCs w:val="11"/>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16"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Due to the legal structure of the ADSs, only limited guidance of the German tax authorities exists on the practical application of this procedure with respect to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Taxation of Holders Tax Resident in Germany</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1"/>
          <w:szCs w:val="11"/>
          <w:i w:val="1"/>
          <w:iCs w:val="1"/>
          <w:color w:val="auto"/>
        </w:rPr>
        <w:t>Wohnsitz</w:t>
      </w:r>
      <w:r>
        <w:rPr>
          <w:rFonts w:ascii="Arial" w:cs="Arial" w:eastAsia="Arial" w:hAnsi="Arial"/>
          <w:sz w:val="11"/>
          <w:szCs w:val="11"/>
          <w:color w:val="auto"/>
        </w:rPr>
        <w:t>) or his or her habitual abode (</w:t>
      </w:r>
      <w:r>
        <w:rPr>
          <w:rFonts w:ascii="Arial" w:cs="Arial" w:eastAsia="Arial" w:hAnsi="Arial"/>
          <w:sz w:val="11"/>
          <w:szCs w:val="11"/>
          <w:i w:val="1"/>
          <w:iCs w:val="1"/>
          <w:color w:val="auto"/>
        </w:rPr>
        <w:t>gewöhnlicher Aufenthalt</w:t>
      </w:r>
      <w:r>
        <w:rPr>
          <w:rFonts w:ascii="Arial" w:cs="Arial" w:eastAsia="Arial" w:hAnsi="Arial"/>
          <w:sz w:val="11"/>
          <w:szCs w:val="11"/>
          <w:color w:val="auto"/>
        </w:rPr>
        <w:t>) in Germany or if, in case of a corporation, it has its place of central management (</w:t>
      </w:r>
      <w:r>
        <w:rPr>
          <w:rFonts w:ascii="Arial" w:cs="Arial" w:eastAsia="Arial" w:hAnsi="Arial"/>
          <w:sz w:val="11"/>
          <w:szCs w:val="11"/>
          <w:i w:val="1"/>
          <w:iCs w:val="1"/>
          <w:color w:val="auto"/>
        </w:rPr>
        <w:t>Geschäftsleitung</w:t>
      </w:r>
      <w:r>
        <w:rPr>
          <w:rFonts w:ascii="Arial" w:cs="Arial" w:eastAsia="Arial" w:hAnsi="Arial"/>
          <w:sz w:val="11"/>
          <w:szCs w:val="11"/>
          <w:color w:val="auto"/>
        </w:rPr>
        <w:t>) or a statutory seat (</w:t>
      </w:r>
      <w:r>
        <w:rPr>
          <w:rFonts w:ascii="Arial" w:cs="Arial" w:eastAsia="Arial" w:hAnsi="Arial"/>
          <w:sz w:val="11"/>
          <w:szCs w:val="11"/>
          <w:i w:val="1"/>
          <w:iCs w:val="1"/>
          <w:color w:val="auto"/>
        </w:rPr>
        <w:t>Sitz</w:t>
      </w:r>
      <w:r>
        <w:rPr>
          <w:rFonts w:ascii="Arial" w:cs="Arial" w:eastAsia="Arial" w:hAnsi="Arial"/>
          <w:sz w:val="11"/>
          <w:szCs w:val="11"/>
          <w:color w:val="auto"/>
        </w:rPr>
        <w:t>) in Germany.</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German dividend and capital gains taxation rules applicable to German tax residents require a distinction between ADSs held as private assets (</w:t>
      </w:r>
      <w:r>
        <w:rPr>
          <w:rFonts w:ascii="Arial" w:cs="Arial" w:eastAsia="Arial" w:hAnsi="Arial"/>
          <w:sz w:val="12"/>
          <w:szCs w:val="12"/>
          <w:i w:val="1"/>
          <w:iCs w:val="1"/>
          <w:color w:val="auto"/>
        </w:rPr>
        <w:t>Privatvermögen</w:t>
      </w:r>
      <w:r>
        <w:rPr>
          <w:rFonts w:ascii="Arial" w:cs="Arial" w:eastAsia="Arial" w:hAnsi="Arial"/>
          <w:sz w:val="12"/>
          <w:szCs w:val="12"/>
          <w:color w:val="auto"/>
        </w:rPr>
        <w:t>) and ADSs held as business assets (</w:t>
      </w:r>
      <w:r>
        <w:rPr>
          <w:rFonts w:ascii="Arial" w:cs="Arial" w:eastAsia="Arial" w:hAnsi="Arial"/>
          <w:sz w:val="12"/>
          <w:szCs w:val="12"/>
          <w:i w:val="1"/>
          <w:iCs w:val="1"/>
          <w:color w:val="auto"/>
        </w:rPr>
        <w:t>Betriebsvermögen</w:t>
      </w:r>
      <w:r>
        <w:rPr>
          <w:rFonts w:ascii="Arial" w:cs="Arial" w:eastAsia="Arial" w:hAnsi="Arial"/>
          <w:sz w:val="12"/>
          <w:szCs w:val="12"/>
          <w:color w:val="auto"/>
        </w:rPr>
        <w:t>).</w:t>
      </w:r>
    </w:p>
    <w:p>
      <w:pPr>
        <w:spacing w:after="0" w:line="115"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b w:val="1"/>
          <w:bCs w:val="1"/>
          <w:i w:val="1"/>
          <w:iCs w:val="1"/>
          <w:color w:val="auto"/>
        </w:rPr>
        <w:t>ADSs held as Private Assets (Privatvermögen)</w:t>
      </w:r>
      <w:r>
        <w:rPr>
          <w:rFonts w:ascii="Arial" w:cs="Arial" w:eastAsia="Arial" w:hAnsi="Arial"/>
          <w:sz w:val="11"/>
          <w:szCs w:val="11"/>
          <w:color w:val="auto"/>
        </w:rPr>
        <w:t>. If ADSs are held as private assets by a German tax resident individual, dividends and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gains are taxed as capital income (</w:t>
      </w:r>
      <w:r>
        <w:rPr>
          <w:rFonts w:ascii="Arial" w:cs="Arial" w:eastAsia="Arial" w:hAnsi="Arial"/>
          <w:sz w:val="11"/>
          <w:szCs w:val="11"/>
          <w:i w:val="1"/>
          <w:iCs w:val="1"/>
          <w:color w:val="auto"/>
        </w:rPr>
        <w:t>Einkünfte aus Kapitalvermögen</w:t>
      </w:r>
      <w:r>
        <w:rPr>
          <w:rFonts w:ascii="Arial" w:cs="Arial" w:eastAsia="Arial" w:hAnsi="Arial"/>
          <w:sz w:val="11"/>
          <w:szCs w:val="11"/>
          <w:color w:val="auto"/>
        </w:rPr>
        <w:t>) and are principally subject to 25% German flat rate income tax on capital income (</w:t>
      </w:r>
      <w:r>
        <w:rPr>
          <w:rFonts w:ascii="Arial" w:cs="Arial" w:eastAsia="Arial" w:hAnsi="Arial"/>
          <w:sz w:val="11"/>
          <w:szCs w:val="11"/>
          <w:i w:val="1"/>
          <w:iCs w:val="1"/>
          <w:color w:val="auto"/>
        </w:rPr>
        <w:t>Abgeltungsteuer</w:t>
      </w:r>
      <w:r>
        <w:rPr>
          <w:rFonts w:ascii="Arial" w:cs="Arial" w:eastAsia="Arial" w:hAnsi="Arial"/>
          <w:sz w:val="11"/>
          <w:szCs w:val="11"/>
          <w:color w:val="auto"/>
        </w:rPr>
        <w:t>) (plus a 5.5%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thereon, resulting in an aggregate rate of 26.375% and plus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which is generally levied in the form of withholding tax on capital income (</w:t>
      </w:r>
      <w:r>
        <w:rPr>
          <w:rFonts w:ascii="Arial" w:cs="Arial" w:eastAsia="Arial" w:hAnsi="Arial"/>
          <w:sz w:val="11"/>
          <w:szCs w:val="11"/>
          <w:i w:val="1"/>
          <w:iCs w:val="1"/>
          <w:color w:val="auto"/>
        </w:rPr>
        <w:t>Kapitalertragsteuer</w:t>
      </w:r>
      <w:r>
        <w:rPr>
          <w:rFonts w:ascii="Arial" w:cs="Arial" w:eastAsia="Arial" w:hAnsi="Arial"/>
          <w:sz w:val="11"/>
          <w:szCs w:val="11"/>
          <w:color w:val="auto"/>
        </w:rPr>
        <w:t>).</w:t>
      </w:r>
    </w:p>
    <w:p>
      <w:pPr>
        <w:spacing w:after="0" w:line="111"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holder is taxed on gross capital income (including dividends or gains with respect to ADSs), less the annual saver’s tax-free allowance (</w:t>
      </w:r>
      <w:r>
        <w:rPr>
          <w:rFonts w:ascii="Arial" w:cs="Arial" w:eastAsia="Arial" w:hAnsi="Arial"/>
          <w:sz w:val="12"/>
          <w:szCs w:val="12"/>
          <w:i w:val="1"/>
          <w:iCs w:val="1"/>
          <w:color w:val="auto"/>
        </w:rPr>
        <w:t>Sparer-Pauschbetrag</w:t>
      </w:r>
      <w:r>
        <w:rPr>
          <w:rFonts w:ascii="Arial" w:cs="Arial" w:eastAsia="Arial" w:hAnsi="Arial"/>
          <w:sz w:val="12"/>
          <w:szCs w:val="12"/>
          <w:color w:val="auto"/>
        </w:rPr>
        <w:t>) of currently €801 for an individual or €1,602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married couples and registered civil unions (</w:t>
      </w:r>
      <w:r>
        <w:rPr>
          <w:rFonts w:ascii="Arial" w:cs="Arial" w:eastAsia="Arial" w:hAnsi="Arial"/>
          <w:sz w:val="12"/>
          <w:szCs w:val="12"/>
          <w:i w:val="1"/>
          <w:iCs w:val="1"/>
          <w:color w:val="auto"/>
        </w:rPr>
        <w:t>eingetragene Lebenspartnerschaften</w:t>
      </w:r>
      <w:r>
        <w:rPr>
          <w:rFonts w:ascii="Arial" w:cs="Arial" w:eastAsia="Arial" w:hAnsi="Arial"/>
          <w:sz w:val="12"/>
          <w:szCs w:val="12"/>
          <w:color w:val="auto"/>
        </w:rPr>
        <w:t>) filing jointly. The deduction of actual expenses relating to the capital income (including dividends or gains with respect to 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28"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Losses resulting from the disposal of ADSs can only be offset with capital gains from the disposition of shares of corporations (</w:t>
      </w:r>
      <w:r>
        <w:rPr>
          <w:rFonts w:ascii="Arial" w:cs="Arial" w:eastAsia="Arial" w:hAnsi="Arial"/>
          <w:sz w:val="11"/>
          <w:szCs w:val="11"/>
          <w:i w:val="1"/>
          <w:iCs w:val="1"/>
          <w:color w:val="auto"/>
        </w:rPr>
        <w:t>Aktien</w:t>
      </w:r>
      <w:r>
        <w:rPr>
          <w:rFonts w:ascii="Arial" w:cs="Arial" w:eastAsia="Arial" w:hAnsi="Arial"/>
          <w:sz w:val="11"/>
          <w:szCs w:val="11"/>
          <w:color w:val="auto"/>
        </w:rPr>
        <w:t>) and other ADSs treated similar to shares. However, the Federal Fiscal Court (</w:t>
      </w:r>
      <w:r>
        <w:rPr>
          <w:rFonts w:ascii="Arial" w:cs="Arial" w:eastAsia="Arial" w:hAnsi="Arial"/>
          <w:sz w:val="11"/>
          <w:szCs w:val="11"/>
          <w:i w:val="1"/>
          <w:iCs w:val="1"/>
          <w:color w:val="auto"/>
        </w:rPr>
        <w:t>Bundesfinanzhof</w:t>
      </w:r>
      <w:r>
        <w:rPr>
          <w:rFonts w:ascii="Arial" w:cs="Arial" w:eastAsia="Arial" w:hAnsi="Arial"/>
          <w:sz w:val="11"/>
          <w:szCs w:val="11"/>
          <w:color w:val="auto"/>
        </w:rPr>
        <w:t>) recently decided that the limitation on the offset possibilities constitutes a violation of the equal protection clause under the German constitution and submitted the legal question to the Federal Constitutional Court (</w:t>
      </w:r>
      <w:r>
        <w:rPr>
          <w:rFonts w:ascii="Arial" w:cs="Arial" w:eastAsia="Arial" w:hAnsi="Arial"/>
          <w:sz w:val="11"/>
          <w:szCs w:val="11"/>
          <w:i w:val="1"/>
          <w:iCs w:val="1"/>
          <w:color w:val="auto"/>
        </w:rPr>
        <w:t>Bundesverfassungsgericht</w:t>
      </w:r>
      <w:r>
        <w:rPr>
          <w:rFonts w:ascii="Arial" w:cs="Arial" w:eastAsia="Arial" w:hAnsi="Arial"/>
          <w:sz w:val="11"/>
          <w:szCs w:val="11"/>
          <w:color w:val="auto"/>
        </w:rPr>
        <w:t>) for decision on its constitutionality; the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b w:val="1"/>
          <w:bCs w:val="1"/>
          <w:i w:val="1"/>
          <w:iCs w:val="1"/>
          <w:color w:val="auto"/>
        </w:rPr>
        <w:t>ADSs held as Business Assets (Betriebsvermögen)</w:t>
      </w:r>
      <w:r>
        <w:rPr>
          <w:rFonts w:ascii="Arial" w:cs="Arial" w:eastAsia="Arial" w:hAnsi="Arial"/>
          <w:sz w:val="11"/>
          <w:szCs w:val="11"/>
          <w:color w:val="auto"/>
        </w:rPr>
        <w:t>. In case the ADSs are held as business assets, the actual taxation depends on the legal form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1"/>
          <w:szCs w:val="11"/>
          <w:i w:val="1"/>
          <w:iCs w:val="1"/>
          <w:color w:val="auto"/>
        </w:rPr>
        <w:t>Investmentfonds</w:t>
      </w:r>
      <w:r>
        <w:rPr>
          <w:rFonts w:ascii="Arial" w:cs="Arial" w:eastAsia="Arial" w:hAnsi="Arial"/>
          <w:sz w:val="11"/>
          <w:szCs w:val="11"/>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17, 2017 (</w:t>
      </w:r>
      <w:r>
        <w:rPr>
          <w:rFonts w:ascii="Arial" w:cs="Arial" w:eastAsia="Arial" w:hAnsi="Arial"/>
          <w:sz w:val="11"/>
          <w:szCs w:val="11"/>
          <w:i w:val="1"/>
          <w:iCs w:val="1"/>
          <w:color w:val="auto"/>
        </w:rPr>
        <w:t>BMF, Schreiben vom 17.7.2017 – IV C 1 – S 2252/15/10030:05, DOK 2017/0614356</w:t>
      </w:r>
      <w:r>
        <w:rPr>
          <w:rFonts w:ascii="Arial" w:cs="Arial" w:eastAsia="Arial" w:hAnsi="Arial"/>
          <w:sz w:val="11"/>
          <w:szCs w:val="11"/>
          <w:color w:val="auto"/>
        </w:rPr>
        <w:t>), as amended, the withholding tax credit may also be denied as an anti-abuse measure.</w:t>
      </w:r>
    </w:p>
    <w:p>
      <w:pPr>
        <w:spacing w:after="0" w:line="11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To the extent the amount withheld exceeds the (corporate or personal) income tax liability, the withholding tax will be refunded, provided that certain requirements are met.</w:t>
      </w:r>
    </w:p>
    <w:p>
      <w:pPr>
        <w:spacing w:after="0" w:line="115" w:lineRule="exact"/>
        <w:rPr>
          <w:sz w:val="20"/>
          <w:szCs w:val="20"/>
          <w:color w:val="auto"/>
        </w:rPr>
      </w:pPr>
    </w:p>
    <w:p>
      <w:pPr>
        <w:jc w:val="both"/>
        <w:ind w:left="1980" w:right="1119" w:firstLine="294"/>
        <w:spacing w:after="0" w:line="263" w:lineRule="auto"/>
        <w:rPr>
          <w:sz w:val="20"/>
          <w:szCs w:val="20"/>
          <w:color w:val="auto"/>
        </w:rPr>
      </w:pPr>
      <w:r>
        <w:rPr>
          <w:rFonts w:ascii="Arial" w:cs="Arial" w:eastAsia="Arial" w:hAnsi="Arial"/>
          <w:sz w:val="12"/>
          <w:szCs w:val="12"/>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1"/>
          <w:szCs w:val="11"/>
          <w:i w:val="1"/>
          <w:iCs w:val="1"/>
          <w:color w:val="auto"/>
        </w:rPr>
        <w:t>Gewerbesteuer</w:t>
      </w:r>
      <w:r>
        <w:rPr>
          <w:rFonts w:ascii="Arial" w:cs="Arial" w:eastAsia="Arial" w:hAnsi="Arial"/>
          <w:sz w:val="11"/>
          <w:szCs w:val="11"/>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13"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2"/>
          <w:szCs w:val="12"/>
          <w:i w:val="1"/>
          <w:iCs w:val="1"/>
          <w:color w:val="auto"/>
        </w:rPr>
        <w:t>Gewerbebetrieb</w:t>
      </w:r>
      <w:r>
        <w:rPr>
          <w:rFonts w:ascii="Arial" w:cs="Arial" w:eastAsia="Arial" w:hAnsi="Arial"/>
          <w:sz w:val="12"/>
          <w:szCs w:val="12"/>
          <w:color w:val="auto"/>
        </w:rPr>
        <w:t>) of the holder, but the resulting trade tax might be credited against the income tax liability of the holder pursuant to a lump sum procedure.</w:t>
      </w:r>
    </w:p>
    <w:p>
      <w:pPr>
        <w:spacing w:after="0" w:line="128"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Since 2021, the basis for the calculation of the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has been reduced for certain individuals subject to tax assessments (other than withholding taxes), and in certain cases, the solidarity surcharge has been eliminated for individuals.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taxation rules apply to German tax resident credit institutions (</w:t>
      </w:r>
      <w:r>
        <w:rPr>
          <w:rFonts w:ascii="Arial" w:cs="Arial" w:eastAsia="Arial" w:hAnsi="Arial"/>
          <w:sz w:val="12"/>
          <w:szCs w:val="12"/>
          <w:i w:val="1"/>
          <w:iCs w:val="1"/>
          <w:color w:val="auto"/>
        </w:rPr>
        <w:t>Kreditinstitute</w:t>
      </w:r>
      <w:r>
        <w:rPr>
          <w:rFonts w:ascii="Arial" w:cs="Arial" w:eastAsia="Arial" w:hAnsi="Arial"/>
          <w:sz w:val="12"/>
          <w:szCs w:val="12"/>
          <w:color w:val="auto"/>
        </w:rPr>
        <w:t>), financial services institutions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Finanzdienstleistungsinstitute</w:t>
      </w:r>
      <w:r>
        <w:rPr>
          <w:rFonts w:ascii="Arial" w:cs="Arial" w:eastAsia="Arial" w:hAnsi="Arial"/>
          <w:sz w:val="12"/>
          <w:szCs w:val="12"/>
          <w:color w:val="auto"/>
        </w:rPr>
        <w:t>), financial enterprises (</w:t>
      </w:r>
      <w:r>
        <w:rPr>
          <w:rFonts w:ascii="Arial" w:cs="Arial" w:eastAsia="Arial" w:hAnsi="Arial"/>
          <w:sz w:val="12"/>
          <w:szCs w:val="12"/>
          <w:i w:val="1"/>
          <w:iCs w:val="1"/>
          <w:color w:val="auto"/>
        </w:rPr>
        <w:t>Finanzunternehmen</w:t>
      </w:r>
      <w:r>
        <w:rPr>
          <w:rFonts w:ascii="Arial" w:cs="Arial" w:eastAsia="Arial" w:hAnsi="Arial"/>
          <w:sz w:val="12"/>
          <w:szCs w:val="12"/>
          <w:color w:val="auto"/>
        </w:rPr>
        <w:t>), life insurance and health insurance companies (</w:t>
      </w:r>
      <w:r>
        <w:rPr>
          <w:rFonts w:ascii="Arial" w:cs="Arial" w:eastAsia="Arial" w:hAnsi="Arial"/>
          <w:sz w:val="12"/>
          <w:szCs w:val="12"/>
          <w:i w:val="1"/>
          <w:iCs w:val="1"/>
          <w:color w:val="auto"/>
        </w:rPr>
        <w:t>Lebens- und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Krankenversicherungsunternehmen</w:t>
      </w:r>
      <w:r>
        <w:rPr>
          <w:rFonts w:ascii="Arial" w:cs="Arial" w:eastAsia="Arial" w:hAnsi="Arial"/>
          <w:sz w:val="12"/>
          <w:szCs w:val="12"/>
          <w:color w:val="auto"/>
        </w:rPr>
        <w:t>), pension funds (</w:t>
      </w:r>
      <w:r>
        <w:rPr>
          <w:rFonts w:ascii="Arial" w:cs="Arial" w:eastAsia="Arial" w:hAnsi="Arial"/>
          <w:sz w:val="12"/>
          <w:szCs w:val="12"/>
          <w:i w:val="1"/>
          <w:iCs w:val="1"/>
          <w:color w:val="auto"/>
        </w:rPr>
        <w:t>Pensionsfonds</w:t>
      </w:r>
      <w:r>
        <w:rPr>
          <w:rFonts w:ascii="Arial" w:cs="Arial" w:eastAsia="Arial" w:hAnsi="Arial"/>
          <w:sz w:val="12"/>
          <w:szCs w:val="12"/>
          <w:color w:val="auto"/>
        </w:rPr>
        <w:t>) and investment funds (</w:t>
      </w:r>
      <w:r>
        <w:rPr>
          <w:rFonts w:ascii="Arial" w:cs="Arial" w:eastAsia="Arial" w:hAnsi="Arial"/>
          <w:sz w:val="12"/>
          <w:szCs w:val="12"/>
          <w:i w:val="1"/>
          <w:iCs w:val="1"/>
          <w:color w:val="auto"/>
        </w:rPr>
        <w:t>Investmentfonds</w:t>
      </w:r>
      <w:r>
        <w:rPr>
          <w:rFonts w:ascii="Arial" w:cs="Arial" w:eastAsia="Arial" w:hAnsi="Arial"/>
          <w:sz w:val="12"/>
          <w:szCs w:val="12"/>
          <w:color w:val="auto"/>
        </w:rPr>
        <w:t>).</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German Inheritance and Gift Tax (Erbschaft- und Schenkungsteuer)</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2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1"/>
          <w:szCs w:val="11"/>
          <w:i w:val="1"/>
          <w:iCs w:val="1"/>
          <w:color w:val="auto"/>
        </w:rPr>
        <w:t>Abkommen zwischen der Bundesrepublik</w:t>
      </w:r>
      <w:r>
        <w:rPr>
          <w:rFonts w:ascii="Arial" w:cs="Arial" w:eastAsia="Arial" w:hAnsi="Arial"/>
          <w:sz w:val="11"/>
          <w:szCs w:val="11"/>
          <w:color w:val="auto"/>
        </w:rPr>
        <w:t xml:space="preserve"> </w:t>
      </w:r>
      <w:r>
        <w:rPr>
          <w:rFonts w:ascii="Arial" w:cs="Arial" w:eastAsia="Arial" w:hAnsi="Arial"/>
          <w:sz w:val="11"/>
          <w:szCs w:val="11"/>
          <w:i w:val="1"/>
          <w:iCs w:val="1"/>
          <w:color w:val="auto"/>
        </w:rPr>
        <w:t>Deutschland und den Vereinigten Staaten von Amerika zur Vermeidung der Doppelbesteuerung auf dem Gebiet der Nachlass-, Erbschaft- und Schenkungssteuern</w:t>
      </w:r>
      <w:r>
        <w:rPr>
          <w:rFonts w:ascii="Arial" w:cs="Arial" w:eastAsia="Arial" w:hAnsi="Arial"/>
          <w:sz w:val="11"/>
          <w:szCs w:val="11"/>
          <w:color w:val="auto"/>
        </w:rPr>
        <w:t>) as published on December 21, 2000 (the “Estate Tax Treaty”) provided the decedent or donor, or the heir, donee or other transferee</w:t>
      </w:r>
      <w:r>
        <w:rPr>
          <w:rFonts w:ascii="Arial" w:cs="Arial" w:eastAsia="Arial" w:hAnsi="Arial"/>
          <w:sz w:val="11"/>
          <w:szCs w:val="11"/>
          <w:i w:val="1"/>
          <w:iCs w:val="1"/>
          <w:color w:val="auto"/>
        </w:rPr>
        <w:t xml:space="preserve"> </w:t>
      </w:r>
      <w:r>
        <w:rPr>
          <w:rFonts w:ascii="Arial" w:cs="Arial" w:eastAsia="Arial" w:hAnsi="Arial"/>
          <w:sz w:val="11"/>
          <w:szCs w:val="11"/>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German Taxes</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There are currently no German net worth, transfer, stamp or other similar taxes that would apply to a U.S. holder on the acquisition, ownership, sale or other disposition of the ADSs. Certain member states of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on sales and/or transfer of ADS.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and Reporting Requirements</w:t>
      </w:r>
    </w:p>
    <w:p>
      <w:pPr>
        <w:spacing w:after="0" w:line="150"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92"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All prospective investors should consult with their own tax advisors regarding the tax consequences of their investment in the ADSs.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U.S. Taxation</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This section describes United States federal income tax considerations generally applicable to owning ADSs. It applies to you only if you acquire your ADSs in this offering and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146" w:lineRule="exact"/>
        <w:rPr>
          <w:sz w:val="20"/>
          <w:szCs w:val="20"/>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broker or dealer in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trader in securities that elects to use a mark-to-market method of accounting for securities holdings,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tax-exempt organization or governmental organization,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tax-qualified retirement plan,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bank, insurance company or other financial institution,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real estate investment trust or regulated investment company,</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actually or constructively owns 10% or more of the combined voting power of our voting stock or of the total value of our stock,</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holds ADSs as part of a straddle or a hedging or conversion transaction,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purchases or sells ADSs as part of a wash sale for tax purposes,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U.S. holder (as defined below) whose functional currency is not the U.S. dollar,</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U.S. expatriate or former citizen or long-term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corporation that accumulates earnings to avoid U.S. federal income tax,</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an S corporation, partnership or other entity or arrangement treated as a partnership for U.S. federal income tax purposes (and investors therein), or</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 person deemed to sell ADSs under the constructive sale provisions of the Code (as defined below).</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1"/>
          <w:szCs w:val="11"/>
          <w:i w:val="1"/>
          <w:iCs w:val="1"/>
          <w:color w:val="auto"/>
        </w:rPr>
        <w:t>Abkommen zwischen der Bundesrepublik Deutschland und den Vereinigten Staaten von Amerika</w:t>
      </w:r>
      <w:r>
        <w:rPr>
          <w:rFonts w:ascii="Arial" w:cs="Arial" w:eastAsia="Arial" w:hAnsi="Arial"/>
          <w:sz w:val="11"/>
          <w:szCs w:val="11"/>
          <w:color w:val="auto"/>
        </w:rPr>
        <w:t xml:space="preserve"> </w:t>
      </w:r>
      <w:r>
        <w:rPr>
          <w:rFonts w:ascii="Arial" w:cs="Arial" w:eastAsia="Arial" w:hAnsi="Arial"/>
          <w:sz w:val="11"/>
          <w:szCs w:val="11"/>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1"/>
          <w:szCs w:val="11"/>
          <w:color w:val="auto"/>
        </w:rPr>
        <w:t>) as published in the German Federal Law Gazette 2008 vol. II pp.</w:t>
      </w:r>
      <w:r>
        <w:rPr>
          <w:rFonts w:ascii="Arial" w:cs="Arial" w:eastAsia="Arial" w:hAnsi="Arial"/>
          <w:sz w:val="11"/>
          <w:szCs w:val="11"/>
          <w:i w:val="1"/>
          <w:iCs w:val="1"/>
          <w:color w:val="auto"/>
        </w:rPr>
        <w:t xml:space="preserve"> </w:t>
      </w:r>
      <w:r>
        <w:rPr>
          <w:rFonts w:ascii="Arial" w:cs="Arial" w:eastAsia="Arial" w:hAnsi="Arial"/>
          <w:sz w:val="11"/>
          <w:szCs w:val="11"/>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You are a “U.S. holder” if you are a beneficial owner of ADSs and you are, for United States federal income tax purposes:</w:t>
      </w:r>
    </w:p>
    <w:p>
      <w:pPr>
        <w:spacing w:after="0" w:line="168" w:lineRule="exact"/>
        <w:rPr>
          <w:sz w:val="20"/>
          <w:szCs w:val="20"/>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citizen or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domestic corporation,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 estate whose income is subject to United States federal income tax regardless of its source, or</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trust if a United States court can exercise primary supervision over the trust’s administration and one or more United States persons are authorized to control all substantial decisions of the trust.</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A “non-U.S. holder” is a beneficial owner of ADSs that is not a United States person and is not a partnership for United States federal income tax purposes.</w:t>
      </w:r>
    </w:p>
    <w:p>
      <w:pPr>
        <w:spacing w:after="0" w:line="115"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9155" cy="1943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669155" cy="194310"/>
                    </a:xfrm>
                    <a:prstGeom prst="rect">
                      <a:avLst/>
                    </a:prstGeom>
                    <a:noFill/>
                  </pic:spPr>
                </pic:pic>
              </a:graphicData>
            </a:graphic>
          </wp:anchor>
        </w:drawing>
      </w:r>
    </w:p>
    <w:p>
      <w:pPr>
        <w:spacing w:after="0" w:line="112" w:lineRule="exact"/>
        <w:rPr>
          <w:sz w:val="20"/>
          <w:szCs w:val="20"/>
          <w:color w:val="auto"/>
        </w:rPr>
      </w:pPr>
    </w:p>
    <w:p>
      <w:pPr>
        <w:ind w:left="2080" w:right="879" w:firstLine="240"/>
        <w:spacing w:after="0" w:line="276" w:lineRule="auto"/>
        <w:rPr>
          <w:sz w:val="20"/>
          <w:szCs w:val="20"/>
          <w:color w:val="auto"/>
        </w:rPr>
      </w:pPr>
      <w:r>
        <w:rPr>
          <w:rFonts w:ascii="Arial" w:cs="Arial" w:eastAsia="Arial" w:hAnsi="Arial"/>
          <w:sz w:val="12"/>
          <w:szCs w:val="12"/>
          <w:i w:val="1"/>
          <w:iCs w:val="1"/>
          <w:color w:val="auto"/>
        </w:rPr>
        <w:t>You should consult your own tax advisor regarding the United States federal, state and local tax consequences of owning and disposing of shares and ADSs in your particular circumstances.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Except as described below under “—U.S. Holders—PFIC Rules,” this discussion assumes that we are not, and will not become, a PFIC for United States federal income tax purposes.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discussion in this section applies only to U.S. holders of ADSs. Non-U.S. holders of ADSs should consult the discussion under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Holders” below.</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will be listed on Nasdaq and we therefore expect that dividends we pay with respect to the ADSs will be qualified dividend income.</w:t>
      </w:r>
    </w:p>
    <w:p>
      <w:pPr>
        <w:spacing w:after="0" w:line="115"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20" w:lineRule="exact"/>
        <w:rPr>
          <w:sz w:val="20"/>
          <w:szCs w:val="20"/>
          <w:color w:val="auto"/>
        </w:rPr>
      </w:pPr>
    </w:p>
    <w:p>
      <w:pPr>
        <w:ind w:left="1980" w:right="939" w:firstLine="294"/>
        <w:spacing w:after="0" w:line="316" w:lineRule="auto"/>
        <w:rPr>
          <w:sz w:val="20"/>
          <w:szCs w:val="20"/>
          <w:color w:val="auto"/>
        </w:rPr>
      </w:pPr>
      <w:r>
        <w:rPr>
          <w:rFonts w:ascii="Arial" w:cs="Arial" w:eastAsia="Arial" w:hAnsi="Arial"/>
          <w:sz w:val="10"/>
          <w:szCs w:val="10"/>
          <w:color w:val="auto"/>
        </w:rPr>
        <w:t>As discussed above under “Description of the American Depositary Shares—Fees and Expenses,”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0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15"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54"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 or Disposition of ADSs</w:t>
      </w:r>
    </w:p>
    <w:p>
      <w:pPr>
        <w:spacing w:after="0" w:line="150"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Depositary Fees</w:t>
      </w:r>
    </w:p>
    <w:p>
      <w:pPr>
        <w:spacing w:after="0" w:line="150"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As discussed above “Description of the American Depositary Shares—Fees and Expenses,”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PFIC Rules</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the ADSs and ordinary shares. Accordingly, we could become a PFIC in the future if there is a substantial decline in the value of the ADSs and ordinary shares.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general, we will be a PFIC with respect to you if for any taxable year in which you held the ADSs:</w:t>
      </w:r>
    </w:p>
    <w:p>
      <w:pPr>
        <w:spacing w:after="0" w:line="168" w:lineRule="exact"/>
        <w:rPr>
          <w:sz w:val="20"/>
          <w:szCs w:val="20"/>
          <w:color w:val="auto"/>
        </w:rPr>
      </w:pPr>
    </w:p>
    <w:p>
      <w:pPr>
        <w:ind w:left="2620" w:hanging="288"/>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at least 75% of our gross income for the taxable year is passive income, or</w:t>
      </w:r>
    </w:p>
    <w:p>
      <w:pPr>
        <w:spacing w:after="0" w:line="168"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at least 50% of the value, determined on the basis of a quarterly average, of our assets is attributable to assets that produce or are held for the production of passive income.</w:t>
      </w:r>
    </w:p>
    <w:p>
      <w:pPr>
        <w:spacing w:after="0" w:line="115" w:lineRule="exact"/>
        <w:rPr>
          <w:sz w:val="20"/>
          <w:szCs w:val="20"/>
          <w:color w:val="auto"/>
        </w:rPr>
      </w:pPr>
    </w:p>
    <w:p>
      <w:pPr>
        <w:ind w:left="1980" w:right="939" w:firstLine="294"/>
        <w:spacing w:after="0" w:line="326" w:lineRule="auto"/>
        <w:rPr>
          <w:sz w:val="20"/>
          <w:szCs w:val="20"/>
          <w:color w:val="auto"/>
        </w:rPr>
      </w:pPr>
      <w:r>
        <w:rPr>
          <w:rFonts w:ascii="Arial" w:cs="Arial" w:eastAsia="Arial" w:hAnsi="Arial"/>
          <w:sz w:val="10"/>
          <w:szCs w:val="10"/>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9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If we are treated as a PFIC, and you did not make a mark-to-market election, as described below, you will generally be subject to special rules with respect to:</w:t>
      </w:r>
    </w:p>
    <w:p>
      <w:pPr>
        <w:spacing w:after="0" w:line="133" w:lineRule="exact"/>
        <w:rPr>
          <w:sz w:val="20"/>
          <w:szCs w:val="20"/>
          <w:color w:val="auto"/>
        </w:rPr>
      </w:pPr>
    </w:p>
    <w:p>
      <w:pPr>
        <w:ind w:left="5560" w:right="4159" w:hanging="3228"/>
        <w:spacing w:after="0" w:line="511" w:lineRule="auto"/>
        <w:tabs>
          <w:tab w:leader="none" w:pos="2626" w:val="left"/>
        </w:tabs>
        <w:numPr>
          <w:ilvl w:val="0"/>
          <w:numId w:val="79"/>
        </w:numPr>
        <w:rPr>
          <w:rFonts w:ascii="Arial" w:cs="Arial" w:eastAsia="Arial" w:hAnsi="Arial"/>
          <w:sz w:val="11"/>
          <w:szCs w:val="11"/>
          <w:color w:val="auto"/>
        </w:rPr>
      </w:pPr>
      <w:r>
        <w:rPr>
          <w:rFonts w:ascii="Arial" w:cs="Arial" w:eastAsia="Arial" w:hAnsi="Arial"/>
          <w:sz w:val="11"/>
          <w:szCs w:val="11"/>
          <w:color w:val="auto"/>
        </w:rPr>
        <w:t>any gain you realize on the sale or other disposition of your ADSs and 164</w:t>
      </w:r>
    </w:p>
    <w:p>
      <w:pPr>
        <w:sectPr>
          <w:pgSz w:w="11900" w:h="16838" w:orient="portrait"/>
          <w:cols w:equalWidth="0" w:num="1">
            <w:col w:w="10159"/>
          </w:cols>
          <w:pgMar w:left="30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79" w:hanging="288"/>
        <w:spacing w:after="0" w:line="259" w:lineRule="auto"/>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Under these rules:</w:t>
      </w:r>
    </w:p>
    <w:p>
      <w:pPr>
        <w:spacing w:after="0" w:line="168" w:lineRule="exact"/>
        <w:rPr>
          <w:sz w:val="20"/>
          <w:szCs w:val="20"/>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gain or excess distribution will be allocated ratably over your holding period for the ADSs,</w:t>
      </w:r>
    </w:p>
    <w:p>
      <w:pPr>
        <w:spacing w:after="0" w:line="168"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amount allocated to the taxable year in which you realized the gain or excess distribution or to prior years before the first year in which we were a PFIC with respect to you will be taxed as ordinary income,</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amount allocated to each other prior year will be taxed at the highest tax rate in effect for that year, and</w:t>
      </w:r>
    </w:p>
    <w:p>
      <w:pPr>
        <w:spacing w:after="0" w:line="168" w:lineRule="exact"/>
        <w:rPr>
          <w:rFonts w:ascii="Arial" w:cs="Arial" w:eastAsia="Arial" w:hAnsi="Arial"/>
          <w:sz w:val="12"/>
          <w:szCs w:val="12"/>
          <w:color w:val="auto"/>
        </w:rPr>
      </w:pPr>
    </w:p>
    <w:p>
      <w:pPr>
        <w:ind w:left="2260" w:right="1239" w:firstLine="72"/>
        <w:spacing w:after="0" w:line="546" w:lineRule="auto"/>
        <w:tabs>
          <w:tab w:leader="none" w:pos="2614" w:val="left"/>
        </w:tabs>
        <w:numPr>
          <w:ilvl w:val="0"/>
          <w:numId w:val="81"/>
        </w:numPr>
        <w:rPr>
          <w:rFonts w:ascii="Arial" w:cs="Arial" w:eastAsia="Arial" w:hAnsi="Arial"/>
          <w:sz w:val="11"/>
          <w:szCs w:val="11"/>
          <w:color w:val="auto"/>
        </w:rPr>
      </w:pPr>
      <w:r>
        <w:rPr>
          <w:rFonts w:ascii="Arial" w:cs="Arial" w:eastAsia="Arial" w:hAnsi="Arial"/>
          <w:sz w:val="11"/>
          <w:szCs w:val="11"/>
          <w:color w:val="auto"/>
        </w:rPr>
        <w:t>the interest charge generally applicable to underpayments of tax will be imposed in respect of the tax attributable to each such year. Special rules apply for calculating the amount of the foreign tax credit with respect to excess distributions by a PFIC.</w:t>
      </w:r>
    </w:p>
    <w:p>
      <w:pPr>
        <w:spacing w:after="0" w:line="1"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17"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92" w:lineRule="exact"/>
        <w:rPr>
          <w:sz w:val="20"/>
          <w:szCs w:val="20"/>
          <w:color w:val="auto"/>
        </w:rPr>
      </w:pPr>
    </w:p>
    <w:p>
      <w:pPr>
        <w:ind w:left="1980" w:right="939" w:firstLine="294"/>
        <w:spacing w:after="0" w:line="320" w:lineRule="auto"/>
        <w:rPr>
          <w:sz w:val="20"/>
          <w:szCs w:val="20"/>
          <w:color w:val="auto"/>
        </w:rPr>
      </w:pPr>
      <w:r>
        <w:rPr>
          <w:rFonts w:ascii="Arial" w:cs="Arial" w:eastAsia="Arial" w:hAnsi="Arial"/>
          <w:sz w:val="10"/>
          <w:szCs w:val="10"/>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9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you own ADSs during any year that we are a PFIC with respect to you, you may be required to file Internal Revenue Service (“IRS”) Form</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8621.</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Shareholder Reporting</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If you are a non-U.S. holder, dividends paid to you in respect of ADSs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Capital Gains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If you are a non-U.S. holder, you will not be subject to United States federal income tax on gain recognized on the sale or other disposition of your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unless:</w:t>
      </w:r>
    </w:p>
    <w:p>
      <w:pPr>
        <w:spacing w:after="0" w:line="159" w:lineRule="exact"/>
        <w:rPr>
          <w:sz w:val="20"/>
          <w:szCs w:val="20"/>
          <w:color w:val="auto"/>
        </w:rPr>
      </w:pPr>
    </w:p>
    <w:p>
      <w:pPr>
        <w:jc w:val="both"/>
        <w:ind w:left="2620" w:right="879" w:hanging="288"/>
        <w:spacing w:after="0" w:line="263"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you are an individual, you are present in the United States for 183 or more days in the taxable year of the sale and certain other conditions exist.</w:t>
      </w:r>
    </w:p>
    <w:p>
      <w:pPr>
        <w:spacing w:after="0" w:line="115"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Backup Withholding and Information Reporting</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If you are a noncorporate U.S. holder, information reporting requirements, on IRS Form 1099, generally will apply to dividend payments or other taxable distributions made to you within the United States, and the payment of proceeds to you from the sale of ADSs effected at a United States office of a broker.</w:t>
      </w:r>
    </w:p>
    <w:p>
      <w:pPr>
        <w:spacing w:after="0" w:line="12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ADSs effected at a United States office of a broker, as long as either (i) 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13"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Payment of the proceeds from the sale of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11"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You generally may obtain a refund of any amounts withheld under the backup withholding rules that exceed your income tax liability by filing a refund claim with the IRS.</w:t>
      </w:r>
    </w:p>
    <w:p>
      <w:pPr>
        <w:spacing w:after="0" w:line="111" w:lineRule="exact"/>
        <w:rPr>
          <w:sz w:val="20"/>
          <w:szCs w:val="20"/>
          <w:color w:val="auto"/>
        </w:rPr>
      </w:pPr>
    </w:p>
    <w:p>
      <w:pPr>
        <w:jc w:val="center"/>
        <w:ind w:left="2280"/>
        <w:spacing w:after="0" w:line="266" w:lineRule="auto"/>
        <w:rPr>
          <w:sz w:val="20"/>
          <w:szCs w:val="20"/>
          <w:color w:val="auto"/>
        </w:rPr>
      </w:pPr>
      <w:r>
        <w:rPr>
          <w:rFonts w:ascii="Arial" w:cs="Arial" w:eastAsia="Arial" w:hAnsi="Arial"/>
          <w:sz w:val="12"/>
          <w:szCs w:val="12"/>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ind w:left="2260"/>
        <w:spacing w:after="0"/>
        <w:tabs>
          <w:tab w:leader="none" w:pos="7160" w:val="left"/>
        </w:tabs>
        <w:rPr>
          <w:sz w:val="20"/>
          <w:szCs w:val="20"/>
          <w:color w:val="auto"/>
        </w:rPr>
      </w:pPr>
      <w:r>
        <w:rPr>
          <w:rFonts w:ascii="Arial" w:cs="Arial" w:eastAsia="Arial" w:hAnsi="Arial"/>
          <w:sz w:val="12"/>
          <w:szCs w:val="12"/>
          <w:color w:val="auto"/>
        </w:rPr>
        <w:t>Under the terms and subject to the conditions contained in an underwriting agreement dated</w:t>
      </w:r>
      <w:r>
        <w:rPr>
          <w:sz w:val="20"/>
          <w:szCs w:val="20"/>
          <w:color w:val="auto"/>
        </w:rPr>
        <w:tab/>
      </w:r>
      <w:r>
        <w:rPr>
          <w:rFonts w:ascii="Arial" w:cs="Arial" w:eastAsia="Arial" w:hAnsi="Arial"/>
          <w:sz w:val="10"/>
          <w:szCs w:val="10"/>
          <w:color w:val="auto"/>
        </w:rPr>
        <w:t>, 2021, we have agreed to sell to the</w:t>
      </w:r>
    </w:p>
    <w:p>
      <w:pPr>
        <w:spacing w:after="0" w:line="15" w:lineRule="exact"/>
        <w:rPr>
          <w:sz w:val="20"/>
          <w:szCs w:val="20"/>
          <w:color w:val="auto"/>
        </w:rPr>
      </w:pPr>
    </w:p>
    <w:p>
      <w:pPr>
        <w:ind w:left="1980" w:right="1119"/>
        <w:spacing w:after="0" w:line="260" w:lineRule="auto"/>
        <w:rPr>
          <w:sz w:val="20"/>
          <w:szCs w:val="20"/>
          <w:color w:val="auto"/>
        </w:rPr>
      </w:pPr>
      <w:r>
        <w:rPr>
          <w:rFonts w:ascii="Arial" w:cs="Arial" w:eastAsia="Arial" w:hAnsi="Arial"/>
          <w:sz w:val="12"/>
          <w:szCs w:val="12"/>
          <w:color w:val="auto"/>
        </w:rPr>
        <w:t>underwriters named below, for whom Credit Suisse Securities (USA) LLC and Jefferies LLC are acting as representatives, the following respective numbers of ADSs:</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Underwriters</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4"/>
        </w:trPr>
        <w:tc>
          <w:tcPr>
            <w:tcW w:w="6740" w:type="dxa"/>
            <w:vAlign w:val="bottom"/>
            <w:gridSpan w:val="2"/>
            <w:vMerge w:val="continue"/>
          </w:tcPr>
          <w:p>
            <w:pPr>
              <w:spacing w:after="0"/>
              <w:rPr>
                <w:sz w:val="9"/>
                <w:szCs w:val="9"/>
                <w:color w:val="auto"/>
              </w:rPr>
            </w:pPr>
          </w:p>
        </w:tc>
        <w:tc>
          <w:tcPr>
            <w:tcW w:w="60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9"/>
              </w:rPr>
              <w:t>ADSs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74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Credit Suisse Securities (USA) LLC</w:t>
            </w: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Jefferies LLC</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Canaccord Genuity LLC</w:t>
            </w: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7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underwriting agreement provides that the underwriters are obligated to purchase all the ADSs in this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05"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We have granted to the underwriters a 30-day option to purchase on a pro rata basis up to additional ADSs from us at the initial public offering price less the underwriting discounts and commissions. This option may be exercised only to cover any over-allotments of ADSs.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underwriters propose to offer the ADSs initially at the public offering price on the cover page of this prospectus and to selling group members</w:t>
      </w:r>
    </w:p>
    <w:p>
      <w:pPr>
        <w:spacing w:after="0" w:line="26" w:lineRule="exact"/>
        <w:rPr>
          <w:sz w:val="20"/>
          <w:szCs w:val="20"/>
          <w:color w:val="auto"/>
        </w:rPr>
      </w:pPr>
    </w:p>
    <w:p>
      <w:pPr>
        <w:ind w:left="1980" w:right="979"/>
        <w:spacing w:after="0" w:line="260" w:lineRule="auto"/>
        <w:rPr>
          <w:sz w:val="20"/>
          <w:szCs w:val="20"/>
          <w:color w:val="auto"/>
        </w:rPr>
      </w:pPr>
      <w:r>
        <w:rPr>
          <w:rFonts w:ascii="Arial" w:cs="Arial" w:eastAsia="Arial" w:hAnsi="Arial"/>
          <w:sz w:val="12"/>
          <w:szCs w:val="12"/>
          <w:color w:val="auto"/>
        </w:rPr>
        <w:t>at that price less a selling concession of up to $ per ADS. After the initial public offering, the representatives may change the public offering price and selling concession.</w:t>
      </w:r>
    </w:p>
    <w:p>
      <w:pPr>
        <w:spacing w:after="0" w:line="124" w:lineRule="exact"/>
        <w:rPr>
          <w:sz w:val="20"/>
          <w:szCs w:val="20"/>
          <w:color w:val="auto"/>
        </w:rPr>
      </w:pPr>
    </w:p>
    <w:p>
      <w:pPr>
        <w:jc w:val="both"/>
        <w:ind w:left="1980" w:right="979" w:firstLine="294"/>
        <w:spacing w:after="0" w:line="277" w:lineRule="auto"/>
        <w:rPr>
          <w:sz w:val="20"/>
          <w:szCs w:val="20"/>
          <w:color w:val="auto"/>
        </w:rPr>
      </w:pPr>
      <w:r>
        <w:rPr>
          <w:rFonts w:ascii="Arial" w:cs="Arial" w:eastAsia="Arial" w:hAnsi="Arial"/>
          <w:sz w:val="11"/>
          <w:szCs w:val="11"/>
          <w:color w:val="auto"/>
        </w:rPr>
        <w:t>For reasons of German law, will initially subscribe for all of the new ordinary shares represented by the ADSs on behalf of the underwriters, at an issue price of € per share. This issue price will be credited against the amount due from the underwriters at closing. If the underwriters exercise their option to purchase additional ADSs, will initially subscribe for all of the new ordinary shares representing such additional ADSs on behalf of the underwriters, at an issue price of € per share. This issue price will be credited against the amount due from</w:t>
      </w:r>
    </w:p>
    <w:p>
      <w:pPr>
        <w:spacing w:after="0" w:line="1"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the underwriters at the closing of such optional purchase. The offering of the ADSs by the underwriters is subject to receipt and acceptance and subject to the underwriters’ right to reject any order in whole or in part.</w:t>
      </w:r>
    </w:p>
    <w:p>
      <w:pPr>
        <w:spacing w:after="0" w:line="124" w:lineRule="exact"/>
        <w:rPr>
          <w:sz w:val="20"/>
          <w:szCs w:val="20"/>
          <w:color w:val="auto"/>
        </w:rPr>
      </w:pPr>
    </w:p>
    <w:p>
      <w:pPr>
        <w:ind w:left="1980" w:right="939" w:firstLine="294"/>
        <w:spacing w:after="0" w:line="309" w:lineRule="auto"/>
        <w:rPr>
          <w:sz w:val="20"/>
          <w:szCs w:val="20"/>
          <w:color w:val="auto"/>
        </w:rPr>
      </w:pPr>
      <w:r>
        <w:rPr>
          <w:rFonts w:ascii="Arial" w:cs="Arial" w:eastAsia="Arial" w:hAnsi="Arial"/>
          <w:sz w:val="10"/>
          <w:szCs w:val="10"/>
          <w:color w:val="auto"/>
        </w:rPr>
        <w:t>The following table summarizes the price per ADS and total public offering price, underwriting discounts and commissions, and proceeds before expenses to us. These amounts are shown assuming both no exercise and full exercise of the underwriters’ option to purchase up to an additional</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ADSs.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Total</w:t>
            </w:r>
          </w:p>
        </w:tc>
      </w:tr>
      <w:tr>
        <w:trPr>
          <w:trHeight w:val="88"/>
        </w:trPr>
        <w:tc>
          <w:tcPr>
            <w:tcW w:w="528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66"/>
              <w:spacing w:after="0" w:line="88" w:lineRule="exact"/>
              <w:rPr>
                <w:sz w:val="20"/>
                <w:szCs w:val="20"/>
                <w:color w:val="auto"/>
              </w:rPr>
            </w:pPr>
            <w:r>
              <w:rPr>
                <w:rFonts w:ascii="Arial" w:cs="Arial" w:eastAsia="Arial" w:hAnsi="Arial"/>
                <w:sz w:val="10"/>
                <w:szCs w:val="10"/>
                <w:b w:val="1"/>
                <w:bCs w:val="1"/>
                <w:color w:val="auto"/>
              </w:rPr>
              <w:t>Per ADS</w:t>
            </w:r>
          </w:p>
        </w:tc>
        <w:tc>
          <w:tcPr>
            <w:tcW w:w="1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5"/>
              </w:rPr>
              <w:t>Non Exercise</w:t>
            </w:r>
          </w:p>
        </w:tc>
        <w:tc>
          <w:tcPr>
            <w:tcW w:w="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7"/>
              </w:rPr>
              <w:t>Full Exercise</w:t>
            </w:r>
          </w:p>
        </w:tc>
        <w:tc>
          <w:tcPr>
            <w:tcW w:w="40" w:type="dxa"/>
            <w:vAlign w:val="bottom"/>
            <w:tcBorders>
              <w:bottom w:val="single" w:sz="8" w:color="CCEEFF"/>
            </w:tcBorders>
          </w:tcPr>
          <w:p>
            <w:pPr>
              <w:spacing w:after="0"/>
              <w:rPr>
                <w:sz w:val="7"/>
                <w:szCs w:val="7"/>
                <w:color w:val="auto"/>
              </w:rPr>
            </w:pPr>
          </w:p>
        </w:tc>
      </w:tr>
      <w:tr>
        <w:trPr>
          <w:trHeight w:val="124"/>
        </w:trPr>
        <w:tc>
          <w:tcPr>
            <w:tcW w:w="528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r>
      <w:tr>
        <w:trPr>
          <w:trHeight w:val="135"/>
        </w:trPr>
        <w:tc>
          <w:tcPr>
            <w:tcW w:w="5280" w:type="dxa"/>
            <w:vAlign w:val="bottom"/>
          </w:tcPr>
          <w:p>
            <w:pPr>
              <w:spacing w:after="0"/>
              <w:rPr>
                <w:sz w:val="20"/>
                <w:szCs w:val="20"/>
                <w:color w:val="auto"/>
              </w:rPr>
            </w:pPr>
            <w:r>
              <w:rPr>
                <w:rFonts w:ascii="Arial" w:cs="Arial" w:eastAsia="Arial" w:hAnsi="Arial"/>
                <w:sz w:val="11"/>
                <w:szCs w:val="11"/>
                <w:color w:val="auto"/>
              </w:rPr>
              <w:t>Underwriting discounts and commissions to be paid by us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Proceeds, before expenses, to us</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452"/>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472"/>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r>
      <w:tr>
        <w:trPr>
          <w:trHeight w:val="288"/>
        </w:trPr>
        <w:tc>
          <w:tcPr>
            <w:tcW w:w="6540" w:type="dxa"/>
            <w:vAlign w:val="bottom"/>
            <w:gridSpan w:val="4"/>
          </w:tcPr>
          <w:p>
            <w:pPr>
              <w:ind w:left="280"/>
              <w:spacing w:after="0"/>
              <w:rPr>
                <w:sz w:val="20"/>
                <w:szCs w:val="20"/>
                <w:color w:val="auto"/>
              </w:rPr>
            </w:pPr>
            <w:r>
              <w:rPr>
                <w:rFonts w:ascii="Arial" w:cs="Arial" w:eastAsia="Arial" w:hAnsi="Arial"/>
                <w:sz w:val="12"/>
                <w:szCs w:val="12"/>
                <w:color w:val="auto"/>
                <w:w w:val="95"/>
              </w:rPr>
              <w:t>The estimated offering expenses payable by us, exclusive of underwriting discounts and commissions, are approximately $</w:t>
            </w:r>
          </w:p>
        </w:tc>
        <w:tc>
          <w:tcPr>
            <w:tcW w:w="2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color w:val="auto"/>
              </w:rPr>
              <w:t>. We have</w:t>
            </w:r>
          </w:p>
        </w:tc>
      </w:tr>
    </w:tbl>
    <w:p>
      <w:pPr>
        <w:ind w:left="1980"/>
        <w:spacing w:after="0"/>
        <w:rPr>
          <w:sz w:val="20"/>
          <w:szCs w:val="20"/>
          <w:color w:val="auto"/>
        </w:rPr>
      </w:pPr>
      <w:r>
        <w:rPr>
          <w:rFonts w:ascii="Arial" w:cs="Arial" w:eastAsia="Arial" w:hAnsi="Arial"/>
          <w:sz w:val="11"/>
          <w:szCs w:val="11"/>
          <w:color w:val="auto"/>
        </w:rPr>
        <w:t>agreed to reimburse the underwriters for expenses related to clearance of this offering with the Financial Industry Regulatory Authority, Inc., or FINRA.</w:t>
      </w:r>
    </w:p>
    <w:p>
      <w:pPr>
        <w:spacing w:after="0" w:line="153"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We have agreed, subject to certain exceptions, that we will not offer, sell, contract to sell, pledge or otherwise dispose of, directly or indirectly, or file with the SEC a registration statement under the Securities Act relating to, any ADSs, our ordinary shares or securities convertible into or exchangeable or exercisable for any ADSs or our ordinary shares, or publicly disclose the intention to make any offer, sale, pledge, disposition or</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filing, without the prior written consent of Credit Suisse Securities (USA) LLC and Jefferies LLC for a period of 180 days after the date of this prospectus, except issuances pursuant to the exercise of employee stock options outstanding on the date hereof.</w:t>
      </w:r>
    </w:p>
    <w:p>
      <w:pPr>
        <w:spacing w:after="0" w:line="115"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The members of our supervisory board and management board and certain existing shareholders have agreed, subject to certain exceptions, that they will not offer, sell, contract to sell, pledge or otherwise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such transaction, swap, hedge or other arrangement, without, in each case, the prior written consent of Credit Suisse Securities (USA) LLC and Jefferies LLC for a period of 180 days after the date of this prospectus.</w:t>
      </w:r>
    </w:p>
    <w:p>
      <w:pPr>
        <w:spacing w:after="0" w:line="10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and the underwriters have agreed to indemnify each other and certain controlling persons of the underwriters and us against certain liabilities, including liabilities under the Securities Act, and to contribute to payments that we or the underwriters, as applicable, may be required to make in respect of those liabilities.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Prior to this offering, there has been no public market for the ADSs. Our ordinary shares are listed on the Frankfurt Stock Exchange (</w:t>
      </w:r>
      <w:r>
        <w:rPr>
          <w:rFonts w:ascii="Arial" w:cs="Arial" w:eastAsia="Arial" w:hAnsi="Arial"/>
          <w:sz w:val="11"/>
          <w:szCs w:val="11"/>
          <w:i w:val="1"/>
          <w:iCs w:val="1"/>
          <w:color w:val="auto"/>
        </w:rPr>
        <w:t>Frankfurter</w:t>
      </w:r>
    </w:p>
    <w:p>
      <w:pPr>
        <w:spacing w:after="0" w:line="2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i w:val="1"/>
          <w:iCs w:val="1"/>
          <w:color w:val="auto"/>
        </w:rPr>
        <w:t>Wertpapierbörse</w:t>
      </w:r>
      <w:r>
        <w:rPr>
          <w:rFonts w:ascii="Arial" w:cs="Arial" w:eastAsia="Arial" w:hAnsi="Arial"/>
          <w:sz w:val="12"/>
          <w:szCs w:val="12"/>
          <w:color w:val="auto"/>
        </w:rPr>
        <w:t>) under the symbol “M0Y.” On</w:t>
      </w:r>
      <w:r>
        <w:rPr>
          <w:sz w:val="20"/>
          <w:szCs w:val="20"/>
          <w:color w:val="auto"/>
        </w:rPr>
        <w:tab/>
      </w:r>
      <w:r>
        <w:rPr>
          <w:rFonts w:ascii="Arial" w:cs="Arial" w:eastAsia="Arial" w:hAnsi="Arial"/>
          <w:sz w:val="10"/>
          <w:szCs w:val="10"/>
          <w:color w:val="auto"/>
        </w:rPr>
        <w:t>, 2021, the closing price of our ordinary shares on the Frankfurt Stock Exchange was</w:t>
      </w:r>
    </w:p>
    <w:p>
      <w:pPr>
        <w:spacing w:after="0" w:line="6" w:lineRule="exact"/>
        <w:rPr>
          <w:sz w:val="20"/>
          <w:szCs w:val="20"/>
          <w:color w:val="auto"/>
        </w:rPr>
      </w:pPr>
    </w:p>
    <w:p>
      <w:pPr>
        <w:ind w:left="1980"/>
        <w:spacing w:after="0"/>
        <w:tabs>
          <w:tab w:leader="none" w:pos="2520" w:val="left"/>
          <w:tab w:leader="none" w:pos="40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per ordinary share ($</w:t>
      </w:r>
      <w:r>
        <w:rPr>
          <w:sz w:val="20"/>
          <w:szCs w:val="20"/>
          <w:color w:val="auto"/>
        </w:rPr>
        <w:tab/>
      </w:r>
      <w:r>
        <w:rPr>
          <w:rFonts w:ascii="Arial" w:cs="Arial" w:eastAsia="Arial" w:hAnsi="Arial"/>
          <w:sz w:val="10"/>
          <w:szCs w:val="10"/>
          <w:color w:val="auto"/>
        </w:rPr>
        <w:t>per ordinary share, based on the Euro/U.S. dollar exchange rate published by the European Central Bank on</w:t>
      </w:r>
    </w:p>
    <w:p>
      <w:pPr>
        <w:spacing w:after="0" w:line="6" w:lineRule="exact"/>
        <w:rPr>
          <w:sz w:val="20"/>
          <w:szCs w:val="20"/>
          <w:color w:val="auto"/>
        </w:rPr>
      </w:pPr>
    </w:p>
    <w:p>
      <w:pPr>
        <w:ind w:left="2460"/>
        <w:spacing w:after="0"/>
        <w:tabs>
          <w:tab w:leader="none" w:pos="4300" w:val="left"/>
        </w:tabs>
        <w:rPr>
          <w:sz w:val="20"/>
          <w:szCs w:val="20"/>
          <w:color w:val="auto"/>
        </w:rPr>
      </w:pPr>
      <w:r>
        <w:rPr>
          <w:rFonts w:ascii="Arial" w:cs="Arial" w:eastAsia="Arial" w:hAnsi="Arial"/>
          <w:sz w:val="12"/>
          <w:szCs w:val="12"/>
          <w:color w:val="auto"/>
        </w:rPr>
        <w:t>, 2021, which was €1.00 to $</w:t>
      </w:r>
      <w:r>
        <w:rPr>
          <w:sz w:val="20"/>
          <w:szCs w:val="20"/>
          <w:color w:val="auto"/>
        </w:rPr>
        <w:tab/>
      </w:r>
      <w:r>
        <w:rPr>
          <w:rFonts w:ascii="Arial" w:cs="Arial" w:eastAsia="Arial" w:hAnsi="Arial"/>
          <w:sz w:val="8"/>
          <w:szCs w:val="8"/>
          <w:color w:val="auto"/>
        </w:rPr>
        <w:t>).</w:t>
      </w:r>
    </w:p>
    <w:p>
      <w:pPr>
        <w:spacing w:after="0" w:line="141"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color w:val="auto"/>
        </w:rPr>
        <w:t>The initial public offering price for the ADSs will be determined through discussions between us and the representatives of the underwriters and will be based in large part on the closing price of our ordinary shares on the Frankfurt Stock Exchange. Based on the closing price of our ordinary shares</w:t>
      </w:r>
    </w:p>
    <w:p>
      <w:pPr>
        <w:spacing w:after="0" w:line="1"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on the Frankfurt Stock Exchange on , 2021, based on the Euro/U.S. dollar exchange rate of €1.00 to $ as of , 2021, and an ADS to ordinary share ratio of to , after deducting the estimated underwriting discounts and commissions and estimated offering expenses payable by us, the assumed offer price per ADS would be $ .</w:t>
      </w:r>
    </w:p>
    <w:p>
      <w:pPr>
        <w:spacing w:after="0" w:line="127"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left="2620" w:hanging="288"/>
        <w:spacing w:after="0"/>
        <w:tabs>
          <w:tab w:leader="none" w:pos="2620" w:val="left"/>
        </w:tabs>
        <w:numPr>
          <w:ilvl w:val="0"/>
          <w:numId w:val="83"/>
        </w:numPr>
        <w:rPr>
          <w:rFonts w:ascii="Arial" w:cs="Arial" w:eastAsia="Arial" w:hAnsi="Arial"/>
          <w:sz w:val="10"/>
          <w:szCs w:val="10"/>
          <w:color w:val="auto"/>
        </w:rPr>
      </w:pPr>
      <w:r>
        <w:rPr>
          <w:rFonts w:ascii="Arial" w:cs="Arial" w:eastAsia="Arial" w:hAnsi="Arial"/>
          <w:sz w:val="10"/>
          <w:szCs w:val="10"/>
          <w:color w:val="auto"/>
        </w:rPr>
        <w:t>Stabilizing transactions permit bids to purchase the underlying security so long as the stabilizing bids do not exceed a specified maximum.</w:t>
      </w:r>
    </w:p>
    <w:p>
      <w:pPr>
        <w:spacing w:after="0" w:line="191" w:lineRule="exact"/>
        <w:rPr>
          <w:rFonts w:ascii="Arial" w:cs="Arial" w:eastAsia="Arial" w:hAnsi="Arial"/>
          <w:sz w:val="10"/>
          <w:szCs w:val="10"/>
          <w:color w:val="auto"/>
        </w:rPr>
      </w:pPr>
    </w:p>
    <w:p>
      <w:pPr>
        <w:ind w:left="2620" w:right="879" w:hanging="288"/>
        <w:spacing w:after="0" w:line="255"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Over-allotment involves sales by the underwriters of ADSs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 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146"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Syndicate covering transactions involve purchases of ADSs in the open market after the distribution has been completed in order to cover syndicate short positions. In determining the source of ADSs to</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39"/>
        <w:spacing w:after="0" w:line="285" w:lineRule="auto"/>
        <w:rPr>
          <w:sz w:val="20"/>
          <w:szCs w:val="20"/>
          <w:color w:val="auto"/>
        </w:rPr>
      </w:pPr>
      <w:r>
        <w:rPr>
          <w:rFonts w:ascii="Arial" w:cs="Arial" w:eastAsia="Arial" w:hAnsi="Arial"/>
          <w:sz w:val="11"/>
          <w:szCs w:val="11"/>
          <w:color w:val="auto"/>
        </w:rPr>
        <w:t>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131" w:lineRule="exact"/>
        <w:rPr>
          <w:sz w:val="20"/>
          <w:szCs w:val="20"/>
          <w:color w:val="auto"/>
        </w:rPr>
      </w:pPr>
    </w:p>
    <w:p>
      <w:pPr>
        <w:ind w:left="2620" w:right="1259" w:hanging="288"/>
        <w:spacing w:after="0" w:line="379" w:lineRule="auto"/>
        <w:tabs>
          <w:tab w:leader="none" w:pos="2620" w:val="left"/>
        </w:tabs>
        <w:numPr>
          <w:ilvl w:val="0"/>
          <w:numId w:val="84"/>
        </w:numPr>
        <w:rPr>
          <w:rFonts w:ascii="Arial" w:cs="Arial" w:eastAsia="Arial" w:hAnsi="Arial"/>
          <w:sz w:val="10"/>
          <w:szCs w:val="10"/>
          <w:color w:val="auto"/>
        </w:rPr>
      </w:pPr>
      <w:r>
        <w:rPr>
          <w:rFonts w:ascii="Arial" w:cs="Arial" w:eastAsia="Arial" w:hAnsi="Arial"/>
          <w:sz w:val="10"/>
          <w:szCs w:val="10"/>
          <w:color w:val="auto"/>
        </w:rPr>
        <w:t>Penalty bids permit the representatives to reclaim a selling concession from a syndicate member when ADSs originally sold by the syndicate member are purchased in a stabilizing transaction or a syndicate covering transaction to cover syndicate short positions.</w:t>
      </w:r>
    </w:p>
    <w:p>
      <w:pPr>
        <w:spacing w:after="0" w:line="69" w:lineRule="exact"/>
        <w:rPr>
          <w:sz w:val="20"/>
          <w:szCs w:val="20"/>
          <w:color w:val="auto"/>
        </w:rPr>
      </w:pPr>
    </w:p>
    <w:p>
      <w:pPr>
        <w:jc w:val="both"/>
        <w:ind w:left="1980" w:right="919" w:firstLine="294"/>
        <w:spacing w:after="0" w:line="298" w:lineRule="auto"/>
        <w:rPr>
          <w:sz w:val="20"/>
          <w:szCs w:val="20"/>
          <w:color w:val="auto"/>
        </w:rPr>
      </w:pPr>
      <w:r>
        <w:rPr>
          <w:rFonts w:ascii="Arial" w:cs="Arial" w:eastAsia="Arial" w:hAnsi="Arial"/>
          <w:sz w:val="11"/>
          <w:szCs w:val="11"/>
          <w:color w:val="auto"/>
        </w:rPr>
        <w:t>These stabilizing transactions, syndicate covering transactions and penalty bids may have the effect of raising or maintaining the market price of ADSs or preventing or retarding a decline in the market price of ADSs. As a result the price of ADSs may be higher than the price that might otherwise exist in the open market. These transactions may be effected on the Nasdaq and, if commenced, may be discontinued at any time.</w:t>
      </w:r>
    </w:p>
    <w:p>
      <w:pPr>
        <w:spacing w:after="0" w:line="105"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A prospectus in electronic format may be made available on websites maintained by one or more underwriters, or selling group members, if any, participating in this offering and one or more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respective affiliates may also make investment recommendations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address of Credit Suisse Securities (USA) LLC is 11 Madison Avenue, New York, New York 10010, United States of America. The address of Jefferies LLC is 520 Madison Avenue, New York, New York 10022, United States of America.</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Selling Restrictions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European Economic Area</w:t>
      </w:r>
    </w:p>
    <w:p>
      <w:pPr>
        <w:spacing w:after="0" w:line="150"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46" w:lineRule="exact"/>
        <w:rPr>
          <w:sz w:val="20"/>
          <w:szCs w:val="20"/>
          <w:color w:val="auto"/>
        </w:rPr>
      </w:pPr>
    </w:p>
    <w:p>
      <w:pPr>
        <w:ind w:left="2620" w:hanging="360"/>
        <w:spacing w:after="0"/>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Prospectus Regulation;</w:t>
      </w:r>
    </w:p>
    <w:p>
      <w:pPr>
        <w:spacing w:after="0" w:line="168"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the representatives of the underwriters named above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provided that no such offer of ADSs shall require the Company or any underwriters to publish a prospectus pursuant to Article 3 of the Prospectus Regulation or supplement a prospectus pursuant to Article 23 of the Prospectus Regulation. Neither we nor the representatives of the underwriters named above has authorized, nor do they authorize, the making of any offer of ADSs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8"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Each person in a Relevant State who initially acquires any ADSs or to whom any offer is made will be deemed to have represented, acknowledged and agreed to and with the Company and the representatives of the underwriters named above that it is a qualified investor within the meaning of Article 2(e) of the Prospectus Regulation.</w:t>
      </w:r>
    </w:p>
    <w:p>
      <w:pPr>
        <w:spacing w:after="0" w:line="12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the case of any ADSs being offered to a financial intermediary as that term is used in Article 1(4)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of the underwriters named above has been obtained to each such proposed offer or resale.</w:t>
      </w:r>
    </w:p>
    <w:p>
      <w:pPr>
        <w:spacing w:after="0" w:line="113"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For the purposes of this selling restriction,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above selling restriction is in addition to any other selling restrictions set out below.</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54"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United Kingdom</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An offer to the public of any ADSs may not be made in the United Kingdom, except that an offer to the public in the United Kingdom of 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may be made at any time under the following exemptions under the UK Prospectus Regulation:</w:t>
      </w:r>
    </w:p>
    <w:p>
      <w:pPr>
        <w:spacing w:after="0" w:line="159" w:lineRule="exact"/>
        <w:rPr>
          <w:sz w:val="20"/>
          <w:szCs w:val="20"/>
          <w:color w:val="auto"/>
        </w:rPr>
      </w:pPr>
    </w:p>
    <w:p>
      <w:pPr>
        <w:ind w:left="2620" w:hanging="360"/>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68" w:lineRule="exact"/>
        <w:rPr>
          <w:rFonts w:ascii="Arial" w:cs="Arial" w:eastAsia="Arial" w:hAnsi="Arial"/>
          <w:sz w:val="12"/>
          <w:szCs w:val="12"/>
          <w:color w:val="auto"/>
        </w:rPr>
      </w:pPr>
    </w:p>
    <w:p>
      <w:pPr>
        <w:ind w:left="2620" w:right="1099" w:hanging="360"/>
        <w:spacing w:after="0" w:line="276" w:lineRule="auto"/>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(as amended, “FSMA”);</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provided that no such offer of ADSs shall result in a requirement for the Company or any underwriters to publish a prospectus pursuant to section 85 of the FSMA or a supplemental prospectus pursuant to Article 23 of the UK Prospectus Regulation. Neither we nor the representatives of the underwriters named above have authorized, nor do they authorize, the making of any offer of ADSs in circumstances in which an obligation arises for us or the underwriters to publish a prospectus for such offering pursuant to section 85 of the FSMA or supplement a prospectus pursuant to Article 23 of the UK Prospectus Regulation.</w:t>
      </w:r>
    </w:p>
    <w:p>
      <w:pPr>
        <w:spacing w:after="0" w:line="12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Each person who initially acquires any ADSs or to whom any offer is made will be deemed to have represented, acknowledged and agreed to and with the Company and the representatives that it is a qualified investor within the meaning of Article 2 of the UK Prospectus Regulation.</w:t>
      </w:r>
    </w:p>
    <w:p>
      <w:pPr>
        <w:spacing w:after="0" w:line="9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In the case of any ADSs being offered to a financial intermediary as that term is used in Article 1(4) of the UK Prospectus Regulation, each financial intermediary will also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within the meaning of the UK Prospectus Regulation or in circumstances in which the prior consent of the representatives has been obtained to each such proposed offer or resale.</w:t>
      </w:r>
    </w:p>
    <w:p>
      <w:pPr>
        <w:spacing w:after="0" w:line="128"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For the purposes of this selling restriction,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Canada</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ADSs may be sold only to purchasers purchasing, or deemed to be purchasing, as principal that are accredited investors, as defined in</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National Instrument 45-106 Prospectus Exemptions or subsection 73.3(1) of the Securities Act (Ontario), and are permitted clients, as defined in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National Instrument 31-103 Registration</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Requirements, Exemptions and Ongoing Registrant Obligations. Any resale of the ADSs must be made in accordance with an exemption from, or in a transaction not subject to, the prospectus requirements of applicable securities laws.</w:t>
      </w:r>
    </w:p>
    <w:p>
      <w:pPr>
        <w:spacing w:after="0" w:line="115"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Switzerland</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Neither this document nor any other offering or marketing material relating to the offering, the Company or the ADSs has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Hong Kong</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Singapore</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09" w:lineRule="auto"/>
        <w:rPr>
          <w:sz w:val="20"/>
          <w:szCs w:val="20"/>
          <w:color w:val="auto"/>
        </w:rPr>
      </w:pPr>
      <w:r>
        <w:rPr>
          <w:rFonts w:ascii="Arial" w:cs="Arial" w:eastAsia="Arial" w:hAnsi="Arial"/>
          <w:sz w:val="10"/>
          <w:szCs w:val="10"/>
          <w:color w:val="auto"/>
        </w:rPr>
        <w:t>purchase, and this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w:t>
      </w:r>
    </w:p>
    <w:p>
      <w:pPr>
        <w:spacing w:after="0" w:line="1" w:lineRule="exact"/>
        <w:rPr>
          <w:sz w:val="20"/>
          <w:szCs w:val="20"/>
          <w:color w:val="auto"/>
        </w:rPr>
      </w:pPr>
    </w:p>
    <w:p>
      <w:pPr>
        <w:jc w:val="both"/>
        <w:ind w:left="1980" w:right="839" w:hanging="8"/>
        <w:spacing w:after="0" w:line="284" w:lineRule="auto"/>
        <w:tabs>
          <w:tab w:leader="none" w:pos="2123" w:val="left"/>
        </w:tabs>
        <w:numPr>
          <w:ilvl w:val="0"/>
          <w:numId w:val="87"/>
        </w:numPr>
        <w:rPr>
          <w:rFonts w:ascii="Arial" w:cs="Arial" w:eastAsia="Arial" w:hAnsi="Arial"/>
          <w:sz w:val="11"/>
          <w:szCs w:val="11"/>
          <w:color w:val="auto"/>
        </w:rPr>
      </w:pPr>
      <w:r>
        <w:rPr>
          <w:rFonts w:ascii="Arial" w:cs="Arial" w:eastAsia="Arial" w:hAnsi="Arial"/>
          <w:sz w:val="11"/>
          <w:szCs w:val="11"/>
          <w:color w:val="auto"/>
        </w:rPr>
        <w:t>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Where the ADSs are subscribed or purchased under Section 275 of the SFA by a relevant person who is:</w:t>
      </w:r>
    </w:p>
    <w:p>
      <w:pPr>
        <w:spacing w:after="0" w:line="168" w:lineRule="exact"/>
        <w:rPr>
          <w:sz w:val="20"/>
          <w:szCs w:val="20"/>
          <w:color w:val="auto"/>
        </w:rPr>
      </w:pPr>
    </w:p>
    <w:p>
      <w:pPr>
        <w:ind w:left="2620" w:right="919" w:hanging="360"/>
        <w:spacing w:after="0" w:line="323" w:lineRule="auto"/>
        <w:tabs>
          <w:tab w:leader="none" w:pos="2620" w:val="left"/>
        </w:tabs>
        <w:numPr>
          <w:ilvl w:val="0"/>
          <w:numId w:val="88"/>
        </w:numPr>
        <w:rPr>
          <w:rFonts w:ascii="Arial" w:cs="Arial" w:eastAsia="Arial" w:hAnsi="Arial"/>
          <w:sz w:val="11"/>
          <w:szCs w:val="11"/>
          <w:color w:val="auto"/>
        </w:rPr>
      </w:pPr>
      <w:r>
        <w:rPr>
          <w:rFonts w:ascii="Arial" w:cs="Arial" w:eastAsia="Arial" w:hAnsi="Arial"/>
          <w:sz w:val="11"/>
          <w:szCs w:val="11"/>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1"/>
          <w:szCs w:val="11"/>
          <w:color w:val="auto"/>
        </w:rPr>
      </w:pPr>
    </w:p>
    <w:p>
      <w:pPr>
        <w:ind w:left="2620" w:right="1059" w:hanging="360"/>
        <w:spacing w:after="0" w:line="276" w:lineRule="auto"/>
        <w:tabs>
          <w:tab w:leader="none" w:pos="2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2" w:lineRule="exact"/>
        <w:rPr>
          <w:sz w:val="20"/>
          <w:szCs w:val="20"/>
          <w:color w:val="auto"/>
        </w:rPr>
      </w:pPr>
    </w:p>
    <w:p>
      <w:pPr>
        <w:ind w:left="1980" w:right="899" w:firstLine="286"/>
        <w:spacing w:after="0" w:line="276" w:lineRule="auto"/>
        <w:tabs>
          <w:tab w:leader="none" w:pos="2417" w:val="left"/>
        </w:tabs>
        <w:numPr>
          <w:ilvl w:val="0"/>
          <w:numId w:val="89"/>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or to any person arising from an offer referred to in Section 275(1A) or Section 276(4)(i)(B) of the SFA;</w:t>
      </w:r>
    </w:p>
    <w:p>
      <w:pPr>
        <w:spacing w:after="0" w:line="114" w:lineRule="exact"/>
        <w:rPr>
          <w:rFonts w:ascii="Arial" w:cs="Arial" w:eastAsia="Arial" w:hAnsi="Arial"/>
          <w:sz w:val="12"/>
          <w:szCs w:val="12"/>
          <w:color w:val="auto"/>
        </w:rPr>
      </w:pPr>
    </w:p>
    <w:p>
      <w:pPr>
        <w:ind w:left="2440" w:hanging="174"/>
        <w:spacing w:after="0"/>
        <w:tabs>
          <w:tab w:leader="none" w:pos="24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150" w:lineRule="exact"/>
        <w:rPr>
          <w:rFonts w:ascii="Arial" w:cs="Arial" w:eastAsia="Arial" w:hAnsi="Arial"/>
          <w:sz w:val="12"/>
          <w:szCs w:val="12"/>
          <w:color w:val="auto"/>
        </w:rPr>
      </w:pPr>
    </w:p>
    <w:p>
      <w:pPr>
        <w:ind w:left="2480" w:hanging="214"/>
        <w:spacing w:after="0"/>
        <w:tabs>
          <w:tab w:leader="none" w:pos="2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150" w:lineRule="exact"/>
        <w:rPr>
          <w:rFonts w:ascii="Arial" w:cs="Arial" w:eastAsia="Arial" w:hAnsi="Arial"/>
          <w:sz w:val="12"/>
          <w:szCs w:val="12"/>
          <w:color w:val="auto"/>
        </w:rPr>
      </w:pPr>
    </w:p>
    <w:p>
      <w:pPr>
        <w:ind w:left="2460" w:hanging="194"/>
        <w:spacing w:after="0"/>
        <w:tabs>
          <w:tab w:leader="none" w:pos="2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150" w:lineRule="exact"/>
        <w:rPr>
          <w:rFonts w:ascii="Arial" w:cs="Arial" w:eastAsia="Arial" w:hAnsi="Arial"/>
          <w:sz w:val="12"/>
          <w:szCs w:val="12"/>
          <w:color w:val="auto"/>
        </w:rPr>
      </w:pPr>
    </w:p>
    <w:p>
      <w:pPr>
        <w:ind w:left="1980" w:right="1119" w:firstLine="286"/>
        <w:spacing w:after="0" w:line="276" w:lineRule="auto"/>
        <w:tabs>
          <w:tab w:leader="none" w:pos="2443" w:val="left"/>
        </w:tabs>
        <w:numPr>
          <w:ilvl w:val="0"/>
          <w:numId w:val="89"/>
        </w:numPr>
        <w:rPr>
          <w:rFonts w:ascii="Arial" w:cs="Arial" w:eastAsia="Arial" w:hAnsi="Arial"/>
          <w:sz w:val="12"/>
          <w:szCs w:val="12"/>
          <w:color w:val="auto"/>
        </w:rPr>
      </w:pPr>
      <w:r>
        <w:rPr>
          <w:rFonts w:ascii="Arial" w:cs="Arial" w:eastAsia="Arial" w:hAnsi="Arial"/>
          <w:sz w:val="12"/>
          <w:szCs w:val="12"/>
          <w:color w:val="auto"/>
        </w:rPr>
        <w:t>as specified in Regulation 37A of the Securities and Futures (Offers of Investment) (Securities and Securities based Derivatives Contract) Regulations 2018.</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Australia</w:t>
      </w:r>
    </w:p>
    <w:p>
      <w:pPr>
        <w:spacing w:after="0" w:line="150"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1"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174</w:t>
      </w:r>
    </w:p>
    <w:p>
      <w:pPr>
        <w:sectPr>
          <w:pgSz w:w="11900" w:h="16838" w:orient="portrait"/>
          <w:cols w:equalWidth="0" w:num="1">
            <w:col w:w="10159"/>
          </w:cols>
          <w:pgMar w:left="30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People’s Republic of China</w:t>
      </w:r>
    </w:p>
    <w:p>
      <w:pPr>
        <w:spacing w:after="0" w:line="150"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This document does not constitute a public offer of ADSs, whether by sale or subscription, in the People’s Republic of China, or the PRC. The ADSs are not being offered or sold directly or indirectly in the PRC to, or for the benefit of, legal or natural persons of the PRC.</w:t>
      </w:r>
    </w:p>
    <w:p>
      <w:pPr>
        <w:spacing w:after="0" w:line="9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prospectus are required by us and our representatives to observe these restrictions.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Dubai International Financial Centre</w:t>
      </w:r>
    </w:p>
    <w:p>
      <w:pPr>
        <w:spacing w:after="0" w:line="150"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Japan</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159"/>
          </w:cols>
          <w:pgMar w:left="30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EXPENSES OF THE OFFERING</w:t>
      </w:r>
    </w:p>
    <w:p>
      <w:pPr>
        <w:spacing w:after="0" w:line="154"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Set forth below is an itemization of the total expenses, excluding underwriting discounts and commissions, that we expect to incur in connection with the offer and sale of the ADSs. With the exception of the Securities and Exchange Commission registration fee, the Nasdaq listing fee and the FINRA filing fee, all of these amounts are estimates.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6"/>
              </w:rPr>
              <w:t>Expenses</w:t>
            </w:r>
          </w:p>
        </w:tc>
        <w:tc>
          <w:tcPr>
            <w:tcW w:w="6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r>
      <w:tr>
        <w:trPr>
          <w:trHeight w:val="113"/>
        </w:trPr>
        <w:tc>
          <w:tcPr>
            <w:tcW w:w="66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 Securities and Exchange Commission registration fee</w:t>
            </w:r>
          </w:p>
        </w:tc>
        <w:tc>
          <w:tcPr>
            <w:tcW w:w="10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5,562</w:t>
            </w:r>
          </w:p>
        </w:tc>
        <w:tc>
          <w:tcPr>
            <w:tcW w:w="100" w:type="dxa"/>
            <w:vAlign w:val="bottom"/>
            <w:tcBorders>
              <w:top w:val="single" w:sz="8" w:color="CCEEFF"/>
            </w:tcBorders>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FINRA filing fee</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Nasdaq listing fee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Legal fees and expenses</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Accounting fees and expenses</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Corporate advisory fees and expenses</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Printing fee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fees and expenses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42"/>
        </w:trPr>
        <w:tc>
          <w:tcPr>
            <w:tcW w:w="66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89"/>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90"/>
        </w:numPr>
        <w:rPr>
          <w:rFonts w:ascii="Arial" w:cs="Arial" w:eastAsia="Arial" w:hAnsi="Arial"/>
          <w:sz w:val="10"/>
          <w:szCs w:val="10"/>
          <w:color w:val="auto"/>
        </w:rPr>
      </w:pPr>
      <w:r>
        <w:rPr>
          <w:rFonts w:ascii="Arial" w:cs="Arial" w:eastAsia="Arial" w:hAnsi="Arial"/>
          <w:sz w:val="10"/>
          <w:szCs w:val="10"/>
          <w:color w:val="auto"/>
        </w:rPr>
        <w:t>To be provided by amendment.</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176</w:t>
      </w:r>
    </w:p>
    <w:p>
      <w:pPr>
        <w:sectPr>
          <w:pgSz w:w="11900" w:h="16838" w:orient="portrait"/>
          <w:cols w:equalWidth="0" w:num="1">
            <w:col w:w="10159"/>
          </w:cols>
          <w:pgMar w:left="30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validity of the shares and the ADSs with respect to German and U.S. federal law and New York state law in connection with this offering will be passed upon for us by Sullivan &amp; Cromwell LLP, our German and U.S. counsel. Certain legal matters with respect to U.S. federal law and New York state law in connection with this offering will be passed upon for the underwriters by Cravath, Swaine &amp; Moore LLP, U.S. counsel for the underwriters. Certain legal matters with respect to German law in connection with this offering will be passed upon for the underwriters by Hengeler Mueller Partnerschaft von Rechtsanwälten mbB, German counsel for the underwriters.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177</w:t>
      </w:r>
    </w:p>
    <w:p>
      <w:pPr>
        <w:sectPr>
          <w:pgSz w:w="11900" w:h="16838" w:orient="portrait"/>
          <w:cols w:equalWidth="0" w:num="1">
            <w:col w:w="10159"/>
          </w:cols>
          <w:pgMar w:left="30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consolidated financial statements of Mynaric AG as of December 31, 2020 and 2019, and for each of the years in the two-year period ended December 31, 2020, have been included herein in reliance upon the report of KPMG AG Wirtschaftsprüfungsgesellschaft (“KPMG”), independent registered public accounting firm, appearing elsewhere herein, and upon the authority of said firm as experts in accounting and auditing.</w:t>
      </w:r>
    </w:p>
    <w:p>
      <w:pPr>
        <w:spacing w:after="0" w:line="87"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The audit report covering the December 31, 2020 consolidated financial statements contains an explanatory paragraph that states that the Company faces material uncertainties related to: a) its operational cash flows in fiscal 2022, and b) requirements for additional financing, that raise substantial doubt about the Company’s ability to continue as a going concern. The consolidated financial statements do not include any adjustments that might result from the outcome of that uncertainty.</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178</w:t>
      </w:r>
    </w:p>
    <w:p>
      <w:pPr>
        <w:sectPr>
          <w:pgSz w:w="11900" w:h="16838" w:orient="portrait"/>
          <w:cols w:equalWidth="0" w:num="1">
            <w:col w:w="10159"/>
          </w:cols>
          <w:pgMar w:left="30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ENFORCEMENT OF CIVIL LIABILITIES</w:t>
      </w:r>
    </w:p>
    <w:p>
      <w:pPr>
        <w:spacing w:after="0" w:line="154" w:lineRule="exact"/>
        <w:rPr>
          <w:sz w:val="20"/>
          <w:szCs w:val="20"/>
          <w:color w:val="auto"/>
        </w:rPr>
      </w:pPr>
    </w:p>
    <w:p>
      <w:pPr>
        <w:ind w:left="1980" w:right="839" w:firstLine="294"/>
        <w:spacing w:after="0" w:line="306" w:lineRule="auto"/>
        <w:rPr>
          <w:sz w:val="20"/>
          <w:szCs w:val="20"/>
          <w:color w:val="auto"/>
        </w:rPr>
      </w:pPr>
      <w:r>
        <w:rPr>
          <w:rFonts w:ascii="Arial" w:cs="Arial" w:eastAsia="Arial" w:hAnsi="Arial"/>
          <w:sz w:val="10"/>
          <w:szCs w:val="10"/>
          <w:color w:val="auto"/>
        </w:rPr>
        <w:t>We are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organized under the laws of the Federal Republic of Germany. Our registered office and most of our assets are located outside of the United States. In addition, two out of three members of our management board, three out of five members of our supervisory board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and supervisory board,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supervisory board, or senior management and the experts named in this prospectus. In addition, even if a judgment against our company, members of our management board, supervisory board, our senior management or the experts named in this prospectus based on the civil liability provisions of the U.S. federal securities laws is obtained, a U.S. investor may not be able to enforce it in U.S. or German courts.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179</w:t>
      </w:r>
    </w:p>
    <w:p>
      <w:pPr>
        <w:sectPr>
          <w:pgSz w:w="11900" w:h="16838" w:orient="portrait"/>
          <w:cols w:equalWidth="0" w:num="1">
            <w:col w:w="10159"/>
          </w:cols>
          <w:pgMar w:left="30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Upon completion of this offering, we will become subject to the informational reporting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4"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24"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Our SEC filings, including the registration statement on Form F-1, are also available to you on the SEC’s website at http://www.sec.gov.</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180</w:t>
      </w:r>
    </w:p>
    <w:p>
      <w:pPr>
        <w:sectPr>
          <w:pgSz w:w="11900" w:h="16838" w:orient="portrait"/>
          <w:cols w:equalWidth="0" w:num="1">
            <w:col w:w="10159"/>
          </w:cols>
          <w:pgMar w:left="30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INDEX TO FINANCIAL STATEMENTS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1"/>
              </w:rPr>
              <w:t>Page</w:t>
            </w:r>
          </w:p>
        </w:tc>
      </w:tr>
      <w:tr>
        <w:trPr>
          <w:trHeight w:val="124"/>
        </w:trPr>
        <w:tc>
          <w:tcPr>
            <w:tcW w:w="7020" w:type="dxa"/>
            <w:vAlign w:val="bottom"/>
            <w:tcBorders>
              <w:top w:val="single" w:sz="8" w:color="CCEEFF"/>
            </w:tcBorders>
            <w:gridSpan w:val="11"/>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Unaudited Consolidated Interim Financial Statements of Mynaric AG</w:t>
            </w: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7020" w:type="dxa"/>
            <w:vAlign w:val="bottom"/>
            <w:gridSpan w:val="11"/>
          </w:tcPr>
          <w:p>
            <w:pPr>
              <w:spacing w:after="0" w:line="117" w:lineRule="exact"/>
              <w:rPr>
                <w:rFonts w:ascii="Arial" w:cs="Arial" w:eastAsia="Arial" w:hAnsi="Arial"/>
                <w:sz w:val="12"/>
                <w:szCs w:val="12"/>
                <w:color w:val="0000EE"/>
              </w:rPr>
            </w:pPr>
            <w:hyperlink w:anchor="page193">
              <w:r>
                <w:rPr>
                  <w:rFonts w:ascii="Arial" w:cs="Arial" w:eastAsia="Arial" w:hAnsi="Arial"/>
                  <w:sz w:val="12"/>
                  <w:szCs w:val="12"/>
                  <w:color w:val="0000EE"/>
                </w:rPr>
                <w:t>Condensed Consolidated Statements of Profit or Loss and Other Comprehensive Income</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w:t>
            </w:r>
          </w:p>
        </w:tc>
      </w:tr>
      <w:tr>
        <w:trPr>
          <w:trHeight w:val="124"/>
        </w:trPr>
        <w:tc>
          <w:tcPr>
            <w:tcW w:w="2780" w:type="dxa"/>
            <w:vAlign w:val="bottom"/>
            <w:tcBorders>
              <w:top w:val="single" w:sz="8" w:color="0000EE"/>
              <w:bottom w:val="single" w:sz="8" w:color="0000EE"/>
            </w:tcBorders>
            <w:gridSpan w:val="6"/>
            <w:shd w:val="clear" w:color="auto" w:fill="CCEEFF"/>
          </w:tcPr>
          <w:p>
            <w:pPr>
              <w:spacing w:after="0" w:line="117" w:lineRule="exact"/>
              <w:rPr>
                <w:rFonts w:ascii="Arial" w:cs="Arial" w:eastAsia="Arial" w:hAnsi="Arial"/>
                <w:sz w:val="12"/>
                <w:szCs w:val="12"/>
                <w:color w:val="0000EE"/>
                <w:w w:val="89"/>
              </w:rPr>
            </w:pPr>
            <w:hyperlink w:anchor="page194">
              <w:r>
                <w:rPr>
                  <w:rFonts w:ascii="Arial" w:cs="Arial" w:eastAsia="Arial" w:hAnsi="Arial"/>
                  <w:sz w:val="12"/>
                  <w:szCs w:val="12"/>
                  <w:color w:val="0000EE"/>
                  <w:w w:val="89"/>
                </w:rPr>
                <w:t>Condensed Consolidated Statements of Financial Position</w:t>
              </w:r>
            </w:hyperlink>
          </w:p>
        </w:tc>
        <w:tc>
          <w:tcPr>
            <w:tcW w:w="1460" w:type="dxa"/>
            <w:vAlign w:val="bottom"/>
            <w:tcBorders>
              <w:top w:val="single" w:sz="8" w:color="0000EE"/>
              <w:bottom w:val="single" w:sz="8" w:color="CCEEFF"/>
            </w:tcBorders>
            <w:gridSpan w:val="4"/>
            <w:shd w:val="clear" w:color="auto" w:fill="CCEEFF"/>
          </w:tcPr>
          <w:p>
            <w:pPr>
              <w:spacing w:after="0"/>
              <w:rPr>
                <w:sz w:val="10"/>
                <w:szCs w:val="10"/>
                <w:color w:val="auto"/>
              </w:rPr>
            </w:pPr>
          </w:p>
        </w:tc>
        <w:tc>
          <w:tcPr>
            <w:tcW w:w="27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F-3</w:t>
            </w:r>
          </w:p>
        </w:tc>
      </w:tr>
      <w:tr>
        <w:trPr>
          <w:trHeight w:val="124"/>
        </w:trPr>
        <w:tc>
          <w:tcPr>
            <w:tcW w:w="2800" w:type="dxa"/>
            <w:vAlign w:val="bottom"/>
            <w:tcBorders>
              <w:bottom w:val="single" w:sz="8" w:color="0000EE"/>
            </w:tcBorders>
            <w:gridSpan w:val="7"/>
          </w:tcPr>
          <w:p>
            <w:pPr>
              <w:spacing w:after="0" w:line="117" w:lineRule="exact"/>
              <w:rPr>
                <w:rFonts w:ascii="Arial" w:cs="Arial" w:eastAsia="Arial" w:hAnsi="Arial"/>
                <w:sz w:val="12"/>
                <w:szCs w:val="12"/>
                <w:color w:val="0000EE"/>
                <w:w w:val="88"/>
              </w:rPr>
            </w:pPr>
            <w:hyperlink w:anchor="page195">
              <w:r>
                <w:rPr>
                  <w:rFonts w:ascii="Arial" w:cs="Arial" w:eastAsia="Arial" w:hAnsi="Arial"/>
                  <w:sz w:val="12"/>
                  <w:szCs w:val="12"/>
                  <w:color w:val="0000EE"/>
                  <w:w w:val="88"/>
                </w:rPr>
                <w:t>Condensed Consolidated Statements of Changes in Equity</w:t>
              </w:r>
            </w:hyperlink>
          </w:p>
        </w:tc>
        <w:tc>
          <w:tcPr>
            <w:tcW w:w="4220" w:type="dxa"/>
            <w:vAlign w:val="bottom"/>
            <w:gridSpan w:val="4"/>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F-4</w:t>
            </w:r>
          </w:p>
        </w:tc>
      </w:tr>
      <w:tr>
        <w:trPr>
          <w:trHeight w:val="117"/>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196">
              <w:r>
                <w:rPr>
                  <w:rFonts w:ascii="Arial" w:cs="Arial" w:eastAsia="Arial" w:hAnsi="Arial"/>
                  <w:sz w:val="12"/>
                  <w:szCs w:val="12"/>
                  <w:color w:val="0000EE"/>
                </w:rPr>
                <w:t>Condensed Consolidated Statements of Cash Flows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F-5</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197">
              <w:r>
                <w:rPr>
                  <w:rFonts w:ascii="Arial" w:cs="Arial" w:eastAsia="Arial" w:hAnsi="Arial"/>
                  <w:sz w:val="12"/>
                  <w:szCs w:val="12"/>
                  <w:color w:val="0000EE"/>
                </w:rPr>
                <w:t>Notes to the Condensed Consolidated Interim Financial Statements</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F-6</w:t>
            </w:r>
          </w:p>
        </w:tc>
      </w:tr>
      <w:tr>
        <w:trPr>
          <w:trHeight w:val="151"/>
        </w:trPr>
        <w:tc>
          <w:tcPr>
            <w:tcW w:w="14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7020" w:type="dxa"/>
            <w:vAlign w:val="bottom"/>
            <w:gridSpan w:val="11"/>
            <w:shd w:val="clear" w:color="auto" w:fill="CCEEFF"/>
          </w:tcPr>
          <w:p>
            <w:pPr>
              <w:spacing w:after="0"/>
              <w:rPr>
                <w:sz w:val="20"/>
                <w:szCs w:val="20"/>
                <w:color w:val="auto"/>
              </w:rPr>
            </w:pPr>
            <w:r>
              <w:rPr>
                <w:rFonts w:ascii="Arial" w:cs="Arial" w:eastAsia="Arial" w:hAnsi="Arial"/>
                <w:sz w:val="12"/>
                <w:szCs w:val="12"/>
                <w:b w:val="1"/>
                <w:bCs w:val="1"/>
                <w:color w:val="auto"/>
              </w:rPr>
              <w:t>Audited Consolidated Financial Statements of Mynaric AG</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10">
              <w:r>
                <w:rPr>
                  <w:rFonts w:ascii="Arial" w:cs="Arial" w:eastAsia="Arial" w:hAnsi="Arial"/>
                  <w:sz w:val="12"/>
                  <w:szCs w:val="12"/>
                  <w:color w:val="0000EE"/>
                </w:rPr>
                <w:t>Independent Auditor’s Report</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F-19</w:t>
            </w:r>
          </w:p>
        </w:tc>
      </w:tr>
      <w:tr>
        <w:trPr>
          <w:trHeight w:val="27"/>
        </w:trPr>
        <w:tc>
          <w:tcPr>
            <w:tcW w:w="14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3680" w:type="dxa"/>
            <w:vAlign w:val="bottom"/>
            <w:tcBorders>
              <w:bottom w:val="single" w:sz="8" w:color="0000EE"/>
            </w:tcBorders>
            <w:gridSpan w:val="9"/>
            <w:shd w:val="clear" w:color="auto" w:fill="CCEEFF"/>
          </w:tcPr>
          <w:p>
            <w:pPr>
              <w:spacing w:after="0" w:line="117" w:lineRule="exact"/>
              <w:rPr>
                <w:rFonts w:ascii="Arial" w:cs="Arial" w:eastAsia="Arial" w:hAnsi="Arial"/>
                <w:sz w:val="12"/>
                <w:szCs w:val="12"/>
                <w:color w:val="0000EE"/>
                <w:w w:val="89"/>
              </w:rPr>
            </w:pPr>
            <w:hyperlink w:anchor="page211">
              <w:r>
                <w:rPr>
                  <w:rFonts w:ascii="Arial" w:cs="Arial" w:eastAsia="Arial" w:hAnsi="Arial"/>
                  <w:sz w:val="12"/>
                  <w:szCs w:val="12"/>
                  <w:color w:val="0000EE"/>
                  <w:w w:val="89"/>
                </w:rPr>
                <w:t>Consolidated Statements of Profit or Loss and Other Comprehensive Income</w:t>
              </w:r>
            </w:hyperlink>
          </w:p>
        </w:tc>
        <w:tc>
          <w:tcPr>
            <w:tcW w:w="3340" w:type="dxa"/>
            <w:vAlign w:val="bottom"/>
            <w:tcBorders>
              <w:bottom w:val="single" w:sz="8" w:color="CCEEFF"/>
            </w:tcBorders>
            <w:gridSpan w:val="2"/>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F-20</w:t>
            </w:r>
          </w:p>
        </w:tc>
      </w:tr>
      <w:tr>
        <w:trPr>
          <w:trHeight w:val="124"/>
        </w:trPr>
        <w:tc>
          <w:tcPr>
            <w:tcW w:w="2220" w:type="dxa"/>
            <w:vAlign w:val="bottom"/>
            <w:tcBorders>
              <w:bottom w:val="single" w:sz="8" w:color="0000EE"/>
            </w:tcBorders>
            <w:gridSpan w:val="3"/>
          </w:tcPr>
          <w:p>
            <w:pPr>
              <w:spacing w:after="0" w:line="117" w:lineRule="exact"/>
              <w:rPr>
                <w:rFonts w:ascii="Arial" w:cs="Arial" w:eastAsia="Arial" w:hAnsi="Arial"/>
                <w:sz w:val="12"/>
                <w:szCs w:val="12"/>
                <w:color w:val="0000EE"/>
                <w:w w:val="89"/>
              </w:rPr>
            </w:pPr>
            <w:hyperlink w:anchor="page212">
              <w:r>
                <w:rPr>
                  <w:rFonts w:ascii="Arial" w:cs="Arial" w:eastAsia="Arial" w:hAnsi="Arial"/>
                  <w:sz w:val="12"/>
                  <w:szCs w:val="12"/>
                  <w:color w:val="0000EE"/>
                  <w:w w:val="89"/>
                </w:rPr>
                <w:t>Consolidated Statements of Financial Position</w:t>
              </w:r>
            </w:hyperlink>
          </w:p>
        </w:tc>
        <w:tc>
          <w:tcPr>
            <w:tcW w:w="4800" w:type="dxa"/>
            <w:vAlign w:val="bottom"/>
            <w:gridSpan w:val="8"/>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F-21</w:t>
            </w: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3">
              <w:r>
                <w:rPr>
                  <w:rFonts w:ascii="Arial" w:cs="Arial" w:eastAsia="Arial" w:hAnsi="Arial"/>
                  <w:sz w:val="12"/>
                  <w:szCs w:val="12"/>
                  <w:color w:val="0000EE"/>
                </w:rPr>
                <w:t>Consolidated Statements of Changes in Equity</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F-22</w:t>
            </w:r>
          </w:p>
        </w:tc>
      </w:tr>
      <w:tr>
        <w:trPr>
          <w:trHeight w:val="117"/>
        </w:trPr>
        <w:tc>
          <w:tcPr>
            <w:tcW w:w="2220" w:type="dxa"/>
            <w:vAlign w:val="bottom"/>
            <w:tcBorders>
              <w:top w:val="single" w:sz="8" w:color="0000EE"/>
            </w:tcBorders>
            <w:gridSpan w:val="3"/>
          </w:tcPr>
          <w:p>
            <w:pPr>
              <w:spacing w:after="0" w:line="117" w:lineRule="exact"/>
              <w:rPr>
                <w:rFonts w:ascii="Arial" w:cs="Arial" w:eastAsia="Arial" w:hAnsi="Arial"/>
                <w:sz w:val="12"/>
                <w:szCs w:val="12"/>
                <w:color w:val="0000EE"/>
              </w:rPr>
            </w:pPr>
            <w:hyperlink w:anchor="page214">
              <w:r>
                <w:rPr>
                  <w:rFonts w:ascii="Arial" w:cs="Arial" w:eastAsia="Arial" w:hAnsi="Arial"/>
                  <w:sz w:val="12"/>
                  <w:szCs w:val="12"/>
                  <w:color w:val="0000EE"/>
                </w:rPr>
                <w:t>Consolidated Statements of Cash Flows</w:t>
              </w:r>
            </w:hyperlink>
          </w:p>
        </w:tc>
        <w:tc>
          <w:tcPr>
            <w:tcW w:w="4800" w:type="dxa"/>
            <w:vAlign w:val="bottom"/>
            <w:tcBorders>
              <w:top w:val="single" w:sz="8" w:color="CCEEFF"/>
            </w:tcBorders>
            <w:gridSpan w:val="8"/>
          </w:tcPr>
          <w:p>
            <w:pPr>
              <w:spacing w:after="0"/>
              <w:rPr>
                <w:sz w:val="10"/>
                <w:szCs w:val="10"/>
                <w:color w:val="auto"/>
              </w:rPr>
            </w:pPr>
          </w:p>
        </w:tc>
        <w:tc>
          <w:tcPr>
            <w:tcW w:w="320" w:type="dxa"/>
            <w:vAlign w:val="bottom"/>
            <w:tcBorders>
              <w:top w:val="single" w:sz="8" w:color="CCEEFF"/>
            </w:tcBorders>
            <w:gridSpan w:val="2"/>
          </w:tcPr>
          <w:p>
            <w:pPr>
              <w:jc w:val="right"/>
              <w:ind w:right="40"/>
              <w:spacing w:after="0" w:line="117" w:lineRule="exact"/>
              <w:rPr>
                <w:sz w:val="20"/>
                <w:szCs w:val="20"/>
                <w:color w:val="auto"/>
              </w:rPr>
            </w:pPr>
            <w:r>
              <w:rPr>
                <w:rFonts w:ascii="Arial" w:cs="Arial" w:eastAsia="Arial" w:hAnsi="Arial"/>
                <w:sz w:val="12"/>
                <w:szCs w:val="12"/>
                <w:color w:val="auto"/>
              </w:rPr>
              <w:t>F-23</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5">
              <w:r>
                <w:rPr>
                  <w:rFonts w:ascii="Arial" w:cs="Arial" w:eastAsia="Arial" w:hAnsi="Arial"/>
                  <w:sz w:val="12"/>
                  <w:szCs w:val="12"/>
                  <w:color w:val="0000EE"/>
                </w:rPr>
                <w:t>Notes to the Consolidated Financial Statements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F-24</w:t>
            </w:r>
          </w:p>
        </w:tc>
      </w:tr>
      <w:tr>
        <w:trPr>
          <w:trHeight w:val="243"/>
        </w:trPr>
        <w:tc>
          <w:tcPr>
            <w:tcW w:w="14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800" w:type="dxa"/>
            <w:vAlign w:val="bottom"/>
            <w:tcBorders>
              <w:top w:val="single" w:sz="8" w:color="CCEEFF"/>
            </w:tcBorders>
            <w:gridSpan w:val="3"/>
          </w:tcPr>
          <w:p>
            <w:pPr>
              <w:ind w:left="360"/>
              <w:spacing w:after="0"/>
              <w:rPr>
                <w:sz w:val="20"/>
                <w:szCs w:val="20"/>
                <w:color w:val="auto"/>
              </w:rPr>
            </w:pPr>
            <w:r>
              <w:rPr>
                <w:rFonts w:ascii="Arial" w:cs="Arial" w:eastAsia="Arial" w:hAnsi="Arial"/>
                <w:sz w:val="12"/>
                <w:szCs w:val="12"/>
                <w:color w:val="auto"/>
              </w:rPr>
              <w:t>F-1</w:t>
            </w: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1,349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Cost of materials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(4,431)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Personnel expenses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(10,812)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(1,916)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expenses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(4,160)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988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(16,240)</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(7,274)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Interest and similar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Income tax expense</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loss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(138)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(138)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22</w:t>
            </w:r>
          </w:p>
        </w:tc>
        <w:tc>
          <w:tcPr>
            <w:tcW w:w="0" w:type="dxa"/>
            <w:vAlign w:val="bottom"/>
          </w:tcPr>
          <w:p>
            <w:pPr>
              <w:spacing w:after="0"/>
              <w:rPr>
                <w:sz w:val="1"/>
                <w:szCs w:val="1"/>
                <w:color w:val="auto"/>
              </w:rPr>
            </w:pPr>
          </w:p>
        </w:tc>
      </w:tr>
      <w:tr>
        <w:trPr>
          <w:trHeight w:val="129"/>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 for the year after tax</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(138)</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comprehensive income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(16,215)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(7,271)</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Basic loss per share in EUR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loss per share in EUR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0159"/>
          </w:cols>
          <w:pgMar w:left="30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June 30, 2021 and December 31,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19,845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17,884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13.</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7,848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7,942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12,729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10,075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401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359</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40,823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36,260</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9,071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5,230</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14.</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3,749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1,338</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18,444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31,264</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86,576</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4,093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3,995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113,869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108,189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314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(63,367)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(47,290)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54,771</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194</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6,654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6,800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6,848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983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1,281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1,156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6,512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5,128</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1,166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1,196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526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411</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10,468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17,316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15,868</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86,576</w:t>
            </w:r>
          </w:p>
        </w:tc>
      </w:tr>
    </w:tbl>
    <w:p>
      <w:pPr>
        <w:spacing w:after="0" w:line="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0159"/>
          </w:cols>
          <w:pgMar w:left="30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4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20" w:type="dxa"/>
            <w:vAlign w:val="bottom"/>
          </w:tcPr>
          <w:p>
            <w:pPr>
              <w:spacing w:after="0"/>
              <w:rPr>
                <w:sz w:val="9"/>
                <w:szCs w:val="9"/>
                <w:color w:val="auto"/>
              </w:rPr>
            </w:pPr>
          </w:p>
        </w:tc>
        <w:tc>
          <w:tcPr>
            <w:tcW w:w="4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8"/>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January 1, 2020</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4"/>
              </w:rPr>
              <w:t>2,904</w:t>
            </w:r>
          </w:p>
        </w:tc>
        <w:tc>
          <w:tcPr>
            <w:tcW w:w="16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12,053</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12,343</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(716)</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(716)</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926</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(7,293)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(7,293)</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3,194</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58,672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20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(34,813)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27,022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3,995</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2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98</w:t>
            </w: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5,402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7"/>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(16,077)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(16,077)</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(138)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June 30,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4,093</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113,869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176</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(63,367)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54,771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(16,077)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(7,293)</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Adjustments for: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1,920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814</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Gain from disposals of fixed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926</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Inventories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(3,839)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(2,954)</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562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(2,449)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(1,080)</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Trade and other payables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1,464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1,168</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79</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64</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(18,220)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(7,854)</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Acquisition of intangible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(2,505)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(4,748)</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(3,467)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(1,630)</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(5,972)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(6,378)</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issue of share capital</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11,627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Payments of lease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(504)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Interests received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Interests paid</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other financial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778</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(588)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4"/>
              </w:rPr>
              <w:t>12,022</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(24,780)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(2,210)</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 at January 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43,198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35"/>
        </w:trPr>
        <w:tc>
          <w:tcPr>
            <w:tcW w:w="6380" w:type="dxa"/>
            <w:vAlign w:val="bottom"/>
            <w:gridSpan w:val="3"/>
          </w:tcPr>
          <w:p>
            <w:pPr>
              <w:spacing w:after="0"/>
              <w:rPr>
                <w:sz w:val="20"/>
                <w:szCs w:val="20"/>
                <w:color w:val="auto"/>
              </w:rPr>
            </w:pPr>
            <w:r>
              <w:rPr>
                <w:rFonts w:ascii="Arial" w:cs="Arial" w:eastAsia="Arial" w:hAnsi="Arial"/>
                <w:sz w:val="11"/>
                <w:szCs w:val="11"/>
                <w:color w:val="auto"/>
              </w:rPr>
              <w:t>Effects of movements in exchange rates on cash held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and cash equivalents at June 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18,444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6,700</w:t>
            </w: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CONDENSED CONSOLIDATED INTERIM FINANCIAL STATEMENTS</w:t>
      </w:r>
    </w:p>
    <w:p>
      <w:pPr>
        <w:spacing w:after="0" w:line="150"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AS OF JUNE 30, 2021 AND FOR THE SIX MONTHS ENDED JUNE 30, 2021 AND 2020</w:t>
      </w:r>
    </w:p>
    <w:p>
      <w:pPr>
        <w:spacing w:after="0" w:line="168" w:lineRule="exact"/>
        <w:rPr>
          <w:sz w:val="20"/>
          <w:szCs w:val="20"/>
          <w:color w:val="auto"/>
        </w:rPr>
      </w:pPr>
    </w:p>
    <w:p>
      <w:pPr>
        <w:ind w:left="2260" w:hanging="288"/>
        <w:spacing w:after="0"/>
        <w:tabs>
          <w:tab w:leader="none" w:pos="2260" w:val="left"/>
        </w:tabs>
        <w:numPr>
          <w:ilvl w:val="0"/>
          <w:numId w:val="91"/>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 has three operating subsidiaries as of June 30,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unaudited interim consolidated financial statements of Mynaric were authorized for issue by the Management Board on September 24, 2021.</w:t>
      </w:r>
    </w:p>
    <w:p>
      <w:pPr>
        <w:spacing w:after="0" w:line="257" w:lineRule="exact"/>
        <w:rPr>
          <w:sz w:val="20"/>
          <w:szCs w:val="20"/>
          <w:color w:val="auto"/>
        </w:rPr>
      </w:pPr>
    </w:p>
    <w:p>
      <w:pPr>
        <w:ind w:left="2260" w:hanging="288"/>
        <w:spacing w:after="0"/>
        <w:tabs>
          <w:tab w:leader="none" w:pos="226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39"/>
        <w:spacing w:after="0" w:line="280" w:lineRule="auto"/>
        <w:rPr>
          <w:sz w:val="20"/>
          <w:szCs w:val="20"/>
          <w:color w:val="auto"/>
        </w:rPr>
      </w:pPr>
      <w:r>
        <w:rPr>
          <w:rFonts w:ascii="Arial" w:cs="Arial" w:eastAsia="Arial" w:hAnsi="Arial"/>
          <w:sz w:val="11"/>
          <w:szCs w:val="11"/>
          <w:color w:val="auto"/>
        </w:rPr>
        <w:t>These interim condensed consolidated financial statements as of June 30, 2021 and for the six months ended June 30, 2021 and 2020 were prepared in accordance with International Accounting Standard 34 ‘Interim Financial Reporting’, as issued by the International Accounting Standards Board (“IASB”). The interim condensed consolidated financial statements should be read in conjunction with the annual consolidated financial statements for fiscal 2020, which have been prepared in accordance with International Financial Reporting Standards (“IFRS”) as issued by the IASB, taking into account the recommendations of the International Financial Reporting Standards Interpretations Committee (“IFRIC”). They do not include all of the information required for a complete set of annual financial statements prepared in accordance with IFRS. However, selected explanatory notes are included to explain events and transactions that are significant to an understanding of the changes in the Group´s financial position and results of operations since the last annual financial statements.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interim condensed consolidated financial statements are prepared under the assumption that the business will continue as a going concern.</w:t>
      </w:r>
    </w:p>
    <w:p>
      <w:pPr>
        <w:spacing w:after="0" w:line="257" w:lineRule="exact"/>
        <w:rPr>
          <w:sz w:val="20"/>
          <w:szCs w:val="20"/>
          <w:color w:val="auto"/>
        </w:rPr>
      </w:pPr>
    </w:p>
    <w:p>
      <w:pPr>
        <w:ind w:left="2260" w:hanging="288"/>
        <w:spacing w:after="0"/>
        <w:tabs>
          <w:tab w:leader="none" w:pos="2260"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color w:val="auto"/>
        </w:rPr>
        <w:t>Impacts to the consolidated financial statements due to Covid-19 pandemic</w:t>
      </w:r>
    </w:p>
    <w:p>
      <w:pPr>
        <w:spacing w:after="0" w:line="154"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223" w:lineRule="exact"/>
        <w:rPr>
          <w:sz w:val="20"/>
          <w:szCs w:val="20"/>
          <w:color w:val="auto"/>
        </w:rPr>
      </w:pPr>
    </w:p>
    <w:p>
      <w:pPr>
        <w:ind w:left="2260" w:hanging="288"/>
        <w:spacing w:after="0"/>
        <w:tabs>
          <w:tab w:leader="none" w:pos="2260"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5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consolidation and accounting policies applied by Mynaric Group in these interim condensed consolidated financial statements are the same as those applied by Mynaric Group in its consolidated financial statements for fiscal 2020, except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0159"/>
          </w:cols>
          <w:pgMar w:left="30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In accordance with IAS 34 (Interim Financial Reporting) income tax expense for the condensed consolidated interim financial statements is calculated on the basis of the average annual tax rate that is expected for the entire fiscal year. The effective tax rate is 0% for the six months ended June 30, 2020 and 0% for the six months ended June 30,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main reason for the change of the average annual tax rate is expected loss for the year.</w:t>
      </w:r>
    </w:p>
    <w:p>
      <w:pPr>
        <w:spacing w:after="0" w:line="245" w:lineRule="exact"/>
        <w:rPr>
          <w:sz w:val="20"/>
          <w:szCs w:val="20"/>
          <w:color w:val="auto"/>
        </w:rPr>
      </w:pPr>
    </w:p>
    <w:p>
      <w:pPr>
        <w:ind w:left="2260" w:hanging="288"/>
        <w:spacing w:after="0"/>
        <w:tabs>
          <w:tab w:leader="none" w:pos="2260"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In preparing the interim condensed consolidated financial statements, the significant judgments made by management in applying Mynaric Group’s accounting policies and the key sources of estimation uncertainty were the same as those that applied to the consolidated financial statements for fiscal 2020.</w:t>
      </w:r>
    </w:p>
    <w:p>
      <w:pPr>
        <w:spacing w:after="0" w:line="217" w:lineRule="exact"/>
        <w:rPr>
          <w:sz w:val="20"/>
          <w:szCs w:val="20"/>
          <w:color w:val="auto"/>
        </w:rPr>
      </w:pPr>
    </w:p>
    <w:p>
      <w:pPr>
        <w:ind w:left="2260" w:hanging="288"/>
        <w:spacing w:after="0"/>
        <w:tabs>
          <w:tab w:leader="none" w:pos="2260"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87"/>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(3,352)</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(4,431)</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(7,901)</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(52)</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(10,812)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(1,434)</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(3,236)</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(391)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(4,160)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568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988</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2,471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(11,288)</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(16,240)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expenses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163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2020</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87"/>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89</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141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(696)</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(1,826)</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(2,763)</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(4,840)</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(384)</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(430)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(627)</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(1,409)</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(111)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1,422</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3,330</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(2,219)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(4,944)</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(111)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(7,274)</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An amount of €1,240 thousand (six months ended June 30, 2020: €90 thousand), corresponding to a share of 92% (previous period: 100%) of total revenue, was attributable to one customer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2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10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60" w:type="dxa"/>
            <w:vAlign w:val="bottom"/>
            <w:vMerge w:val="restart"/>
          </w:tcPr>
          <w:p>
            <w:pPr>
              <w:spacing w:after="0"/>
              <w:rPr>
                <w:sz w:val="6"/>
                <w:szCs w:val="6"/>
                <w:color w:val="auto"/>
              </w:rPr>
            </w:pPr>
          </w:p>
        </w:tc>
        <w:tc>
          <w:tcPr>
            <w:tcW w:w="64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60" w:type="dxa"/>
            <w:vAlign w:val="bottom"/>
            <w:vMerge w:val="continue"/>
          </w:tcPr>
          <w:p>
            <w:pPr>
              <w:spacing w:after="0"/>
              <w:rPr>
                <w:sz w:val="10"/>
                <w:szCs w:val="10"/>
                <w:color w:val="auto"/>
              </w:rPr>
            </w:pPr>
          </w:p>
        </w:tc>
        <w:tc>
          <w:tcPr>
            <w:tcW w:w="340" w:type="dxa"/>
            <w:vAlign w:val="bottom"/>
          </w:tcPr>
          <w:p>
            <w:pPr>
              <w:jc w:val="right"/>
              <w:ind w:right="30"/>
              <w:spacing w:after="0" w:line="105" w:lineRule="exact"/>
              <w:rPr>
                <w:sz w:val="20"/>
                <w:szCs w:val="20"/>
                <w:color w:val="auto"/>
              </w:rPr>
            </w:pPr>
            <w:r>
              <w:rPr>
                <w:rFonts w:ascii="Arial" w:cs="Arial" w:eastAsia="Arial" w:hAnsi="Arial"/>
                <w:sz w:val="10"/>
                <w:szCs w:val="10"/>
                <w:b w:val="1"/>
                <w:bCs w:val="1"/>
                <w:color w:val="auto"/>
              </w:rPr>
              <w:t>2021</w:t>
            </w:r>
          </w:p>
        </w:tc>
        <w:tc>
          <w:tcPr>
            <w:tcW w:w="300" w:type="dxa"/>
            <w:vAlign w:val="bottom"/>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USA</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2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With respect to the information on geographical regions, non-current assets are allocated to the location of the respective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66675</wp:posOffset>
            </wp:positionV>
            <wp:extent cx="51435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0" w:lineRule="exact"/>
        <w:rPr>
          <w:sz w:val="20"/>
          <w:szCs w:val="20"/>
          <w:color w:val="auto"/>
        </w:rPr>
      </w:pPr>
    </w:p>
    <w:p>
      <w:pPr>
        <w:ind w:left="2260" w:hanging="288"/>
        <w:spacing w:after="0"/>
        <w:tabs>
          <w:tab w:leader="none" w:pos="2260" w:val="left"/>
        </w:tabs>
        <w:numPr>
          <w:ilvl w:val="0"/>
          <w:numId w:val="97"/>
        </w:numPr>
        <w:rPr>
          <w:rFonts w:ascii="Arial" w:cs="Arial" w:eastAsia="Arial" w:hAnsi="Arial"/>
          <w:sz w:val="8"/>
          <w:szCs w:val="8"/>
          <w:color w:val="auto"/>
        </w:rPr>
      </w:pPr>
      <w:r>
        <w:rPr>
          <w:rFonts w:ascii="Arial" w:cs="Arial" w:eastAsia="Arial" w:hAnsi="Arial"/>
          <w:sz w:val="10"/>
          <w:szCs w:val="10"/>
          <w:color w:val="auto"/>
        </w:rPr>
        <w:t>Including expenses for IPO-bonus to the board of management and selected employees.</w:t>
      </w:r>
    </w:p>
    <w:p>
      <w:pPr>
        <w:ind w:left="2260" w:hanging="288"/>
        <w:spacing w:after="0" w:line="236" w:lineRule="auto"/>
        <w:tabs>
          <w:tab w:leader="none" w:pos="2260" w:val="left"/>
        </w:tabs>
        <w:numPr>
          <w:ilvl w:val="0"/>
          <w:numId w:val="98"/>
        </w:numPr>
        <w:rPr>
          <w:rFonts w:ascii="Arial" w:cs="Arial" w:eastAsia="Arial" w:hAnsi="Arial"/>
          <w:sz w:val="8"/>
          <w:szCs w:val="8"/>
          <w:color w:val="auto"/>
        </w:rPr>
      </w:pPr>
      <w:r>
        <w:rPr>
          <w:rFonts w:ascii="Arial" w:cs="Arial" w:eastAsia="Arial" w:hAnsi="Arial"/>
          <w:sz w:val="10"/>
          <w:szCs w:val="10"/>
          <w:color w:val="auto"/>
        </w:rPr>
        <w:t>Including expenses for preparation of the financial statements and for audit of the financial statements as well as Supervisory Board remuneration.</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assets can be broken down by country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640" w:type="dxa"/>
            <w:vAlign w:val="bottom"/>
            <w:vMerge w:val="restart"/>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0"/>
                <w:szCs w:val="10"/>
                <w:b w:val="1"/>
                <w:bCs w:val="1"/>
                <w:color w:val="auto"/>
              </w:rPr>
              <w:t>June 30,</w:t>
            </w:r>
          </w:p>
        </w:tc>
        <w:tc>
          <w:tcPr>
            <w:tcW w:w="5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December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540" w:type="dxa"/>
            <w:vAlign w:val="bottom"/>
          </w:tcPr>
          <w:p>
            <w:pPr>
              <w:jc w:val="right"/>
              <w:ind w:right="127"/>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10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w w:val="94"/>
              </w:rPr>
              <w:t>19,845</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17,884</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11,831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9,849</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6,436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6,886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38,112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34,619</w:t>
            </w:r>
          </w:p>
        </w:tc>
        <w:tc>
          <w:tcPr>
            <w:tcW w:w="0" w:type="dxa"/>
            <w:vAlign w:val="bottom"/>
          </w:tcPr>
          <w:p>
            <w:pPr>
              <w:spacing w:after="0"/>
              <w:rPr>
                <w:sz w:val="1"/>
                <w:szCs w:val="1"/>
                <w:color w:val="auto"/>
              </w:rPr>
            </w:pPr>
          </w:p>
        </w:tc>
      </w:tr>
      <w:tr>
        <w:trPr>
          <w:trHeight w:val="205"/>
        </w:trPr>
        <w:tc>
          <w:tcPr>
            <w:tcW w:w="610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899</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1,411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USA, total</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2,310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40,422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35,901</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217" w:lineRule="exact"/>
        <w:rPr>
          <w:sz w:val="20"/>
          <w:szCs w:val="20"/>
          <w:color w:val="auto"/>
        </w:rPr>
      </w:pPr>
    </w:p>
    <w:p>
      <w:pPr>
        <w:ind w:left="2620" w:hanging="360"/>
        <w:spacing w:after="0"/>
        <w:tabs>
          <w:tab w:leader="none" w:pos="2620"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Disaggregation of revenue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40" w:type="dxa"/>
            <w:vAlign w:val="bottom"/>
            <w:vMerge w:val="restart"/>
          </w:tcPr>
          <w:p>
            <w:pPr>
              <w:spacing w:after="0"/>
              <w:rPr>
                <w:sz w:val="6"/>
                <w:szCs w:val="6"/>
                <w:color w:val="auto"/>
              </w:rPr>
            </w:pPr>
          </w:p>
        </w:tc>
        <w:tc>
          <w:tcPr>
            <w:tcW w:w="660" w:type="dxa"/>
            <w:vAlign w:val="bottom"/>
            <w:tcBorders>
              <w:top w:val="single" w:sz="8" w:color="auto"/>
            </w:tcBorders>
            <w:gridSpan w:val="2"/>
          </w:tcPr>
          <w:p>
            <w:pPr>
              <w:spacing w:after="0" w:line="74" w:lineRule="exact"/>
              <w:rPr>
                <w:sz w:val="20"/>
                <w:szCs w:val="20"/>
                <w:color w:val="auto"/>
              </w:rPr>
            </w:pPr>
            <w:r>
              <w:rPr>
                <w:rFonts w:ascii="Arial" w:cs="Arial" w:eastAsia="Arial" w:hAnsi="Arial"/>
                <w:sz w:val="8"/>
                <w:szCs w:val="8"/>
                <w:b w:val="1"/>
                <w:bCs w:val="1"/>
                <w:color w:val="auto"/>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6"/>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3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Deliveries</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433</w:t>
            </w: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Services</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916</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Contract balances</w:t>
      </w:r>
    </w:p>
    <w:p>
      <w:pPr>
        <w:spacing w:after="0" w:line="82"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contract liabilities in the amount of €1,166 thousand (December 31, 2020: €1.195 thousand) consist of payments in advance made by customers of Mynaric presented in accordance with IFRS 15. An amount of €915 thousand recognized in contract liabilities at the beginning of the period has been recognized as revenue in the six months ended June 30, 2021.</w:t>
      </w:r>
    </w:p>
    <w:p>
      <w:pPr>
        <w:spacing w:after="0" w:line="55" w:lineRule="exact"/>
        <w:rPr>
          <w:sz w:val="20"/>
          <w:szCs w:val="20"/>
          <w:color w:val="auto"/>
        </w:rPr>
      </w:pPr>
    </w:p>
    <w:p>
      <w:pPr>
        <w:ind w:left="2260" w:hanging="288"/>
        <w:spacing w:after="0"/>
        <w:tabs>
          <w:tab w:leader="none" w:pos="2260"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During the six months ended June 30, 2021 Mynaric granted 20,350 stocks options to selected employees under the 2019 Stock option plan. The conditions remain the same as described in the financial statements as of December 31, 2020.</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0159"/>
          </w:cols>
          <w:pgMar w:left="30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 Stock Option Plan</w:t>
      </w:r>
    </w:p>
    <w:p>
      <w:pPr>
        <w:spacing w:after="0" w:line="150"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During the six months ended June 30, 2021, Mynaric granted 100,000 stock options to the management board under a new 2021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3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939"/>
        <w:spacing w:after="0" w:line="379" w:lineRule="auto"/>
        <w:rPr>
          <w:sz w:val="20"/>
          <w:szCs w:val="20"/>
          <w:color w:val="auto"/>
        </w:rPr>
      </w:pPr>
      <w:r>
        <w:rPr>
          <w:rFonts w:ascii="Arial" w:cs="Arial" w:eastAsia="Arial" w:hAnsi="Arial"/>
          <w:sz w:val="10"/>
          <w:szCs w:val="10"/>
          <w:color w:val="auto"/>
        </w:rPr>
        <w:t>The measurement of the existing stock option plans was based on the Monte Carlo Simulation model or the Binomial model, considering the terms and conditions for the options. The table below shows the inputs used for valuing the stock options granted during the six months ended June 30, 2021:</w:t>
      </w:r>
    </w:p>
    <w:p>
      <w:pPr>
        <w:spacing w:after="0" w:line="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2"/>
              </w:rPr>
              <w:t>Tranche</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2"/>
              </w:rPr>
              <w:t>Tranche</w:t>
            </w:r>
          </w:p>
        </w:tc>
      </w:tr>
      <w:tr>
        <w:trPr>
          <w:trHeight w:val="113"/>
        </w:trPr>
        <w:tc>
          <w:tcPr>
            <w:tcW w:w="6380" w:type="dxa"/>
            <w:vAlign w:val="bottom"/>
          </w:tcPr>
          <w:p>
            <w:pPr>
              <w:spacing w:after="0"/>
              <w:rPr>
                <w:sz w:val="9"/>
                <w:szCs w:val="9"/>
                <w:color w:val="auto"/>
              </w:rPr>
            </w:pPr>
          </w:p>
        </w:tc>
        <w:tc>
          <w:tcPr>
            <w:tcW w:w="5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rPr>
              <w:t>2021 I</w:t>
            </w:r>
          </w:p>
        </w:tc>
        <w:tc>
          <w:tcPr>
            <w:tcW w:w="40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1"/>
              </w:rPr>
              <w:t>2021 II</w:t>
            </w:r>
          </w:p>
        </w:tc>
      </w:tr>
      <w:tr>
        <w:trPr>
          <w:trHeight w:val="124"/>
        </w:trPr>
        <w:tc>
          <w:tcPr>
            <w:tcW w:w="63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68.97</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71.15</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Term in years</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7.00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6.75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64.20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80.20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34.46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36.90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(0.53)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(0.40)</w:t>
            </w:r>
          </w:p>
        </w:tc>
      </w:tr>
      <w:tr>
        <w:trPr>
          <w:trHeight w:val="136"/>
        </w:trPr>
        <w:tc>
          <w:tcPr>
            <w:tcW w:w="6380" w:type="dxa"/>
            <w:vAlign w:val="bottom"/>
          </w:tcPr>
          <w:p>
            <w:pPr>
              <w:spacing w:after="0"/>
              <w:rPr>
                <w:sz w:val="20"/>
                <w:szCs w:val="20"/>
                <w:color w:val="auto"/>
              </w:rPr>
            </w:pPr>
            <w:r>
              <w:rPr>
                <w:rFonts w:ascii="Arial" w:cs="Arial" w:eastAsia="Arial" w:hAnsi="Arial"/>
                <w:sz w:val="11"/>
                <w:szCs w:val="11"/>
                <w:color w:val="auto"/>
              </w:rPr>
              <w:t>Option value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14.18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25.17</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€278 thousand (six months ended June 30, 2020: €926 thousand).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share-based payments recognized in the capital reserve amount to €2,581 thousand as of June 30, 2021 (December 31, 2020: €2,303 thousand).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IPO Bonus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$ 100 million, no IPO bonus will be paid out. In the case the gross proceeds are between $ 100 and $ 150 million, the IPO bonus will increase on a linear basis starting in a range between 0.15 % and 0.35 % up to a range between 0.3 % and 0.7 %.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fair value of the US IPO Bonus Plan has been measured using a Monte Carlo simulation. Service and non-market performance conditions attached to the arrangements were not taken into account in measuring fair value.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54"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inputs used in the measurement of the fair values at grant date and measurement date of the US IPO Bonus Plan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7"/>
              </w:rPr>
              <w:t>Grant Date</w:t>
            </w:r>
          </w:p>
        </w:tc>
        <w:tc>
          <w:tcPr>
            <w:tcW w:w="86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w w:val="87"/>
              </w:rPr>
              <w:t>Measurement Date</w:t>
            </w:r>
          </w:p>
        </w:tc>
        <w:tc>
          <w:tcPr>
            <w:tcW w:w="0" w:type="dxa"/>
            <w:vAlign w:val="bottom"/>
          </w:tcPr>
          <w:p>
            <w:pPr>
              <w:spacing w:after="0"/>
              <w:rPr>
                <w:sz w:val="1"/>
                <w:szCs w:val="1"/>
                <w:color w:val="auto"/>
              </w:rPr>
            </w:pPr>
          </w:p>
        </w:tc>
      </w:tr>
      <w:tr>
        <w:trPr>
          <w:trHeight w:val="113"/>
        </w:trPr>
        <w:tc>
          <w:tcPr>
            <w:tcW w:w="4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140" w:type="dxa"/>
            <w:vAlign w:val="bottom"/>
            <w:gridSpan w:val="2"/>
          </w:tcPr>
          <w:p>
            <w:pPr>
              <w:jc w:val="right"/>
              <w:ind w:right="580"/>
              <w:spacing w:after="0" w:line="114" w:lineRule="exact"/>
              <w:rPr>
                <w:sz w:val="20"/>
                <w:szCs w:val="20"/>
                <w:color w:val="auto"/>
              </w:rPr>
            </w:pPr>
            <w:r>
              <w:rPr>
                <w:rFonts w:ascii="Arial" w:cs="Arial" w:eastAsia="Arial" w:hAnsi="Arial"/>
                <w:sz w:val="10"/>
                <w:szCs w:val="10"/>
                <w:b w:val="1"/>
                <w:bCs w:val="1"/>
                <w:color w:val="auto"/>
                <w:w w:val="82"/>
              </w:rPr>
              <w:t>June 20, 2021</w:t>
            </w:r>
          </w:p>
        </w:tc>
        <w:tc>
          <w:tcPr>
            <w:tcW w:w="860" w:type="dxa"/>
            <w:vAlign w:val="bottom"/>
            <w:gridSpan w:val="4"/>
          </w:tcPr>
          <w:p>
            <w:pPr>
              <w:jc w:val="right"/>
              <w:ind w:right="180"/>
              <w:spacing w:after="0" w:line="114" w:lineRule="exact"/>
              <w:rPr>
                <w:sz w:val="20"/>
                <w:szCs w:val="20"/>
                <w:color w:val="auto"/>
              </w:rPr>
            </w:pPr>
            <w:r>
              <w:rPr>
                <w:rFonts w:ascii="Arial" w:cs="Arial" w:eastAsia="Arial" w:hAnsi="Arial"/>
                <w:sz w:val="10"/>
                <w:szCs w:val="10"/>
                <w:b w:val="1"/>
                <w:bCs w:val="1"/>
                <w:color w:val="auto"/>
              </w:rPr>
              <w:t>June 30, 2021</w:t>
            </w:r>
          </w:p>
        </w:tc>
        <w:tc>
          <w:tcPr>
            <w:tcW w:w="0" w:type="dxa"/>
            <w:vAlign w:val="bottom"/>
          </w:tcPr>
          <w:p>
            <w:pPr>
              <w:spacing w:after="0"/>
              <w:rPr>
                <w:sz w:val="1"/>
                <w:szCs w:val="1"/>
                <w:color w:val="auto"/>
              </w:rPr>
            </w:pPr>
          </w:p>
        </w:tc>
      </w:tr>
      <w:tr>
        <w:trPr>
          <w:trHeight w:val="124"/>
        </w:trPr>
        <w:tc>
          <w:tcPr>
            <w:tcW w:w="534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Share Price (in €)</w:t>
            </w: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73.80</w:t>
            </w:r>
          </w:p>
        </w:tc>
        <w:tc>
          <w:tcPr>
            <w:tcW w:w="5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80.20</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340" w:type="dxa"/>
            <w:vAlign w:val="bottom"/>
            <w:gridSpan w:val="2"/>
          </w:tcPr>
          <w:p>
            <w:pPr>
              <w:spacing w:after="0"/>
              <w:rPr>
                <w:sz w:val="20"/>
                <w:szCs w:val="20"/>
                <w:color w:val="auto"/>
              </w:rPr>
            </w:pPr>
            <w:r>
              <w:rPr>
                <w:rFonts w:ascii="Arial" w:cs="Arial" w:eastAsia="Arial" w:hAnsi="Arial"/>
                <w:sz w:val="11"/>
                <w:szCs w:val="11"/>
                <w:color w:val="auto"/>
              </w:rPr>
              <w:t>Expected volatility (in %)</w:t>
            </w:r>
          </w:p>
        </w:tc>
        <w:tc>
          <w:tcPr>
            <w:tcW w:w="1140" w:type="dxa"/>
            <w:vAlign w:val="bottom"/>
            <w:gridSpan w:val="2"/>
          </w:tcPr>
          <w:p>
            <w:pPr>
              <w:jc w:val="right"/>
              <w:ind w:right="580"/>
              <w:spacing w:after="0"/>
              <w:rPr>
                <w:sz w:val="20"/>
                <w:szCs w:val="20"/>
                <w:color w:val="auto"/>
              </w:rPr>
            </w:pPr>
            <w:r>
              <w:rPr>
                <w:rFonts w:ascii="Arial" w:cs="Arial" w:eastAsia="Arial" w:hAnsi="Arial"/>
                <w:sz w:val="11"/>
                <w:szCs w:val="11"/>
                <w:color w:val="auto"/>
              </w:rPr>
              <w:t>38.56</w:t>
            </w:r>
          </w:p>
        </w:tc>
        <w:tc>
          <w:tcPr>
            <w:tcW w:w="820" w:type="dxa"/>
            <w:vAlign w:val="bottom"/>
            <w:gridSpan w:val="3"/>
          </w:tcPr>
          <w:p>
            <w:pPr>
              <w:jc w:val="right"/>
              <w:ind w:right="20"/>
              <w:spacing w:after="0"/>
              <w:rPr>
                <w:sz w:val="20"/>
                <w:szCs w:val="20"/>
                <w:color w:val="auto"/>
              </w:rPr>
            </w:pPr>
            <w:r>
              <w:rPr>
                <w:rFonts w:ascii="Arial" w:cs="Arial" w:eastAsia="Arial" w:hAnsi="Arial"/>
                <w:sz w:val="11"/>
                <w:szCs w:val="11"/>
                <w:color w:val="auto"/>
              </w:rPr>
              <w:t>30.88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1"/>
                <w:szCs w:val="11"/>
                <w:color w:val="auto"/>
              </w:rPr>
              <w:t>0.00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340" w:type="dxa"/>
            <w:vAlign w:val="bottom"/>
            <w:gridSpan w:val="2"/>
          </w:tcPr>
          <w:p>
            <w:pPr>
              <w:spacing w:after="0"/>
              <w:rPr>
                <w:sz w:val="20"/>
                <w:szCs w:val="20"/>
                <w:color w:val="auto"/>
              </w:rPr>
            </w:pPr>
            <w:r>
              <w:rPr>
                <w:rFonts w:ascii="Arial" w:cs="Arial" w:eastAsia="Arial" w:hAnsi="Arial"/>
                <w:sz w:val="11"/>
                <w:szCs w:val="11"/>
                <w:color w:val="auto"/>
              </w:rPr>
              <w:t>Risk-free interest rate (in %)</w:t>
            </w:r>
          </w:p>
        </w:tc>
        <w:tc>
          <w:tcPr>
            <w:tcW w:w="1140" w:type="dxa"/>
            <w:vAlign w:val="bottom"/>
            <w:gridSpan w:val="2"/>
          </w:tcPr>
          <w:p>
            <w:pPr>
              <w:jc w:val="right"/>
              <w:ind w:right="540"/>
              <w:spacing w:after="0"/>
              <w:rPr>
                <w:sz w:val="20"/>
                <w:szCs w:val="20"/>
                <w:color w:val="auto"/>
              </w:rPr>
            </w:pPr>
            <w:r>
              <w:rPr>
                <w:rFonts w:ascii="Arial" w:cs="Arial" w:eastAsia="Arial" w:hAnsi="Arial"/>
                <w:sz w:val="11"/>
                <w:szCs w:val="11"/>
                <w:color w:val="auto"/>
              </w:rPr>
              <w:t>(0.66)</w:t>
            </w:r>
          </w:p>
        </w:tc>
        <w:tc>
          <w:tcPr>
            <w:tcW w:w="860" w:type="dxa"/>
            <w:vAlign w:val="bottom"/>
            <w:gridSpan w:val="4"/>
          </w:tcPr>
          <w:p>
            <w:pPr>
              <w:jc w:val="right"/>
              <w:ind w:right="40"/>
              <w:spacing w:after="0"/>
              <w:rPr>
                <w:sz w:val="20"/>
                <w:szCs w:val="20"/>
                <w:color w:val="auto"/>
              </w:rPr>
            </w:pPr>
            <w:r>
              <w:rPr>
                <w:rFonts w:ascii="Arial" w:cs="Arial" w:eastAsia="Arial" w:hAnsi="Arial"/>
                <w:sz w:val="11"/>
                <w:szCs w:val="11"/>
                <w:color w:val="auto"/>
              </w:rPr>
              <w:t>(0.66)</w:t>
            </w:r>
          </w:p>
        </w:tc>
        <w:tc>
          <w:tcPr>
            <w:tcW w:w="0" w:type="dxa"/>
            <w:vAlign w:val="bottom"/>
          </w:tcPr>
          <w:p>
            <w:pPr>
              <w:spacing w:after="0"/>
              <w:rPr>
                <w:sz w:val="1"/>
                <w:szCs w:val="1"/>
                <w:color w:val="auto"/>
              </w:rPr>
            </w:pPr>
          </w:p>
        </w:tc>
      </w:tr>
      <w:tr>
        <w:trPr>
          <w:trHeight w:val="287"/>
        </w:trPr>
        <w:tc>
          <w:tcPr>
            <w:tcW w:w="6480" w:type="dxa"/>
            <w:vAlign w:val="bottom"/>
            <w:gridSpan w:val="4"/>
          </w:tcPr>
          <w:p>
            <w:pPr>
              <w:spacing w:after="0"/>
              <w:rPr>
                <w:sz w:val="20"/>
                <w:szCs w:val="20"/>
                <w:color w:val="auto"/>
              </w:rPr>
            </w:pPr>
            <w:r>
              <w:rPr>
                <w:rFonts w:ascii="Arial" w:cs="Arial" w:eastAsia="Arial" w:hAnsi="Arial"/>
                <w:sz w:val="12"/>
                <w:szCs w:val="12"/>
                <w:color w:val="auto"/>
                <w:w w:val="98"/>
              </w:rPr>
              <w:t>Expected volatility has been based on an evaluation of the historical volatility for matching maturities of Mynaric peer group.</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340" w:type="dxa"/>
            <w:vAlign w:val="bottom"/>
            <w:gridSpan w:val="2"/>
          </w:tcPr>
          <w:p>
            <w:pPr>
              <w:spacing w:after="0"/>
              <w:rPr>
                <w:sz w:val="20"/>
                <w:szCs w:val="20"/>
                <w:color w:val="auto"/>
              </w:rPr>
            </w:pPr>
            <w:r>
              <w:rPr>
                <w:rFonts w:ascii="Arial" w:cs="Arial" w:eastAsia="Arial" w:hAnsi="Arial"/>
                <w:sz w:val="12"/>
                <w:szCs w:val="12"/>
                <w:color w:val="auto"/>
              </w:rPr>
              <w:t>Details of the liabilities arising from the IPO bonus as of June 30, 2021 were as follows:</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488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79"/>
              </w:rPr>
              <w:t>June 30,</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48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3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Total carrying amount of liabilities for US IPO bonus</w:t>
            </w:r>
          </w:p>
        </w:tc>
        <w:tc>
          <w:tcPr>
            <w:tcW w:w="5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half year period 2021 Mynaric recognized a total expense € 52 thousand from the US IPO Bonus Plan.</w:t>
      </w:r>
    </w:p>
    <w:p>
      <w:pPr>
        <w:spacing w:after="0" w:line="245" w:lineRule="exact"/>
        <w:rPr>
          <w:sz w:val="20"/>
          <w:szCs w:val="20"/>
          <w:color w:val="auto"/>
        </w:rPr>
      </w:pPr>
    </w:p>
    <w:p>
      <w:pPr>
        <w:ind w:left="2260" w:hanging="288"/>
        <w:spacing w:after="0"/>
        <w:tabs>
          <w:tab w:leader="none" w:pos="2260"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20" w:type="dxa"/>
            <w:vAlign w:val="bottom"/>
            <w:vMerge w:val="restart"/>
          </w:tcPr>
          <w:p>
            <w:pPr>
              <w:spacing w:after="0"/>
              <w:rPr>
                <w:sz w:val="6"/>
                <w:szCs w:val="6"/>
                <w:color w:val="auto"/>
              </w:rPr>
            </w:pPr>
          </w:p>
        </w:tc>
        <w:tc>
          <w:tcPr>
            <w:tcW w:w="66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20" w:type="dxa"/>
            <w:vAlign w:val="bottom"/>
            <w:vMerge w:val="continue"/>
          </w:tcPr>
          <w:p>
            <w:pPr>
              <w:spacing w:after="0"/>
              <w:rPr>
                <w:sz w:val="10"/>
                <w:szCs w:val="10"/>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8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18</w:t>
            </w: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467</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80" w:type="dxa"/>
            <w:vAlign w:val="bottom"/>
            <w:gridSpan w:val="2"/>
          </w:tcPr>
          <w:p>
            <w:pPr>
              <w:spacing w:after="0"/>
              <w:rPr>
                <w:sz w:val="20"/>
                <w:szCs w:val="20"/>
                <w:color w:val="auto"/>
              </w:rPr>
            </w:pPr>
            <w:r>
              <w:rPr>
                <w:rFonts w:ascii="Arial" w:cs="Arial" w:eastAsia="Arial" w:hAnsi="Arial"/>
                <w:sz w:val="11"/>
                <w:szCs w:val="11"/>
                <w:color w:val="auto"/>
              </w:rPr>
              <w:t>Increase in inventories of finished goods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970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Write-downs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6"/>
        </w:trPr>
        <w:tc>
          <w:tcPr>
            <w:tcW w:w="6280" w:type="dxa"/>
            <w:vAlign w:val="bottom"/>
            <w:gridSpan w:val="2"/>
          </w:tcPr>
          <w:p>
            <w:pPr>
              <w:spacing w:after="0"/>
              <w:rPr>
                <w:sz w:val="20"/>
                <w:szCs w:val="20"/>
                <w:color w:val="auto"/>
              </w:rPr>
            </w:pPr>
            <w:r>
              <w:rPr>
                <w:rFonts w:ascii="Arial" w:cs="Arial" w:eastAsia="Arial" w:hAnsi="Arial"/>
                <w:sz w:val="11"/>
                <w:szCs w:val="11"/>
                <w:color w:val="auto"/>
              </w:rPr>
              <w:t>Total changes in inventories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988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write-downs in the six months ended June 30, 2020 presented refer to HAWK terminals that were written down to their recoverable amount.</w:t>
      </w:r>
    </w:p>
    <w:p>
      <w:pPr>
        <w:spacing w:after="0" w:line="257" w:lineRule="exact"/>
        <w:rPr>
          <w:sz w:val="20"/>
          <w:szCs w:val="20"/>
          <w:color w:val="auto"/>
        </w:rPr>
      </w:pPr>
    </w:p>
    <w:p>
      <w:pPr>
        <w:ind w:left="2260" w:hanging="288"/>
        <w:spacing w:after="0"/>
        <w:tabs>
          <w:tab w:leader="none" w:pos="226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99"/>
        <w:spacing w:after="0" w:line="263" w:lineRule="auto"/>
        <w:rPr>
          <w:sz w:val="20"/>
          <w:szCs w:val="20"/>
          <w:color w:val="auto"/>
        </w:rPr>
      </w:pPr>
      <w:r>
        <w:rPr>
          <w:rFonts w:ascii="Arial" w:cs="Arial" w:eastAsia="Arial" w:hAnsi="Arial"/>
          <w:sz w:val="12"/>
          <w:szCs w:val="12"/>
          <w:color w:val="auto"/>
        </w:rPr>
        <w:t>Own work capitalized consists of expenses that are used to construct property, plant and equipment or develop intangible assets. This line item is a contra account to other profit and loss statement captions presented below. For a determination of the net basis of those expenses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4"/>
              </w:rPr>
              <w:t>Six Months Ended</w:t>
            </w:r>
          </w:p>
        </w:tc>
        <w:tc>
          <w:tcPr>
            <w:tcW w:w="0" w:type="dxa"/>
            <w:vAlign w:val="bottom"/>
          </w:tcPr>
          <w:p>
            <w:pPr>
              <w:spacing w:after="0"/>
              <w:rPr>
                <w:sz w:val="1"/>
                <w:szCs w:val="1"/>
                <w:color w:val="auto"/>
              </w:rPr>
            </w:pPr>
          </w:p>
        </w:tc>
      </w:tr>
      <w:tr>
        <w:trPr>
          <w:trHeight w:val="74"/>
        </w:trPr>
        <w:tc>
          <w:tcPr>
            <w:tcW w:w="6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80" w:type="dxa"/>
            <w:vAlign w:val="bottom"/>
            <w:tcBorders>
              <w:top w:val="single" w:sz="8" w:color="auto"/>
            </w:tcBorders>
            <w:gridSpan w:val="2"/>
          </w:tcPr>
          <w:p>
            <w:pPr>
              <w:jc w:val="right"/>
              <w:ind w:right="24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380" w:type="dxa"/>
            <w:vAlign w:val="bottom"/>
            <w:gridSpan w:val="2"/>
            <w:vMerge w:val="continue"/>
          </w:tcPr>
          <w:p>
            <w:pPr>
              <w:spacing w:after="0"/>
              <w:rPr>
                <w:sz w:val="9"/>
                <w:szCs w:val="9"/>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9"/>
                <w:szCs w:val="9"/>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632</w:t>
            </w: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1,392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2,247</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187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260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2,471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4,752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54"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68" w:lineRule="exact"/>
        <w:rPr>
          <w:sz w:val="20"/>
          <w:szCs w:val="20"/>
          <w:color w:val="auto"/>
        </w:rPr>
      </w:pPr>
    </w:p>
    <w:p>
      <w:pPr>
        <w:ind w:left="2620" w:hanging="360"/>
        <w:spacing w:after="0"/>
        <w:tabs>
          <w:tab w:leader="none" w:pos="262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 of Software and Licenses</w:t>
      </w:r>
    </w:p>
    <w:p>
      <w:pPr>
        <w:spacing w:after="0" w:line="15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During the six months ended June 30, 2021 the group acquired software and licenses with cost of €80 thousand (six months ended June 30, 2020: €102 thousand).</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Assets with a carrying amount of € 8 thousand were disposed of during the six months ended June 30, 2021 (six months ended June 30, 2021: € 0 thousand).</w:t>
      </w:r>
    </w:p>
    <w:p>
      <w:pPr>
        <w:spacing w:after="0" w:line="210" w:lineRule="exact"/>
        <w:rPr>
          <w:sz w:val="20"/>
          <w:szCs w:val="20"/>
          <w:color w:val="auto"/>
        </w:rPr>
      </w:pPr>
    </w:p>
    <w:p>
      <w:pPr>
        <w:ind w:left="2620" w:hanging="360"/>
        <w:spacing w:after="0"/>
        <w:tabs>
          <w:tab w:leader="none" w:pos="2620"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Capitalization of Development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six months ended June 30, 2021 Mynaric capitalized development costs for the basic SPACE technology of €2,345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the six months ended June 30, 2020 development costs for the basic AIR and SPACE technologies of €4,590 thousand were capitalized.</w:t>
      </w:r>
    </w:p>
    <w:p>
      <w:pPr>
        <w:spacing w:after="0" w:line="162"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In the first six months of 2021, finance expenses in the amount of €71 thousand (six months ended June 30, 2020: €63 thousand) were capitalized as cost of the development projects in accordance with IAS 23.</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210" w:lineRule="exact"/>
        <w:rPr>
          <w:sz w:val="20"/>
          <w:szCs w:val="20"/>
          <w:color w:val="auto"/>
        </w:rPr>
      </w:pPr>
    </w:p>
    <w:p>
      <w:pPr>
        <w:ind w:left="2260" w:hanging="288"/>
        <w:spacing w:after="0"/>
        <w:tabs>
          <w:tab w:leader="none" w:pos="226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68" w:lineRule="exact"/>
        <w:rPr>
          <w:sz w:val="20"/>
          <w:szCs w:val="20"/>
          <w:color w:val="auto"/>
        </w:rPr>
      </w:pPr>
    </w:p>
    <w:p>
      <w:pPr>
        <w:ind w:left="2620" w:hanging="360"/>
        <w:spacing w:after="0"/>
        <w:tabs>
          <w:tab w:leader="none" w:pos="262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w:t>
      </w:r>
    </w:p>
    <w:p>
      <w:pPr>
        <w:spacing w:after="0" w:line="154"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Investments in property, plant, and equipment made in in the first six months of 2021 in the amount of €3,478 thousand (six months ended June 30, 2020: €1,745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w:t>
      </w:r>
    </w:p>
    <w:p>
      <w:pPr>
        <w:spacing w:after="0" w:line="111"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first six months of 2021, finance expenses in the amount of €7 thousand (six months ended June 30, 2020: €2 thousand) were recorded as cost of property, plant, and equipment in accordance with IAS 23.</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Assets with a carrying amount of €22 thousand were disposed of during the six months ended June 30, 2021 (six months ended June 30, 2020: € 2 thousand).</w:t>
      </w:r>
    </w:p>
    <w:p>
      <w:pPr>
        <w:spacing w:after="0" w:line="210" w:lineRule="exact"/>
        <w:rPr>
          <w:sz w:val="20"/>
          <w:szCs w:val="20"/>
          <w:color w:val="auto"/>
        </w:rPr>
      </w:pPr>
    </w:p>
    <w:p>
      <w:pPr>
        <w:ind w:left="2620" w:hanging="360"/>
        <w:spacing w:after="0"/>
        <w:tabs>
          <w:tab w:leader="none" w:pos="262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Outstanding Purchase Orders for Property, Plant, and Equipment</w:t>
      </w:r>
    </w:p>
    <w:p>
      <w:pPr>
        <w:spacing w:after="0" w:line="154"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As of June 30, 2021, the group has open financial obligations from outstanding purchase orders for property, plant, and equipment in the amount of €536 thousand (June 30, 2020: €1,607 thousand).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Right-of-use Assets</w:t>
      </w:r>
    </w:p>
    <w:p>
      <w:pPr>
        <w:spacing w:after="0" w:line="154" w:lineRule="exact"/>
        <w:rPr>
          <w:sz w:val="20"/>
          <w:szCs w:val="20"/>
          <w:color w:val="auto"/>
        </w:rPr>
      </w:pPr>
    </w:p>
    <w:p>
      <w:pPr>
        <w:ind w:left="1980" w:right="1619"/>
        <w:spacing w:after="0" w:line="276" w:lineRule="auto"/>
        <w:rPr>
          <w:sz w:val="20"/>
          <w:szCs w:val="20"/>
          <w:color w:val="auto"/>
        </w:rPr>
      </w:pPr>
      <w:r>
        <w:rPr>
          <w:rFonts w:ascii="Arial" w:cs="Arial" w:eastAsia="Arial" w:hAnsi="Arial"/>
          <w:sz w:val="12"/>
          <w:szCs w:val="12"/>
          <w:color w:val="auto"/>
        </w:rPr>
        <w:t>During the six months ended June 30, 2021, Mynaric entered in a new lease agreement for an office in Washington (DC), USA. On lease commencement, the Group recognized €442 thousand of right right-of-use asset and lease liability.</w:t>
      </w:r>
    </w:p>
    <w:p>
      <w:pPr>
        <w:spacing w:after="0" w:line="210" w:lineRule="exact"/>
        <w:rPr>
          <w:sz w:val="20"/>
          <w:szCs w:val="20"/>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non-financial assets include €994 thousand of IPO preparation costs.</w:t>
      </w:r>
    </w:p>
    <w:p>
      <w:pPr>
        <w:spacing w:after="0" w:line="245" w:lineRule="exact"/>
        <w:rPr>
          <w:sz w:val="20"/>
          <w:szCs w:val="20"/>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Capital and Reserves</w:t>
      </w:r>
    </w:p>
    <w:p>
      <w:pPr>
        <w:spacing w:after="0" w:line="168" w:lineRule="exact"/>
        <w:rPr>
          <w:sz w:val="20"/>
          <w:szCs w:val="20"/>
          <w:color w:val="auto"/>
        </w:rPr>
      </w:pPr>
    </w:p>
    <w:p>
      <w:pPr>
        <w:ind w:left="2620" w:hanging="360"/>
        <w:spacing w:after="0"/>
        <w:tabs>
          <w:tab w:leader="none" w:pos="2620"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Issue of ordinary shares</w:t>
      </w:r>
    </w:p>
    <w:p>
      <w:pPr>
        <w:spacing w:after="0" w:line="154"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six months ended June 30, 2021, share capital was increased to €4,092,948 through the issuance of a total of 98,214 bearer shares with a nominal value of €1.00 per share. This was due to the following transaction:</w:t>
      </w:r>
    </w:p>
    <w:p>
      <w:pPr>
        <w:spacing w:after="0" w:line="52" w:lineRule="exact"/>
        <w:rPr>
          <w:sz w:val="20"/>
          <w:szCs w:val="20"/>
          <w:color w:val="auto"/>
        </w:rPr>
      </w:pPr>
    </w:p>
    <w:p>
      <w:pPr>
        <w:ind w:left="2620" w:right="859" w:hanging="288"/>
        <w:spacing w:after="0" w:line="281" w:lineRule="auto"/>
        <w:tabs>
          <w:tab w:leader="none" w:pos="2620" w:val="left"/>
        </w:tabs>
        <w:numPr>
          <w:ilvl w:val="0"/>
          <w:numId w:val="115"/>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As a result, the prepaid share reserve shown in the previous year’s financial statements in the amount of € 5,500,000 was transferred to the subscribed capital and the capital reserve.</w:t>
      </w:r>
    </w:p>
    <w:p>
      <w:pPr>
        <w:spacing w:after="0" w:line="210" w:lineRule="exact"/>
        <w:rPr>
          <w:sz w:val="20"/>
          <w:szCs w:val="20"/>
          <w:color w:val="auto"/>
        </w:rPr>
      </w:pPr>
    </w:p>
    <w:p>
      <w:pPr>
        <w:ind w:left="2620" w:hanging="360"/>
        <w:spacing w:after="0"/>
        <w:tabs>
          <w:tab w:leader="none" w:pos="262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9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620" w:hanging="360"/>
        <w:spacing w:after="0"/>
        <w:tabs>
          <w:tab w:leader="none" w:pos="262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200" w:lineRule="exact"/>
        <w:rPr>
          <w:sz w:val="20"/>
          <w:szCs w:val="20"/>
          <w:color w:val="auto"/>
        </w:rPr>
      </w:pPr>
    </w:p>
    <w:p>
      <w:pPr>
        <w:ind w:left="2620" w:hanging="360"/>
        <w:spacing w:after="0"/>
        <w:tabs>
          <w:tab w:leader="none" w:pos="2620"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six months ended June 30, 2021, there are no related party expenses involving MCConsult Dr. Peschko (six months ended June 30, 2020:</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€180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as a related party in the amount of €363 thousand (June 30, 2020: €54 thousand).</w:t>
      </w:r>
    </w:p>
    <w:p>
      <w:pPr>
        <w:spacing w:after="0" w:line="141"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During the six months ended June 30, 2021, the related party expenses involving Pinsent Masons LLP amounted to €1 thousand (six months ended June 30, 2020: €144 thousand). Trade and other payables reported as of the reporting date include outstanding obligations from transactions with Pinsent Masons LLP in the amount of €0 thousand (June 30, 2021: €12 thousand).</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In the six months ended June 30, 2021 a new Stock Option Plan 2021 has been set up to exclusively grant stock option rights for shares to members of the Management Board of the Company.</w:t>
      </w:r>
    </w:p>
    <w:p>
      <w:pPr>
        <w:spacing w:after="0" w:line="115"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In the context of this plan, stock options were issued to the Management Board in the six months ended June 2021, which entitle the holder to subscribe to Mynaric shares. Detailed information about the granted stock options are presented in Note 8. Share-based payments.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the six months ended June 30, 2021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Short-term</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tcPr>
          <w:p>
            <w:pPr>
              <w:jc w:val="center"/>
              <w:ind w:right="82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0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Number</w:t>
            </w:r>
          </w:p>
        </w:tc>
        <w:tc>
          <w:tcPr>
            <w:tcW w:w="4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80" w:type="dxa"/>
            <w:vAlign w:val="bottom"/>
            <w:gridSpan w:val="2"/>
          </w:tcPr>
          <w:p>
            <w:pPr>
              <w:ind w:left="180"/>
              <w:spacing w:after="0" w:line="99" w:lineRule="exact"/>
              <w:rPr>
                <w:sz w:val="20"/>
                <w:szCs w:val="20"/>
                <w:color w:val="auto"/>
              </w:rPr>
            </w:pPr>
            <w:r>
              <w:rPr>
                <w:rFonts w:ascii="Arial" w:cs="Arial" w:eastAsia="Arial" w:hAnsi="Arial"/>
                <w:sz w:val="10"/>
                <w:szCs w:val="10"/>
                <w:b w:val="1"/>
                <w:bCs w:val="1"/>
                <w:color w:val="auto"/>
              </w:rPr>
              <w:t>Basic</w:t>
            </w:r>
          </w:p>
        </w:tc>
        <w:tc>
          <w:tcPr>
            <w:tcW w:w="98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variable</w:t>
            </w:r>
          </w:p>
        </w:tc>
        <w:tc>
          <w:tcPr>
            <w:tcW w:w="40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3"/>
              </w:rPr>
              <w:t>of stock</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5"/>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w w:val="81"/>
              </w:rPr>
              <w:t>Six Months ended</w:t>
            </w:r>
          </w:p>
        </w:tc>
        <w:tc>
          <w:tcPr>
            <w:tcW w:w="2300" w:type="dxa"/>
            <w:vAlign w:val="bottom"/>
          </w:tcPr>
          <w:p>
            <w:pPr>
              <w:spacing w:after="0"/>
              <w:rPr>
                <w:sz w:val="8"/>
                <w:szCs w:val="8"/>
                <w:color w:val="auto"/>
              </w:rPr>
            </w:pP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2"/>
              </w:rPr>
              <w:t>options</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1"/>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4"/>
        </w:trPr>
        <w:tc>
          <w:tcPr>
            <w:tcW w:w="720" w:type="dxa"/>
            <w:vAlign w:val="bottom"/>
            <w:tcBorders>
              <w:bottom w:val="single" w:sz="8" w:color="auto"/>
            </w:tcBorders>
            <w:vMerge w:val="continue"/>
          </w:tcPr>
          <w:p>
            <w:pPr>
              <w:spacing w:after="0"/>
              <w:rPr>
                <w:sz w:val="10"/>
                <w:szCs w:val="10"/>
                <w:color w:val="auto"/>
              </w:rPr>
            </w:pPr>
          </w:p>
        </w:tc>
        <w:tc>
          <w:tcPr>
            <w:tcW w:w="23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400" w:type="dxa"/>
            <w:vAlign w:val="bottom"/>
            <w:gridSpan w:val="2"/>
          </w:tcPr>
          <w:p>
            <w:pPr>
              <w:jc w:val="center"/>
              <w:spacing w:after="0" w:line="105" w:lineRule="exact"/>
              <w:rPr>
                <w:sz w:val="20"/>
                <w:szCs w:val="20"/>
                <w:color w:val="auto"/>
              </w:rPr>
            </w:pPr>
            <w:r>
              <w:rPr>
                <w:rFonts w:ascii="Arial" w:cs="Arial" w:eastAsia="Arial" w:hAnsi="Arial"/>
                <w:sz w:val="10"/>
                <w:szCs w:val="10"/>
                <w:b w:val="1"/>
                <w:bCs w:val="1"/>
                <w:color w:val="auto"/>
                <w:w w:val="87"/>
              </w:rPr>
              <w:t>granted</w:t>
            </w:r>
          </w:p>
        </w:tc>
        <w:tc>
          <w:tcPr>
            <w:tcW w:w="4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113"/>
        </w:trPr>
        <w:tc>
          <w:tcPr>
            <w:tcW w:w="72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June 30, 2021</w:t>
            </w:r>
          </w:p>
        </w:tc>
        <w:tc>
          <w:tcPr>
            <w:tcW w:w="23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345</w:t>
            </w:r>
          </w:p>
        </w:tc>
        <w:tc>
          <w:tcPr>
            <w:tcW w:w="4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191</w:t>
            </w:r>
          </w:p>
        </w:tc>
        <w:tc>
          <w:tcPr>
            <w:tcW w:w="4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100,000</w:t>
            </w:r>
          </w:p>
        </w:tc>
        <w:tc>
          <w:tcPr>
            <w:tcW w:w="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101</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380"/>
              <w:spacing w:after="0" w:line="113" w:lineRule="exact"/>
              <w:rPr>
                <w:sz w:val="20"/>
                <w:szCs w:val="20"/>
                <w:color w:val="auto"/>
              </w:rPr>
            </w:pPr>
            <w:r>
              <w:rPr>
                <w:rFonts w:ascii="Arial" w:cs="Arial" w:eastAsia="Arial" w:hAnsi="Arial"/>
                <w:sz w:val="11"/>
                <w:szCs w:val="11"/>
                <w:color w:val="auto"/>
                <w:w w:val="76"/>
              </w:rPr>
              <w:t>636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720" w:type="dxa"/>
            <w:vAlign w:val="bottom"/>
          </w:tcPr>
          <w:p>
            <w:pPr>
              <w:spacing w:after="0"/>
              <w:rPr>
                <w:sz w:val="20"/>
                <w:szCs w:val="20"/>
                <w:color w:val="auto"/>
              </w:rPr>
            </w:pPr>
            <w:r>
              <w:rPr>
                <w:rFonts w:ascii="Arial" w:cs="Arial" w:eastAsia="Arial" w:hAnsi="Arial"/>
                <w:sz w:val="11"/>
                <w:szCs w:val="11"/>
                <w:color w:val="auto"/>
              </w:rPr>
              <w:t>June 30, 2020</w:t>
            </w:r>
          </w:p>
        </w:tc>
        <w:tc>
          <w:tcPr>
            <w:tcW w:w="3280" w:type="dxa"/>
            <w:vAlign w:val="bottom"/>
            <w:gridSpan w:val="3"/>
          </w:tcPr>
          <w:p>
            <w:pPr>
              <w:jc w:val="right"/>
              <w:ind w:right="400"/>
              <w:spacing w:after="0"/>
              <w:rPr>
                <w:sz w:val="20"/>
                <w:szCs w:val="20"/>
                <w:color w:val="auto"/>
              </w:rPr>
            </w:pPr>
            <w:r>
              <w:rPr>
                <w:rFonts w:ascii="Arial" w:cs="Arial" w:eastAsia="Arial" w:hAnsi="Arial"/>
                <w:sz w:val="11"/>
                <w:szCs w:val="11"/>
                <w:color w:val="auto"/>
              </w:rPr>
              <w:t>297</w:t>
            </w:r>
          </w:p>
        </w:tc>
        <w:tc>
          <w:tcPr>
            <w:tcW w:w="980" w:type="dxa"/>
            <w:vAlign w:val="bottom"/>
            <w:gridSpan w:val="2"/>
          </w:tcPr>
          <w:p>
            <w:pPr>
              <w:jc w:val="right"/>
              <w:ind w:right="400"/>
              <w:spacing w:after="0"/>
              <w:rPr>
                <w:sz w:val="20"/>
                <w:szCs w:val="20"/>
                <w:color w:val="auto"/>
              </w:rPr>
            </w:pPr>
            <w:r>
              <w:rPr>
                <w:rFonts w:ascii="Arial" w:cs="Arial" w:eastAsia="Arial" w:hAnsi="Arial"/>
                <w:sz w:val="11"/>
                <w:szCs w:val="11"/>
                <w:color w:val="auto"/>
              </w:rPr>
              <w:t>196</w:t>
            </w: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3,000</w:t>
            </w:r>
          </w:p>
        </w:tc>
        <w:tc>
          <w:tcPr>
            <w:tcW w:w="1380" w:type="dxa"/>
            <w:vAlign w:val="bottom"/>
            <w:gridSpan w:val="3"/>
          </w:tcPr>
          <w:p>
            <w:pPr>
              <w:jc w:val="right"/>
              <w:ind w:right="420"/>
              <w:spacing w:after="0"/>
              <w:rPr>
                <w:sz w:val="20"/>
                <w:szCs w:val="20"/>
                <w:color w:val="auto"/>
              </w:rPr>
            </w:pPr>
            <w:r>
              <w:rPr>
                <w:rFonts w:ascii="Arial" w:cs="Arial" w:eastAsia="Arial" w:hAnsi="Arial"/>
                <w:sz w:val="11"/>
                <w:szCs w:val="11"/>
                <w:color w:val="auto"/>
              </w:rPr>
              <w:t>487</w:t>
            </w:r>
          </w:p>
        </w:tc>
        <w:tc>
          <w:tcPr>
            <w:tcW w:w="580" w:type="dxa"/>
            <w:vAlign w:val="bottom"/>
            <w:gridSpan w:val="2"/>
          </w:tcPr>
          <w:p>
            <w:pPr>
              <w:ind w:left="380"/>
              <w:spacing w:after="0"/>
              <w:rPr>
                <w:sz w:val="20"/>
                <w:szCs w:val="20"/>
                <w:color w:val="auto"/>
              </w:rPr>
            </w:pPr>
            <w:r>
              <w:rPr>
                <w:rFonts w:ascii="Arial" w:cs="Arial" w:eastAsia="Arial" w:hAnsi="Arial"/>
                <w:sz w:val="11"/>
                <w:szCs w:val="11"/>
                <w:color w:val="auto"/>
                <w:w w:val="97"/>
              </w:rPr>
              <w:t>980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The amounts in the table for the chairman of the Management Board, Bulent Altan, include remuneration received in his capacity as CEO of the subsidiary Mynaric USA Inc.</w:t>
      </w:r>
    </w:p>
    <w:p>
      <w:pPr>
        <w:spacing w:after="0" w:line="210" w:lineRule="exact"/>
        <w:rPr>
          <w:sz w:val="20"/>
          <w:szCs w:val="20"/>
          <w:color w:val="auto"/>
        </w:rPr>
      </w:pPr>
    </w:p>
    <w:p>
      <w:pPr>
        <w:ind w:left="2620" w:hanging="360"/>
        <w:spacing w:after="0"/>
        <w:tabs>
          <w:tab w:leader="none" w:pos="262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May 14, 2021. Accordingly, the Supervisory Board members receive a fixed annual remuneration, payable after the end of the fiscal year. The remuneration amounts to €30,000 per year, with the chairman receiving twice that amount and the deputy chairman receiving one and a half times this amount. An attendance fee of €500 are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F-15</w:t>
      </w:r>
    </w:p>
    <w:p>
      <w:pPr>
        <w:sectPr>
          <w:pgSz w:w="11900" w:h="16838" w:orient="portrait"/>
          <w:cols w:equalWidth="0" w:num="1">
            <w:col w:w="10159"/>
          </w:cols>
          <w:pgMar w:left="300" w:top="354"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44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04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300" w:type="dxa"/>
            <w:vAlign w:val="bottom"/>
            <w:gridSpan w:val="4"/>
          </w:tcPr>
          <w:p>
            <w:pPr>
              <w:jc w:val="right"/>
              <w:ind w:right="520"/>
              <w:spacing w:after="0"/>
              <w:rPr>
                <w:sz w:val="20"/>
                <w:szCs w:val="20"/>
                <w:color w:val="auto"/>
              </w:rPr>
            </w:pPr>
            <w:r>
              <w:rPr>
                <w:rFonts w:ascii="Arial" w:cs="Arial" w:eastAsia="Arial" w:hAnsi="Arial"/>
                <w:sz w:val="10"/>
                <w:szCs w:val="10"/>
                <w:b w:val="1"/>
                <w:bCs w:val="1"/>
                <w:color w:val="auto"/>
              </w:rPr>
              <w:t>June 30, 2021</w:t>
            </w:r>
          </w:p>
        </w:tc>
        <w:tc>
          <w:tcPr>
            <w:tcW w:w="100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Dec. 31, 2020</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14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8"/>
              <w:spacing w:after="0" w:line="74" w:lineRule="exact"/>
              <w:rPr>
                <w:sz w:val="20"/>
                <w:szCs w:val="20"/>
                <w:color w:val="auto"/>
              </w:rPr>
            </w:pPr>
            <w:r>
              <w:rPr>
                <w:rFonts w:ascii="Arial" w:cs="Arial" w:eastAsia="Arial" w:hAnsi="Arial"/>
                <w:sz w:val="8"/>
                <w:szCs w:val="8"/>
                <w:b w:val="1"/>
                <w:bCs w:val="1"/>
                <w:color w:val="auto"/>
              </w:rPr>
              <w:t>Non-</w:t>
            </w:r>
          </w:p>
        </w:tc>
        <w:tc>
          <w:tcPr>
            <w:tcW w:w="3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Non-</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66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Current</w:t>
            </w:r>
          </w:p>
        </w:tc>
        <w:tc>
          <w:tcPr>
            <w:tcW w:w="64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6"/>
              </w:rPr>
              <w:t>current</w:t>
            </w:r>
          </w:p>
        </w:tc>
        <w:tc>
          <w:tcPr>
            <w:tcW w:w="6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Current</w:t>
            </w:r>
          </w:p>
        </w:tc>
        <w:tc>
          <w:tcPr>
            <w:tcW w:w="3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81"/>
              </w:rPr>
              <w:t>current</w:t>
            </w:r>
          </w:p>
        </w:tc>
        <w:tc>
          <w:tcPr>
            <w:tcW w:w="0" w:type="dxa"/>
            <w:vAlign w:val="bottom"/>
          </w:tcPr>
          <w:p>
            <w:pPr>
              <w:spacing w:after="0"/>
              <w:rPr>
                <w:sz w:val="1"/>
                <w:szCs w:val="1"/>
                <w:color w:val="auto"/>
              </w:rPr>
            </w:pPr>
          </w:p>
        </w:tc>
      </w:tr>
      <w:tr>
        <w:trPr>
          <w:trHeight w:val="104"/>
        </w:trPr>
        <w:tc>
          <w:tcPr>
            <w:tcW w:w="5040" w:type="dxa"/>
            <w:vAlign w:val="bottom"/>
            <w:tcBorders>
              <w:top w:val="single" w:sz="8" w:color="CCEEFF"/>
            </w:tcBorders>
            <w:gridSpan w:val="3"/>
            <w:shd w:val="clear" w:color="auto" w:fill="CCEEFF"/>
          </w:tcPr>
          <w:p>
            <w:pPr>
              <w:spacing w:after="0" w:line="104" w:lineRule="exact"/>
              <w:rPr>
                <w:sz w:val="20"/>
                <w:szCs w:val="20"/>
                <w:color w:val="auto"/>
              </w:rPr>
            </w:pPr>
            <w:r>
              <w:rPr>
                <w:rFonts w:ascii="Arial" w:cs="Arial" w:eastAsia="Arial" w:hAnsi="Arial"/>
                <w:sz w:val="11"/>
                <w:szCs w:val="11"/>
                <w:color w:val="auto"/>
              </w:rPr>
              <w:t>Amortized cost (AmC)</w:t>
            </w:r>
          </w:p>
        </w:tc>
        <w:tc>
          <w:tcPr>
            <w:tcW w:w="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44</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401</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76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18,444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43,198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550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4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18.488</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401</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43,824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w:t>
            </w:r>
          </w:p>
        </w:tc>
        <w:tc>
          <w:tcPr>
            <w:tcW w:w="0" w:type="dxa"/>
            <w:vAlign w:val="bottom"/>
          </w:tcPr>
          <w:p>
            <w:pPr>
              <w:spacing w:after="0"/>
              <w:rPr>
                <w:sz w:val="1"/>
                <w:szCs w:val="1"/>
                <w:color w:val="auto"/>
              </w:rPr>
            </w:pP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6,512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5,128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1,281</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1,156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6,800</w:t>
            </w: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44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7,873</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6,308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6,800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2021</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2020</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Liquidity risk</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On September 15, 2021, the Company entered into a credit agreement with a credit line of approximately €25 million. The loan agreement has a term until March 31, 2022 with a conditional option for a one-time extension for three months.</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For the six months ended June 30, 2021, the Group recognized a net loss of €16.0 million. The Group’s net current assets as at June 30, 2021 were €54.8 million. As of October 15, 2021, the Group has €28 million in available liquidity primarily consisting of cash and cash equivalents and unused credit lines available as well as other highly liquid assets.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discussions with a variety of other potential investors which are ongoing and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20"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These condensed consolidated interim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217" w:lineRule="exact"/>
        <w:rPr>
          <w:sz w:val="20"/>
          <w:szCs w:val="20"/>
          <w:color w:val="auto"/>
        </w:rPr>
      </w:pPr>
    </w:p>
    <w:p>
      <w:pPr>
        <w:ind w:left="2260" w:hanging="288"/>
        <w:spacing w:after="0"/>
        <w:tabs>
          <w:tab w:leader="none" w:pos="226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168" w:lineRule="exact"/>
        <w:rPr>
          <w:sz w:val="20"/>
          <w:szCs w:val="20"/>
          <w:color w:val="auto"/>
        </w:rPr>
      </w:pPr>
    </w:p>
    <w:p>
      <w:pPr>
        <w:ind w:left="2920" w:hanging="219"/>
        <w:spacing w:after="0"/>
        <w:tabs>
          <w:tab w:leader="none" w:pos="29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Joachim Horwath, CTO, Dipl.-Ing, Gilching (since February 17,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168" w:lineRule="exact"/>
        <w:rPr>
          <w:sz w:val="20"/>
          <w:szCs w:val="20"/>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6"/>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(until June 24, 2021)</w:t>
      </w:r>
    </w:p>
    <w:p>
      <w:pPr>
        <w:spacing w:after="0" w:line="98" w:lineRule="exact"/>
        <w:rPr>
          <w:rFonts w:ascii="Arial" w:cs="Arial" w:eastAsia="Arial" w:hAnsi="Arial"/>
          <w:sz w:val="11"/>
          <w:szCs w:val="11"/>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Steve Geskos, member of the Supervisory Board, Managing Director Rose Park Advisors (since May 14, 2021)</w:t>
      </w:r>
    </w:p>
    <w:p>
      <w:pPr>
        <w:spacing w:after="0" w:line="87" w:lineRule="exact"/>
        <w:rPr>
          <w:rFonts w:ascii="Arial" w:cs="Arial" w:eastAsia="Arial" w:hAnsi="Arial"/>
          <w:sz w:val="12"/>
          <w:szCs w:val="12"/>
          <w:color w:val="auto"/>
        </w:rPr>
      </w:pPr>
    </w:p>
    <w:p>
      <w:pPr>
        <w:ind w:left="2920" w:right="939" w:hanging="219"/>
        <w:spacing w:after="0" w:line="276" w:lineRule="auto"/>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Vincent Wobbe, member of the Supervisory Board, Head of Public Markets Investments Apeiron Investment Group (since June 24, 2021)</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 (until May 14, 2021)</w:t>
      </w:r>
    </w:p>
    <w:p>
      <w:pPr>
        <w:spacing w:after="0" w:line="245" w:lineRule="exact"/>
        <w:rPr>
          <w:rFonts w:ascii="Arial" w:cs="Arial" w:eastAsia="Arial" w:hAnsi="Arial"/>
          <w:sz w:val="12"/>
          <w:szCs w:val="12"/>
          <w:color w:val="auto"/>
        </w:rPr>
      </w:pPr>
    </w:p>
    <w:p>
      <w:pPr>
        <w:ind w:left="2260" w:hanging="288"/>
        <w:spacing w:after="0"/>
        <w:tabs>
          <w:tab w:leader="none" w:pos="226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54"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54" w:right="1440" w:bottom="1440" w:gutter="0" w:footer="0" w:header="0"/>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Management Board</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We have audited the accompanying consolidated statement of financial position of Mynaric AG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Going Concern</w:t>
      </w:r>
    </w:p>
    <w:p>
      <w:pPr>
        <w:spacing w:after="0" w:line="150"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34. b) (ii) to the consolidated financial statements, the Company faces material uncertainties related to: a) its operational cash flows in fiscal 2022, and b) requirements for additional financing, that raise substantial doubt about its ability to continue as a going concern. Management’s plans in regard to these matters are also described in Note 34. b) (ii). The consolidated financial statements do not include any adjustments that might result from the outcome of this uncertainty.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 KPMG AG Wirtschaftsprüfungsgesellschaft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2020.</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Munich, Germany</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October 18,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54"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6.</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679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Cost of materials</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8.</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(6,221)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Personnel expenses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(16,834)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expenses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(5,344)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12.</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637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9,375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(19,257)</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Net foreign exchange gain / (loss)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(513)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Income tax expense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Consolidated net loss for the year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367</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 for the year after tax</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205"/>
        </w:trPr>
        <w:tc>
          <w:tcPr>
            <w:tcW w:w="5860" w:type="dxa"/>
            <w:vAlign w:val="bottom"/>
          </w:tcPr>
          <w:p>
            <w:pPr>
              <w:spacing w:after="0"/>
              <w:rPr>
                <w:sz w:val="20"/>
                <w:szCs w:val="20"/>
                <w:color w:val="auto"/>
              </w:rPr>
            </w:pPr>
            <w:r>
              <w:rPr>
                <w:rFonts w:ascii="Arial" w:cs="Arial" w:eastAsia="Arial" w:hAnsi="Arial"/>
                <w:sz w:val="11"/>
                <w:szCs w:val="11"/>
                <w:b w:val="1"/>
                <w:bCs w:val="1"/>
                <w:color w:val="auto"/>
              </w:rPr>
              <w:t>Total comprehensive income/loss for the year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(19,403)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(9,939)</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71"/>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54" w:right="1440" w:bottom="1440" w:gutter="0" w:footer="0" w:header="0"/>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17,884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8,780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19.</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7,942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6,810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10,075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3,840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359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196</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36,260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19,626</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20.</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5,230</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1,266</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1,338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1,769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43,198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11,949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31,575</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3,995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2,904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25.</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108,189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46,409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314</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(53)</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(47,290)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(27,520)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6,800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5,972</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6,076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1,156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5,128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2,461</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31.</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1,196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411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3,759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15,868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9,835</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31,575</w:t>
            </w:r>
          </w:p>
        </w:tc>
      </w:tr>
    </w:tbl>
    <w:p>
      <w:pPr>
        <w:spacing w:after="0" w:line="9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54" w:right="1440" w:bottom="1440" w:gutter="0" w:footer="0" w:header="0"/>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460" w:type="dxa"/>
            <w:vAlign w:val="bottom"/>
            <w:gridSpan w:val="2"/>
          </w:tcPr>
          <w:p>
            <w:pPr>
              <w:jc w:val="right"/>
              <w:ind w:right="20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4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81"/>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January 1, 2019</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2,704</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35,044</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(10)</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(17,624)</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20,114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200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10,800</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11,000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(581)</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1,146</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(9,896)</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December 31, 2019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2,904</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46,409</w:t>
            </w:r>
          </w:p>
        </w:tc>
        <w:tc>
          <w:tcPr>
            <w:tcW w:w="20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18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(27,520)</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2,904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40" w:type="dxa"/>
            <w:vAlign w:val="bottom"/>
            <w:vMerge w:val="continue"/>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auto"/>
                <w:w w:val="94"/>
              </w:rPr>
              <w:t>1,091</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64,052</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70,643</w:t>
            </w:r>
          </w:p>
        </w:tc>
        <w:tc>
          <w:tcPr>
            <w:tcW w:w="0" w:type="dxa"/>
            <w:vAlign w:val="bottom"/>
          </w:tcPr>
          <w:p>
            <w:pPr>
              <w:spacing w:after="0"/>
              <w:rPr>
                <w:sz w:val="1"/>
                <w:szCs w:val="1"/>
                <w:color w:val="auto"/>
              </w:rPr>
            </w:pPr>
          </w:p>
        </w:tc>
      </w:tr>
      <w:tr>
        <w:trPr>
          <w:trHeight w:val="137"/>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(3,397)</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(3,397)</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1,125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(19,770)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(19,770)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367</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3,995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54"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0"/>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(19,770)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(9,896)</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Adjustments for: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1,840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1,117</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Gain from disposals of fixed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51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1,146</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(4,032)</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(982)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(589)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105</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(600)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(209)</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280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Trade and other payables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2,422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272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213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31</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(16,935)</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(8,319)</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Acquisition of intangible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(8,286)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(5,277)</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(6,724)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(1,890)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(15,010)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(7,167)</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issue of share capital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61,746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10,419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issue of convertible notes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short-term loans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2,500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Repayment of short-term loans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Payments of lease liabilities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(675)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(439)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Interests received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Interests paid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(555)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(93)</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other financial assets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741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1,571</w:t>
            </w:r>
          </w:p>
        </w:tc>
      </w:tr>
      <w:tr>
        <w:trPr>
          <w:trHeight w:val="131"/>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66,340</w:t>
            </w:r>
          </w:p>
        </w:tc>
        <w:tc>
          <w:tcPr>
            <w:tcW w:w="2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11,466</w:t>
            </w: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34,395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(4,020)</w:t>
            </w:r>
          </w:p>
        </w:tc>
      </w:tr>
      <w:tr>
        <w:trPr>
          <w:trHeight w:val="205"/>
        </w:trPr>
        <w:tc>
          <w:tcPr>
            <w:tcW w:w="6000" w:type="dxa"/>
            <w:vAlign w:val="bottom"/>
          </w:tcPr>
          <w:p>
            <w:pPr>
              <w:spacing w:after="0"/>
              <w:rPr>
                <w:sz w:val="20"/>
                <w:szCs w:val="20"/>
                <w:color w:val="auto"/>
              </w:rPr>
            </w:pPr>
            <w:r>
              <w:rPr>
                <w:rFonts w:ascii="Arial" w:cs="Arial" w:eastAsia="Arial" w:hAnsi="Arial"/>
                <w:sz w:val="11"/>
                <w:szCs w:val="11"/>
                <w:color w:val="auto"/>
              </w:rPr>
              <w:t>Cash and cash equivalents at January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8,914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12,923</w:t>
            </w:r>
          </w:p>
        </w:tc>
      </w:tr>
      <w:tr>
        <w:trPr>
          <w:trHeight w:val="137"/>
        </w:trPr>
        <w:tc>
          <w:tcPr>
            <w:tcW w:w="6000" w:type="dxa"/>
            <w:vAlign w:val="bottom"/>
            <w:shd w:val="clear" w:color="auto" w:fill="CCEEFF"/>
          </w:tcPr>
          <w:p>
            <w:pPr>
              <w:spacing w:after="0"/>
              <w:rPr>
                <w:sz w:val="20"/>
                <w:szCs w:val="20"/>
                <w:color w:val="auto"/>
              </w:rPr>
            </w:pPr>
            <w:r>
              <w:rPr>
                <w:rFonts w:ascii="Arial" w:cs="Arial" w:eastAsia="Arial" w:hAnsi="Arial"/>
                <w:sz w:val="11"/>
                <w:szCs w:val="11"/>
                <w:color w:val="auto"/>
              </w:rPr>
              <w:t>Effects of movements in exchange rates on cash held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Cash and cash equivalents at December 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43,198</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8,914</w:t>
            </w:r>
          </w:p>
        </w:tc>
        <w:tc>
          <w:tcPr>
            <w:tcW w:w="60" w:type="dxa"/>
            <w:vAlign w:val="bottom"/>
          </w:tcPr>
          <w:p>
            <w:pPr>
              <w:spacing w:after="0"/>
              <w:rPr>
                <w:sz w:val="11"/>
                <w:szCs w:val="11"/>
                <w:color w:val="auto"/>
              </w:rPr>
            </w:pPr>
          </w:p>
        </w:tc>
      </w:tr>
    </w:tbl>
    <w:p>
      <w:pPr>
        <w:spacing w:after="0" w:line="33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54" w:right="1440" w:bottom="1440" w:gutter="0" w:footer="0" w:header="0"/>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0"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AS OF AND FOR THE YEARS ENDED DECEMBER 31, 2020 AND 2019</w:t>
      </w:r>
    </w:p>
    <w:p>
      <w:pPr>
        <w:spacing w:after="0" w:line="168" w:lineRule="exact"/>
        <w:rPr>
          <w:sz w:val="20"/>
          <w:szCs w:val="20"/>
          <w:color w:val="auto"/>
        </w:rPr>
      </w:pPr>
    </w:p>
    <w:p>
      <w:pPr>
        <w:ind w:left="2260" w:hanging="288"/>
        <w:spacing w:after="0"/>
        <w:tabs>
          <w:tab w:leader="none" w:pos="2260"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Mynaric AG has three operating subsidiaries as of December 31, 2020. Mynaric Systems GmbH operations will be discontinued as part of corporate restructuring measures effective after December 31, 2020.</w:t>
      </w:r>
    </w:p>
    <w:p>
      <w:pPr>
        <w:spacing w:after="0" w:line="210" w:lineRule="exact"/>
        <w:rPr>
          <w:sz w:val="20"/>
          <w:szCs w:val="20"/>
          <w:color w:val="auto"/>
        </w:rPr>
      </w:pPr>
    </w:p>
    <w:p>
      <w:pPr>
        <w:ind w:left="2260" w:hanging="288"/>
        <w:spacing w:after="0"/>
        <w:tabs>
          <w:tab w:leader="none" w:pos="226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Mynaric AG prepares its consolidated financial statements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October 18, 2021.</w:t>
      </w:r>
    </w:p>
    <w:p>
      <w:pPr>
        <w:spacing w:after="0" w:line="124"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consolidated financial statements of Mynaric AG were prepared applying group accounting policies. The change in the accounting policies applied are driven by the changes in IFRS standards with a required application date on or after January 1, 2020.</w:t>
      </w:r>
    </w:p>
    <w:p>
      <w:pPr>
        <w:spacing w:after="0" w:line="115" w:lineRule="exact"/>
        <w:rPr>
          <w:sz w:val="20"/>
          <w:szCs w:val="20"/>
          <w:color w:val="auto"/>
        </w:rPr>
      </w:pPr>
    </w:p>
    <w:p>
      <w:pPr>
        <w:ind w:left="1980" w:right="1059"/>
        <w:spacing w:after="0" w:line="289" w:lineRule="auto"/>
        <w:rPr>
          <w:sz w:val="20"/>
          <w:szCs w:val="20"/>
          <w:color w:val="auto"/>
        </w:rPr>
      </w:pPr>
      <w:r>
        <w:rPr>
          <w:rFonts w:ascii="Arial" w:cs="Arial" w:eastAsia="Arial" w:hAnsi="Arial"/>
          <w:sz w:val="11"/>
          <w:szCs w:val="11"/>
          <w:color w:val="auto"/>
        </w:rPr>
        <w:t>The consolidated financial statements were prepared on a going concern basis; however, as described more fully in Note 34. b) (ii), management has indentified material uncertainties that may cast significant doubt on the Group’s ability to continue as a going concern. The consolidated financial statements were prepared on an accrual basis of accounting. The reporting currency is the euro (€). All amounts are stated in thousands of euros (€ thousand) unless otherwise stated. Rounding differences may result in differences in amounts and percentages.</w:t>
      </w:r>
    </w:p>
    <w:p>
      <w:pPr>
        <w:spacing w:after="0" w:line="111" w:lineRule="exact"/>
        <w:rPr>
          <w:sz w:val="20"/>
          <w:szCs w:val="20"/>
          <w:color w:val="auto"/>
        </w:rPr>
      </w:pPr>
    </w:p>
    <w:p>
      <w:pPr>
        <w:jc w:val="both"/>
        <w:ind w:left="1980" w:right="1059"/>
        <w:spacing w:after="0" w:line="263" w:lineRule="auto"/>
        <w:rPr>
          <w:sz w:val="20"/>
          <w:szCs w:val="20"/>
          <w:color w:val="auto"/>
        </w:rPr>
      </w:pPr>
      <w:r>
        <w:rPr>
          <w:rFonts w:ascii="Arial" w:cs="Arial" w:eastAsia="Arial" w:hAnsi="Arial"/>
          <w:sz w:val="12"/>
          <w:szCs w:val="12"/>
          <w:color w:val="auto"/>
        </w:rPr>
        <w:t>The consolidated statement of profit and loss was prepared using the nature of expense method. 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217" w:lineRule="exact"/>
        <w:rPr>
          <w:sz w:val="20"/>
          <w:szCs w:val="20"/>
          <w:color w:val="auto"/>
        </w:rPr>
      </w:pPr>
    </w:p>
    <w:p>
      <w:pPr>
        <w:ind w:left="2260" w:hanging="288"/>
        <w:spacing w:after="0"/>
        <w:tabs>
          <w:tab w:leader="none" w:pos="22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68" w:lineRule="exact"/>
        <w:rPr>
          <w:rFonts w:ascii="Arial" w:cs="Arial" w:eastAsia="Arial" w:hAnsi="Arial"/>
          <w:sz w:val="12"/>
          <w:szCs w:val="12"/>
          <w:b w:val="1"/>
          <w:bCs w:val="1"/>
          <w:color w:val="auto"/>
        </w:rPr>
      </w:pPr>
    </w:p>
    <w:p>
      <w:pPr>
        <w:ind w:left="2260" w:hanging="288"/>
        <w:spacing w:after="0"/>
        <w:tabs>
          <w:tab w:leader="none" w:pos="2260"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w:t>
      </w:r>
    </w:p>
    <w:p>
      <w:pPr>
        <w:spacing w:after="0" w:line="154"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consolidated financial statements include the financial statements of Mynaric AG and its subsidiaries as of December 31, 2020, and were prepared using accounting policies applied consistently throughout the Group. Subsidiaries are the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0159"/>
          </w:cols>
          <w:pgMar w:left="300" w:top="354"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Any intragroup balances, income and expenses, unrealized gains and losses, and dividends from intragroup transactions are fully eliminated.</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Set out below is the list of consolidated subsidiaries: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0" w:type="dxa"/>
            <w:vAlign w:val="bottom"/>
            <w:vMerge w:val="restart"/>
          </w:tcPr>
          <w:p>
            <w:pPr>
              <w:spacing w:after="0"/>
              <w:rPr>
                <w:sz w:val="20"/>
                <w:szCs w:val="20"/>
                <w:color w:val="auto"/>
              </w:rPr>
            </w:pPr>
            <w:r>
              <w:rPr>
                <w:rFonts w:ascii="Arial" w:cs="Arial" w:eastAsia="Arial" w:hAnsi="Arial"/>
                <w:sz w:val="10"/>
                <w:szCs w:val="10"/>
                <w:b w:val="1"/>
                <w:bCs w:val="1"/>
                <w:color w:val="auto"/>
                <w:w w:val="83"/>
              </w:rPr>
              <w:t>Company name</w:t>
            </w:r>
          </w:p>
        </w:tc>
        <w:tc>
          <w:tcPr>
            <w:tcW w:w="5000" w:type="dxa"/>
            <w:vAlign w:val="bottom"/>
            <w:vMerge w:val="restart"/>
          </w:tcPr>
          <w:p>
            <w:pPr>
              <w:spacing w:after="0"/>
              <w:rPr>
                <w:sz w:val="10"/>
                <w:szCs w:val="1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1"/>
              </w:rPr>
              <w:t>Shareholding</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40" w:type="dxa"/>
            <w:vAlign w:val="bottom"/>
            <w:tcBorders>
              <w:bottom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860" w:type="dxa"/>
            <w:vAlign w:val="bottom"/>
            <w:gridSpan w:val="2"/>
          </w:tcPr>
          <w:p>
            <w:pPr>
              <w:jc w:val="right"/>
              <w:ind w:right="500"/>
              <w:spacing w:after="0" w:line="105" w:lineRule="exact"/>
              <w:rPr>
                <w:sz w:val="20"/>
                <w:szCs w:val="20"/>
                <w:color w:val="auto"/>
              </w:rPr>
            </w:pPr>
            <w:r>
              <w:rPr>
                <w:rFonts w:ascii="Arial" w:cs="Arial" w:eastAsia="Arial" w:hAnsi="Arial"/>
                <w:sz w:val="10"/>
                <w:szCs w:val="10"/>
                <w:b w:val="1"/>
                <w:bCs w:val="1"/>
                <w:color w:val="auto"/>
              </w:rPr>
              <w:t>in %</w:t>
            </w:r>
          </w:p>
        </w:tc>
        <w:tc>
          <w:tcPr>
            <w:tcW w:w="8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Consolidation</w:t>
            </w:r>
          </w:p>
        </w:tc>
        <w:tc>
          <w:tcPr>
            <w:tcW w:w="0" w:type="dxa"/>
            <w:vAlign w:val="bottom"/>
          </w:tcPr>
          <w:p>
            <w:pPr>
              <w:spacing w:after="0"/>
              <w:rPr>
                <w:sz w:val="1"/>
                <w:szCs w:val="1"/>
                <w:color w:val="auto"/>
              </w:rPr>
            </w:pPr>
          </w:p>
        </w:tc>
      </w:tr>
      <w:tr>
        <w:trPr>
          <w:trHeight w:val="113"/>
        </w:trPr>
        <w:tc>
          <w:tcPr>
            <w:tcW w:w="5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Mynaric Lasercom GmbH, Gilching</w:t>
            </w: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100.0</w:t>
            </w:r>
          </w:p>
        </w:tc>
        <w:tc>
          <w:tcPr>
            <w:tcW w:w="3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40"/>
              <w:spacing w:after="0" w:line="113" w:lineRule="exact"/>
              <w:rPr>
                <w:sz w:val="20"/>
                <w:szCs w:val="20"/>
                <w:color w:val="auto"/>
              </w:rPr>
            </w:pPr>
            <w:r>
              <w:rPr>
                <w:rFonts w:ascii="Arial" w:cs="Arial" w:eastAsia="Arial" w:hAnsi="Arial"/>
                <w:sz w:val="11"/>
                <w:szCs w:val="11"/>
                <w:color w:val="auto"/>
                <w:w w:val="87"/>
              </w:rPr>
              <w:t>fully consolidated</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40" w:type="dxa"/>
            <w:vAlign w:val="bottom"/>
            <w:gridSpan w:val="2"/>
          </w:tcPr>
          <w:p>
            <w:pPr>
              <w:spacing w:after="0"/>
              <w:rPr>
                <w:sz w:val="20"/>
                <w:szCs w:val="20"/>
                <w:color w:val="auto"/>
              </w:rPr>
            </w:pPr>
            <w:r>
              <w:rPr>
                <w:rFonts w:ascii="Arial" w:cs="Arial" w:eastAsia="Arial" w:hAnsi="Arial"/>
                <w:sz w:val="11"/>
                <w:szCs w:val="11"/>
                <w:color w:val="auto"/>
              </w:rPr>
              <w:t>Mynaric Systems GmbH, Gilching</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r>
        <w:trPr>
          <w:trHeight w:val="135"/>
        </w:trPr>
        <w:tc>
          <w:tcPr>
            <w:tcW w:w="5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Mynaric USA, Inc., Los Angeles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b w:val="1"/>
          <w:bCs w:val="1"/>
          <w:color w:val="auto"/>
        </w:rPr>
        <w:t>Accounting Policies</w:t>
      </w:r>
    </w:p>
    <w:p>
      <w:pPr>
        <w:spacing w:after="0" w:line="168" w:lineRule="exact"/>
        <w:rPr>
          <w:sz w:val="20"/>
          <w:szCs w:val="20"/>
          <w:color w:val="auto"/>
        </w:rPr>
      </w:pPr>
    </w:p>
    <w:p>
      <w:pPr>
        <w:ind w:left="2620" w:hanging="360"/>
        <w:spacing w:after="0"/>
        <w:tabs>
          <w:tab w:leader="none" w:pos="262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in Foreign Currency and Translation into Foreign Currency</w:t>
      </w:r>
    </w:p>
    <w:p>
      <w:pPr>
        <w:spacing w:after="0" w:line="154"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consolidated financial statements are prepared in euro, the functional currency of the parent company.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the Group subsidiaries corresponds to their respective local currency. Foreign currency transactions are remeasured into the respective functional currencies of the Group companies at the exchange rates at the dates of the transactions.</w:t>
      </w:r>
    </w:p>
    <w:p>
      <w:pPr>
        <w:spacing w:after="0" w:line="12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2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Currency translation differences are recognized in other comprehensive income and presented as a reserve for exchange rate differences in equity to the extent that the currency translation differences are not allocated to the non-controlling interests.</w:t>
      </w:r>
    </w:p>
    <w:p>
      <w:pPr>
        <w:spacing w:after="0" w:line="115"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In the event of a full or partial disposal of a foreign operation causing a loss of control, significant influence, or joint control, the accumulated amount recognized in reserve for exchange rate differences recorded for that foreign operation up to that date is reclassified to profit or loss as part of the gains on disposal. In the event of only a partial disposal without loss of control over a subsidiary that comprises a foreign operation, the corresponding portion of the accumulated translation difference is allocated to the non-controlling interests. If the Group sells only part of a subsidiary or joint venture that comprises a foreign operation but maintains significant influence or joint control, the corresponding portion of the accumulated translation difference is reclassified to profit or loss.</w:t>
      </w:r>
    </w:p>
    <w:p>
      <w:pPr>
        <w:spacing w:after="0" w:line="223" w:lineRule="exact"/>
        <w:rPr>
          <w:sz w:val="20"/>
          <w:szCs w:val="20"/>
          <w:color w:val="auto"/>
        </w:rPr>
      </w:pPr>
    </w:p>
    <w:p>
      <w:pPr>
        <w:ind w:left="2620" w:hanging="360"/>
        <w:spacing w:after="0"/>
        <w:tabs>
          <w:tab w:leader="none" w:pos="2620"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In accordance with IFRS 15 (Revenue from Contracts with Customers), revenue is recognized when control over distinct goods or services is transferred to the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quality.</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0159"/>
          </w:cols>
          <w:pgMar w:left="300" w:top="354"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2280"/>
        <w:spacing w:after="0" w:line="263" w:lineRule="auto"/>
        <w:rPr>
          <w:sz w:val="20"/>
          <w:szCs w:val="20"/>
          <w:color w:val="auto"/>
        </w:rPr>
      </w:pPr>
      <w:r>
        <w:rPr>
          <w:rFonts w:ascii="Arial" w:cs="Arial" w:eastAsia="Arial" w:hAnsi="Arial"/>
          <w:sz w:val="12"/>
          <w:szCs w:val="12"/>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22" w:lineRule="exact"/>
        <w:rPr>
          <w:sz w:val="20"/>
          <w:szCs w:val="20"/>
          <w:color w:val="auto"/>
        </w:rPr>
      </w:pPr>
    </w:p>
    <w:p>
      <w:pPr>
        <w:ind w:left="1980" w:right="2100"/>
        <w:spacing w:after="0" w:line="259" w:lineRule="auto"/>
        <w:rPr>
          <w:sz w:val="20"/>
          <w:szCs w:val="20"/>
          <w:color w:val="auto"/>
        </w:rPr>
      </w:pPr>
      <w:r>
        <w:rPr>
          <w:rFonts w:ascii="Arial" w:cs="Arial" w:eastAsia="Arial" w:hAnsi="Arial"/>
          <w:sz w:val="12"/>
          <w:szCs w:val="12"/>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promised goods to the customer. For each performance obligation, revenue is recognized either at a point in time or over time.</w:t>
      </w:r>
    </w:p>
    <w:p>
      <w:pPr>
        <w:spacing w:after="0" w:line="124" w:lineRule="exact"/>
        <w:rPr>
          <w:sz w:val="20"/>
          <w:szCs w:val="20"/>
          <w:color w:val="auto"/>
        </w:rPr>
      </w:pPr>
    </w:p>
    <w:p>
      <w:pPr>
        <w:ind w:left="1980" w:right="2360"/>
        <w:spacing w:after="0" w:line="263" w:lineRule="auto"/>
        <w:rPr>
          <w:sz w:val="20"/>
          <w:szCs w:val="20"/>
          <w:color w:val="auto"/>
        </w:rPr>
      </w:pPr>
      <w:r>
        <w:rPr>
          <w:rFonts w:ascii="Arial" w:cs="Arial" w:eastAsia="Arial" w:hAnsi="Arial"/>
          <w:sz w:val="12"/>
          <w:szCs w:val="12"/>
          <w:color w:val="auto"/>
        </w:rPr>
        <w:t>Revenue recognition over time is required if the customer simultaneously receives and consumes the benefits provided by Mynaric’s performance, Mynaric creates or enhances an asset that is controlled by the customer, or Mynaric creates an asset without an alternative use to Mynaric and simultaneously has an enforceable right to payment for performance completed.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generates revenue from:</w:t>
      </w:r>
    </w:p>
    <w:p>
      <w:pPr>
        <w:spacing w:after="0" w:line="168" w:lineRule="exact"/>
        <w:rPr>
          <w:sz w:val="20"/>
          <w:szCs w:val="20"/>
          <w:color w:val="auto"/>
        </w:rPr>
      </w:pPr>
    </w:p>
    <w:p>
      <w:pPr>
        <w:ind w:left="2260" w:hanging="216"/>
        <w:spacing w:after="0"/>
        <w:tabs>
          <w:tab w:leader="none" w:pos="22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sale of laser communication terminals</w:t>
      </w:r>
    </w:p>
    <w:p>
      <w:pPr>
        <w:spacing w:after="0" w:line="168" w:lineRule="exact"/>
        <w:rPr>
          <w:rFonts w:ascii="Arial" w:cs="Arial" w:eastAsia="Arial" w:hAnsi="Arial"/>
          <w:sz w:val="12"/>
          <w:szCs w:val="12"/>
          <w:color w:val="auto"/>
        </w:rPr>
      </w:pPr>
    </w:p>
    <w:p>
      <w:pPr>
        <w:ind w:left="2260" w:hanging="216"/>
        <w:spacing w:after="0"/>
        <w:tabs>
          <w:tab w:leader="none" w:pos="22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provision of services (development and training services)</w:t>
      </w:r>
    </w:p>
    <w:p>
      <w:pPr>
        <w:spacing w:after="0" w:line="150" w:lineRule="exact"/>
        <w:rPr>
          <w:sz w:val="20"/>
          <w:szCs w:val="20"/>
          <w:color w:val="auto"/>
        </w:rPr>
      </w:pPr>
    </w:p>
    <w:p>
      <w:pPr>
        <w:ind w:left="1980" w:right="2460"/>
        <w:spacing w:after="0" w:line="276" w:lineRule="auto"/>
        <w:rPr>
          <w:sz w:val="20"/>
          <w:szCs w:val="20"/>
          <w:color w:val="auto"/>
        </w:rPr>
      </w:pPr>
      <w:r>
        <w:rPr>
          <w:rFonts w:ascii="Arial" w:cs="Arial" w:eastAsia="Arial" w:hAnsi="Arial"/>
          <w:sz w:val="12"/>
          <w:szCs w:val="12"/>
          <w:color w:val="auto"/>
        </w:rPr>
        <w:t>The following table provides information about the nature and timing of the satisfaction of performance obligations in contracts with customers, including significant payment terms, and the related revenue recognition policies.</w:t>
      </w:r>
    </w:p>
    <w:p>
      <w:pPr>
        <w:sectPr>
          <w:pgSz w:w="11900" w:h="16838" w:orient="portrait"/>
          <w:cols w:equalWidth="0" w:num="1">
            <w:col w:w="11360"/>
          </w:cols>
          <w:pgMar w:left="300" w:top="354" w:right="239" w:bottom="1440" w:gutter="0" w:footer="0" w:header="0"/>
        </w:sectPr>
      </w:pP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Type of</w:t>
      </w:r>
    </w:p>
    <w:p>
      <w:pPr>
        <w:spacing w:after="0" w:line="19"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product/service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Sale of products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Services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and timing of satisfaction of performance obligation including significant payment terms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Customers obtain control of the laser terminals when the goods are delivered to and have been accepted at their premises. Invoices are generated at that point in time. Invoices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Group provided training and development services to its customers. The customer simultaneously receives and consumes the benefits provided by the entity’s performance</w:t>
      </w:r>
    </w:p>
    <w:p>
      <w:pPr>
        <w:spacing w:after="0" w:line="222" w:lineRule="exact"/>
        <w:rPr>
          <w:sz w:val="20"/>
          <w:szCs w:val="20"/>
          <w:color w:val="auto"/>
        </w:rPr>
      </w:pPr>
    </w:p>
    <w:p>
      <w:pPr>
        <w:sectPr>
          <w:pgSz w:w="11900" w:h="16838" w:orient="portrait"/>
          <w:cols w:equalWidth="0" w:num="2">
            <w:col w:w="2880" w:space="80"/>
            <w:col w:w="8400"/>
          </w:cols>
          <w:pgMar w:left="300" w:top="354" w:right="239" w:bottom="1440" w:gutter="0" w:footer="0" w:header="0"/>
          <w:type w:val="continuous"/>
        </w:sectPr>
      </w:pPr>
    </w:p>
    <w:p>
      <w:pPr>
        <w:spacing w:after="0" w:line="36" w:lineRule="exact"/>
        <w:rPr>
          <w:sz w:val="20"/>
          <w:szCs w:val="20"/>
          <w:color w:val="auto"/>
        </w:rPr>
      </w:pPr>
    </w:p>
    <w:p>
      <w:pPr>
        <w:ind w:left="2620" w:hanging="360"/>
        <w:spacing w:after="0"/>
        <w:tabs>
          <w:tab w:leader="none" w:pos="2620"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Research Expenses and Non-capitalized Research and Development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Unless they must be capitalized in accordance with IAS 38, research and development expenses are recognized in profit or loss when incurred.</w:t>
      </w:r>
    </w:p>
    <w:p>
      <w:pPr>
        <w:spacing w:after="0" w:line="12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F-26</w:t>
      </w:r>
    </w:p>
    <w:p>
      <w:pPr>
        <w:sectPr>
          <w:pgSz w:w="11900" w:h="16838" w:orient="portrait"/>
          <w:cols w:equalWidth="0" w:num="1">
            <w:col w:w="11360"/>
          </w:cols>
          <w:pgMar w:left="300" w:top="354" w:right="239" w:bottom="1440" w:gutter="0" w:footer="0" w:header="0"/>
          <w:type w:val="continuous"/>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Government Grants</w:t>
      </w:r>
    </w:p>
    <w:p>
      <w:pPr>
        <w:spacing w:after="0" w:line="15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Company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2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Government grants related to costs incurred by the Group are recognized in profit or loss as other operating income in the period in which the Company recognizes as expenses the related costs to be compensated by the grants.</w:t>
      </w:r>
    </w:p>
    <w:p>
      <w:pPr>
        <w:spacing w:after="0" w:line="210" w:lineRule="exact"/>
        <w:rPr>
          <w:sz w:val="20"/>
          <w:szCs w:val="20"/>
          <w:color w:val="auto"/>
        </w:rPr>
      </w:pPr>
    </w:p>
    <w:p>
      <w:pPr>
        <w:ind w:left="2620" w:hanging="360"/>
        <w:spacing w:after="0"/>
        <w:tabs>
          <w:tab w:leader="none" w:pos="2620"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Result</w:t>
      </w:r>
    </w:p>
    <w:p>
      <w:pPr>
        <w:spacing w:after="0" w:line="154" w:lineRule="exact"/>
        <w:rPr>
          <w:sz w:val="20"/>
          <w:szCs w:val="20"/>
          <w:color w:val="auto"/>
        </w:rPr>
      </w:pPr>
    </w:p>
    <w:p>
      <w:pPr>
        <w:ind w:left="1980" w:right="1079"/>
        <w:spacing w:after="0" w:line="379" w:lineRule="auto"/>
        <w:rPr>
          <w:sz w:val="20"/>
          <w:szCs w:val="20"/>
          <w:color w:val="auto"/>
        </w:rPr>
      </w:pPr>
      <w:r>
        <w:rPr>
          <w:rFonts w:ascii="Arial" w:cs="Arial" w:eastAsia="Arial" w:hAnsi="Arial"/>
          <w:sz w:val="10"/>
          <w:szCs w:val="10"/>
          <w:color w:val="auto"/>
        </w:rPr>
        <w:t>The financial result includes the net income/expense from other financial expenses arising from liabilities, interest income from receivables, and the result from foreign currency translation. Interest income and interest expenses are recognized in profit or loss, using the effective interest method.</w:t>
      </w:r>
    </w:p>
    <w:p>
      <w:pPr>
        <w:spacing w:after="0" w:line="69"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Borrowing costs are expensed directly when incurred unless they are directly attributable to the acquisition, construction, or production of a qualifying asset and therefore form part of the cost of that asset.</w:t>
      </w:r>
    </w:p>
    <w:p>
      <w:pPr>
        <w:spacing w:after="0" w:line="210" w:lineRule="exact"/>
        <w:rPr>
          <w:sz w:val="20"/>
          <w:szCs w:val="20"/>
          <w:color w:val="auto"/>
        </w:rPr>
      </w:pPr>
    </w:p>
    <w:p>
      <w:pPr>
        <w:ind w:left="2620" w:hanging="360"/>
        <w:spacing w:after="0"/>
        <w:tabs>
          <w:tab w:leader="none" w:pos="2620"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15" w:lineRule="exact"/>
        <w:rPr>
          <w:sz w:val="20"/>
          <w:szCs w:val="20"/>
          <w:color w:val="auto"/>
        </w:rPr>
      </w:pPr>
    </w:p>
    <w:p>
      <w:pPr>
        <w:ind w:left="1980" w:right="1299"/>
        <w:spacing w:after="0" w:line="298" w:lineRule="auto"/>
        <w:rPr>
          <w:sz w:val="20"/>
          <w:szCs w:val="20"/>
          <w:color w:val="auto"/>
        </w:rPr>
      </w:pPr>
      <w:r>
        <w:rPr>
          <w:rFonts w:ascii="Arial" w:cs="Arial" w:eastAsia="Arial" w:hAnsi="Arial"/>
          <w:sz w:val="11"/>
          <w:szCs w:val="11"/>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05"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In accordance with IAS 38, development costs must be capitalized if the criteria set out in IAS 38.57 are fulfilled, while research costs must be expensed in the period in which they are incurred. Mynaric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0159"/>
          </w:cols>
          <w:pgMar w:left="300" w:top="354"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Group capitalizes costs for the development of a technology until the time that development of such technology is completed. The capitalized development costs are amortized on a straight-line basis over the future economic useful life of 15 years, starting upon completion of the development project (technology). We defined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223" w:lineRule="exact"/>
        <w:rPr>
          <w:sz w:val="20"/>
          <w:szCs w:val="20"/>
          <w:color w:val="auto"/>
        </w:rPr>
      </w:pPr>
    </w:p>
    <w:p>
      <w:pPr>
        <w:ind w:left="2620" w:hanging="360"/>
        <w:spacing w:after="0"/>
        <w:tabs>
          <w:tab w:leader="none" w:pos="26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 xml:space="preserve">Property, plant, and equipment are recognized at cost, including proportionate borrowing costs, less any accumulated depreciation and/or any accumulated impairment losses. Depreciation is recognized on a straight-line basis </w:t>
      </w:r>
      <w:r>
        <w:rPr>
          <w:rFonts w:ascii="Arial" w:cs="Arial" w:eastAsia="Arial" w:hAnsi="Arial"/>
          <w:sz w:val="12"/>
          <w:szCs w:val="12"/>
          <w:i w:val="1"/>
          <w:iCs w:val="1"/>
          <w:color w:val="auto"/>
        </w:rPr>
        <w:t>pro rata temporis</w:t>
      </w:r>
      <w:r>
        <w:rPr>
          <w:rFonts w:ascii="Arial" w:cs="Arial" w:eastAsia="Arial" w:hAnsi="Arial"/>
          <w:sz w:val="12"/>
          <w:szCs w:val="12"/>
          <w:color w:val="auto"/>
        </w:rPr>
        <w:t>. The depreciation period is based on the expected useful life of the asset. The underlying useful life is three years for computer hardware, and ranges between three and 14 years for machinery, furniture, fixtures, and office equipment, as well as leasehold improvements.</w:t>
      </w:r>
    </w:p>
    <w:p>
      <w:pPr>
        <w:spacing w:after="0" w:line="12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10" w:lineRule="exact"/>
        <w:rPr>
          <w:sz w:val="20"/>
          <w:szCs w:val="20"/>
          <w:color w:val="auto"/>
        </w:rPr>
      </w:pPr>
    </w:p>
    <w:p>
      <w:pPr>
        <w:ind w:left="2620" w:hanging="360"/>
        <w:spacing w:after="0"/>
        <w:tabs>
          <w:tab w:leader="none" w:pos="2620"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Non-current Non-financial Assets</w:t>
      </w:r>
    </w:p>
    <w:p>
      <w:pPr>
        <w:spacing w:after="0" w:line="154"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As of each reporting date, Mynaric reviews whether any indication exists that non-financial assets may be subject to impairment losses or reversals of impairment losses. If such indications exist, Mynaric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Intangible assets not yet available for use with indefinite useful lives are tested for impairment at least once per year.</w:t>
      </w:r>
    </w:p>
    <w:p>
      <w:pPr>
        <w:spacing w:after="0" w:line="150"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15"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The value in use is determined by discounting expected future cash flows from continuing use of the cash-generating units using a risk-adjusted pre-tax interest rate. The future cash flows are determined based on the long-term planning approved by the management as applicable as of the date when the impairment test is conducted.</w:t>
      </w:r>
    </w:p>
    <w:p>
      <w:pPr>
        <w:spacing w:after="0" w:line="122" w:lineRule="exact"/>
        <w:rPr>
          <w:sz w:val="20"/>
          <w:szCs w:val="20"/>
          <w:color w:val="auto"/>
        </w:rPr>
      </w:pPr>
    </w:p>
    <w:p>
      <w:pPr>
        <w:ind w:left="1980" w:right="1099"/>
        <w:spacing w:after="0" w:line="285" w:lineRule="auto"/>
        <w:rPr>
          <w:sz w:val="20"/>
          <w:szCs w:val="20"/>
          <w:color w:val="auto"/>
        </w:rPr>
      </w:pPr>
      <w:r>
        <w:rPr>
          <w:rFonts w:ascii="Arial" w:cs="Arial" w:eastAsia="Arial" w:hAnsi="Arial"/>
          <w:sz w:val="11"/>
          <w:szCs w:val="11"/>
          <w:color w:val="auto"/>
        </w:rPr>
        <w:t>If the value in use is lower than the carrying amount, the fair value less costs to sell is additionally ascertained in order to determine the recoverable amount. As of each reporting date, the Company reviews whether an impairment loss recognized in previous periods no longer exists or may have decreased. In these cases, Mynaric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08" w:lineRule="exact"/>
        <w:rPr>
          <w:sz w:val="20"/>
          <w:szCs w:val="20"/>
          <w:color w:val="auto"/>
        </w:rPr>
      </w:pPr>
    </w:p>
    <w:p>
      <w:pPr>
        <w:ind w:left="2620" w:hanging="360"/>
        <w:spacing w:after="0"/>
        <w:tabs>
          <w:tab w:leader="none" w:pos="2620"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Inventories are recognized at the lower of cost and net realizable value. The cost (including costs of purchase and costs of conversion) is determined based on the moving average price of the item.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54"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Apart from directly attributable unit costs, production costs include appropriate portions of production overheads based on normal operating capacity.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net realizable value is the estimated selling price in the ordinary course of business, less the estimated costs of completion and selling expenses.</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Write-downs to the lower net realizable values primarily take into account inventory risks resulting from turnover period and reduced recoverability.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Write-downs are reversed if the reasons that resulted in the impairment of inventories no longer exist.</w:t>
      </w:r>
    </w:p>
    <w:p>
      <w:pPr>
        <w:spacing w:after="0" w:line="236" w:lineRule="exact"/>
        <w:rPr>
          <w:sz w:val="20"/>
          <w:szCs w:val="20"/>
          <w:color w:val="auto"/>
        </w:rPr>
      </w:pPr>
    </w:p>
    <w:p>
      <w:pPr>
        <w:ind w:left="2620" w:hanging="360"/>
        <w:spacing w:after="0"/>
        <w:tabs>
          <w:tab w:leader="none" w:pos="2620"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Assets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classifies its financial assets into the following measurement categories, based on the relevant business model:</w:t>
      </w:r>
    </w:p>
    <w:p>
      <w:pPr>
        <w:spacing w:after="0" w:line="87" w:lineRule="exact"/>
        <w:rPr>
          <w:sz w:val="20"/>
          <w:szCs w:val="20"/>
          <w:color w:val="auto"/>
        </w:rPr>
      </w:pPr>
    </w:p>
    <w:p>
      <w:pPr>
        <w:ind w:left="2260" w:hanging="288"/>
        <w:spacing w:after="0"/>
        <w:tabs>
          <w:tab w:leader="none" w:pos="2260" w:val="left"/>
        </w:tabs>
        <w:numPr>
          <w:ilvl w:val="0"/>
          <w:numId w:val="143"/>
        </w:numPr>
        <w:rPr>
          <w:rFonts w:ascii="Arial" w:cs="Arial" w:eastAsia="Arial" w:hAnsi="Arial"/>
          <w:sz w:val="10"/>
          <w:szCs w:val="10"/>
          <w:color w:val="auto"/>
        </w:rPr>
      </w:pPr>
      <w:r>
        <w:rPr>
          <w:rFonts w:ascii="Arial" w:cs="Arial" w:eastAsia="Arial" w:hAnsi="Arial"/>
          <w:sz w:val="10"/>
          <w:szCs w:val="10"/>
          <w:color w:val="auto"/>
        </w:rPr>
        <w:t>those that are measured subsequently at fair value (either through other comprehensive income - FVOCI - or through profit or loss - FVPL -); and</w:t>
      </w:r>
    </w:p>
    <w:p>
      <w:pPr>
        <w:spacing w:after="0" w:line="110" w:lineRule="exact"/>
        <w:rPr>
          <w:rFonts w:ascii="Arial" w:cs="Arial" w:eastAsia="Arial" w:hAnsi="Arial"/>
          <w:sz w:val="10"/>
          <w:szCs w:val="10"/>
          <w:color w:val="auto"/>
        </w:rPr>
      </w:pPr>
    </w:p>
    <w:p>
      <w:pPr>
        <w:ind w:left="2260" w:hanging="288"/>
        <w:spacing w:after="0"/>
        <w:tabs>
          <w:tab w:leader="none" w:pos="226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those that are measured at amortized cost (AmC).</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Currently, no financial assets are allocated to the FVOCI and FVPL categories.</w:t>
      </w:r>
    </w:p>
    <w:p>
      <w:pPr>
        <w:spacing w:after="0" w:line="15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Trade receivables and debt instruments are presented from the date on which they are issued. Financial assets are accounted for at trade date, i.e. the date on which the Group becomes a party pursuant to the contractual provisions of the instrument.</w:t>
      </w:r>
    </w:p>
    <w:p>
      <w:pPr>
        <w:spacing w:after="0" w:line="115"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Upon initial recognition, the Group measures a financial asset at fair value. In the case of a financial asset subsequently not measured at fair value through profit or loss, transaction costs that are directly allocable to the acquisition of the asset are added to the fair value. Transaction costs allocable to financial assets measured at fair value through profit or loss are recognized as expenses in the statement of profit or loss.</w:t>
      </w:r>
    </w:p>
    <w:p>
      <w:pPr>
        <w:spacing w:after="0" w:line="10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15" w:lineRule="exact"/>
        <w:rPr>
          <w:sz w:val="20"/>
          <w:szCs w:val="20"/>
          <w:color w:val="auto"/>
        </w:rPr>
      </w:pPr>
    </w:p>
    <w:p>
      <w:pPr>
        <w:jc w:val="both"/>
        <w:ind w:left="1980" w:right="899"/>
        <w:spacing w:after="0" w:line="326" w:lineRule="auto"/>
        <w:rPr>
          <w:sz w:val="20"/>
          <w:szCs w:val="20"/>
          <w:color w:val="auto"/>
        </w:rPr>
      </w:pPr>
      <w:r>
        <w:rPr>
          <w:rFonts w:ascii="Arial" w:cs="Arial" w:eastAsia="Arial" w:hAnsi="Arial"/>
          <w:sz w:val="10"/>
          <w:szCs w:val="10"/>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allocated to this category.</w:t>
      </w:r>
    </w:p>
    <w:p>
      <w:pPr>
        <w:spacing w:after="0" w:line="95"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case of trade receivables and other assets, the Group applies the simplified approach in accordance with IFRS 9, pursuant to which the lifetime expected credit losses have to be recognized since the initial recognition of the receivables.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For the purpose of measuring expected credit losses, trade receivables were combined in groups based on common credit risk characteristics.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0159"/>
          </w:cols>
          <w:pgMar w:left="300" w:top="354" w:right="1440" w:bottom="1440" w:gutter="0" w:footer="0" w:header="0"/>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Financial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Group holds the following instruments as financial assets that are subject to the credit loss model in accordance with IFRS 9:</w:t>
      </w:r>
    </w:p>
    <w:p>
      <w:pPr>
        <w:spacing w:after="0" w:line="87" w:lineRule="exact"/>
        <w:rPr>
          <w:sz w:val="20"/>
          <w:szCs w:val="20"/>
          <w:color w:val="auto"/>
        </w:rPr>
      </w:pPr>
    </w:p>
    <w:p>
      <w:pPr>
        <w:ind w:left="2920" w:hanging="291"/>
        <w:spacing w:after="0"/>
        <w:tabs>
          <w:tab w:leader="none" w:pos="29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Trade receivables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Other financial assets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Deposits at banks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Bank balances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the basis of forward-looking information, the Group ascertains the expected credit losses associated with its debt instruments measured at amortized cost. The impairment method depends on whether a significant increase in credit risk has occurred (general approach). The recognition of expected credit losses follows a 3-stage model for the allocation of loss allowances. In general, all instruments have to be allocated to Stage 1 upon initial recognition. In relation to such instruments, the present value of the expected payment defaults resulting from potential default events within the next 12 months after the reporting date must be recorded as an expense. Stage 2 comprises all instruments for which the credit risk has increased significantly compared to the date of initial recognition. For instruments classified in Stage 3, there is also objective evidence of impairment. As of the reporting date, no instruments were allocated to Stage 2 and Stage 3.</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simplified approach is applied for the determination of expected credit losses arising in connection with trade receivables.</w:t>
      </w:r>
    </w:p>
    <w:p>
      <w:pPr>
        <w:spacing w:after="0" w:line="15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Expected losses resulting from bank balances, which can be classified as other financial assets due to their maturity, are negligible and are therefore not recognized.</w:t>
      </w:r>
    </w:p>
    <w:p>
      <w:pPr>
        <w:spacing w:after="0" w:line="210" w:lineRule="exact"/>
        <w:rPr>
          <w:sz w:val="20"/>
          <w:szCs w:val="20"/>
          <w:color w:val="auto"/>
        </w:rPr>
      </w:pPr>
    </w:p>
    <w:p>
      <w:pPr>
        <w:ind w:left="2620" w:hanging="360"/>
        <w:spacing w:after="0"/>
        <w:tabs>
          <w:tab w:leader="none" w:pos="2620"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Current taxes</w:t>
      </w:r>
    </w:p>
    <w:p>
      <w:pPr>
        <w:spacing w:after="0" w:line="150"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The currently applicable tax rates are not expected to change in the short term. All necessary adjustments to tax liabilities or tax assets from prior periods are also considered.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is not aware of any material uncertainties over tax treatments due to a different interpretation of tax regulations by the taxation authorities.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Deferred taxes</w:t>
      </w:r>
    </w:p>
    <w:p>
      <w:pPr>
        <w:spacing w:after="0" w:line="150"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In accordance with IAS 12, temporary differences between the tax base of assets and liabilities on the one hand and their carrying amount under IFRS/IAS,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54"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Current and deferred income taxes for 2020 were determined using varying specific tax rates. The Group applies a tax rate of 27.725% to calculate deferred taxes for domestic Group companies.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2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Deferred tax assets and liabilities are offset if the deferred taxes refer to income taxes levied by the same taxation authority and if the current taxes are offset against each other.</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Changes in deferred tax assets and liabilities are generally recognized through profit and loss, except for changes recognized in other comprehensive income or directly in equity.</w:t>
      </w:r>
    </w:p>
    <w:p>
      <w:pPr>
        <w:spacing w:after="0" w:line="210" w:lineRule="exact"/>
        <w:rPr>
          <w:sz w:val="20"/>
          <w:szCs w:val="20"/>
          <w:color w:val="auto"/>
        </w:rPr>
      </w:pPr>
    </w:p>
    <w:p>
      <w:pPr>
        <w:ind w:left="2620" w:hanging="360"/>
        <w:spacing w:after="0"/>
        <w:tabs>
          <w:tab w:leader="none" w:pos="2620"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fair value measured upon granting share-based payments is expensed over the vesting period, with a corresponding increase in equity on the basis of the Group’s expectation that the equity instruments will vest. The Group reviews its estimates regarding the number of equity instruments that will vest as of each reporting date. The effects of changes to the original estimates made are recorded in profit or loss, with a simultaneous adjustment of the recognized reserve.</w:t>
      </w:r>
    </w:p>
    <w:p>
      <w:pPr>
        <w:spacing w:after="0" w:line="219" w:lineRule="exact"/>
        <w:rPr>
          <w:sz w:val="20"/>
          <w:szCs w:val="20"/>
          <w:color w:val="auto"/>
        </w:rPr>
      </w:pPr>
    </w:p>
    <w:p>
      <w:pPr>
        <w:ind w:left="2620" w:hanging="360"/>
        <w:spacing w:after="0"/>
        <w:tabs>
          <w:tab w:leader="none" w:pos="2620"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Provisions</w:t>
      </w:r>
    </w:p>
    <w:p>
      <w:pPr>
        <w:spacing w:after="0" w:line="154"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For long-term provisions with an interest portion the increase in the amount of a provision reflecting the time value of money is recognized as interest expense in the financial result.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Provisions are reviewed as of each reporting date and adjusted to the current best estimate.</w:t>
      </w:r>
    </w:p>
    <w:p>
      <w:pPr>
        <w:spacing w:after="0" w:line="245" w:lineRule="exact"/>
        <w:rPr>
          <w:sz w:val="20"/>
          <w:szCs w:val="20"/>
          <w:color w:val="auto"/>
        </w:rPr>
      </w:pPr>
    </w:p>
    <w:p>
      <w:pPr>
        <w:ind w:left="2620" w:hanging="360"/>
        <w:spacing w:after="0"/>
        <w:tabs>
          <w:tab w:leader="none" w:pos="2620"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Liabilities</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Financial liabilities are classified upon initial recognition as financial liabilities measured at fair value through profit or loss, as loans, as liabilities, or as derivatives that are designated as hedging instruments and are effective as such. All financial liabilities are measured at fair value upon initial recognition, less any directly attributable transaction costs in the case of loans and liabilities.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Group’s financial liabilities comprise trade and other payables as well as liabilities to banks, including overdraft credits.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F-31</w:t>
      </w:r>
    </w:p>
    <w:p>
      <w:pPr>
        <w:sectPr>
          <w:pgSz w:w="11900" w:h="16838" w:orient="portrait"/>
          <w:cols w:equalWidth="0" w:num="1">
            <w:col w:w="10159"/>
          </w:cols>
          <w:pgMar w:left="300" w:top="354"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subsequent measurement of financial liabilities depends on their classification, as shown below:</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fair value through profit or loss</w:t>
      </w:r>
    </w:p>
    <w:p>
      <w:pPr>
        <w:spacing w:after="0" w:line="150"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financial liability is classified as held for trading if it is acquired for the purpose of repurchasing it in the near term.</w:t>
      </w:r>
    </w:p>
    <w:p>
      <w:pPr>
        <w:spacing w:after="0" w:line="150"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Gains or losses on financial liabilities held for trading are recognized in profit or loss.</w:t>
      </w:r>
    </w:p>
    <w:p>
      <w:pPr>
        <w:spacing w:after="0" w:line="150"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The classification of financial liabilities as measured at fair value through profit or loss is made upon initial recognition if the criteria pursuant to IFRS 9 are met. Mynaric does not have any financial liabilities that are classified as measured at fair value through profit or loss.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amortized cost (“FLAC”)</w:t>
      </w:r>
    </w:p>
    <w:p>
      <w:pPr>
        <w:spacing w:after="0" w:line="150"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217" w:lineRule="exact"/>
        <w:rPr>
          <w:sz w:val="20"/>
          <w:szCs w:val="20"/>
          <w:color w:val="auto"/>
        </w:rPr>
      </w:pPr>
    </w:p>
    <w:p>
      <w:pPr>
        <w:ind w:left="2620" w:hanging="360"/>
        <w:spacing w:after="0"/>
        <w:tabs>
          <w:tab w:leader="none" w:pos="2620" w:val="left"/>
        </w:tabs>
        <w:numPr>
          <w:ilvl w:val="0"/>
          <w:numId w:val="150"/>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Group as lessee</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Group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Right-of-use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recognizes right-of-use assets as of the commencement date (i.e. the date on which the underlying leased asset is available for use).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Right-of-use assets are measured at cost less any accumulated depreciation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159"/>
          </w:cols>
          <w:pgMar w:left="300" w:top="354" w:right="1440" w:bottom="1440" w:gutter="0" w:footer="0" w:header="0"/>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leases, as follows:</w:t>
      </w:r>
    </w:p>
    <w:p>
      <w:pPr>
        <w:spacing w:after="0" w:line="61" w:lineRule="exact"/>
        <w:rPr>
          <w:sz w:val="20"/>
          <w:szCs w:val="20"/>
          <w:color w:val="auto"/>
        </w:rPr>
      </w:pPr>
    </w:p>
    <w:p>
      <w:pPr>
        <w:ind w:left="2260" w:hanging="288"/>
        <w:spacing w:after="0"/>
        <w:tabs>
          <w:tab w:leader="none" w:pos="22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Real estate – three to 10 years</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Other leases – two to three years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If ownership of the leased asset is transferred to the Group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 liabilities</w:t>
      </w:r>
    </w:p>
    <w:p>
      <w:pPr>
        <w:spacing w:after="0" w:line="150"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On the commencement date, the Group recognizes the lease liabilities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occurred. The Group determines the lease term based on the non-cancelable period of a lease, together with both periods covered by an option to extend the lease if the lessee is reasonably certain to exercise that option, and periods covered by an option to terminate the lease if the lessee is reasonably certain not to exercise that option. The assessment of whether a lessee is reasonably certain to exercise an option to extend or terminate a lease is subject to material judgments to be made by the management (see Note 4. Material judgments, estimates, and assumptions).</w:t>
      </w:r>
    </w:p>
    <w:p>
      <w:pPr>
        <w:spacing w:after="0" w:line="119"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 Group would have to pay to borrow over a similar term, and with a similar security, the funds necessary to obtain an asset of a similar value to the right-of-use asset in a similar economic environment. After the commencement date, the amount of the lease liabilities is increased to account for the higher interest expense and reduced to reflect the lease payments made.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Short-term leases and leases for low-value assets</w:t>
      </w:r>
    </w:p>
    <w:p>
      <w:pPr>
        <w:spacing w:after="0" w:line="150" w:lineRule="exact"/>
        <w:rPr>
          <w:sz w:val="20"/>
          <w:szCs w:val="20"/>
          <w:color w:val="auto"/>
        </w:rPr>
      </w:pPr>
    </w:p>
    <w:p>
      <w:pPr>
        <w:jc w:val="both"/>
        <w:ind w:left="1980" w:right="899"/>
        <w:spacing w:after="0" w:line="289" w:lineRule="auto"/>
        <w:rPr>
          <w:sz w:val="20"/>
          <w:szCs w:val="20"/>
          <w:color w:val="auto"/>
        </w:rPr>
      </w:pPr>
      <w:r>
        <w:rPr>
          <w:rFonts w:ascii="Arial" w:cs="Arial" w:eastAsia="Arial" w:hAnsi="Arial"/>
          <w:sz w:val="11"/>
          <w:szCs w:val="11"/>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F-33</w:t>
      </w:r>
    </w:p>
    <w:p>
      <w:pPr>
        <w:sectPr>
          <w:pgSz w:w="11900" w:h="16838" w:orient="portrait"/>
          <w:cols w:equalWidth="0" w:num="1">
            <w:col w:w="10159"/>
          </w:cols>
          <w:pgMar w:left="300" w:top="354"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0"/>
          <w:szCs w:val="10"/>
          <w:b w:val="1"/>
          <w:bCs w:val="1"/>
          <w:color w:val="auto"/>
        </w:rPr>
        <w:t>Changes in accounting policies</w:t>
      </w:r>
    </w:p>
    <w:p>
      <w:pPr>
        <w:spacing w:after="0" w:line="168" w:lineRule="exact"/>
        <w:rPr>
          <w:sz w:val="20"/>
          <w:szCs w:val="20"/>
          <w:color w:val="auto"/>
        </w:rPr>
      </w:pPr>
    </w:p>
    <w:p>
      <w:pPr>
        <w:ind w:left="2620" w:hanging="360"/>
        <w:spacing w:after="0"/>
        <w:tabs>
          <w:tab w:leader="none" w:pos="2620"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standards and interpretations</w:t>
      </w:r>
    </w:p>
    <w:p>
      <w:pPr>
        <w:spacing w:after="0" w:line="154" w:lineRule="exact"/>
        <w:rPr>
          <w:sz w:val="20"/>
          <w:szCs w:val="20"/>
          <w:color w:val="auto"/>
        </w:rPr>
      </w:pPr>
    </w:p>
    <w:p>
      <w:pPr>
        <w:ind w:left="1980" w:right="859"/>
        <w:spacing w:after="0" w:line="379" w:lineRule="auto"/>
        <w:rPr>
          <w:sz w:val="20"/>
          <w:szCs w:val="20"/>
          <w:color w:val="auto"/>
        </w:rPr>
      </w:pPr>
      <w:r>
        <w:rPr>
          <w:rFonts w:ascii="Arial" w:cs="Arial" w:eastAsia="Arial" w:hAnsi="Arial"/>
          <w:sz w:val="10"/>
          <w:szCs w:val="10"/>
          <w:color w:val="auto"/>
        </w:rPr>
        <w:t>The International Accounting Standards Board (IASB) and the IFRS IC amended the following standards and interpretations that must be applied for the fiscal year 2020 from January 1, 2020 – with the exception of the practical expedients set out in IFRS 16, which must be applied from June 1, 2020:</w:t>
      </w:r>
    </w:p>
    <w:p>
      <w:pPr>
        <w:spacing w:after="0" w:line="6" w:lineRule="exact"/>
        <w:rPr>
          <w:sz w:val="20"/>
          <w:szCs w:val="20"/>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Amendments to references to the Conceptual Framework in several standards and interpretations</w:t>
      </w:r>
    </w:p>
    <w:p>
      <w:pPr>
        <w:spacing w:after="0" w:line="78" w:lineRule="exact"/>
        <w:rPr>
          <w:rFonts w:ascii="Arial" w:cs="Arial" w:eastAsia="Arial" w:hAnsi="Arial"/>
          <w:sz w:val="12"/>
          <w:szCs w:val="12"/>
          <w:color w:val="auto"/>
        </w:rPr>
      </w:pPr>
    </w:p>
    <w:p>
      <w:pPr>
        <w:ind w:left="2260" w:right="879"/>
        <w:spacing w:after="0" w:line="289" w:lineRule="auto"/>
        <w:rPr>
          <w:rFonts w:ascii="Arial" w:cs="Arial" w:eastAsia="Arial" w:hAnsi="Arial"/>
          <w:sz w:val="12"/>
          <w:szCs w:val="12"/>
          <w:color w:val="auto"/>
        </w:rPr>
      </w:pPr>
      <w:r>
        <w:rPr>
          <w:rFonts w:ascii="Arial" w:cs="Arial" w:eastAsia="Arial" w:hAnsi="Arial"/>
          <w:sz w:val="11"/>
          <w:szCs w:val="11"/>
          <w:color w:val="auto"/>
        </w:rPr>
        <w:t>The IASB published a revised Conceptual Framework in 2018. The revision focused mainly on conceptual elements of accounting, such as the definition of assets and liabilities. The revision did not result in any material changes. As a result of the modified Conceptual Framework, several references in standards and interpretations were adapted accordingly to the Conceptual Framework. In this context, the IASB issued a summary of the amendments to references to the Conceptual Framework in IFRS standards.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Amendments to IAS 1 and IAS 8: Definition of “Material”</w:t>
      </w:r>
    </w:p>
    <w:p>
      <w:pPr>
        <w:spacing w:after="0" w:line="78" w:lineRule="exact"/>
        <w:rPr>
          <w:rFonts w:ascii="Arial" w:cs="Arial" w:eastAsia="Arial" w:hAnsi="Arial"/>
          <w:sz w:val="12"/>
          <w:szCs w:val="12"/>
          <w:color w:val="auto"/>
        </w:rPr>
      </w:pPr>
    </w:p>
    <w:p>
      <w:pPr>
        <w:ind w:left="2260" w:right="859"/>
        <w:spacing w:after="0" w:line="289" w:lineRule="auto"/>
        <w:rPr>
          <w:rFonts w:ascii="Arial" w:cs="Arial" w:eastAsia="Arial" w:hAnsi="Arial"/>
          <w:sz w:val="12"/>
          <w:szCs w:val="12"/>
          <w:color w:val="auto"/>
        </w:rPr>
      </w:pPr>
      <w:r>
        <w:rPr>
          <w:rFonts w:ascii="Arial" w:cs="Arial" w:eastAsia="Arial" w:hAnsi="Arial"/>
          <w:sz w:val="11"/>
          <w:szCs w:val="11"/>
          <w:color w:val="auto"/>
        </w:rPr>
        <w:t>As a result of the amendments to IAS 1 and IAS 8 published in October 2018, the principle of materiality, which must generally be complied with, was refined and deviating definitions of materiality included in individual standards were aligned to the definition of materiality in the Conceptual Framework. Pursuant to the revised definition of the term “materiality,” information is deemed material if omitting, misstating, or obscuring such information could reasonably be expected to influence decisions made by the primary users of financial statements.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Amendments to IFRS 9, IAS 39 and IFRS 7: IBOR reform</w:t>
      </w:r>
    </w:p>
    <w:p>
      <w:pPr>
        <w:spacing w:after="0" w:line="78" w:lineRule="exact"/>
        <w:rPr>
          <w:rFonts w:ascii="Arial" w:cs="Arial" w:eastAsia="Arial" w:hAnsi="Arial"/>
          <w:sz w:val="12"/>
          <w:szCs w:val="12"/>
          <w:color w:val="auto"/>
        </w:rPr>
      </w:pPr>
    </w:p>
    <w:p>
      <w:pPr>
        <w:ind w:left="2260" w:right="879"/>
        <w:spacing w:after="0" w:line="285" w:lineRule="auto"/>
        <w:rPr>
          <w:rFonts w:ascii="Arial" w:cs="Arial" w:eastAsia="Arial" w:hAnsi="Arial"/>
          <w:sz w:val="12"/>
          <w:szCs w:val="12"/>
          <w:color w:val="auto"/>
        </w:rPr>
      </w:pPr>
      <w:r>
        <w:rPr>
          <w:rFonts w:ascii="Arial" w:cs="Arial" w:eastAsia="Arial" w:hAnsi="Arial"/>
          <w:sz w:val="11"/>
          <w:szCs w:val="11"/>
          <w:color w:val="auto"/>
        </w:rPr>
        <w:t>At the end of September 2019, the IASB published amendments as part of the Interest Rate Benchmark Reform. The objective of the amendments is to eliminate uncertainties in the application of IFRS 9, IAS 39, and IFRS 7 due to the IBOR reform when using new benchmark interest rates. The modifications mainly include certain expedients as regards hedge accounting provisions to continue to account for existing hedging relationships despite the uncertainties in terms of cash flows. Moreover, an exemption was introduced as regards the retrospective assessment in accordance with IAS 39 as well as a practical expedient with respect to separate identifiability in macro hedging.</w:t>
      </w:r>
    </w:p>
    <w:p>
      <w:pPr>
        <w:spacing w:after="0" w:line="50" w:lineRule="exact"/>
        <w:rPr>
          <w:rFonts w:ascii="Arial" w:cs="Arial" w:eastAsia="Arial" w:hAnsi="Arial"/>
          <w:sz w:val="12"/>
          <w:szCs w:val="12"/>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Amendments to IFRS 16 (Covid-19-Related Rent Concessions) (application from June 1, 2020)</w:t>
      </w:r>
    </w:p>
    <w:p>
      <w:pPr>
        <w:spacing w:after="0" w:line="78" w:lineRule="exact"/>
        <w:rPr>
          <w:rFonts w:ascii="Arial" w:cs="Arial" w:eastAsia="Arial" w:hAnsi="Arial"/>
          <w:sz w:val="12"/>
          <w:szCs w:val="12"/>
          <w:color w:val="auto"/>
        </w:rPr>
      </w:pPr>
    </w:p>
    <w:p>
      <w:pPr>
        <w:ind w:left="2260" w:right="859"/>
        <w:spacing w:after="0" w:line="254" w:lineRule="auto"/>
        <w:rPr>
          <w:rFonts w:ascii="Arial" w:cs="Arial" w:eastAsia="Arial" w:hAnsi="Arial"/>
          <w:sz w:val="12"/>
          <w:szCs w:val="12"/>
          <w:color w:val="auto"/>
        </w:rPr>
      </w:pPr>
      <w:r>
        <w:rPr>
          <w:rFonts w:ascii="Arial" w:cs="Arial" w:eastAsia="Arial" w:hAnsi="Arial"/>
          <w:sz w:val="12"/>
          <w:szCs w:val="12"/>
          <w:color w:val="auto"/>
        </w:rPr>
        <w:t>The coronavirus pandemic led to adjustments and/or renegotiations of leases around the globe to mitigate the financial impact, which was also due to the lockdowns imposed by governments. In accordance with IFRS 16, subsequent contractual adjustments, such as rent-free periods, rent reductions, or rent holidays, are generally classified as lease modifications and the occurrence of such modifications is subject to certain legal consequences. As a result of the Covid-19-related expedients regarding the application of IFRS 16, the lessee may elect not to account for Covid-19-related rent concessions as a modification if certain criteria are met. In terms of the application of the practical expedient, rent remissions/reductions and rent holidays must be accounted for differently in the financial statements, with consistent application being stipulated for similarly structured contracts.</w:t>
      </w:r>
    </w:p>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has adopted all financial reporting rules that must be applied from January 1, 2020 and June 1, 2020, respectively. The application did not have a significant impact on the consolidated financial statements.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54"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rules that have not yet been applied</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IASB has issued standards, interpretations, and amendments to existing standards whose application is not yet required or which must be applied only in subsequent reporting periods, respectively, and which have not been applied early by Mynaric AG.</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4"/>
              </w:rPr>
              <w:t>Date of application</w:t>
            </w:r>
          </w:p>
        </w:tc>
      </w:tr>
      <w:tr>
        <w:trPr>
          <w:trHeight w:val="124"/>
        </w:trPr>
        <w:tc>
          <w:tcPr>
            <w:tcW w:w="65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Amendments to IFRS 4</w:t>
            </w: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Jan. 1, 2021</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IFRS 9, IAS 39, IFRS 7, IFRS 4 and IFRS 16: IBOR Reform Phase 2</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2021</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IFRS 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16</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IAS 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Annual Improvements 2018-2020</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Insurance Contracts IFRS 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Definition of Accounting Estimates (Amendments to IAS 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bl>
    <w:p>
      <w:pPr>
        <w:spacing w:after="0" w:line="13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Company is currently analyzing the effects of the new or revised financial reporting standards listed above but does not expect any material effects resulting from application of the revised standards to the Group.</w:t>
      </w:r>
    </w:p>
    <w:p>
      <w:pPr>
        <w:spacing w:after="0" w:line="210" w:lineRule="exact"/>
        <w:rPr>
          <w:sz w:val="20"/>
          <w:szCs w:val="20"/>
          <w:color w:val="auto"/>
        </w:rPr>
      </w:pPr>
    </w:p>
    <w:p>
      <w:pPr>
        <w:ind w:left="2260" w:hanging="288"/>
        <w:spacing w:after="0"/>
        <w:tabs>
          <w:tab w:leader="none" w:pos="2260" w:val="left"/>
        </w:tabs>
        <w:numPr>
          <w:ilvl w:val="0"/>
          <w:numId w:val="155"/>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245" w:lineRule="exact"/>
        <w:rPr>
          <w:sz w:val="20"/>
          <w:szCs w:val="20"/>
          <w:color w:val="auto"/>
        </w:rPr>
      </w:pPr>
    </w:p>
    <w:p>
      <w:pPr>
        <w:ind w:left="2620" w:hanging="360"/>
        <w:spacing w:after="0"/>
        <w:tabs>
          <w:tab w:leader="none" w:pos="2620"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Judgments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Information on management judgments made in the application of accounting policies that most significantly affect the amounts recognized in the financial statements are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Group determines the lease term based on the non-cancelable period, together with both periods covered by an option to extend the lease if the lessee is reasonably certain to exercise that option, and periods covered by an option to terminate the lease if the lessee is reasonably certain not to exercise that option. Mynaric has entered into several leases that include extension or termination options,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Mynaric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time periods that result from a termination option are included in the lease term only if it is reasonably certain that the option will not be exercised.</w:t>
      </w:r>
    </w:p>
    <w:p>
      <w:pPr>
        <w:spacing w:after="0" w:line="16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54"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Useful life of self-generated intangible assets</w:t>
      </w:r>
    </w:p>
    <w:p>
      <w:pPr>
        <w:spacing w:after="0" w:line="150"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Management uses for the purposes of initial recognition and subsequent valuation of self-generated intangible assets a useful life of 15 years. The useful life is estimated based on the expected product life, which is determined based on the company’s own technical assessment and market studies. If the useful life used would be different from 15 years, it may result in changes to the expected discounted cash flows, which in turn may result in impairment losses required to be recorded for these assets.</w:t>
      </w:r>
    </w:p>
    <w:p>
      <w:pPr>
        <w:spacing w:after="0" w:line="219" w:lineRule="exact"/>
        <w:rPr>
          <w:sz w:val="20"/>
          <w:szCs w:val="20"/>
          <w:color w:val="auto"/>
        </w:rPr>
      </w:pPr>
    </w:p>
    <w:p>
      <w:pPr>
        <w:ind w:left="2620" w:hanging="360"/>
        <w:spacing w:after="0"/>
        <w:tabs>
          <w:tab w:leader="none" w:pos="2620"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Estimates and Assumptions</w:t>
      </w:r>
    </w:p>
    <w:p>
      <w:pPr>
        <w:spacing w:after="0" w:line="15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Information about assumptions and estimation uncertainty as of December 31, 2020 that might result in a significant risk that a material adjustment to the carrying amounts of the reported assets and liabilities is required, is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Estimates and management judgments due to the COVID-19 pandemic</w:t>
      </w:r>
    </w:p>
    <w:p>
      <w:pPr>
        <w:spacing w:after="0" w:line="15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a result of the inability to fully predict the global impact of the COVID-19 pandemic, the estimates and judgments in connection with recognized assets and liabilities are particularly subject to an increased uncertainty.</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For the purpose of updating estimates and judgments, available information about the expected economic development as well as country-specific government measures are considered.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Impairment of intangible assets and other non-financial assets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The measurement of intangible assets is based on long-term corporate planning using market- and company-specific discount rates as well as expected growth rates and exchange rates (please refer to the Note 17. for more information). The assumptions made for planning may be subject to changes, which in turn may result in impairment losses required to be recorded for these assets.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Recognition of deferred tax assets</w:t>
      </w:r>
    </w:p>
    <w:p>
      <w:pPr>
        <w:spacing w:after="0" w:line="150"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 Any potential change in taxable income that differs from estimates may result in deferred tax assets not being recoverable.</w:t>
      </w:r>
    </w:p>
    <w:p>
      <w:pPr>
        <w:spacing w:after="0" w:line="105"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50"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0159"/>
          </w:cols>
          <w:pgMar w:left="300" w:top="354" w:right="1440" w:bottom="1440" w:gutter="0" w:footer="0" w:header="0"/>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payment</w:t>
      </w:r>
    </w:p>
    <w:p>
      <w:pPr>
        <w:spacing w:after="0" w:line="150"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determination of the fair value of share-based payments considers the estimated volatility. Please refer to Note 9. a) Share-based payments for more information.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 risks and governmental proceedings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Within the course of its ordinary activities, the Group may at times be involved in legal disputes or faced with government investigations.</w:t>
      </w:r>
    </w:p>
    <w:p>
      <w:pPr>
        <w:spacing w:after="0" w:line="150"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Legal proceedings and government investigations often involve complex legal issues and are subject to substantial uncertainties. Accordingly, management exercises material judgment in determining whether there is a present obligation as a result of a past event as of the reporting date, whether a future outflow of resources is likely, and whether the amount of the obligation can be reliably estimated. Mynaric periodically reviews the status of these proceedings with both inside and outside counsel. Therefore, it is possible that the amount of the provisions for pending or imminent proceedings must be adjusted due to new future developments. Changes in estimates and assumptions may significantly impact the Group’s financial performance in the future. It is also possible that in some cases the recognized provisions may turn out to be insufficient after the end of the proceedings or the Group may be obliged to make payments in legal proceedings for which no provisions were recognized.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210" w:lineRule="exact"/>
        <w:rPr>
          <w:sz w:val="20"/>
          <w:szCs w:val="20"/>
          <w:color w:val="auto"/>
        </w:rPr>
      </w:pPr>
    </w:p>
    <w:p>
      <w:pPr>
        <w:ind w:left="2260" w:hanging="288"/>
        <w:spacing w:after="0"/>
        <w:tabs>
          <w:tab w:leader="none" w:pos="2260"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54"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Fiscal year 2020</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420" w:type="dxa"/>
            <w:vAlign w:val="bottom"/>
            <w:gridSpan w:val="2"/>
            <w:vMerge w:val="continue"/>
          </w:tcPr>
          <w:p>
            <w:pPr>
              <w:spacing w:after="0"/>
              <w:rPr>
                <w:sz w:val="10"/>
                <w:szCs w:val="10"/>
                <w:color w:val="auto"/>
              </w:rPr>
            </w:pPr>
          </w:p>
        </w:tc>
        <w:tc>
          <w:tcPr>
            <w:tcW w:w="44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94"/>
              </w:rPr>
              <w:t>Space</w:t>
            </w:r>
          </w:p>
        </w:tc>
        <w:tc>
          <w:tcPr>
            <w:tcW w:w="56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82"/>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8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589</w:t>
            </w: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220</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(2,290)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(4,923)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w w:val="92"/>
              </w:rPr>
              <w:t>(11,911)</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(16,834)</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(1,320)</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9"/>
                <w:szCs w:val="9"/>
                <w:color w:val="auto"/>
              </w:rPr>
              <w:t>(443)</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(5,344)</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637</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2,102</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7,273</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(6,423)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(19,257)</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140"/>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Fiscal year 2019</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420" w:type="dxa"/>
            <w:vAlign w:val="bottom"/>
            <w:gridSpan w:val="2"/>
            <w:vMerge w:val="continue"/>
          </w:tcPr>
          <w:p>
            <w:pPr>
              <w:spacing w:after="0"/>
              <w:rPr>
                <w:sz w:val="10"/>
                <w:szCs w:val="10"/>
                <w:color w:val="auto"/>
              </w:rPr>
            </w:pPr>
          </w:p>
        </w:tc>
        <w:tc>
          <w:tcPr>
            <w:tcW w:w="44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94"/>
              </w:rPr>
              <w:t>Space</w:t>
            </w:r>
          </w:p>
        </w:tc>
        <w:tc>
          <w:tcPr>
            <w:tcW w:w="56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82"/>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8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105</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147</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(1,864)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(4,585)</w:t>
            </w: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9"/>
                <w:szCs w:val="9"/>
                <w:color w:val="auto"/>
              </w:rPr>
              <w:t>(1,041)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(616)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(1,556)</w:t>
            </w: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9"/>
                <w:szCs w:val="9"/>
                <w:color w:val="auto"/>
              </w:rPr>
              <w:t>(179)</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230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2,184</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3,227</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(5,091)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(1.220)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(10,078)</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r>
        <w:trPr>
          <w:trHeight w:val="140"/>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An amount of €467 thousand (previous year: €114 thousand), corresponding to a share of 69% (previous year: 100%) of total revenue, was attributable to one customer of the Mynaric Group.</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 of the respective asset; non-current assets are allocated to the location of the respective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44450</wp:posOffset>
            </wp:positionV>
            <wp:extent cx="51435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65" w:lineRule="exact"/>
        <w:rPr>
          <w:sz w:val="20"/>
          <w:szCs w:val="20"/>
          <w:color w:val="auto"/>
        </w:rPr>
      </w:pPr>
    </w:p>
    <w:p>
      <w:pPr>
        <w:ind w:left="2260" w:hanging="288"/>
        <w:spacing w:after="0"/>
        <w:tabs>
          <w:tab w:leader="none" w:pos="2260" w:val="left"/>
        </w:tabs>
        <w:numPr>
          <w:ilvl w:val="0"/>
          <w:numId w:val="159"/>
        </w:numPr>
        <w:rPr>
          <w:rFonts w:ascii="Arial" w:cs="Arial" w:eastAsia="Arial" w:hAnsi="Arial"/>
          <w:sz w:val="8"/>
          <w:szCs w:val="8"/>
          <w:color w:val="auto"/>
        </w:rPr>
      </w:pPr>
      <w:r>
        <w:rPr>
          <w:rFonts w:ascii="Arial" w:cs="Arial" w:eastAsia="Arial" w:hAnsi="Arial"/>
          <w:sz w:val="10"/>
          <w:szCs w:val="10"/>
          <w:color w:val="auto"/>
        </w:rPr>
        <w:t>Including expenses for preparation of the financial statements and for audit of the financial statements as well as Supervisory Board remuneration.</w:t>
      </w:r>
    </w:p>
    <w:p>
      <w:pPr>
        <w:ind w:left="2260" w:right="919" w:hanging="288"/>
        <w:spacing w:after="0" w:line="221" w:lineRule="auto"/>
        <w:tabs>
          <w:tab w:leader="none" w:pos="2260" w:val="left"/>
        </w:tabs>
        <w:numPr>
          <w:ilvl w:val="0"/>
          <w:numId w:val="159"/>
        </w:numPr>
        <w:rPr>
          <w:rFonts w:ascii="Arial" w:cs="Arial" w:eastAsia="Arial" w:hAnsi="Arial"/>
          <w:sz w:val="8"/>
          <w:szCs w:val="8"/>
          <w:color w:val="auto"/>
        </w:rPr>
      </w:pPr>
      <w:r>
        <w:rPr>
          <w:rFonts w:ascii="Arial" w:cs="Arial" w:eastAsia="Arial" w:hAnsi="Arial"/>
          <w:sz w:val="10"/>
          <w:szCs w:val="10"/>
          <w:color w:val="auto"/>
        </w:rPr>
        <w:t>Including expenses from a private stock option transaction between a shareholder of Mynaric AG and Mr. Altan, the Chief Executive Officer and a member of the management board of Mynaric AG, which are recognized in accordance with IFRS 2.</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F-38</w:t>
      </w:r>
    </w:p>
    <w:p>
      <w:pPr>
        <w:sectPr>
          <w:pgSz w:w="11900" w:h="16838" w:orient="portrait"/>
          <w:cols w:equalWidth="0" w:num="1">
            <w:col w:w="10159"/>
          </w:cols>
          <w:pgMar w:left="300" w:top="354"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Air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Canada</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122</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USA</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467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589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71"/>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United Kingdom</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288"/>
        </w:trPr>
        <w:tc>
          <w:tcPr>
            <w:tcW w:w="6440" w:type="dxa"/>
            <w:vAlign w:val="bottom"/>
            <w:gridSpan w:val="2"/>
          </w:tcPr>
          <w:p>
            <w:pPr>
              <w:spacing w:after="0"/>
              <w:rPr>
                <w:sz w:val="20"/>
                <w:szCs w:val="20"/>
                <w:color w:val="auto"/>
              </w:rPr>
            </w:pPr>
            <w:r>
              <w:rPr>
                <w:rFonts w:ascii="Arial" w:cs="Arial" w:eastAsia="Arial" w:hAnsi="Arial"/>
                <w:sz w:val="12"/>
                <w:szCs w:val="12"/>
                <w:color w:val="auto"/>
              </w:rPr>
              <w:t>Non-current assets can be broken down by country as follows: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vMerge w:val="restart"/>
          </w:tcPr>
          <w:p>
            <w:pPr>
              <w:spacing w:after="0"/>
              <w:rPr>
                <w:sz w:val="21"/>
                <w:szCs w:val="21"/>
                <w:color w:val="auto"/>
              </w:rPr>
            </w:pPr>
          </w:p>
        </w:tc>
        <w:tc>
          <w:tcPr>
            <w:tcW w:w="52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4"/>
              </w:rPr>
              <w:t>Dec. 31,</w:t>
            </w: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
          </w:tcPr>
          <w:p>
            <w:pPr>
              <w:jc w:val="right"/>
              <w:ind w:right="2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44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w w:val="94"/>
              </w:rPr>
              <w:t>17,884</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8,780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9,849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6,886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6,810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34,619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19,430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1,056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USA,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1,282</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35,901</w:t>
            </w:r>
          </w:p>
        </w:tc>
        <w:tc>
          <w:tcPr>
            <w:tcW w:w="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19,430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5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1"/>
                <w:szCs w:val="11"/>
                <w:color w:val="auto"/>
              </w:rPr>
            </w:pPr>
          </w:p>
        </w:tc>
      </w:tr>
      <w:tr>
        <w:trPr>
          <w:trHeight w:val="113"/>
        </w:trPr>
        <w:tc>
          <w:tcPr>
            <w:tcW w:w="4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1"/>
              </w:rPr>
              <w:t>Deliveries</w:t>
            </w:r>
          </w:p>
        </w:tc>
        <w:tc>
          <w:tcPr>
            <w:tcW w:w="63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559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60" w:type="dxa"/>
            <w:vAlign w:val="bottom"/>
          </w:tcPr>
          <w:p>
            <w:pPr>
              <w:spacing w:after="0"/>
              <w:rPr>
                <w:sz w:val="20"/>
                <w:szCs w:val="20"/>
                <w:color w:val="auto"/>
              </w:rPr>
            </w:pPr>
            <w:r>
              <w:rPr>
                <w:rFonts w:ascii="Arial" w:cs="Arial" w:eastAsia="Arial" w:hAnsi="Arial"/>
                <w:sz w:val="11"/>
                <w:szCs w:val="11"/>
                <w:color w:val="auto"/>
              </w:rPr>
              <w:t>Services</w:t>
            </w:r>
          </w:p>
        </w:tc>
        <w:tc>
          <w:tcPr>
            <w:tcW w:w="6660" w:type="dxa"/>
            <w:vAlign w:val="bottom"/>
            <w:gridSpan w:val="3"/>
          </w:tcPr>
          <w:p>
            <w:pPr>
              <w:jc w:val="right"/>
              <w:ind w:right="100"/>
              <w:spacing w:after="0"/>
              <w:rPr>
                <w:sz w:val="20"/>
                <w:szCs w:val="20"/>
                <w:color w:val="auto"/>
              </w:rPr>
            </w:pPr>
            <w:r>
              <w:rPr>
                <w:rFonts w:ascii="Arial" w:cs="Arial" w:eastAsia="Arial" w:hAnsi="Arial"/>
                <w:sz w:val="11"/>
                <w:szCs w:val="11"/>
                <w:color w:val="auto"/>
              </w:rPr>
              <w:t>120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6"/>
              </w:rPr>
              <w:t>114</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60" w:type="dxa"/>
            <w:vAlign w:val="bottom"/>
          </w:tcPr>
          <w:p>
            <w:pPr>
              <w:spacing w:after="0"/>
              <w:rPr>
                <w:sz w:val="20"/>
                <w:szCs w:val="20"/>
                <w:color w:val="auto"/>
              </w:rPr>
            </w:pPr>
            <w:r>
              <w:rPr>
                <w:rFonts w:ascii="Arial" w:cs="Arial" w:eastAsia="Arial" w:hAnsi="Arial"/>
                <w:sz w:val="12"/>
                <w:szCs w:val="12"/>
                <w:b w:val="1"/>
                <w:bCs w:val="1"/>
                <w:color w:val="auto"/>
              </w:rPr>
              <w:t>7.</w:t>
            </w:r>
          </w:p>
        </w:tc>
        <w:tc>
          <w:tcPr>
            <w:tcW w:w="326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operating income</w:t>
            </w: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3520" w:type="dxa"/>
            <w:vAlign w:val="bottom"/>
            <w:gridSpan w:val="3"/>
          </w:tcPr>
          <w:p>
            <w:pPr>
              <w:spacing w:after="0"/>
              <w:rPr>
                <w:sz w:val="20"/>
                <w:szCs w:val="20"/>
                <w:color w:val="auto"/>
              </w:rPr>
            </w:pPr>
            <w:r>
              <w:rPr>
                <w:rFonts w:ascii="Arial" w:cs="Arial" w:eastAsia="Arial" w:hAnsi="Arial"/>
                <w:sz w:val="12"/>
                <w:szCs w:val="12"/>
                <w:color w:val="auto"/>
                <w:w w:val="91"/>
              </w:rPr>
              <w:t>The following table shows the breakdown of the other operating income:</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352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22"/>
                <w:szCs w:val="22"/>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5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Income from government grants</w:t>
            </w:r>
          </w:p>
        </w:tc>
        <w:tc>
          <w:tcPr>
            <w:tcW w:w="33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294</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140</w:t>
            </w:r>
          </w:p>
        </w:tc>
        <w:tc>
          <w:tcPr>
            <w:tcW w:w="40" w:type="dxa"/>
            <w:vAlign w:val="bottom"/>
            <w:shd w:val="clear" w:color="auto" w:fill="CCEEFF"/>
          </w:tcPr>
          <w:p>
            <w:pPr>
              <w:spacing w:after="0"/>
              <w:rPr>
                <w:sz w:val="9"/>
                <w:szCs w:val="9"/>
                <w:color w:val="auto"/>
              </w:rPr>
            </w:pPr>
          </w:p>
        </w:tc>
      </w:tr>
      <w:tr>
        <w:trPr>
          <w:trHeight w:val="135"/>
        </w:trPr>
        <w:tc>
          <w:tcPr>
            <w:tcW w:w="3520" w:type="dxa"/>
            <w:vAlign w:val="bottom"/>
            <w:gridSpan w:val="3"/>
          </w:tcPr>
          <w:p>
            <w:pPr>
              <w:spacing w:after="0"/>
              <w:rPr>
                <w:sz w:val="20"/>
                <w:szCs w:val="20"/>
                <w:color w:val="auto"/>
              </w:rPr>
            </w:pPr>
            <w:r>
              <w:rPr>
                <w:rFonts w:ascii="Arial" w:cs="Arial" w:eastAsia="Arial" w:hAnsi="Arial"/>
                <w:sz w:val="11"/>
                <w:szCs w:val="11"/>
                <w:color w:val="auto"/>
              </w:rPr>
              <w:t>Late payment penalties claimed</w:t>
            </w:r>
          </w:p>
        </w:tc>
        <w:tc>
          <w:tcPr>
            <w:tcW w:w="3600" w:type="dxa"/>
            <w:vAlign w:val="bottom"/>
            <w:gridSpan w:val="3"/>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76</w:t>
            </w:r>
          </w:p>
        </w:tc>
      </w:tr>
      <w:tr>
        <w:trPr>
          <w:trHeight w:val="135"/>
        </w:trPr>
        <w:tc>
          <w:tcPr>
            <w:tcW w:w="3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Miscellaneous operating income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r>
      <w:tr>
        <w:trPr>
          <w:trHeight w:val="140"/>
        </w:trPr>
        <w:tc>
          <w:tcPr>
            <w:tcW w:w="260" w:type="dxa"/>
            <w:vAlign w:val="bottom"/>
          </w:tcPr>
          <w:p>
            <w:pPr>
              <w:spacing w:after="0"/>
              <w:rPr>
                <w:sz w:val="20"/>
                <w:szCs w:val="20"/>
                <w:color w:val="auto"/>
              </w:rPr>
            </w:pPr>
            <w:r>
              <w:rPr>
                <w:rFonts w:ascii="Arial" w:cs="Arial" w:eastAsia="Arial" w:hAnsi="Arial"/>
                <w:sz w:val="11"/>
                <w:szCs w:val="11"/>
                <w:b w:val="1"/>
                <w:bCs w:val="1"/>
                <w:color w:val="auto"/>
                <w:w w:val="91"/>
              </w:rPr>
              <w:t>Total</w:t>
            </w:r>
          </w:p>
        </w:tc>
        <w:tc>
          <w:tcPr>
            <w:tcW w:w="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294</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6"/>
              </w:rPr>
              <w:t>252</w:t>
            </w:r>
          </w:p>
        </w:tc>
      </w:tr>
      <w:tr>
        <w:trPr>
          <w:trHeight w:val="238"/>
        </w:trPr>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gridSpan w:val="3"/>
          </w:tcPr>
          <w:p>
            <w:pPr>
              <w:ind w:left="40"/>
              <w:spacing w:after="0"/>
              <w:rPr>
                <w:sz w:val="20"/>
                <w:szCs w:val="20"/>
                <w:color w:val="auto"/>
              </w:rPr>
            </w:pPr>
            <w:r>
              <w:rPr>
                <w:rFonts w:ascii="Arial" w:cs="Arial" w:eastAsia="Arial" w:hAnsi="Arial"/>
                <w:sz w:val="12"/>
                <w:szCs w:val="12"/>
                <w:color w:val="auto"/>
              </w:rPr>
              <w:t>F-39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8.</w:t>
            </w:r>
          </w:p>
        </w:tc>
        <w:tc>
          <w:tcPr>
            <w:tcW w:w="6420" w:type="dxa"/>
            <w:vAlign w:val="bottom"/>
            <w:gridSpan w:val="2"/>
          </w:tcPr>
          <w:p>
            <w:pPr>
              <w:ind w:left="40"/>
              <w:spacing w:after="0"/>
              <w:rPr>
                <w:sz w:val="20"/>
                <w:szCs w:val="20"/>
                <w:color w:val="auto"/>
              </w:rPr>
            </w:pPr>
            <w:r>
              <w:rPr>
                <w:rFonts w:ascii="Arial" w:cs="Arial" w:eastAsia="Arial" w:hAnsi="Arial"/>
                <w:sz w:val="12"/>
                <w:szCs w:val="12"/>
                <w:b w:val="1"/>
                <w:bCs w:val="1"/>
                <w:color w:val="auto"/>
              </w:rPr>
              <w:t>Cost of materials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6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cost of materials: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Raw materials and consumables used</w:t>
            </w: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4,715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1,208</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3"/>
          </w:tcPr>
          <w:p>
            <w:pPr>
              <w:spacing w:after="0"/>
              <w:rPr>
                <w:sz w:val="20"/>
                <w:szCs w:val="20"/>
                <w:color w:val="auto"/>
              </w:rPr>
            </w:pPr>
            <w:r>
              <w:rPr>
                <w:rFonts w:ascii="Arial" w:cs="Arial" w:eastAsia="Arial" w:hAnsi="Arial"/>
                <w:sz w:val="11"/>
                <w:szCs w:val="11"/>
                <w:color w:val="auto"/>
              </w:rPr>
              <w:t>Expenses for services purchased</w:t>
            </w:r>
          </w:p>
        </w:tc>
        <w:tc>
          <w:tcPr>
            <w:tcW w:w="380" w:type="dxa"/>
            <w:vAlign w:val="bottom"/>
            <w:gridSpan w:val="2"/>
          </w:tcPr>
          <w:p>
            <w:pPr>
              <w:ind w:left="40"/>
              <w:spacing w:after="0"/>
              <w:rPr>
                <w:sz w:val="20"/>
                <w:szCs w:val="20"/>
                <w:color w:val="auto"/>
              </w:rPr>
            </w:pPr>
            <w:r>
              <w:rPr>
                <w:rFonts w:ascii="Arial" w:cs="Arial" w:eastAsia="Arial" w:hAnsi="Arial"/>
                <w:sz w:val="11"/>
                <w:szCs w:val="11"/>
                <w:color w:val="auto"/>
              </w:rPr>
              <w:t>1,506</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1,582</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6,221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2,790</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9.</w:t>
            </w:r>
          </w:p>
        </w:tc>
        <w:tc>
          <w:tcPr>
            <w:tcW w:w="6360" w:type="dxa"/>
            <w:vAlign w:val="bottom"/>
            <w:gridSpan w:val="2"/>
          </w:tcPr>
          <w:p>
            <w:pPr>
              <w:ind w:left="40"/>
              <w:spacing w:after="0"/>
              <w:rPr>
                <w:sz w:val="20"/>
                <w:szCs w:val="20"/>
                <w:color w:val="auto"/>
              </w:rPr>
            </w:pPr>
            <w:r>
              <w:rPr>
                <w:rFonts w:ascii="Arial" w:cs="Arial" w:eastAsia="Arial" w:hAnsi="Arial"/>
                <w:sz w:val="12"/>
                <w:szCs w:val="12"/>
                <w:b w:val="1"/>
                <w:bCs w:val="1"/>
                <w:color w:val="auto"/>
              </w:rPr>
              <w:t>Personnel expenses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0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personnel expenses: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0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0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Wages and salaries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9"/>
              </w:rPr>
              <w:t>14,710</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8,306</w:t>
            </w:r>
          </w:p>
        </w:tc>
        <w:tc>
          <w:tcPr>
            <w:tcW w:w="40" w:type="dxa"/>
            <w:vAlign w:val="bottom"/>
            <w:shd w:val="clear" w:color="auto" w:fill="CCEEFF"/>
          </w:tcPr>
          <w:p>
            <w:pPr>
              <w:spacing w:after="0"/>
              <w:rPr>
                <w:sz w:val="9"/>
                <w:szCs w:val="9"/>
                <w:color w:val="auto"/>
              </w:rPr>
            </w:pPr>
          </w:p>
        </w:tc>
      </w:tr>
      <w:tr>
        <w:trPr>
          <w:trHeight w:val="135"/>
        </w:trPr>
        <w:tc>
          <w:tcPr>
            <w:tcW w:w="6600" w:type="dxa"/>
            <w:vAlign w:val="bottom"/>
            <w:gridSpan w:val="3"/>
          </w:tcPr>
          <w:p>
            <w:pPr>
              <w:spacing w:after="0"/>
              <w:rPr>
                <w:sz w:val="20"/>
                <w:szCs w:val="20"/>
                <w:color w:val="auto"/>
              </w:rPr>
            </w:pPr>
            <w:r>
              <w:rPr>
                <w:rFonts w:ascii="Arial" w:cs="Arial" w:eastAsia="Arial" w:hAnsi="Arial"/>
                <w:sz w:val="11"/>
                <w:szCs w:val="11"/>
                <w:color w:val="auto"/>
              </w:rPr>
              <w:t>Social security contributions, pensions, and other employee benefits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2,124</w:t>
            </w:r>
          </w:p>
        </w:tc>
        <w:tc>
          <w:tcPr>
            <w:tcW w:w="320" w:type="dxa"/>
            <w:vAlign w:val="bottom"/>
            <w:gridSpan w:val="2"/>
          </w:tcPr>
          <w:p>
            <w:pPr>
              <w:ind w:left="40"/>
              <w:spacing w:after="0"/>
              <w:rPr>
                <w:sz w:val="20"/>
                <w:szCs w:val="20"/>
                <w:color w:val="auto"/>
              </w:rPr>
            </w:pPr>
            <w:r>
              <w:rPr>
                <w:rFonts w:ascii="Arial" w:cs="Arial" w:eastAsia="Arial" w:hAnsi="Arial"/>
                <w:sz w:val="11"/>
                <w:szCs w:val="11"/>
                <w:color w:val="auto"/>
                <w:w w:val="94"/>
              </w:rPr>
              <w:t>1,101</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16,834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4"/>
              </w:rPr>
              <w:t>9,407</w:t>
            </w:r>
          </w:p>
        </w:tc>
      </w:tr>
    </w:tbl>
    <w:p>
      <w:pPr>
        <w:spacing w:after="0" w:line="13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Under defined contribution pension plans, Mynaric paid contributions to governmental pension schemes in the amount of €872 thousand (previous year: €450 thousand). Personnel expenses in the amount of €1,125 thousand (previous year: €1,146 thousand) were recorded in connection with share-based payments.</w:t>
      </w:r>
    </w:p>
    <w:p>
      <w:pPr>
        <w:spacing w:after="0" w:line="217" w:lineRule="exact"/>
        <w:rPr>
          <w:sz w:val="20"/>
          <w:szCs w:val="20"/>
          <w:color w:val="auto"/>
        </w:rPr>
      </w:pPr>
    </w:p>
    <w:p>
      <w:pPr>
        <w:ind w:left="2620" w:hanging="360"/>
        <w:spacing w:after="0"/>
        <w:tabs>
          <w:tab w:leader="none" w:pos="262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 Stock Option Plan</w:t>
      </w:r>
    </w:p>
    <w:p>
      <w:pPr>
        <w:spacing w:after="0" w:line="150"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F-40</w:t>
      </w:r>
    </w:p>
    <w:p>
      <w:pPr>
        <w:sectPr>
          <w:pgSz w:w="11900" w:h="16838" w:orient="portrait"/>
          <w:cols w:equalWidth="0" w:num="1">
            <w:col w:w="10159"/>
          </w:cols>
          <w:pgMar w:left="300" w:top="354"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 Stock Option Plan</w:t>
      </w:r>
    </w:p>
    <w:p>
      <w:pPr>
        <w:spacing w:after="0" w:line="150"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lock-up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Granting of stock options to Mr. Altan</w:t>
      </w:r>
    </w:p>
    <w:p>
      <w:pPr>
        <w:spacing w:after="0" w:line="150" w:lineRule="exact"/>
        <w:rPr>
          <w:sz w:val="20"/>
          <w:szCs w:val="20"/>
          <w:color w:val="auto"/>
        </w:rPr>
      </w:pPr>
    </w:p>
    <w:p>
      <w:pPr>
        <w:ind w:left="1980" w:right="1019"/>
        <w:spacing w:after="0" w:line="320" w:lineRule="auto"/>
        <w:rPr>
          <w:sz w:val="20"/>
          <w:szCs w:val="20"/>
          <w:color w:val="auto"/>
        </w:rPr>
      </w:pPr>
      <w:r>
        <w:rPr>
          <w:rFonts w:ascii="Arial" w:cs="Arial" w:eastAsia="Arial" w:hAnsi="Arial"/>
          <w:sz w:val="10"/>
          <w:szCs w:val="10"/>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33. a) Related party transactions for more information.</w:t>
      </w:r>
    </w:p>
    <w:p>
      <w:pPr>
        <w:spacing w:after="0" w:line="97"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fiscal year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Tranche</w:t>
            </w:r>
          </w:p>
        </w:tc>
      </w:tr>
      <w:tr>
        <w:trPr>
          <w:trHeight w:val="99"/>
        </w:trPr>
        <w:tc>
          <w:tcPr>
            <w:tcW w:w="340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Tranche</w:t>
            </w:r>
          </w:p>
        </w:tc>
        <w:tc>
          <w:tcPr>
            <w:tcW w:w="380" w:type="dxa"/>
            <w:vAlign w:val="bottom"/>
            <w:gridSpan w:val="2"/>
          </w:tcPr>
          <w:p>
            <w:pPr>
              <w:jc w:val="right"/>
              <w:ind w:right="120"/>
              <w:spacing w:after="0" w:line="99" w:lineRule="exact"/>
              <w:rPr>
                <w:sz w:val="20"/>
                <w:szCs w:val="20"/>
                <w:color w:val="auto"/>
              </w:rPr>
            </w:pPr>
            <w:r>
              <w:rPr>
                <w:rFonts w:ascii="Arial" w:cs="Arial" w:eastAsia="Arial" w:hAnsi="Arial"/>
                <w:sz w:val="10"/>
                <w:szCs w:val="10"/>
                <w:b w:val="1"/>
                <w:bCs w:val="1"/>
                <w:color w:val="auto"/>
              </w:rPr>
              <w:t>Mr.</w:t>
            </w:r>
          </w:p>
        </w:tc>
      </w:tr>
      <w:tr>
        <w:trPr>
          <w:trHeight w:val="113"/>
        </w:trPr>
        <w:tc>
          <w:tcPr>
            <w:tcW w:w="340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4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3"/>
              </w:rPr>
              <w:t>2019 I</w:t>
            </w:r>
          </w:p>
        </w:tc>
        <w:tc>
          <w:tcPr>
            <w:tcW w:w="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5"/>
              </w:rPr>
              <w:t>2019 III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IV</w:t>
            </w:r>
          </w:p>
        </w:tc>
        <w:tc>
          <w:tcPr>
            <w:tcW w:w="4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2019 V</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VI</w:t>
            </w:r>
          </w:p>
        </w:tc>
        <w:tc>
          <w:tcPr>
            <w:tcW w:w="4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2020 I</w:t>
            </w:r>
          </w:p>
        </w:tc>
        <w:tc>
          <w:tcPr>
            <w:tcW w:w="3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Altan</w:t>
            </w:r>
          </w:p>
        </w:tc>
      </w:tr>
      <w:tr>
        <w:trPr>
          <w:trHeight w:val="110"/>
        </w:trPr>
        <w:tc>
          <w:tcPr>
            <w:tcW w:w="34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1"/>
                <w:szCs w:val="11"/>
                <w:color w:val="auto"/>
              </w:rPr>
              <w:t>Options outstanding at the beginning of the 2020 reporting period</w:t>
            </w: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0"/>
        </w:trPr>
        <w:tc>
          <w:tcPr>
            <w:tcW w:w="3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(Jan. 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85"/>
              </w:rPr>
              <w:t>107,400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19,850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2020 reporting period (Dec. 31, 2020)</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1"/>
                <w:szCs w:val="11"/>
                <w:color w:val="auto"/>
                <w:w w:val="85"/>
              </w:rPr>
              <w:t>107,100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14,550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2020 reporting period (Dec. 31,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243"/>
        </w:trPr>
        <w:tc>
          <w:tcPr>
            <w:tcW w:w="340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F-41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the previous year:</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Tranche</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7"/>
              </w:rPr>
              <w:t>Tranche</w:t>
            </w:r>
          </w:p>
        </w:tc>
        <w:tc>
          <w:tcPr>
            <w:tcW w:w="5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ind w:left="40"/>
              <w:spacing w:after="0"/>
              <w:rPr>
                <w:sz w:val="20"/>
                <w:szCs w:val="20"/>
                <w:color w:val="auto"/>
              </w:rPr>
            </w:pPr>
            <w:r>
              <w:rPr>
                <w:rFonts w:ascii="Arial" w:cs="Arial" w:eastAsia="Arial" w:hAnsi="Arial"/>
                <w:sz w:val="10"/>
                <w:szCs w:val="10"/>
                <w:b w:val="1"/>
                <w:bCs w:val="1"/>
                <w:color w:val="auto"/>
                <w:w w:val="97"/>
              </w:rPr>
              <w:t>Tranche</w:t>
            </w:r>
          </w:p>
        </w:tc>
      </w:tr>
      <w:tr>
        <w:trPr>
          <w:trHeight w:val="113"/>
        </w:trPr>
        <w:tc>
          <w:tcPr>
            <w:tcW w:w="5320" w:type="dxa"/>
            <w:vAlign w:val="bottom"/>
          </w:tcPr>
          <w:p>
            <w:pPr>
              <w:spacing w:after="0"/>
              <w:rPr>
                <w:sz w:val="9"/>
                <w:szCs w:val="9"/>
                <w:color w:val="auto"/>
              </w:rPr>
            </w:pPr>
          </w:p>
        </w:tc>
        <w:tc>
          <w:tcPr>
            <w:tcW w:w="36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6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3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Options outstanding at the beginning of the 2019 reporting period (Jan. 1, 2019)</w:t>
            </w: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20,000</w:t>
            </w: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180"/>
              <w:spacing w:after="0" w:line="124"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240"/>
              <w:spacing w:after="0" w:line="124"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granted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109,800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2019 reporting period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17,800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2,400</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exercised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2019 reporting period</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outstanding at the end of the 2019 reporting period (Dec. 31, 2019)</w:t>
            </w: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2,200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107,400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exercisable at the end of the 2019 reporting period (Dec. 31, 2019)</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bl>
    <w:p>
      <w:pPr>
        <w:spacing w:after="0" w:line="13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No options were exercised in fiscal year 2020. The table below shows the contractual terms of the respective tranches outstanding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Measurement model and inputs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measurement of the existing stock option plans was based on the Monte Carlo Simulation model or the Binomial model, considering the terms and conditions for the options. The table below shows the inputs used for the model as of December 31, 2020.</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258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2019 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5"/>
              </w:rPr>
              <w:t>2019 III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IV</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4"/>
              </w:rPr>
              <w:t>2019 V</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VI</w:t>
            </w: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2020 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25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46.50</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47.25</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66.49</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Term in years</w:t>
            </w:r>
          </w:p>
        </w:tc>
        <w:tc>
          <w:tcPr>
            <w:tcW w:w="340" w:type="dxa"/>
            <w:vAlign w:val="bottom"/>
          </w:tcPr>
          <w:p>
            <w:pPr>
              <w:jc w:val="right"/>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6.25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6.50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0.35</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340" w:type="dxa"/>
            <w:vAlign w:val="bottom"/>
          </w:tcPr>
          <w:p>
            <w:pPr>
              <w:jc w:val="right"/>
              <w:spacing w:after="0"/>
              <w:rPr>
                <w:sz w:val="20"/>
                <w:szCs w:val="20"/>
                <w:color w:val="auto"/>
              </w:rPr>
            </w:pPr>
            <w:r>
              <w:rPr>
                <w:rFonts w:ascii="Arial" w:cs="Arial" w:eastAsia="Arial" w:hAnsi="Arial"/>
                <w:sz w:val="11"/>
                <w:szCs w:val="11"/>
                <w:color w:val="auto"/>
              </w:rPr>
              <w:t>52.20</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38.50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35.20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51.00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73.20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340" w:type="dxa"/>
            <w:vAlign w:val="bottom"/>
          </w:tcPr>
          <w:p>
            <w:pPr>
              <w:jc w:val="right"/>
              <w:spacing w:after="0"/>
              <w:rPr>
                <w:sz w:val="20"/>
                <w:szCs w:val="20"/>
                <w:color w:val="auto"/>
              </w:rPr>
            </w:pPr>
            <w:r>
              <w:rPr>
                <w:rFonts w:ascii="Arial" w:cs="Arial" w:eastAsia="Arial" w:hAnsi="Arial"/>
                <w:sz w:val="11"/>
                <w:szCs w:val="11"/>
                <w:color w:val="auto"/>
              </w:rPr>
              <w:t>46.41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45.91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45.66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48.32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48.45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36.63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(0.74)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(0.39)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2580" w:type="dxa"/>
            <w:vAlign w:val="bottom"/>
          </w:tcPr>
          <w:p>
            <w:pPr>
              <w:spacing w:after="0"/>
              <w:rPr>
                <w:sz w:val="20"/>
                <w:szCs w:val="20"/>
                <w:color w:val="auto"/>
              </w:rPr>
            </w:pPr>
            <w:r>
              <w:rPr>
                <w:rFonts w:ascii="Arial" w:cs="Arial" w:eastAsia="Arial" w:hAnsi="Arial"/>
                <w:sz w:val="11"/>
                <w:szCs w:val="11"/>
                <w:color w:val="auto"/>
              </w:rPr>
              <w:t>Option value (in €)</w:t>
            </w:r>
          </w:p>
        </w:tc>
        <w:tc>
          <w:tcPr>
            <w:tcW w:w="340" w:type="dxa"/>
            <w:vAlign w:val="bottom"/>
          </w:tcPr>
          <w:p>
            <w:pPr>
              <w:jc w:val="right"/>
              <w:spacing w:after="0"/>
              <w:rPr>
                <w:sz w:val="20"/>
                <w:szCs w:val="20"/>
                <w:color w:val="auto"/>
              </w:rPr>
            </w:pPr>
            <w:r>
              <w:rPr>
                <w:rFonts w:ascii="Arial" w:cs="Arial" w:eastAsia="Arial" w:hAnsi="Arial"/>
                <w:sz w:val="11"/>
                <w:szCs w:val="11"/>
                <w:color w:val="auto"/>
              </w:rPr>
              <w:t>15.71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11.53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12.42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9.43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19.55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23.25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parameters were used in connection with measurement in the previous year (December 31, 2019):</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5040" w:type="dxa"/>
            <w:vAlign w:val="bottom"/>
          </w:tcPr>
          <w:p>
            <w:pPr>
              <w:spacing w:after="0"/>
              <w:rPr>
                <w:sz w:val="9"/>
                <w:szCs w:val="9"/>
                <w:color w:val="auto"/>
              </w:rPr>
            </w:pPr>
          </w:p>
        </w:tc>
        <w:tc>
          <w:tcPr>
            <w:tcW w:w="34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9"/>
                <w:szCs w:val="9"/>
                <w:color w:val="auto"/>
              </w:rPr>
            </w:pPr>
          </w:p>
        </w:tc>
        <w:tc>
          <w:tcPr>
            <w:tcW w:w="62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2019 I</w:t>
            </w:r>
          </w:p>
        </w:tc>
        <w:tc>
          <w:tcPr>
            <w:tcW w:w="6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97"/>
              </w:rPr>
              <w:t>2019 II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0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Term in years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6</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4.40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6.75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7.00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1.35</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52.20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38.00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38.50</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46.41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45.91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45.66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(0.74)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(0.39)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5040" w:type="dxa"/>
            <w:vAlign w:val="bottom"/>
          </w:tcPr>
          <w:p>
            <w:pPr>
              <w:spacing w:after="0"/>
              <w:rPr>
                <w:sz w:val="20"/>
                <w:szCs w:val="20"/>
                <w:color w:val="auto"/>
              </w:rPr>
            </w:pPr>
            <w:r>
              <w:rPr>
                <w:rFonts w:ascii="Arial" w:cs="Arial" w:eastAsia="Arial" w:hAnsi="Arial"/>
                <w:sz w:val="11"/>
                <w:szCs w:val="11"/>
                <w:color w:val="auto"/>
              </w:rPr>
              <w:t>Option value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15.71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11.53</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12.42</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Mynaric peer group. The expected volatility considered is based on the assumption that it is possible to derive future trends from historic volatility, and thus the actual volatility may deviate from the assumptions made.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F-42</w:t>
      </w:r>
    </w:p>
    <w:p>
      <w:pPr>
        <w:sectPr>
          <w:pgSz w:w="11900" w:h="16838" w:orient="portrait"/>
          <w:cols w:equalWidth="0" w:num="1">
            <w:col w:w="10159"/>
          </w:cols>
          <w:pgMar w:left="300" w:top="354" w:right="1440" w:bottom="1440" w:gutter="0" w:footer="0" w:header="0"/>
        </w:sectPr>
      </w:pPr>
    </w:p>
    <w:bookmarkStart w:id="233" w:name="page234"/>
    <w:bookmarkEnd w:id="2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€1,125 thousand (previous year: €1,146 thousand). The share-based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payments recognized in the capital reserve amount to €2,303 thousand as of December 31, 2020 (previous year: €1,178 thousand).</w:t>
      </w:r>
    </w:p>
    <w:p>
      <w:pPr>
        <w:spacing w:after="0" w:line="236"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10.</w:t>
        <w:tab/>
        <w:t>Amortization, Depreciation and Impairment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Amortization and depreciation in fiscal year 2020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Amortization of intangible assets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Depreciation and impairment of property, plant, and equipment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823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of right-of-use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w:t>
            </w:r>
          </w:p>
        </w:tc>
      </w:tr>
      <w:tr>
        <w:trPr>
          <w:trHeight w:val="136"/>
        </w:trPr>
        <w:tc>
          <w:tcPr>
            <w:tcW w:w="6660" w:type="dxa"/>
            <w:vAlign w:val="bottom"/>
            <w:gridSpan w:val="2"/>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1,843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1,117</w:t>
            </w:r>
          </w:p>
        </w:tc>
      </w:tr>
    </w:tbl>
    <w:p>
      <w:pPr>
        <w:spacing w:after="0" w:line="229"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11.</w:t>
        <w:tab/>
        <w:t>Other Operating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operating expenses can be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Legal and consulting fees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2,110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736</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Office and IT expenses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790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380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Selling and travel expenses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Rent and maintenance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370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office supplies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221</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Costs for preparation and audit of financial statements, and accounting expenses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329</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127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personnel expenses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180</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Litigation</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225</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Remuneration of Supervisory Board members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Insurance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97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Bank transaction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expenses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58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on disposal of non-current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6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5,344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2,813</w:t>
            </w:r>
          </w:p>
        </w:tc>
      </w:tr>
    </w:tbl>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Other office supplies refer mainly to purchased services as well as expenses for tools and devices. Other personnel expenses mainly include recruiting expenses.</w:t>
      </w:r>
    </w:p>
    <w:p>
      <w:pPr>
        <w:spacing w:after="0" w:line="210" w:lineRule="exact"/>
        <w:rPr>
          <w:sz w:val="20"/>
          <w:szCs w:val="20"/>
          <w:color w:val="auto"/>
        </w:rPr>
      </w:pPr>
    </w:p>
    <w:p>
      <w:pPr>
        <w:ind w:left="2260" w:hanging="288"/>
        <w:spacing w:after="0"/>
        <w:tabs>
          <w:tab w:leader="none" w:pos="2260" w:val="left"/>
        </w:tabs>
        <w:numPr>
          <w:ilvl w:val="0"/>
          <w:numId w:val="162"/>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80"/>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7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757</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272</w:t>
            </w:r>
          </w:p>
        </w:tc>
        <w:tc>
          <w:tcPr>
            <w:tcW w:w="40" w:type="dxa"/>
            <w:vAlign w:val="bottom"/>
            <w:shd w:val="clear" w:color="auto" w:fill="CCEEFF"/>
          </w:tcPr>
          <w:p>
            <w:pPr>
              <w:spacing w:after="0"/>
              <w:rPr>
                <w:sz w:val="9"/>
                <w:szCs w:val="9"/>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Write-downs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w w:val="93"/>
              </w:rPr>
              <w:t>(120)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changes in inventories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272</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write-downs presented refer to HAWK terminals that were written down to their recoverable amount.</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F-43</w:t>
      </w:r>
    </w:p>
    <w:p>
      <w:pPr>
        <w:sectPr>
          <w:pgSz w:w="11900" w:h="16838" w:orient="portrait"/>
          <w:cols w:equalWidth="0" w:num="1">
            <w:col w:w="10159"/>
          </w:cols>
          <w:pgMar w:left="300" w:top="354" w:right="1440" w:bottom="1440" w:gutter="0" w:footer="0" w:header="0"/>
        </w:sectPr>
      </w:pPr>
    </w:p>
    <w:bookmarkStart w:id="234" w:name="page235"/>
    <w:bookmarkEnd w:id="2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99"/>
        <w:spacing w:after="0" w:line="263" w:lineRule="auto"/>
        <w:rPr>
          <w:sz w:val="20"/>
          <w:szCs w:val="20"/>
          <w:color w:val="auto"/>
        </w:rPr>
      </w:pPr>
      <w:r>
        <w:rPr>
          <w:rFonts w:ascii="Arial" w:cs="Arial" w:eastAsia="Arial" w:hAnsi="Arial"/>
          <w:sz w:val="12"/>
          <w:szCs w:val="12"/>
          <w:color w:val="auto"/>
        </w:rPr>
        <w:t>Own work capitalized consists of expenses that are used to construct property, plant and equipment or develop intangible assets. This line item is a contra account to other profit and loss statement captions presented below. For a determination of the net basis of those expenses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4,073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2,089</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Personnel expenses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3,921</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2,551</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802</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494</w:t>
            </w: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operating expenses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579</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277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5,411</w:t>
            </w: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own work capitalized: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Development costs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8,248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5,324</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Property, plant and equipment</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1,127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87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5,411</w:t>
            </w:r>
          </w:p>
        </w:tc>
      </w:tr>
      <w:tr>
        <w:trPr>
          <w:trHeight w:val="387"/>
        </w:trPr>
        <w:tc>
          <w:tcPr>
            <w:tcW w:w="6540" w:type="dxa"/>
            <w:vAlign w:val="bottom"/>
            <w:gridSpan w:val="3"/>
          </w:tcPr>
          <w:p>
            <w:pPr>
              <w:spacing w:after="0"/>
              <w:rPr>
                <w:sz w:val="20"/>
                <w:szCs w:val="20"/>
                <w:color w:val="auto"/>
              </w:rPr>
            </w:pPr>
            <w:r>
              <w:rPr>
                <w:rFonts w:ascii="Arial" w:cs="Arial" w:eastAsia="Arial" w:hAnsi="Arial"/>
                <w:sz w:val="12"/>
                <w:szCs w:val="12"/>
                <w:b w:val="1"/>
                <w:bCs w:val="1"/>
                <w:color w:val="auto"/>
              </w:rPr>
              <w:t>14.  Net Finance Costs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financial result is calculated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04"/>
        </w:trPr>
        <w:tc>
          <w:tcPr>
            <w:tcW w:w="6540" w:type="dxa"/>
            <w:vAlign w:val="bottom"/>
            <w:gridSpan w:val="3"/>
            <w:shd w:val="clear" w:color="auto" w:fill="CCEEFF"/>
          </w:tcPr>
          <w:p>
            <w:pPr>
              <w:spacing w:after="0" w:line="104" w:lineRule="exact"/>
              <w:rPr>
                <w:sz w:val="20"/>
                <w:szCs w:val="20"/>
                <w:color w:val="auto"/>
              </w:rPr>
            </w:pPr>
            <w:r>
              <w:rPr>
                <w:rFonts w:ascii="Arial" w:cs="Arial" w:eastAsia="Arial" w:hAnsi="Arial"/>
                <w:sz w:val="11"/>
                <w:szCs w:val="11"/>
                <w:color w:val="auto"/>
              </w:rPr>
              <w:t>FINANCIAL INCOME</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interest income from loans and receivables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18</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color w:val="auto"/>
              </w:rPr>
              <w:t>73</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73</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FINANCIAL EXPENSES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and similar expenses from liabilities measured at amortized cost</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Interest on leases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color w:val="auto"/>
              </w:rPr>
              <w:t>(137)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(92)</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Borrowing costs capitalized in accordance with IAS 23</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1,055</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0</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0</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result from foreign currency translation</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(531)</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109</w:t>
            </w:r>
          </w:p>
        </w:tc>
        <w:tc>
          <w:tcPr>
            <w:tcW w:w="40" w:type="dxa"/>
            <w:vAlign w:val="bottom"/>
            <w:shd w:val="clear" w:color="auto" w:fill="CCEEFF"/>
          </w:tcPr>
          <w:p>
            <w:pPr>
              <w:spacing w:after="0"/>
              <w:rPr>
                <w:sz w:val="11"/>
                <w:szCs w:val="11"/>
                <w:color w:val="auto"/>
              </w:rPr>
            </w:pPr>
          </w:p>
        </w:tc>
      </w:tr>
      <w:tr>
        <w:trPr>
          <w:trHeight w:val="140"/>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Net finance costs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(513)</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182</w:t>
            </w:r>
          </w:p>
        </w:tc>
        <w:tc>
          <w:tcPr>
            <w:tcW w:w="40" w:type="dxa"/>
            <w:vAlign w:val="bottom"/>
          </w:tcPr>
          <w:p>
            <w:pPr>
              <w:spacing w:after="0"/>
              <w:rPr>
                <w:sz w:val="12"/>
                <w:szCs w:val="12"/>
                <w:color w:val="auto"/>
              </w:rPr>
            </w:pPr>
          </w:p>
        </w:tc>
      </w:tr>
      <w:tr>
        <w:trPr>
          <w:trHeight w:val="283"/>
        </w:trPr>
        <w:tc>
          <w:tcPr>
            <w:tcW w:w="6540" w:type="dxa"/>
            <w:vAlign w:val="bottom"/>
            <w:gridSpan w:val="3"/>
          </w:tcPr>
          <w:p>
            <w:pPr>
              <w:spacing w:after="0"/>
              <w:rPr>
                <w:sz w:val="20"/>
                <w:szCs w:val="20"/>
                <w:color w:val="auto"/>
              </w:rPr>
            </w:pPr>
            <w:r>
              <w:rPr>
                <w:rFonts w:ascii="Arial" w:cs="Arial" w:eastAsia="Arial" w:hAnsi="Arial"/>
                <w:sz w:val="12"/>
                <w:szCs w:val="12"/>
                <w:color w:val="auto"/>
              </w:rPr>
              <w:t>Borrowing costs capitalized as the cost in accordance with IAS 23 are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1"/>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08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80"/>
              </w:rPr>
              <w:t>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6540" w:type="dxa"/>
            <w:vAlign w:val="bottom"/>
            <w:tcBorders>
              <w:top w:val="single" w:sz="8" w:color="CCEEFF"/>
            </w:tcBorders>
            <w:gridSpan w:val="3"/>
            <w:shd w:val="clear" w:color="auto" w:fill="CCEEFF"/>
          </w:tcPr>
          <w:p>
            <w:pPr>
              <w:spacing w:after="0" w:line="113" w:lineRule="exact"/>
              <w:rPr>
                <w:sz w:val="20"/>
                <w:szCs w:val="20"/>
                <w:color w:val="auto"/>
              </w:rPr>
            </w:pPr>
            <w:r>
              <w:rPr>
                <w:rFonts w:ascii="Arial" w:cs="Arial" w:eastAsia="Arial" w:hAnsi="Arial"/>
                <w:sz w:val="11"/>
                <w:szCs w:val="11"/>
                <w:color w:val="auto"/>
              </w:rPr>
              <w:t>Total finance expenses</w:t>
            </w: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1,055</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thereof capitalized as the cost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development projects</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4"/>
              </w:rPr>
              <w:t>1,010</w:t>
            </w:r>
          </w:p>
        </w:tc>
        <w:tc>
          <w:tcPr>
            <w:tcW w:w="60" w:type="dxa"/>
            <w:vAlign w:val="bottom"/>
            <w:shd w:val="clear" w:color="auto" w:fill="CCEEFF"/>
          </w:tcPr>
          <w:p>
            <w:pPr>
              <w:spacing w:after="0"/>
              <w:rPr>
                <w:sz w:val="11"/>
                <w:szCs w:val="11"/>
                <w:color w:val="auto"/>
              </w:rPr>
            </w:pPr>
          </w:p>
        </w:tc>
        <w:tc>
          <w:tcPr>
            <w:tcW w:w="28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ind w:left="200"/>
              <w:spacing w:after="0"/>
              <w:rPr>
                <w:sz w:val="20"/>
                <w:szCs w:val="20"/>
                <w:color w:val="auto"/>
              </w:rPr>
            </w:pPr>
            <w:r>
              <w:rPr>
                <w:rFonts w:ascii="Arial" w:cs="Arial" w:eastAsia="Arial" w:hAnsi="Arial"/>
                <w:sz w:val="11"/>
                <w:szCs w:val="11"/>
                <w:color w:val="auto"/>
              </w:rPr>
              <w:t>construction in progress</w:t>
            </w: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11"/>
                <w:szCs w:val="11"/>
                <w:color w:val="auto"/>
              </w:rPr>
            </w:pPr>
          </w:p>
        </w:tc>
        <w:tc>
          <w:tcPr>
            <w:tcW w:w="280" w:type="dxa"/>
            <w:vAlign w:val="bottom"/>
            <w:gridSpan w:val="4"/>
          </w:tcPr>
          <w:p>
            <w:pPr>
              <w:jc w:val="right"/>
              <w:ind w:right="60"/>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Capitalization rate p.a.</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1"/>
              </w:rPr>
              <w:t>10.69%</w:t>
            </w:r>
          </w:p>
        </w:tc>
        <w:tc>
          <w:tcPr>
            <w:tcW w:w="60" w:type="dxa"/>
            <w:vAlign w:val="bottom"/>
            <w:shd w:val="clear" w:color="auto" w:fill="CCEEFF"/>
          </w:tcPr>
          <w:p>
            <w:pPr>
              <w:spacing w:after="0"/>
              <w:rPr>
                <w:sz w:val="11"/>
                <w:szCs w:val="11"/>
                <w:color w:val="auto"/>
              </w:rPr>
            </w:pP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w w:val="89"/>
              </w:rPr>
              <w:t>2.00%</w:t>
            </w: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0" w:type="dxa"/>
            <w:vAlign w:val="bottom"/>
          </w:tcPr>
          <w:p>
            <w:pPr>
              <w:ind w:left="3020"/>
              <w:spacing w:after="0"/>
              <w:rPr>
                <w:sz w:val="20"/>
                <w:szCs w:val="20"/>
                <w:color w:val="auto"/>
              </w:rPr>
            </w:pPr>
            <w:r>
              <w:rPr>
                <w:rFonts w:ascii="Arial" w:cs="Arial" w:eastAsia="Arial" w:hAnsi="Arial"/>
                <w:sz w:val="12"/>
                <w:szCs w:val="12"/>
                <w:color w:val="auto"/>
              </w:rPr>
              <w:t>F-44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5" w:name="page236"/>
    <w:bookmarkEnd w:id="2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15.</w:t>
        <w:tab/>
        <w:t>Income Taxes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Jan. 1 -</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Jan. 1 -</w:t>
            </w:r>
          </w:p>
        </w:tc>
        <w:tc>
          <w:tcPr>
            <w:tcW w:w="0" w:type="dxa"/>
            <w:vAlign w:val="bottom"/>
          </w:tcPr>
          <w:p>
            <w:pPr>
              <w:spacing w:after="0"/>
              <w:rPr>
                <w:sz w:val="1"/>
                <w:szCs w:val="1"/>
                <w:color w:val="auto"/>
              </w:rPr>
            </w:pPr>
          </w:p>
        </w:tc>
      </w:tr>
      <w:tr>
        <w:trPr>
          <w:trHeight w:val="104"/>
        </w:trPr>
        <w:tc>
          <w:tcPr>
            <w:tcW w:w="5780" w:type="dxa"/>
            <w:vAlign w:val="bottom"/>
            <w:gridSpan w:val="2"/>
            <w:vMerge w:val="continue"/>
          </w:tcPr>
          <w:p>
            <w:pPr>
              <w:spacing w:after="0"/>
              <w:rPr>
                <w:sz w:val="9"/>
                <w:szCs w:val="9"/>
                <w:color w:val="auto"/>
              </w:rPr>
            </w:pPr>
          </w:p>
        </w:tc>
        <w:tc>
          <w:tcPr>
            <w:tcW w:w="96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Dec. 31, 2020</w:t>
            </w:r>
          </w:p>
        </w:tc>
        <w:tc>
          <w:tcPr>
            <w:tcW w:w="6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82"/>
              </w:rPr>
              <w:t>Dec. 31, 2019</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Loss before taxes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(19,770)</w:t>
            </w:r>
          </w:p>
        </w:tc>
        <w:tc>
          <w:tcPr>
            <w:tcW w:w="4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(8,855)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Expected taxes applying the domestic tax rate of 27.725% (previous year: 27.725%)</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(5,481)</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(2,455)</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effect of foreign tax rates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Tax effect of expenses that are not deductible for tax purposes / tax adjustments</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0"/>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7"/>
              </w:rPr>
              <w:t>Tax effect from losses incurred in the current year and deductible temporary differences for which no deferred taxes were</w:t>
            </w: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7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recognized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Other</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(120)</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expense for the fiscal year</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Due to the previous start-up losses, deferred tax assets were recognized and interest expenses were eligible for being carried forward only to the extent of taxable temporary negative differences (net). Accordingly, no deferred taxes were recognized for corporation tax loss carryforwards in the amount of €45,740 thousand (previous year: €25,768 thousand) and for trade tax loss carryforwards in the amount of €45,261 thousand (previous year: €25,618 thousand). The same applies to international loss carryforwards in the amount of €2,469 thousand (previous year: €2,572 thousand). Deductible temporary differences were not recognized in the amount of €1,940 thousand (previous year: €104 thousand). The utilization of the tax loss carryforwards and deductible temporary differences is ensured to the extent that sufficient taxable temporary differences will be available– even taking minimum taxation into account as tax limitations with respect to loss deductions.</w:t>
      </w:r>
    </w:p>
    <w:p>
      <w:pPr>
        <w:spacing w:after="0" w:line="115" w:lineRule="exact"/>
        <w:rPr>
          <w:sz w:val="20"/>
          <w:szCs w:val="20"/>
          <w:color w:val="auto"/>
        </w:rPr>
      </w:pPr>
    </w:p>
    <w:p>
      <w:pPr>
        <w:jc w:val="both"/>
        <w:ind w:left="1980" w:right="1219"/>
        <w:spacing w:after="0" w:line="298" w:lineRule="auto"/>
        <w:rPr>
          <w:sz w:val="20"/>
          <w:szCs w:val="20"/>
          <w:color w:val="auto"/>
        </w:rPr>
      </w:pPr>
      <w:r>
        <w:rPr>
          <w:rFonts w:ascii="Arial" w:cs="Arial" w:eastAsia="Arial" w:hAnsi="Arial"/>
          <w:sz w:val="11"/>
          <w:szCs w:val="11"/>
          <w:color w:val="auto"/>
        </w:rPr>
        <w:t>As of Dec. 31, 2020 domestic loss carryforwards totaled €63,332 thousand for corporation tax and €62,853 thousand for trade tax (previous year: €34,279 thousand and €34,129 thousand, respectively). These loss carryforwards do not expire. International loss carryforwards in the amount of €2,469 thousand (previous year: €2,705 thousand) will partly expire after a twenty year period if not used.</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the fiscal year, the changes in deferred taxes recognized outside profit or loss amounted to €0 thousand (previous year: €0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Balance of deferred tax assets and liabilities: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ind w:right="169"/>
              <w:spacing w:after="0"/>
              <w:rPr>
                <w:sz w:val="20"/>
                <w:szCs w:val="20"/>
                <w:color w:val="auto"/>
              </w:rPr>
            </w:pPr>
            <w:r>
              <w:rPr>
                <w:rFonts w:ascii="Arial" w:cs="Arial" w:eastAsia="Arial" w:hAnsi="Arial"/>
                <w:sz w:val="10"/>
                <w:szCs w:val="10"/>
                <w:b w:val="1"/>
                <w:bCs w:val="1"/>
                <w:color w:val="auto"/>
                <w:w w:val="86"/>
              </w:rPr>
              <w:t>Jan. 1 -</w:t>
            </w:r>
          </w:p>
        </w:tc>
        <w:tc>
          <w:tcPr>
            <w:tcW w:w="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Jan. 1 -</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jc w:val="center"/>
              <w:ind w:right="149"/>
              <w:spacing w:after="0" w:line="99" w:lineRule="exact"/>
              <w:rPr>
                <w:sz w:val="20"/>
                <w:szCs w:val="20"/>
                <w:color w:val="auto"/>
              </w:rPr>
            </w:pPr>
            <w:r>
              <w:rPr>
                <w:rFonts w:ascii="Arial" w:cs="Arial" w:eastAsia="Arial" w:hAnsi="Arial"/>
                <w:sz w:val="10"/>
                <w:szCs w:val="10"/>
                <w:b w:val="1"/>
                <w:bCs w:val="1"/>
                <w:color w:val="auto"/>
                <w:w w:val="84"/>
              </w:rPr>
              <w:t>Dec. 31,</w:t>
            </w:r>
          </w:p>
        </w:tc>
        <w:tc>
          <w:tcPr>
            <w:tcW w:w="620" w:type="dxa"/>
            <w:vAlign w:val="bottom"/>
            <w:gridSpan w:val="2"/>
          </w:tcPr>
          <w:p>
            <w:pPr>
              <w:jc w:val="center"/>
              <w:ind w:left="8"/>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40" w:type="dxa"/>
            <w:vAlign w:val="bottom"/>
            <w:gridSpan w:val="4"/>
          </w:tcPr>
          <w:p>
            <w:pPr>
              <w:jc w:val="right"/>
              <w:ind w:right="700"/>
              <w:spacing w:after="0" w:line="114" w:lineRule="exact"/>
              <w:rPr>
                <w:sz w:val="20"/>
                <w:szCs w:val="20"/>
                <w:color w:val="auto"/>
              </w:rPr>
            </w:pPr>
            <w:r>
              <w:rPr>
                <w:rFonts w:ascii="Arial" w:cs="Arial" w:eastAsia="Arial" w:hAnsi="Arial"/>
                <w:sz w:val="10"/>
                <w:szCs w:val="10"/>
                <w:b w:val="1"/>
                <w:bCs w:val="1"/>
                <w:color w:val="auto"/>
              </w:rPr>
              <w:t>Dec. 31, 2020</w:t>
            </w:r>
          </w:p>
        </w:tc>
        <w:tc>
          <w:tcPr>
            <w:tcW w:w="1680" w:type="dxa"/>
            <w:vAlign w:val="bottom"/>
            <w:gridSpan w:val="4"/>
          </w:tcPr>
          <w:p>
            <w:pPr>
              <w:jc w:val="right"/>
              <w:ind w:right="720"/>
              <w:spacing w:after="0" w:line="114" w:lineRule="exact"/>
              <w:rPr>
                <w:sz w:val="20"/>
                <w:szCs w:val="20"/>
                <w:color w:val="auto"/>
              </w:rPr>
            </w:pPr>
            <w:r>
              <w:rPr>
                <w:rFonts w:ascii="Arial" w:cs="Arial" w:eastAsia="Arial" w:hAnsi="Arial"/>
                <w:sz w:val="10"/>
                <w:szCs w:val="10"/>
                <w:b w:val="1"/>
                <w:bCs w:val="1"/>
                <w:color w:val="auto"/>
              </w:rPr>
              <w:t>Dec. 31, 2019</w:t>
            </w:r>
          </w:p>
        </w:tc>
        <w:tc>
          <w:tcPr>
            <w:tcW w:w="600" w:type="dxa"/>
            <w:vAlign w:val="bottom"/>
          </w:tcPr>
          <w:p>
            <w:pPr>
              <w:jc w:val="center"/>
              <w:ind w:right="149"/>
              <w:spacing w:after="0" w:line="114" w:lineRule="exact"/>
              <w:rPr>
                <w:sz w:val="20"/>
                <w:szCs w:val="20"/>
                <w:color w:val="auto"/>
              </w:rPr>
            </w:pPr>
            <w:r>
              <w:rPr>
                <w:rFonts w:ascii="Arial" w:cs="Arial" w:eastAsia="Arial" w:hAnsi="Arial"/>
                <w:sz w:val="10"/>
                <w:szCs w:val="10"/>
                <w:b w:val="1"/>
                <w:bCs w:val="1"/>
                <w:color w:val="auto"/>
                <w:w w:val="89"/>
              </w:rPr>
              <w:t>2020</w:t>
            </w:r>
          </w:p>
        </w:tc>
        <w:tc>
          <w:tcPr>
            <w:tcW w:w="560" w:type="dxa"/>
            <w:vAlign w:val="bottom"/>
          </w:tcPr>
          <w:p>
            <w:pPr>
              <w:jc w:val="center"/>
              <w:ind w:left="68"/>
              <w:spacing w:after="0" w:line="114" w:lineRule="exact"/>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82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00" w:type="dxa"/>
            <w:vAlign w:val="bottom"/>
          </w:tcPr>
          <w:p>
            <w:pPr>
              <w:spacing w:after="0"/>
              <w:rPr>
                <w:sz w:val="6"/>
                <w:szCs w:val="6"/>
                <w:color w:val="auto"/>
              </w:rPr>
            </w:pPr>
          </w:p>
        </w:tc>
        <w:tc>
          <w:tcPr>
            <w:tcW w:w="84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20" w:type="dxa"/>
            <w:vAlign w:val="bottom"/>
          </w:tcPr>
          <w:p>
            <w:pPr>
              <w:spacing w:after="0"/>
              <w:rPr>
                <w:sz w:val="6"/>
                <w:szCs w:val="6"/>
                <w:color w:val="auto"/>
              </w:rPr>
            </w:pPr>
          </w:p>
        </w:tc>
        <w:tc>
          <w:tcPr>
            <w:tcW w:w="1160" w:type="dxa"/>
            <w:vAlign w:val="bottom"/>
            <w:tcBorders>
              <w:top w:val="single" w:sz="8" w:color="auto"/>
            </w:tcBorders>
            <w:gridSpan w:val="2"/>
          </w:tcPr>
          <w:p>
            <w:pPr>
              <w:jc w:val="right"/>
              <w:ind w:right="68"/>
              <w:spacing w:after="0" w:line="74" w:lineRule="exact"/>
              <w:rPr>
                <w:sz w:val="20"/>
                <w:szCs w:val="20"/>
                <w:color w:val="auto"/>
              </w:rPr>
            </w:pPr>
            <w:r>
              <w:rPr>
                <w:rFonts w:ascii="Arial" w:cs="Arial" w:eastAsia="Arial" w:hAnsi="Arial"/>
                <w:sz w:val="8"/>
                <w:szCs w:val="8"/>
                <w:b w:val="1"/>
                <w:bCs w:val="1"/>
                <w:color w:val="auto"/>
              </w:rPr>
              <w:t>Changes recognized in</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800" w:type="dxa"/>
            <w:vAlign w:val="bottom"/>
            <w:gridSpan w:val="2"/>
            <w:vMerge w:val="continue"/>
          </w:tcPr>
          <w:p>
            <w:pPr>
              <w:spacing w:after="0"/>
              <w:rPr>
                <w:sz w:val="9"/>
                <w:szCs w:val="9"/>
                <w:color w:val="auto"/>
              </w:rPr>
            </w:pPr>
          </w:p>
        </w:tc>
        <w:tc>
          <w:tcPr>
            <w:tcW w:w="82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2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98"/>
              </w:rPr>
              <w:t>liabilities</w:t>
            </w:r>
          </w:p>
        </w:tc>
        <w:tc>
          <w:tcPr>
            <w:tcW w:w="84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rPr>
              <w:t>liabilities</w:t>
            </w:r>
          </w:p>
        </w:tc>
        <w:tc>
          <w:tcPr>
            <w:tcW w:w="1220" w:type="dxa"/>
            <w:vAlign w:val="bottom"/>
            <w:gridSpan w:val="3"/>
          </w:tcPr>
          <w:p>
            <w:pPr>
              <w:jc w:val="right"/>
              <w:ind w:right="380"/>
              <w:spacing w:after="0" w:line="105" w:lineRule="exact"/>
              <w:rPr>
                <w:sz w:val="20"/>
                <w:szCs w:val="20"/>
                <w:color w:val="auto"/>
              </w:rPr>
            </w:pPr>
            <w:r>
              <w:rPr>
                <w:rFonts w:ascii="Arial" w:cs="Arial" w:eastAsia="Arial" w:hAnsi="Arial"/>
                <w:sz w:val="10"/>
                <w:szCs w:val="10"/>
                <w:b w:val="1"/>
                <w:bCs w:val="1"/>
                <w:color w:val="auto"/>
              </w:rPr>
              <w:t>profit or loss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4,934</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w:t>
            </w: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2,411</w:t>
            </w: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1"/>
                <w:szCs w:val="11"/>
                <w:color w:val="auto"/>
              </w:rPr>
              <w:t>(2,528)</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(1,498)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Leases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13</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41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Inventories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52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09"/>
              <w:spacing w:after="0"/>
              <w:rPr>
                <w:sz w:val="20"/>
                <w:szCs w:val="20"/>
                <w:color w:val="auto"/>
              </w:rPr>
            </w:pPr>
            <w:r>
              <w:rPr>
                <w:rFonts w:ascii="Arial" w:cs="Arial" w:eastAsia="Arial" w:hAnsi="Arial"/>
                <w:sz w:val="11"/>
                <w:szCs w:val="11"/>
                <w:color w:val="auto"/>
              </w:rPr>
              <w:t>(44)</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Other financial and non-financial liabilities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40</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46</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loss carryforwards and tax credits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4,877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2,477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1,494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Offsetting</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(4,957)</w:t>
            </w: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(4,957)</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Basic earnings per share is calculated by dividing earnings after taxes attributable to the shares by the number of participating shares. Earnings per share can be diluted through potential shares, primarily option and subscription rights. As of the reporting date, no additional shares (previous year: 0 shares) had to be considered in calculating diluted earnings per share.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54" w:right="1440" w:bottom="1440" w:gutter="0" w:footer="0" w:header="0"/>
        </w:sectPr>
      </w:pPr>
    </w:p>
    <w:bookmarkStart w:id="236" w:name="page237"/>
    <w:bookmarkEnd w:id="2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Earnings per share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10"/>
                <w:szCs w:val="10"/>
                <w:color w:val="auto"/>
              </w:rPr>
            </w:pP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13"/>
        </w:trPr>
        <w:tc>
          <w:tcPr>
            <w:tcW w:w="60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Share capital</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3,349</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2,904</w:t>
            </w:r>
          </w:p>
        </w:tc>
        <w:tc>
          <w:tcPr>
            <w:tcW w:w="80" w:type="dxa"/>
            <w:vAlign w:val="bottom"/>
            <w:shd w:val="clear" w:color="auto" w:fill="CCEEFF"/>
          </w:tcPr>
          <w:p>
            <w:pPr>
              <w:spacing w:after="0"/>
              <w:rPr>
                <w:sz w:val="9"/>
                <w:szCs w:val="9"/>
                <w:color w:val="auto"/>
              </w:rPr>
            </w:pP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Consolidated net profit/loss for the year</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(19,770)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number of shares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Diluted number of shares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earnings per share in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r>
      <w:tr>
        <w:trPr>
          <w:trHeight w:val="136"/>
        </w:trPr>
        <w:tc>
          <w:tcPr>
            <w:tcW w:w="6080" w:type="dxa"/>
            <w:vAlign w:val="bottom"/>
            <w:gridSpan w:val="2"/>
          </w:tcPr>
          <w:p>
            <w:pPr>
              <w:spacing w:after="0"/>
              <w:rPr>
                <w:sz w:val="20"/>
                <w:szCs w:val="20"/>
                <w:color w:val="auto"/>
              </w:rPr>
            </w:pPr>
            <w:r>
              <w:rPr>
                <w:rFonts w:ascii="Arial" w:cs="Arial" w:eastAsia="Arial" w:hAnsi="Arial"/>
                <w:sz w:val="11"/>
                <w:szCs w:val="11"/>
                <w:color w:val="auto"/>
              </w:rPr>
              <w:t>Diluted earnings per share in €</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r>
    </w:tbl>
    <w:p>
      <w:pPr>
        <w:spacing w:after="0" w:line="134"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At December 31, 2020, 104,830 options (previous year: 0 options) were excluded from the diluted weighted average number of ordinary shares calculation because their effect would have been anti-dilutive.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average market value of the Company’s shares for the purpose of calculating the dilutive effect of share options was based on quoted market prices for the year during which the options were outstanding.</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17.</w:t>
        <w:tab/>
        <w:t>Intangible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0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05" w:lineRule="exact"/>
              <w:rPr>
                <w:sz w:val="20"/>
                <w:szCs w:val="20"/>
                <w:color w:val="auto"/>
              </w:rPr>
            </w:pPr>
            <w:r>
              <w:rPr>
                <w:rFonts w:ascii="Arial" w:cs="Arial" w:eastAsia="Arial" w:hAnsi="Arial"/>
                <w:sz w:val="10"/>
                <w:szCs w:val="10"/>
                <w:b w:val="1"/>
                <w:bCs w:val="1"/>
                <w:color w:val="auto"/>
              </w:rPr>
              <w:t>licenses</w:t>
            </w:r>
          </w:p>
        </w:tc>
        <w:tc>
          <w:tcPr>
            <w:tcW w:w="3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3,279</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276</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3,555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5,416</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5,426</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8,695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286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8,981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9,258</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9,319</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17,953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347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18,300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Amortization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Development</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Software and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4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76"/>
              </w:rPr>
              <w:t>costs</w:t>
            </w:r>
          </w:p>
        </w:tc>
        <w:tc>
          <w:tcPr>
            <w:tcW w:w="98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75"/>
              </w:rPr>
              <w:t>licenses</w:t>
            </w:r>
          </w:p>
        </w:tc>
        <w:tc>
          <w:tcPr>
            <w:tcW w:w="2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75"/>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161</w:t>
            </w: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161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40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201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57</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215</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354" w:right="1440" w:bottom="1440" w:gutter="0" w:footer="0" w:header="0"/>
        </w:sectPr>
      </w:pPr>
    </w:p>
    <w:p>
      <w:pPr>
        <w:spacing w:after="0" w:line="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0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rPr>
              <w:t>licenses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8,695</w:t>
            </w:r>
          </w:p>
        </w:tc>
        <w:tc>
          <w:tcPr>
            <w:tcW w:w="36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85</w:t>
            </w:r>
          </w:p>
        </w:tc>
        <w:tc>
          <w:tcPr>
            <w:tcW w:w="36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8,780</w:t>
            </w:r>
          </w:p>
        </w:tc>
        <w:tc>
          <w:tcPr>
            <w:tcW w:w="20" w:type="dxa"/>
            <w:vAlign w:val="bottom"/>
          </w:tcPr>
          <w:p>
            <w:pPr>
              <w:spacing w:after="0"/>
              <w:rPr>
                <w:sz w:val="10"/>
                <w:szCs w:val="10"/>
                <w:color w:val="auto"/>
              </w:rPr>
            </w:pPr>
          </w:p>
        </w:tc>
      </w:tr>
      <w:tr>
        <w:trPr>
          <w:trHeight w:val="136"/>
        </w:trPr>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17,795</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89</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17,884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-173990</wp:posOffset>
            </wp:positionV>
            <wp:extent cx="4663440" cy="914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440" w:space="720"/>
            <w:col w:w="2999"/>
          </w:cols>
          <w:pgMar w:left="300" w:top="354" w:right="1440" w:bottom="1440" w:gutter="0" w:footer="0" w:header="0"/>
          <w:type w:val="continuous"/>
        </w:sect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 fiscal year 2020, finance expenses in the amount of €1,010 thousand (previous year: €91 thousand) were capitalized as the cost of the development projects in accordance with IAS 23.</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development activities for the basic technology AIR were completed in June 2020. The amortization of the associated capitalized development costs for Air technology started on July 1, 2020 applying the useful life of 15 years.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F-46</w:t>
      </w:r>
    </w:p>
    <w:p>
      <w:pPr>
        <w:sectPr>
          <w:pgSz w:w="11900" w:h="16838" w:orient="portrait"/>
          <w:cols w:equalWidth="0" w:num="1">
            <w:col w:w="10159"/>
          </w:cols>
          <w:pgMar w:left="300" w:top="354" w:right="1440" w:bottom="1440" w:gutter="0" w:footer="0" w:header="0"/>
          <w:type w:val="continuous"/>
        </w:sectPr>
      </w:pPr>
    </w:p>
    <w:bookmarkStart w:id="237" w:name="page238"/>
    <w:bookmarkEnd w:id="2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capitalized development projects not yet available for use were subjected to an impairment test, as in the previous year. The recoverable amount of the cash-generating unit is determined based on the calculation of a value in use, applying cash flow projections.</w:t>
      </w:r>
    </w:p>
    <w:p>
      <w:pPr>
        <w:spacing w:after="0" w:line="115"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This planning, which covers the period until 2035, is based on the expectations as regards future market shares, the general development of the relevant markets, and the profitability of the products. The assumptions used for planning are verified with reference to both historical development and external sources of information.</w:t>
      </w:r>
    </w:p>
    <w:p>
      <w:pPr>
        <w:spacing w:after="0" w:line="122" w:lineRule="exact"/>
        <w:rPr>
          <w:sz w:val="20"/>
          <w:szCs w:val="20"/>
          <w:color w:val="auto"/>
        </w:rPr>
      </w:pPr>
    </w:p>
    <w:p>
      <w:pPr>
        <w:ind w:left="1980" w:right="1139"/>
        <w:spacing w:after="0" w:line="263" w:lineRule="auto"/>
        <w:rPr>
          <w:sz w:val="20"/>
          <w:szCs w:val="20"/>
          <w:color w:val="auto"/>
        </w:rPr>
      </w:pPr>
      <w:r>
        <w:rPr>
          <w:rFonts w:ascii="Arial" w:cs="Arial" w:eastAsia="Arial" w:hAnsi="Arial"/>
          <w:sz w:val="12"/>
          <w:szCs w:val="12"/>
          <w:color w:val="auto"/>
        </w:rPr>
        <w:t>The discount rate used corresponds to the weighted average cost of capital (WACC). WACC is determined based on the capital asset pricing model (CAPM), considering current market expectations. To determine risk-adjusted interest rates for impairment test purposes, specific peer group information regarding beta factors, capital structure data, and the borrowing rate are used.</w:t>
      </w:r>
    </w:p>
    <w:p>
      <w:pPr>
        <w:spacing w:after="0" w:line="122"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risk-adjusted after-tax interest rates used to discount the cash flows for the cash generating unit Space and the cash-generating unit Air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Cash-generating unit</w:t>
            </w:r>
          </w:p>
        </w:tc>
        <w:tc>
          <w:tcPr>
            <w:tcW w:w="2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76"/>
              </w:rPr>
              <w:t>Space</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48"/>
              <w:spacing w:after="0" w:line="124" w:lineRule="exact"/>
              <w:rPr>
                <w:sz w:val="20"/>
                <w:szCs w:val="20"/>
                <w:color w:val="auto"/>
              </w:rPr>
            </w:pPr>
            <w:r>
              <w:rPr>
                <w:rFonts w:ascii="Arial" w:cs="Arial" w:eastAsia="Arial" w:hAnsi="Arial"/>
                <w:sz w:val="11"/>
                <w:szCs w:val="11"/>
                <w:color w:val="auto"/>
              </w:rPr>
              <w:t>Air</w:t>
            </w:r>
          </w:p>
        </w:tc>
        <w:tc>
          <w:tcPr>
            <w:tcW w:w="2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76"/>
              </w:rPr>
              <w:t>Space</w:t>
            </w:r>
          </w:p>
        </w:tc>
        <w:tc>
          <w:tcPr>
            <w:tcW w:w="120" w:type="dxa"/>
            <w:vAlign w:val="bottom"/>
            <w:shd w:val="clear" w:color="auto" w:fill="CCEEFF"/>
          </w:tcPr>
          <w:p>
            <w:pPr>
              <w:spacing w:after="0"/>
              <w:rPr>
                <w:sz w:val="10"/>
                <w:szCs w:val="10"/>
                <w:color w:val="auto"/>
              </w:rPr>
            </w:pPr>
          </w:p>
        </w:tc>
      </w:tr>
      <w:tr>
        <w:trPr>
          <w:trHeight w:val="136"/>
        </w:trPr>
        <w:tc>
          <w:tcPr>
            <w:tcW w:w="6000" w:type="dxa"/>
            <w:vAlign w:val="bottom"/>
          </w:tcPr>
          <w:p>
            <w:pPr>
              <w:spacing w:after="0"/>
              <w:rPr>
                <w:sz w:val="20"/>
                <w:szCs w:val="20"/>
                <w:color w:val="auto"/>
              </w:rPr>
            </w:pPr>
            <w:r>
              <w:rPr>
                <w:rFonts w:ascii="Arial" w:cs="Arial" w:eastAsia="Arial" w:hAnsi="Arial"/>
                <w:sz w:val="11"/>
                <w:szCs w:val="11"/>
                <w:color w:val="auto"/>
              </w:rPr>
              <w:t>After-tax discount rates</w:t>
            </w:r>
          </w:p>
        </w:tc>
        <w:tc>
          <w:tcPr>
            <w:tcW w:w="480" w:type="dxa"/>
            <w:vAlign w:val="bottom"/>
            <w:gridSpan w:val="2"/>
          </w:tcPr>
          <w:p>
            <w:pPr>
              <w:ind w:left="40"/>
              <w:spacing w:after="0"/>
              <w:rPr>
                <w:sz w:val="20"/>
                <w:szCs w:val="20"/>
                <w:color w:val="auto"/>
              </w:rPr>
            </w:pPr>
            <w:r>
              <w:rPr>
                <w:rFonts w:ascii="Arial" w:cs="Arial" w:eastAsia="Arial" w:hAnsi="Arial"/>
                <w:sz w:val="11"/>
                <w:szCs w:val="11"/>
                <w:color w:val="auto"/>
              </w:rPr>
              <w:t>17.25%</w:t>
            </w:r>
          </w:p>
        </w:tc>
        <w:tc>
          <w:tcPr>
            <w:tcW w:w="480" w:type="dxa"/>
            <w:vAlign w:val="bottom"/>
          </w:tcPr>
          <w:p>
            <w:pPr>
              <w:jc w:val="right"/>
              <w:ind w:right="68"/>
              <w:spacing w:after="0"/>
              <w:rPr>
                <w:sz w:val="20"/>
                <w:szCs w:val="20"/>
                <w:color w:val="auto"/>
              </w:rPr>
            </w:pPr>
            <w:r>
              <w:rPr>
                <w:rFonts w:ascii="Arial" w:cs="Arial" w:eastAsia="Arial" w:hAnsi="Arial"/>
                <w:sz w:val="11"/>
                <w:szCs w:val="11"/>
                <w:color w:val="auto"/>
                <w:w w:val="91"/>
              </w:rPr>
              <w:t>20.33%</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85"/>
              </w:rPr>
              <w:t>20.33%</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fiscal year 2020, development costs in the amount of €6,203 thousand (previous year: €2,072 thousand) were recognized as an expense since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criteria set out in IAS 38.57 were not met. Of the total amount of €14,449 thousand (previous year: €7,397 thousand), development costs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€8,248 thousand (previous year: €5,325 thousand) were capitalized.</w:t>
      </w:r>
    </w:p>
    <w:p>
      <w:pPr>
        <w:spacing w:after="0" w:line="236" w:lineRule="exact"/>
        <w:rPr>
          <w:sz w:val="20"/>
          <w:szCs w:val="20"/>
          <w:color w:val="auto"/>
        </w:rPr>
      </w:pPr>
    </w:p>
    <w:p>
      <w:pPr>
        <w:ind w:left="2260" w:hanging="288"/>
        <w:spacing w:after="0"/>
        <w:tabs>
          <w:tab w:leader="none" w:pos="2260" w:val="left"/>
        </w:tabs>
        <w:numPr>
          <w:ilvl w:val="0"/>
          <w:numId w:val="165"/>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100" w:type="dxa"/>
            <w:vAlign w:val="bottom"/>
          </w:tcPr>
          <w:p>
            <w:pPr>
              <w:spacing w:after="0"/>
              <w:rPr>
                <w:sz w:val="8"/>
                <w:szCs w:val="8"/>
                <w:color w:val="auto"/>
              </w:rPr>
            </w:pP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5"/>
              </w:rPr>
              <w:t>Land and</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and office</w:t>
            </w:r>
          </w:p>
        </w:tc>
        <w:tc>
          <w:tcPr>
            <w:tcW w:w="86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5"/>
              </w:rPr>
              <w:t>buildings</w:t>
            </w:r>
          </w:p>
        </w:tc>
        <w:tc>
          <w:tcPr>
            <w:tcW w:w="76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88"/>
              </w:rPr>
              <w:t>Machinery</w:t>
            </w:r>
          </w:p>
        </w:tc>
        <w:tc>
          <w:tcPr>
            <w:tcW w:w="84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6"/>
              </w:rPr>
              <w:t>equipment</w:t>
            </w:r>
          </w:p>
        </w:tc>
        <w:tc>
          <w:tcPr>
            <w:tcW w:w="86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40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1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w:t>
            </w:r>
          </w:p>
        </w:tc>
        <w:tc>
          <w:tcPr>
            <w:tcW w:w="3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1,052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450</w:t>
            </w:r>
          </w:p>
        </w:tc>
        <w:tc>
          <w:tcPr>
            <w:tcW w:w="3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1,346</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2,875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90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434</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461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991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1,976</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1,063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(46)</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(188)</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1,180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2,099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865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472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4,616</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1820" w:type="dxa"/>
            <w:vAlign w:val="bottom"/>
            <w:gridSpan w:val="3"/>
          </w:tcPr>
          <w:p>
            <w:pPr>
              <w:jc w:val="right"/>
              <w:ind w:right="28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(12)</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81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1,790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1,977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3,277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542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490</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(1,032)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(128)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36"/>
        </w:trPr>
        <w:tc>
          <w:tcPr>
            <w:tcW w:w="26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1,256</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4,303</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3,151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2,717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11,427</w:t>
            </w:r>
          </w:p>
        </w:tc>
        <w:tc>
          <w:tcPr>
            <w:tcW w:w="0" w:type="dxa"/>
            <w:vAlign w:val="bottom"/>
          </w:tcPr>
          <w:p>
            <w:pPr>
              <w:spacing w:after="0"/>
              <w:rPr>
                <w:sz w:val="1"/>
                <w:szCs w:val="1"/>
                <w:color w:val="auto"/>
              </w:rPr>
            </w:pPr>
          </w:p>
        </w:tc>
      </w:tr>
      <w:tr>
        <w:trPr>
          <w:trHeight w:val="242"/>
        </w:trPr>
        <w:tc>
          <w:tcPr>
            <w:tcW w:w="5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2"/>
                <w:szCs w:val="12"/>
                <w:color w:val="auto"/>
              </w:rPr>
              <w:t>F-47</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38" w:name="page239"/>
    <w:bookmarkEnd w:id="2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4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5"/>
              </w:rPr>
              <w:t>Land and</w:t>
            </w: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and office</w:t>
            </w:r>
          </w:p>
        </w:tc>
        <w:tc>
          <w:tcPr>
            <w:tcW w:w="90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680" w:type="dxa"/>
            <w:vAlign w:val="bottom"/>
            <w:gridSpan w:val="2"/>
            <w:vMerge w:val="continue"/>
          </w:tcPr>
          <w:p>
            <w:pPr>
              <w:spacing w:after="0"/>
              <w:rPr>
                <w:sz w:val="9"/>
                <w:szCs w:val="9"/>
                <w:color w:val="auto"/>
              </w:rPr>
            </w:pPr>
          </w:p>
        </w:tc>
        <w:tc>
          <w:tcPr>
            <w:tcW w:w="74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w w:val="85"/>
              </w:rPr>
              <w:t>buildings</w:t>
            </w:r>
          </w:p>
        </w:tc>
        <w:tc>
          <w:tcPr>
            <w:tcW w:w="80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4"/>
              </w:rPr>
              <w:t>Machinery</w:t>
            </w:r>
          </w:p>
        </w:tc>
        <w:tc>
          <w:tcPr>
            <w:tcW w:w="8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6"/>
              </w:rPr>
              <w:t>equipment</w:t>
            </w:r>
          </w:p>
        </w:tc>
        <w:tc>
          <w:tcPr>
            <w:tcW w:w="900" w:type="dxa"/>
            <w:vAlign w:val="bottom"/>
            <w:gridSpan w:val="2"/>
          </w:tcPr>
          <w:p>
            <w:pPr>
              <w:jc w:val="right"/>
              <w:ind w:right="40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w:t>
            </w:r>
          </w:p>
        </w:tc>
        <w:tc>
          <w:tcPr>
            <w:tcW w:w="3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302</w:t>
            </w: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111</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76</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156</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167</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 losses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188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(46)</w:t>
            </w:r>
          </w:p>
        </w:tc>
        <w:tc>
          <w:tcPr>
            <w:tcW w:w="900" w:type="dxa"/>
            <w:vAlign w:val="bottom"/>
            <w:gridSpan w:val="2"/>
          </w:tcPr>
          <w:p>
            <w:pPr>
              <w:jc w:val="right"/>
              <w:ind w:right="320"/>
              <w:spacing w:after="0"/>
              <w:rPr>
                <w:sz w:val="20"/>
                <w:szCs w:val="20"/>
                <w:color w:val="auto"/>
              </w:rPr>
            </w:pPr>
            <w:r>
              <w:rPr>
                <w:rFonts w:ascii="Arial" w:cs="Arial" w:eastAsia="Arial" w:hAnsi="Arial"/>
                <w:sz w:val="11"/>
                <w:szCs w:val="11"/>
                <w:color w:val="auto"/>
              </w:rPr>
              <w:t>(188)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 Jan. 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458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232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776</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288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415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20"/>
              <w:spacing w:after="0"/>
              <w:rPr>
                <w:sz w:val="20"/>
                <w:szCs w:val="20"/>
                <w:color w:val="auto"/>
              </w:rPr>
            </w:pPr>
            <w:r>
              <w:rPr>
                <w:rFonts w:ascii="Arial" w:cs="Arial" w:eastAsia="Arial" w:hAnsi="Arial"/>
                <w:sz w:val="11"/>
                <w:szCs w:val="11"/>
                <w:color w:val="auto"/>
              </w:rPr>
              <w:t>(116)</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(131)</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630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516</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1,352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9"/>
              </w:rPr>
              <w:t>Land and</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and office</w:t>
            </w:r>
          </w:p>
        </w:tc>
        <w:tc>
          <w:tcPr>
            <w:tcW w:w="88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76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w w:val="85"/>
              </w:rPr>
              <w:t>buildings</w:t>
            </w:r>
          </w:p>
        </w:tc>
        <w:tc>
          <w:tcPr>
            <w:tcW w:w="7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Machinery</w:t>
            </w:r>
          </w:p>
        </w:tc>
        <w:tc>
          <w:tcPr>
            <w:tcW w:w="8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equipment</w:t>
            </w:r>
          </w:p>
        </w:tc>
        <w:tc>
          <w:tcPr>
            <w:tcW w:w="88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1,094</w:t>
            </w:r>
          </w:p>
        </w:tc>
        <w:tc>
          <w:tcPr>
            <w:tcW w:w="340" w:type="dxa"/>
            <w:vAlign w:val="bottom"/>
          </w:tcPr>
          <w:p>
            <w:pPr>
              <w:spacing w:after="0"/>
              <w:rPr>
                <w:sz w:val="10"/>
                <w:szCs w:val="10"/>
                <w:color w:val="auto"/>
              </w:rPr>
            </w:pPr>
          </w:p>
        </w:tc>
        <w:tc>
          <w:tcPr>
            <w:tcW w:w="44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1"/>
                <w:szCs w:val="11"/>
                <w:color w:val="auto"/>
                <w:w w:val="79"/>
              </w:rPr>
              <w:t>1,641</w:t>
            </w:r>
          </w:p>
        </w:tc>
        <w:tc>
          <w:tcPr>
            <w:tcW w:w="340" w:type="dxa"/>
            <w:vAlign w:val="bottom"/>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633</w:t>
            </w: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472</w:t>
            </w:r>
          </w:p>
        </w:tc>
        <w:tc>
          <w:tcPr>
            <w:tcW w:w="34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3,840</w:t>
            </w:r>
          </w:p>
        </w:tc>
        <w:tc>
          <w:tcPr>
            <w:tcW w:w="20" w:type="dxa"/>
            <w:vAlign w:val="bottom"/>
          </w:tcPr>
          <w:p>
            <w:pPr>
              <w:spacing w:after="0"/>
              <w:rPr>
                <w:sz w:val="10"/>
                <w:szCs w:val="10"/>
                <w:color w:val="auto"/>
              </w:rPr>
            </w:pPr>
          </w:p>
        </w:tc>
      </w:tr>
      <w:tr>
        <w:trPr>
          <w:trHeight w:val="136"/>
        </w:trPr>
        <w:tc>
          <w:tcPr>
            <w:tcW w:w="760" w:type="dxa"/>
            <w:vAlign w:val="bottom"/>
            <w:gridSpan w:val="2"/>
          </w:tcPr>
          <w:p>
            <w:pPr>
              <w:jc w:val="right"/>
              <w:ind w:right="340"/>
              <w:spacing w:after="0"/>
              <w:rPr>
                <w:sz w:val="20"/>
                <w:szCs w:val="20"/>
                <w:color w:val="auto"/>
              </w:rPr>
            </w:pPr>
            <w:r>
              <w:rPr>
                <w:rFonts w:ascii="Arial" w:cs="Arial" w:eastAsia="Arial" w:hAnsi="Arial"/>
                <w:sz w:val="11"/>
                <w:szCs w:val="11"/>
                <w:color w:val="auto"/>
              </w:rPr>
              <w:t>1,050</w:t>
            </w:r>
          </w:p>
        </w:tc>
        <w:tc>
          <w:tcPr>
            <w:tcW w:w="780" w:type="dxa"/>
            <w:vAlign w:val="bottom"/>
            <w:gridSpan w:val="2"/>
          </w:tcPr>
          <w:p>
            <w:pPr>
              <w:ind w:left="200"/>
              <w:spacing w:after="0"/>
              <w:rPr>
                <w:sz w:val="20"/>
                <w:szCs w:val="20"/>
                <w:color w:val="auto"/>
              </w:rPr>
            </w:pPr>
            <w:r>
              <w:rPr>
                <w:rFonts w:ascii="Arial" w:cs="Arial" w:eastAsia="Arial" w:hAnsi="Arial"/>
                <w:sz w:val="11"/>
                <w:szCs w:val="11"/>
                <w:color w:val="auto"/>
              </w:rPr>
              <w:t>3,673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2,635</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2,717</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10,075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-173990</wp:posOffset>
            </wp:positionV>
            <wp:extent cx="4663440" cy="914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60" w:space="720"/>
            <w:col w:w="4479"/>
          </w:cols>
          <w:pgMar w:left="300" w:top="354" w:right="1440" w:bottom="1440" w:gutter="0" w:footer="0" w:header="0"/>
          <w:type w:val="continuous"/>
        </w:sectPr>
      </w:pPr>
    </w:p>
    <w:p>
      <w:pPr>
        <w:ind w:left="1980" w:right="879"/>
        <w:spacing w:after="0" w:line="256" w:lineRule="auto"/>
        <w:rPr>
          <w:sz w:val="20"/>
          <w:szCs w:val="20"/>
          <w:color w:val="auto"/>
        </w:rPr>
      </w:pPr>
      <w:r>
        <w:rPr>
          <w:rFonts w:ascii="Arial" w:cs="Arial" w:eastAsia="Arial" w:hAnsi="Arial"/>
          <w:sz w:val="12"/>
          <w:szCs w:val="12"/>
          <w:color w:val="auto"/>
        </w:rPr>
        <w:t>Investments in property, plant, and equipment made in fiscal year 2020 in the amount of €7,125 thousand (previous year: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 The newly rented office has been used since November 2020.</w:t>
      </w:r>
    </w:p>
    <w:p>
      <w:pPr>
        <w:spacing w:after="0" w:line="12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 fiscal year 2020, finance expenses in the amount of €45 thousand (previous year: €1 thousand) were recorded as the cost of property, plant, and equipment in accordance with IAS 23.</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19.</w:t>
        <w:tab/>
        <w:t>Right-of-use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79"/>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7,278</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7,289</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7,289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7,300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(77)</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2,004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2,012</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9,216</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19</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9,235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F-48</w:t>
      </w:r>
    </w:p>
    <w:p>
      <w:pPr>
        <w:sectPr>
          <w:pgSz w:w="11900" w:h="16838" w:orient="portrait"/>
          <w:cols w:equalWidth="0" w:num="1">
            <w:col w:w="10159"/>
          </w:cols>
          <w:pgMar w:left="300" w:top="354" w:right="1440" w:bottom="1440" w:gutter="0" w:footer="0" w:header="0"/>
          <w:type w:val="continuous"/>
        </w:sectPr>
      </w:pPr>
    </w:p>
    <w:bookmarkStart w:id="239" w:name="page240"/>
    <w:bookmarkEnd w:id="2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ind w:left="460"/>
              <w:spacing w:after="0"/>
              <w:rPr>
                <w:sz w:val="20"/>
                <w:szCs w:val="20"/>
                <w:color w:val="auto"/>
              </w:rPr>
            </w:pPr>
            <w:r>
              <w:rPr>
                <w:rFonts w:ascii="Arial" w:cs="Arial" w:eastAsia="Arial" w:hAnsi="Arial"/>
                <w:sz w:val="5"/>
                <w:szCs w:val="5"/>
                <w:color w:val="auto"/>
                <w:w w:val="70"/>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801</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1,287</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6</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3"/>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8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leases</w:t>
            </w:r>
          </w:p>
        </w:tc>
        <w:tc>
          <w:tcPr>
            <w:tcW w:w="8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Other leases</w:t>
            </w:r>
          </w:p>
        </w:tc>
        <w:tc>
          <w:tcPr>
            <w:tcW w:w="2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6,801</w:t>
            </w:r>
          </w:p>
        </w:tc>
        <w:tc>
          <w:tcPr>
            <w:tcW w:w="36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w:t>
            </w:r>
          </w:p>
        </w:tc>
        <w:tc>
          <w:tcPr>
            <w:tcW w:w="360" w:type="dxa"/>
            <w:vAlign w:val="bottom"/>
          </w:tcPr>
          <w:p>
            <w:pPr>
              <w:spacing w:after="0"/>
              <w:rPr>
                <w:sz w:val="10"/>
                <w:szCs w:val="10"/>
                <w:color w:val="auto"/>
              </w:rPr>
            </w:pPr>
          </w:p>
        </w:tc>
        <w:tc>
          <w:tcPr>
            <w:tcW w:w="2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1"/>
                <w:szCs w:val="11"/>
                <w:color w:val="auto"/>
                <w:w w:val="79"/>
              </w:rPr>
              <w:t>6,810</w:t>
            </w:r>
          </w:p>
        </w:tc>
        <w:tc>
          <w:tcPr>
            <w:tcW w:w="20" w:type="dxa"/>
            <w:vAlign w:val="bottom"/>
          </w:tcPr>
          <w:p>
            <w:pPr>
              <w:spacing w:after="0"/>
              <w:rPr>
                <w:sz w:val="10"/>
                <w:szCs w:val="10"/>
                <w:color w:val="auto"/>
              </w:rPr>
            </w:pPr>
          </w:p>
        </w:tc>
      </w:tr>
      <w:tr>
        <w:trPr>
          <w:trHeight w:val="136"/>
        </w:trPr>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7,929</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13</w:t>
            </w: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7,942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-173990</wp:posOffset>
            </wp:positionV>
            <wp:extent cx="4663440" cy="914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620" w:space="720"/>
            <w:col w:w="2819"/>
          </w:cols>
          <w:pgMar w:left="300" w:top="354" w:right="1440" w:bottom="1440" w:gutter="0" w:footer="0" w:header="0"/>
          <w:type w:val="continuous"/>
        </w:sectPr>
      </w:pPr>
    </w:p>
    <w:p>
      <w:pPr>
        <w:ind w:left="1980" w:right="959"/>
        <w:spacing w:after="0" w:line="259" w:lineRule="auto"/>
        <w:rPr>
          <w:sz w:val="20"/>
          <w:szCs w:val="20"/>
          <w:color w:val="auto"/>
        </w:rPr>
      </w:pPr>
      <w:r>
        <w:rPr>
          <w:rFonts w:ascii="Arial" w:cs="Arial" w:eastAsia="Arial" w:hAnsi="Arial"/>
          <w:sz w:val="12"/>
          <w:szCs w:val="12"/>
          <w:color w:val="auto"/>
        </w:rPr>
        <w:t>The Group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Group from its lease agreements are collateralized through the lessor’s ownership of the leased assets. Several lease agreements contain extension and termination options that are described in more detail below.</w:t>
      </w:r>
    </w:p>
    <w:p>
      <w:pPr>
        <w:spacing w:after="0" w:line="124"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leases for low-value assets.</w:t>
      </w:r>
    </w:p>
    <w:p>
      <w:pPr>
        <w:spacing w:after="0" w:line="122"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The additions presented in the fiscal year in the amount of €2,004 thousand (previous year: €7,278 thousand) relating to property leases concern the newly rented production hall at the site in Oberpfaffenhofen, Germany, as well as the newly occupied office at the site in Los Angeles in the USA.</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amounts were recognized in profit or loss: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Interest expenses for lease liabilities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137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2"/>
          </w:tcPr>
          <w:p>
            <w:pPr>
              <w:spacing w:after="0"/>
              <w:rPr>
                <w:sz w:val="20"/>
                <w:szCs w:val="20"/>
                <w:color w:val="auto"/>
              </w:rPr>
            </w:pPr>
            <w:r>
              <w:rPr>
                <w:rFonts w:ascii="Arial" w:cs="Arial" w:eastAsia="Arial" w:hAnsi="Arial"/>
                <w:sz w:val="11"/>
                <w:szCs w:val="11"/>
                <w:color w:val="auto"/>
              </w:rPr>
              <w:t>Expenses for current lease liabilities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115</w:t>
            </w:r>
          </w:p>
        </w:tc>
      </w:tr>
      <w:tr>
        <w:trPr>
          <w:trHeight w:val="135"/>
        </w:trPr>
        <w:tc>
          <w:tcPr>
            <w:tcW w:w="6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Expenses for leases of low-value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Group’s cash outflows for leases amounted to €816 thousand in 2020 (previous year: €664 thousand). In addition, the Group reported non-cash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additions to right-of-use assets in the amount of €2,012 thousand in 2020 (previous year: €7,288 thousand) and to lease liabilities in the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€1,947 thousand (previous year: €7,190 thousand).</w:t>
      </w:r>
    </w:p>
    <w:p>
      <w:pPr>
        <w:spacing w:after="0" w:line="141"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Group has entered into several leases that include extension or termination options. These options are negotiated by the management in order to manage the portfolio of leased assets flexibly and in line with the Group’s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24"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Several property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0159"/>
          </w:cols>
          <w:pgMar w:left="300" w:top="354" w:right="1440" w:bottom="1440" w:gutter="0" w:footer="0" w:header="0"/>
          <w:type w:val="continuous"/>
        </w:sectPr>
      </w:pPr>
    </w:p>
    <w:bookmarkStart w:id="240" w:name="page241"/>
    <w:bookmarkEnd w:id="2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exercise of the extension option is reasonably certain. If a significant event or a significant change in circumstances outside of the Group’s control occurs, the Group reassesses whether the exercise of the extension option is reasonably certain.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Potential future lease payments from the exercise of extension options did not exist as of the reporting date.</w:t>
      </w:r>
    </w:p>
    <w:p>
      <w:pPr>
        <w:spacing w:after="0" w:line="245"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20.</w:t>
        <w:tab/>
        <w:t>Inventories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break-down of inventories is presented in the table below:</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420" w:type="dxa"/>
            <w:vAlign w:val="bottom"/>
            <w:gridSpan w:val="2"/>
            <w:vMerge w:val="continue"/>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Raw materials and supplies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4,061</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20" w:type="dxa"/>
            <w:vAlign w:val="bottom"/>
            <w:gridSpan w:val="2"/>
          </w:tcPr>
          <w:p>
            <w:pPr>
              <w:spacing w:after="0"/>
              <w:rPr>
                <w:sz w:val="20"/>
                <w:szCs w:val="20"/>
                <w:color w:val="auto"/>
              </w:rPr>
            </w:pPr>
            <w:r>
              <w:rPr>
                <w:rFonts w:ascii="Arial" w:cs="Arial" w:eastAsia="Arial" w:hAnsi="Arial"/>
                <w:sz w:val="11"/>
                <w:szCs w:val="11"/>
                <w:color w:val="auto"/>
              </w:rPr>
              <w:t>Work in progress</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1,169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35"/>
        </w:trPr>
        <w:tc>
          <w:tcPr>
            <w:tcW w:w="6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1,266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2020, inventories of €2,352 thousand (previous year: €428 thousand) were recognized as an expense during the year.</w:t>
      </w:r>
    </w:p>
    <w:p>
      <w:pPr>
        <w:spacing w:after="0" w:line="150"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year ended December 31, 2020 Mynaric recorded write-downs of €120 thousand (previous year: €0 thousand) for work in progress. The write-downs referred to the inventories of HAWK terminals that were written down to their recoverable amount.</w:t>
      </w:r>
    </w:p>
    <w:p>
      <w:pPr>
        <w:spacing w:after="0" w:line="210" w:lineRule="exact"/>
        <w:rPr>
          <w:sz w:val="20"/>
          <w:szCs w:val="20"/>
          <w:color w:val="auto"/>
        </w:rPr>
      </w:pPr>
    </w:p>
    <w:p>
      <w:pPr>
        <w:ind w:left="2260" w:hanging="288"/>
        <w:spacing w:after="0"/>
        <w:tabs>
          <w:tab w:leader="none" w:pos="2260"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Trade Receivables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As of the reporting date, all trade receivables are denominated in US dollars. The maximum default risk for receivables is their carrying amount. All receivables result from contracts with customers.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300" w:type="dxa"/>
            <w:vAlign w:val="bottom"/>
            <w:gridSpan w:val="2"/>
            <w:vMerge w:val="continue"/>
          </w:tcPr>
          <w:p>
            <w:pPr>
              <w:spacing w:after="0"/>
              <w:rPr>
                <w:sz w:val="9"/>
                <w:szCs w:val="9"/>
                <w:color w:val="auto"/>
              </w:rPr>
            </w:pPr>
          </w:p>
        </w:tc>
        <w:tc>
          <w:tcPr>
            <w:tcW w:w="32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9"/>
                <w:szCs w:val="9"/>
                <w:color w:val="auto"/>
              </w:rPr>
            </w:pPr>
          </w:p>
        </w:tc>
        <w:tc>
          <w:tcPr>
            <w:tcW w:w="320" w:type="dxa"/>
            <w:vAlign w:val="bottom"/>
          </w:tcPr>
          <w:p>
            <w:pPr>
              <w:jc w:val="right"/>
              <w:ind w:right="1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550</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ind w:left="28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300" w:type="dxa"/>
            <w:vAlign w:val="bottom"/>
            <w:gridSpan w:val="2"/>
          </w:tcPr>
          <w:p>
            <w:pPr>
              <w:spacing w:after="0"/>
              <w:rPr>
                <w:sz w:val="20"/>
                <w:szCs w:val="20"/>
                <w:color w:val="auto"/>
              </w:rPr>
            </w:pPr>
            <w:r>
              <w:rPr>
                <w:rFonts w:ascii="Arial" w:cs="Arial" w:eastAsia="Arial" w:hAnsi="Arial"/>
                <w:sz w:val="11"/>
                <w:szCs w:val="11"/>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1"/>
                <w:szCs w:val="11"/>
                <w:color w:val="auto"/>
              </w:rPr>
              <w:t>550</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trade receivables can be broken down by maturity according to the following time bands: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9"/>
              </w:rPr>
              <w:t>more</w:t>
            </w:r>
          </w:p>
        </w:tc>
        <w:tc>
          <w:tcPr>
            <w:tcW w:w="0" w:type="dxa"/>
            <w:vAlign w:val="bottom"/>
          </w:tcPr>
          <w:p>
            <w:pPr>
              <w:spacing w:after="0"/>
              <w:rPr>
                <w:sz w:val="1"/>
                <w:szCs w:val="1"/>
                <w:color w:val="auto"/>
              </w:rPr>
            </w:pPr>
          </w:p>
        </w:tc>
      </w:tr>
      <w:tr>
        <w:trPr>
          <w:trHeight w:val="99"/>
        </w:trPr>
        <w:tc>
          <w:tcPr>
            <w:tcW w:w="3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up to 30</w:t>
            </w:r>
          </w:p>
        </w:tc>
        <w:tc>
          <w:tcPr>
            <w:tcW w:w="60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80"/>
              </w:rPr>
              <w:t>31 to 60</w:t>
            </w:r>
          </w:p>
        </w:tc>
        <w:tc>
          <w:tcPr>
            <w:tcW w:w="5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0"/>
              </w:rPr>
              <w:t>61 to 90</w:t>
            </w:r>
          </w:p>
        </w:tc>
        <w:tc>
          <w:tcPr>
            <w:tcW w:w="64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91 to 180</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3"/>
              </w:rPr>
              <w:t>than 180</w:t>
            </w:r>
          </w:p>
        </w:tc>
        <w:tc>
          <w:tcPr>
            <w:tcW w:w="0" w:type="dxa"/>
            <w:vAlign w:val="bottom"/>
          </w:tcPr>
          <w:p>
            <w:pPr>
              <w:spacing w:after="0"/>
              <w:rPr>
                <w:sz w:val="1"/>
                <w:szCs w:val="1"/>
                <w:color w:val="auto"/>
              </w:rPr>
            </w:pPr>
          </w:p>
        </w:tc>
      </w:tr>
      <w:tr>
        <w:trPr>
          <w:trHeight w:val="104"/>
        </w:trPr>
        <w:tc>
          <w:tcPr>
            <w:tcW w:w="3940" w:type="dxa"/>
            <w:vAlign w:val="bottom"/>
            <w:gridSpan w:val="2"/>
            <w:vMerge w:val="continue"/>
          </w:tcPr>
          <w:p>
            <w:pPr>
              <w:spacing w:after="0"/>
              <w:rPr>
                <w:sz w:val="9"/>
                <w:szCs w:val="9"/>
                <w:color w:val="auto"/>
              </w:rPr>
            </w:pPr>
          </w:p>
        </w:tc>
        <w:tc>
          <w:tcPr>
            <w:tcW w:w="58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w w:val="77"/>
              </w:rPr>
              <w:t>not due</w:t>
            </w:r>
          </w:p>
        </w:tc>
        <w:tc>
          <w:tcPr>
            <w:tcW w:w="6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days</w:t>
            </w:r>
          </w:p>
        </w:tc>
        <w:tc>
          <w:tcPr>
            <w:tcW w:w="60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rPr>
              <w:t>days</w:t>
            </w:r>
          </w:p>
        </w:tc>
        <w:tc>
          <w:tcPr>
            <w:tcW w:w="5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days</w:t>
            </w:r>
          </w:p>
        </w:tc>
        <w:tc>
          <w:tcPr>
            <w:tcW w:w="64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days</w:t>
            </w:r>
          </w:p>
        </w:tc>
        <w:tc>
          <w:tcPr>
            <w:tcW w:w="4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8"/>
              </w:rPr>
              <w:t>days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9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522</w:t>
            </w:r>
          </w:p>
        </w:tc>
        <w:tc>
          <w:tcPr>
            <w:tcW w:w="2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w:t>
            </w: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F-50</w:t>
      </w:r>
    </w:p>
    <w:p>
      <w:pPr>
        <w:sectPr>
          <w:pgSz w:w="11900" w:h="16838" w:orient="portrait"/>
          <w:cols w:equalWidth="0" w:num="1">
            <w:col w:w="10159"/>
          </w:cols>
          <w:pgMar w:left="300" w:top="354" w:right="1440" w:bottom="1440" w:gutter="0" w:footer="0" w:header="0"/>
        </w:sectPr>
      </w:pPr>
    </w:p>
    <w:bookmarkStart w:id="241" w:name="page242"/>
    <w:bookmarkEnd w:id="2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22.</w:t>
        <w:tab/>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and current financial and non-financial assets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540" w:type="dxa"/>
            <w:vAlign w:val="bottom"/>
            <w:gridSpan w:val="4"/>
          </w:tcPr>
          <w:p>
            <w:pPr>
              <w:ind w:left="320"/>
              <w:spacing w:after="0"/>
              <w:rPr>
                <w:sz w:val="20"/>
                <w:szCs w:val="20"/>
                <w:color w:val="auto"/>
              </w:rPr>
            </w:pPr>
            <w:r>
              <w:rPr>
                <w:rFonts w:ascii="Arial" w:cs="Arial" w:eastAsia="Arial" w:hAnsi="Arial"/>
                <w:sz w:val="10"/>
                <w:szCs w:val="10"/>
                <w:b w:val="1"/>
                <w:bCs w:val="1"/>
                <w:color w:val="auto"/>
              </w:rPr>
              <w:t>Dec. 31, 2020</w:t>
            </w:r>
          </w:p>
        </w:tc>
        <w:tc>
          <w:tcPr>
            <w:tcW w:w="12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Dec. 31, 2019</w:t>
            </w:r>
          </w:p>
        </w:tc>
        <w:tc>
          <w:tcPr>
            <w:tcW w:w="0" w:type="dxa"/>
            <w:vAlign w:val="bottom"/>
          </w:tcPr>
          <w:p>
            <w:pPr>
              <w:spacing w:after="0"/>
              <w:rPr>
                <w:sz w:val="1"/>
                <w:szCs w:val="1"/>
                <w:color w:val="auto"/>
              </w:rPr>
            </w:pPr>
          </w:p>
        </w:tc>
      </w:tr>
      <w:tr>
        <w:trPr>
          <w:trHeight w:val="79"/>
        </w:trPr>
        <w:tc>
          <w:tcPr>
            <w:tcW w:w="4560" w:type="dxa"/>
            <w:vAlign w:val="bottom"/>
            <w:gridSpan w:val="2"/>
            <w:vMerge w:val="continue"/>
          </w:tcPr>
          <w:p>
            <w:pPr>
              <w:spacing w:after="0"/>
              <w:rPr>
                <w:sz w:val="6"/>
                <w:szCs w:val="6"/>
                <w:color w:val="auto"/>
              </w:rPr>
            </w:pPr>
          </w:p>
        </w:tc>
        <w:tc>
          <w:tcPr>
            <w:tcW w:w="6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Current</w:t>
            </w:r>
          </w:p>
        </w:tc>
        <w:tc>
          <w:tcPr>
            <w:tcW w:w="5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340" w:type="dxa"/>
            <w:vAlign w:val="bottom"/>
          </w:tcPr>
          <w:p>
            <w:pPr>
              <w:spacing w:after="0"/>
              <w:rPr>
                <w:sz w:val="6"/>
                <w:szCs w:val="6"/>
                <w:color w:val="auto"/>
              </w:rPr>
            </w:pPr>
          </w:p>
        </w:tc>
        <w:tc>
          <w:tcPr>
            <w:tcW w:w="700" w:type="dxa"/>
            <w:vAlign w:val="bottom"/>
            <w:tcBorders>
              <w:top w:val="single" w:sz="8" w:color="auto"/>
            </w:tcBorders>
            <w:gridSpan w:val="2"/>
          </w:tcPr>
          <w:p>
            <w:pPr>
              <w:jc w:val="right"/>
              <w:ind w:right="360"/>
              <w:spacing w:after="0" w:line="79" w:lineRule="exact"/>
              <w:rPr>
                <w:sz w:val="20"/>
                <w:szCs w:val="20"/>
                <w:color w:val="auto"/>
              </w:rPr>
            </w:pPr>
            <w:r>
              <w:rPr>
                <w:rFonts w:ascii="Arial" w:cs="Arial" w:eastAsia="Arial" w:hAnsi="Arial"/>
                <w:sz w:val="8"/>
                <w:szCs w:val="8"/>
                <w:b w:val="1"/>
                <w:bCs w:val="1"/>
                <w:color w:val="auto"/>
              </w:rPr>
              <w:t>Current</w:t>
            </w: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56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NON-FINANCIAL ASSETS</w:t>
            </w: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Tax receivables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543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163</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Prepaid expenses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401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Advance payments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194</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377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1,262</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766</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ASSETS</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Security deposits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80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interest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Bank balances with remaining terms to maturity</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771</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76</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1,338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1,758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maximum default risk for financial assets is their carrying amount.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financial bank balances allocated to other financial assets are subject to only insignificant value fluctuations.</w:t>
      </w:r>
    </w:p>
    <w:p>
      <w:pPr>
        <w:spacing w:after="0" w:line="245" w:lineRule="exact"/>
        <w:rPr>
          <w:sz w:val="20"/>
          <w:szCs w:val="20"/>
          <w:color w:val="auto"/>
        </w:rPr>
      </w:pPr>
    </w:p>
    <w:p>
      <w:pPr>
        <w:ind w:left="2260" w:hanging="288"/>
        <w:spacing w:after="0"/>
        <w:tabs>
          <w:tab w:leader="none" w:pos="2260" w:val="left"/>
        </w:tabs>
        <w:numPr>
          <w:ilvl w:val="0"/>
          <w:numId w:val="167"/>
        </w:numPr>
        <w:rPr>
          <w:rFonts w:ascii="Arial" w:cs="Arial" w:eastAsia="Arial" w:hAnsi="Arial"/>
          <w:sz w:val="12"/>
          <w:szCs w:val="12"/>
          <w:b w:val="1"/>
          <w:bCs w:val="1"/>
          <w:color w:val="auto"/>
        </w:rPr>
      </w:pPr>
      <w:r>
        <w:rPr>
          <w:rFonts w:ascii="Arial" w:cs="Arial" w:eastAsia="Arial" w:hAnsi="Arial"/>
          <w:sz w:val="12"/>
          <w:szCs w:val="12"/>
          <w:b w:val="1"/>
          <w:bCs w:val="1"/>
          <w:color w:val="auto"/>
        </w:rPr>
        <w:t>Cash and Cash Equivalents</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As of the reporting date, the balance of cash funds amounted to €43,198 thousand (previous year: €8,914 thousand) and comprises primarily cash on hand and balances held with banks. Bank balances are subject to only insignificant fluctuations in value. As of December 31, 2019, the deposits with a maturity of less than 3 months were included in Cash and Cash Equivalents. Cash funds correspond to cash and cash equivalents as reported in the statement of cash flows.</w:t>
      </w:r>
    </w:p>
    <w:p>
      <w:pPr>
        <w:spacing w:after="0" w:line="219" w:lineRule="exact"/>
        <w:rPr>
          <w:sz w:val="20"/>
          <w:szCs w:val="20"/>
          <w:color w:val="auto"/>
        </w:rPr>
      </w:pPr>
    </w:p>
    <w:p>
      <w:pPr>
        <w:ind w:left="2260" w:hanging="288"/>
        <w:spacing w:after="0"/>
        <w:tabs>
          <w:tab w:leader="none" w:pos="2260"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Subscribed Capital</w:t>
      </w:r>
    </w:p>
    <w:p>
      <w:pPr>
        <w:spacing w:after="0" w:line="168" w:lineRule="exact"/>
        <w:rPr>
          <w:sz w:val="20"/>
          <w:szCs w:val="20"/>
          <w:color w:val="auto"/>
        </w:rPr>
      </w:pPr>
    </w:p>
    <w:p>
      <w:pPr>
        <w:ind w:left="2260" w:hanging="288"/>
        <w:spacing w:after="0"/>
        <w:tabs>
          <w:tab w:leader="none" w:pos="2260"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color w:val="auto"/>
        </w:rPr>
        <w:t>Issued share capital</w:t>
      </w:r>
    </w:p>
    <w:p>
      <w:pPr>
        <w:spacing w:after="0" w:line="15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of January 1, 2020, the Company’s share capital amounted to €2,904,304, divided into 2,904,304 bearer shares with a nominal value of €1.00 per share.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During the year ended December 31, 2020, share capital was increased to €3,994,734.00 through the issuance of a total of 1,090,430 bearer shares with a nominal value of €1.00 per share. This was due to the following transactions:</w:t>
      </w:r>
    </w:p>
    <w:p>
      <w:pPr>
        <w:spacing w:after="0" w:line="52" w:lineRule="exact"/>
        <w:rPr>
          <w:sz w:val="20"/>
          <w:szCs w:val="20"/>
          <w:color w:val="auto"/>
        </w:rPr>
      </w:pPr>
    </w:p>
    <w:p>
      <w:pPr>
        <w:ind w:left="2620" w:right="979" w:hanging="288"/>
        <w:spacing w:after="0" w:line="298" w:lineRule="auto"/>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On February 4, 2020, the Management Board and the Supervisory Board adopted a resolution to increase the Company’s share capital, subject to partial utilization of the 2019 Authorized Capital, by €290,430.00 against cash contributions through the issue of 290,430 new no-par value bearer shares with a pro rata amount in the share capital of €1.00 per share at a price of € 42,50 per share</w:t>
      </w:r>
    </w:p>
    <w:p>
      <w:pPr>
        <w:spacing w:after="0" w:line="41" w:lineRule="exact"/>
        <w:rPr>
          <w:rFonts w:ascii="Arial" w:cs="Arial" w:eastAsia="Arial" w:hAnsi="Arial"/>
          <w:sz w:val="11"/>
          <w:szCs w:val="11"/>
          <w:color w:val="auto"/>
        </w:rPr>
      </w:pPr>
    </w:p>
    <w:p>
      <w:pPr>
        <w:ind w:left="2620" w:right="919" w:hanging="288"/>
        <w:spacing w:after="0" w:line="298" w:lineRule="auto"/>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On October 8, 2020, the Management Board and the Supervisory Board adopted a resolution to increase the Company’s share capital, subject to partial utilization of the 2020/I Authorized Capital, by €800,000.00 against cash contributions through the issue of 800,000 new no-par value bearer shares with a pro rata amount in the share capital of €1.00 per share at a price of € 66,00 per share.</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F-51</w:t>
      </w:r>
    </w:p>
    <w:p>
      <w:pPr>
        <w:sectPr>
          <w:pgSz w:w="11900" w:h="16838" w:orient="portrait"/>
          <w:cols w:equalWidth="0" w:num="1">
            <w:col w:w="10159"/>
          </w:cols>
          <w:pgMar w:left="300" w:top="354" w:right="1440" w:bottom="1440" w:gutter="0" w:footer="0" w:header="0"/>
        </w:sectPr>
      </w:pPr>
    </w:p>
    <w:bookmarkStart w:id="242" w:name="page243"/>
    <w:bookmarkEnd w:id="2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1"/>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On June 12, 2020, the Annual General Meeting resolved to create 2020/I Conditional Capital and an additional 2020/II Conditional Capital, and to reduce the 2017/I Conditional Capital.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2017/I Conditional Capital</w:t>
      </w:r>
    </w:p>
    <w:p>
      <w:pPr>
        <w:spacing w:after="0" w:line="150"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After reduction, the 2017/I Conditional Capital dated September 8, 2017 amounts to €1,500.00 and is now used to grant stock option rights to employees of the Company or its affiliates.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2020/II Conditional Capital</w:t>
      </w:r>
    </w:p>
    <w:p>
      <w:pPr>
        <w:spacing w:after="0" w:line="150"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92" w:lineRule="exact"/>
        <w:rPr>
          <w:sz w:val="20"/>
          <w:szCs w:val="20"/>
          <w:color w:val="auto"/>
        </w:rPr>
      </w:pPr>
    </w:p>
    <w:p>
      <w:pPr>
        <w:jc w:val="both"/>
        <w:ind w:left="1980" w:right="919"/>
        <w:spacing w:after="0" w:line="289" w:lineRule="auto"/>
        <w:rPr>
          <w:sz w:val="20"/>
          <w:szCs w:val="20"/>
          <w:color w:val="auto"/>
        </w:rPr>
      </w:pPr>
      <w:r>
        <w:rPr>
          <w:rFonts w:ascii="Arial" w:cs="Arial" w:eastAsia="Arial" w:hAnsi="Arial"/>
          <w:sz w:val="11"/>
          <w:szCs w:val="11"/>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jc w:val="both"/>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F-52</w:t>
      </w:r>
    </w:p>
    <w:p>
      <w:pPr>
        <w:sectPr>
          <w:pgSz w:w="11900" w:h="16838" w:orient="portrait"/>
          <w:cols w:equalWidth="0" w:num="1">
            <w:col w:w="10159"/>
          </w:cols>
          <w:pgMar w:left="300" w:top="354" w:right="1440" w:bottom="1440" w:gutter="0" w:footer="0" w:header="0"/>
        </w:sectPr>
      </w:pPr>
    </w:p>
    <w:bookmarkStart w:id="243" w:name="page244"/>
    <w:bookmarkEnd w:id="2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color w:val="auto"/>
        </w:rPr>
        <w:t>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9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260" w:hanging="288"/>
        <w:spacing w:after="0"/>
        <w:tabs>
          <w:tab w:leader="none" w:pos="2260" w:val="left"/>
        </w:tabs>
        <w:numPr>
          <w:ilvl w:val="0"/>
          <w:numId w:val="172"/>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authorization of the Management Board to increase the Company’s share capital on one or more occasions until July 1, 2024 by up to a total amount of €1,061,722.00 against cash contributions and/or contributions in kind through the issue of up to 1,061,722 new no-par value bearer shares (2019 Authorized Capital) was rescinded at the Annual General Meeting on June 12, 2020. Instead, the Management Board is authorized, subject to the consent of the Supervisory Board, to increase the Company’s share capital on one or more occasions until June 11, 2025 by up to a total amount of €1,597,367.00 through the issue of up to 1,597,367 new no-par-value bearer shares against cash contributions and/or contributions in kind (2020 Authorized Capital).</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Capital Reserve</w:t>
      </w:r>
    </w:p>
    <w:p>
      <w:pPr>
        <w:spacing w:after="0" w:line="15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capital reserve comprises the premiums received in connection with the issuance of new shares, share-based payments, and the costs of capital increases.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F-53</w:t>
      </w:r>
    </w:p>
    <w:p>
      <w:pPr>
        <w:sectPr>
          <w:pgSz w:w="11900" w:h="16838" w:orient="portrait"/>
          <w:cols w:equalWidth="0" w:num="1">
            <w:col w:w="10159"/>
          </w:cols>
          <w:pgMar w:left="300" w:top="354" w:right="1440" w:bottom="1440" w:gutter="0" w:footer="0" w:header="0"/>
        </w:sectPr>
      </w:pPr>
    </w:p>
    <w:bookmarkStart w:id="244" w:name="page245"/>
    <w:bookmarkEnd w:id="2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Prepaid Share Reserve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prepaid share reserve comprises of not refundable prepaid capital contributions for new shares which are not issued at the reporting date.</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reported prepaid share reserve was due to the following transaction:</w:t>
      </w:r>
    </w:p>
    <w:p>
      <w:pPr>
        <w:spacing w:after="0" w:line="87" w:lineRule="exact"/>
        <w:rPr>
          <w:sz w:val="20"/>
          <w:szCs w:val="20"/>
          <w:color w:val="auto"/>
        </w:rPr>
      </w:pPr>
    </w:p>
    <w:p>
      <w:pPr>
        <w:ind w:left="2620" w:right="839" w:hanging="288"/>
        <w:spacing w:after="0" w:line="281" w:lineRule="auto"/>
        <w:tabs>
          <w:tab w:leader="none" w:pos="2620" w:val="left"/>
        </w:tabs>
        <w:numPr>
          <w:ilvl w:val="1"/>
          <w:numId w:val="175"/>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210" w:lineRule="exact"/>
        <w:rPr>
          <w:rFonts w:ascii="Arial" w:cs="Arial" w:eastAsia="Arial" w:hAnsi="Arial"/>
          <w:sz w:val="11"/>
          <w:szCs w:val="11"/>
          <w:color w:val="auto"/>
        </w:rPr>
      </w:pPr>
    </w:p>
    <w:p>
      <w:pPr>
        <w:ind w:left="2260" w:hanging="288"/>
        <w:spacing w:after="0"/>
        <w:tabs>
          <w:tab w:leader="none" w:pos="2260"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Differences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reserve for exchange rate differences comprises all currency translation differences arising due to the translation of the financial statements of foreign operations.</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28.</w:t>
        <w:tab/>
        <w:t>Provisions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and non-current provisions changed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1"/>
              </w:rPr>
              <w:t>Jan. 1, 2020</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7"/>
              </w:rPr>
              <w:t>Utilization</w:t>
            </w:r>
          </w:p>
        </w:tc>
        <w:tc>
          <w:tcPr>
            <w:tcW w:w="3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0"/>
              </w:rPr>
              <w:t>Reversals</w:t>
            </w: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2"/>
              </w:rPr>
              <w:t>Additions</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2020</w:t>
            </w: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Litigation</w:t>
            </w:r>
          </w:p>
        </w:tc>
        <w:tc>
          <w:tcPr>
            <w:tcW w:w="28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330</w:t>
            </w:r>
          </w:p>
        </w:tc>
        <w:tc>
          <w:tcPr>
            <w:tcW w:w="4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675</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1,005</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Asset retirement obligations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66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164</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r>
      <w:tr>
        <w:trPr>
          <w:trHeight w:val="140"/>
        </w:trPr>
        <w:tc>
          <w:tcPr>
            <w:tcW w:w="33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434</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743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1,177</w:t>
            </w:r>
          </w:p>
        </w:tc>
      </w:tr>
      <w:tr>
        <w:trPr>
          <w:trHeight w:val="238"/>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0"/>
                <w:szCs w:val="10"/>
                <w:b w:val="1"/>
                <w:bCs w:val="1"/>
                <w:color w:val="auto"/>
              </w:rPr>
              <w:t>thereof non-current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Asset retirement obligations</w:t>
            </w:r>
          </w:p>
        </w:tc>
        <w:tc>
          <w:tcPr>
            <w:tcW w:w="90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98</w:t>
            </w:r>
          </w:p>
        </w:tc>
        <w:tc>
          <w:tcPr>
            <w:tcW w:w="56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66</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164</w:t>
            </w:r>
          </w:p>
        </w:tc>
        <w:tc>
          <w:tcPr>
            <w:tcW w:w="40" w:type="dxa"/>
            <w:vAlign w:val="bottom"/>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104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172</w:t>
            </w:r>
          </w:p>
        </w:tc>
      </w:tr>
    </w:tbl>
    <w:p>
      <w:pPr>
        <w:spacing w:after="0" w:line="230" w:lineRule="exact"/>
        <w:rPr>
          <w:sz w:val="20"/>
          <w:szCs w:val="20"/>
          <w:color w:val="auto"/>
        </w:rPr>
      </w:pPr>
    </w:p>
    <w:p>
      <w:pPr>
        <w:ind w:left="2260" w:hanging="288"/>
        <w:spacing w:after="0"/>
        <w:tabs>
          <w:tab w:leader="none" w:pos="2260" w:val="left"/>
        </w:tabs>
        <w:numPr>
          <w:ilvl w:val="0"/>
          <w:numId w:val="176"/>
        </w:numPr>
        <w:rPr>
          <w:rFonts w:ascii="Arial" w:cs="Arial" w:eastAsia="Arial" w:hAnsi="Arial"/>
          <w:sz w:val="12"/>
          <w:szCs w:val="12"/>
          <w:b w:val="1"/>
          <w:bCs w:val="1"/>
          <w:color w:val="auto"/>
        </w:rPr>
      </w:pPr>
      <w:r>
        <w:rPr>
          <w:rFonts w:ascii="Arial" w:cs="Arial" w:eastAsia="Arial" w:hAnsi="Arial"/>
          <w:sz w:val="12"/>
          <w:szCs w:val="12"/>
          <w:b w:val="1"/>
          <w:bCs w:val="1"/>
          <w:color w:val="auto"/>
        </w:rPr>
        <w:t>Contract Liabilities</w:t>
      </w:r>
    </w:p>
    <w:p>
      <w:pPr>
        <w:spacing w:after="0" w:line="15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contract liabilities in the amount of €1,196 thousand (previous year: €0 thousand) consist of payments made by customers of Mynaric in fiscal year 2020 presented in accordance with IFRS 15.</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30.</w:t>
        <w:tab/>
        <w:t>Trade and Other Payables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the trade and other payables: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40" w:type="dxa"/>
            <w:vAlign w:val="bottom"/>
            <w:gridSpan w:val="2"/>
          </w:tcPr>
          <w:p>
            <w:pPr>
              <w:ind w:left="460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payables</w:t>
            </w:r>
          </w:p>
        </w:tc>
        <w:tc>
          <w:tcPr>
            <w:tcW w:w="456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1,710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1,207</w:t>
            </w:r>
          </w:p>
        </w:tc>
        <w:tc>
          <w:tcPr>
            <w:tcW w:w="40" w:type="dxa"/>
            <w:vAlign w:val="bottom"/>
            <w:shd w:val="clear" w:color="auto" w:fill="CCEEFF"/>
          </w:tcPr>
          <w:p>
            <w:pPr>
              <w:spacing w:after="0"/>
              <w:rPr>
                <w:sz w:val="9"/>
                <w:szCs w:val="9"/>
                <w:color w:val="auto"/>
              </w:rPr>
            </w:pPr>
          </w:p>
        </w:tc>
      </w:tr>
      <w:tr>
        <w:trPr>
          <w:trHeight w:val="135"/>
        </w:trPr>
        <w:tc>
          <w:tcPr>
            <w:tcW w:w="2100" w:type="dxa"/>
            <w:vAlign w:val="bottom"/>
            <w:gridSpan w:val="2"/>
          </w:tcPr>
          <w:p>
            <w:pPr>
              <w:spacing w:after="0"/>
              <w:rPr>
                <w:sz w:val="20"/>
                <w:szCs w:val="20"/>
                <w:color w:val="auto"/>
              </w:rPr>
            </w:pPr>
            <w:r>
              <w:rPr>
                <w:rFonts w:ascii="Arial" w:cs="Arial" w:eastAsia="Arial" w:hAnsi="Arial"/>
                <w:sz w:val="11"/>
                <w:szCs w:val="11"/>
                <w:color w:val="auto"/>
              </w:rPr>
              <w:t>Other accruals</w:t>
            </w:r>
          </w:p>
        </w:tc>
        <w:tc>
          <w:tcPr>
            <w:tcW w:w="4940" w:type="dxa"/>
            <w:vAlign w:val="bottom"/>
            <w:gridSpan w:val="3"/>
          </w:tcPr>
          <w:p>
            <w:pPr>
              <w:ind w:left="4600"/>
              <w:spacing w:after="0"/>
              <w:rPr>
                <w:sz w:val="20"/>
                <w:szCs w:val="20"/>
                <w:color w:val="auto"/>
              </w:rPr>
            </w:pPr>
            <w:r>
              <w:rPr>
                <w:rFonts w:ascii="Arial" w:cs="Arial" w:eastAsia="Arial" w:hAnsi="Arial"/>
                <w:sz w:val="11"/>
                <w:szCs w:val="11"/>
                <w:color w:val="auto"/>
              </w:rPr>
              <w:t>3,418</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1,254</w:t>
            </w:r>
          </w:p>
        </w:tc>
      </w:tr>
      <w:tr>
        <w:trPr>
          <w:trHeight w:val="135"/>
        </w:trPr>
        <w:tc>
          <w:tcPr>
            <w:tcW w:w="2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940" w:type="dxa"/>
            <w:vAlign w:val="bottom"/>
            <w:gridSpan w:val="3"/>
            <w:shd w:val="clear" w:color="auto" w:fill="CCEEFF"/>
          </w:tcPr>
          <w:p>
            <w:pPr>
              <w:ind w:left="4600"/>
              <w:spacing w:after="0"/>
              <w:rPr>
                <w:sz w:val="20"/>
                <w:szCs w:val="20"/>
                <w:color w:val="auto"/>
              </w:rPr>
            </w:pPr>
            <w:r>
              <w:rPr>
                <w:rFonts w:ascii="Arial" w:cs="Arial" w:eastAsia="Arial" w:hAnsi="Arial"/>
                <w:sz w:val="11"/>
                <w:szCs w:val="11"/>
                <w:color w:val="auto"/>
              </w:rPr>
              <w:t>5,128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2,461</w:t>
            </w:r>
          </w:p>
        </w:tc>
      </w:tr>
      <w:tr>
        <w:trPr>
          <w:trHeight w:val="243"/>
        </w:trPr>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940" w:type="dxa"/>
            <w:vAlign w:val="bottom"/>
            <w:gridSpan w:val="3"/>
          </w:tcPr>
          <w:p>
            <w:pPr>
              <w:ind w:left="1460"/>
              <w:spacing w:after="0"/>
              <w:rPr>
                <w:sz w:val="20"/>
                <w:szCs w:val="20"/>
                <w:color w:val="auto"/>
              </w:rPr>
            </w:pPr>
            <w:r>
              <w:rPr>
                <w:rFonts w:ascii="Arial" w:cs="Arial" w:eastAsia="Arial" w:hAnsi="Arial"/>
                <w:sz w:val="12"/>
                <w:szCs w:val="12"/>
                <w:color w:val="auto"/>
              </w:rPr>
              <w:t>F-54</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45" w:name="page246"/>
    <w:bookmarkEnd w:id="2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31.</w:t>
        <w:tab/>
        <w:t>Other Financial and Non-financial Liabilities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financial and non-financial liabilities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80" w:type="dxa"/>
            <w:vAlign w:val="bottom"/>
            <w:gridSpan w:val="2"/>
          </w:tcPr>
          <w:p>
            <w:pPr>
              <w:spacing w:after="0"/>
              <w:rPr>
                <w:sz w:val="20"/>
                <w:szCs w:val="20"/>
                <w:color w:val="auto"/>
              </w:rPr>
            </w:pPr>
            <w:r>
              <w:rPr>
                <w:rFonts w:ascii="Arial" w:cs="Arial" w:eastAsia="Arial" w:hAnsi="Arial"/>
                <w:sz w:val="10"/>
                <w:szCs w:val="10"/>
                <w:b w:val="1"/>
                <w:bCs w:val="1"/>
                <w:color w:val="auto"/>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6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NON-FINANCIAL LIABILITIES</w:t>
            </w: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Liabilities for social security and payroll tax</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382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171</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387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172</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FINANCIAL LIABILITIES</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Other financial liabilities</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24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b w:val="1"/>
                <w:bCs w:val="1"/>
                <w:color w:val="auto"/>
              </w:rPr>
              <w:t>24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w:t>
            </w:r>
          </w:p>
        </w:tc>
      </w:tr>
      <w:tr>
        <w:trPr>
          <w:trHeight w:val="140"/>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411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178</w:t>
            </w:r>
          </w:p>
        </w:tc>
      </w:tr>
    </w:tbl>
    <w:p>
      <w:pPr>
        <w:spacing w:after="0" w:line="225" w:lineRule="exact"/>
        <w:rPr>
          <w:sz w:val="20"/>
          <w:szCs w:val="20"/>
          <w:color w:val="auto"/>
        </w:rPr>
      </w:pPr>
    </w:p>
    <w:p>
      <w:pPr>
        <w:ind w:left="2260" w:hanging="288"/>
        <w:spacing w:after="0"/>
        <w:tabs>
          <w:tab w:leader="none" w:pos="2260"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Statement of Cash Flows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cash funds correspond to cash and cash equivalents as of the reporting date, comprising primarily cash on hand and bank balances.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Reconciliation of movements in liabilities to cash flows from financing activities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reconciliation of liabilities to the cash flows from financing activities required to be disclosed in accordance with IAS 7.44 is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0"/>
                <w:szCs w:val="10"/>
                <w:b w:val="1"/>
                <w:bCs w:val="1"/>
                <w:color w:val="auto"/>
                <w:w w:val="80"/>
              </w:rPr>
              <w:t>Non-cash changes</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Balance</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arising</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as of</w:t>
            </w:r>
          </w:p>
        </w:tc>
        <w:tc>
          <w:tcPr>
            <w:tcW w:w="5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760" w:type="dxa"/>
            <w:vAlign w:val="bottom"/>
            <w:vMerge w:val="restart"/>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Jan. 1,</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78"/>
              </w:rPr>
              <w:t>cash</w:t>
            </w:r>
          </w:p>
        </w:tc>
        <w:tc>
          <w:tcPr>
            <w:tcW w:w="46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9"/>
              </w:rPr>
              <w:t>Additions/</w:t>
            </w:r>
          </w:p>
        </w:tc>
        <w:tc>
          <w:tcPr>
            <w:tcW w:w="140" w:type="dxa"/>
            <w:vAlign w:val="bottom"/>
          </w:tcPr>
          <w:p>
            <w:pPr>
              <w:spacing w:after="0"/>
              <w:rPr>
                <w:sz w:val="8"/>
                <w:szCs w:val="8"/>
                <w:color w:val="auto"/>
              </w:rPr>
            </w:pPr>
          </w:p>
        </w:tc>
        <w:tc>
          <w:tcPr>
            <w:tcW w:w="48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Fair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5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5"/>
              </w:rPr>
              <w:t>flows</w:t>
            </w:r>
          </w:p>
        </w:tc>
        <w:tc>
          <w:tcPr>
            <w:tcW w:w="46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7"/>
              </w:rPr>
              <w:t>disposals</w:t>
            </w:r>
          </w:p>
        </w:tc>
        <w:tc>
          <w:tcPr>
            <w:tcW w:w="140" w:type="dxa"/>
            <w:vAlign w:val="bottom"/>
          </w:tcPr>
          <w:p>
            <w:pPr>
              <w:spacing w:after="0"/>
              <w:rPr>
                <w:sz w:val="10"/>
                <w:szCs w:val="10"/>
                <w:color w:val="auto"/>
              </w:rPr>
            </w:pPr>
          </w:p>
        </w:tc>
        <w:tc>
          <w:tcPr>
            <w:tcW w:w="4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3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w w:val="93"/>
              </w:rPr>
              <w:t>FX</w:t>
            </w:r>
          </w:p>
        </w:tc>
        <w:tc>
          <w:tcPr>
            <w:tcW w:w="40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78"/>
              </w:rPr>
              <w:t>value</w:t>
            </w:r>
          </w:p>
        </w:tc>
        <w:tc>
          <w:tcPr>
            <w:tcW w:w="88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Convertible bonds</w:t>
            </w: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5,000</w:t>
            </w:r>
          </w:p>
        </w:tc>
        <w:tc>
          <w:tcPr>
            <w:tcW w:w="2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(5,500)</w:t>
            </w:r>
          </w:p>
        </w:tc>
        <w:tc>
          <w:tcPr>
            <w:tcW w:w="2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Arial" w:cs="Arial" w:eastAsia="Arial" w:hAnsi="Arial"/>
                <w:sz w:val="11"/>
                <w:szCs w:val="11"/>
                <w:color w:val="auto"/>
              </w:rPr>
              <w:t>Short-term loans</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6,762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1,947</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1"/>
              </w:rPr>
              <w:t>(79)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7,956</w:t>
            </w: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6,762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4,326</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1,947</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500</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1"/>
              </w:rPr>
              <w:t>(79)</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(5,500)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7,956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reclassification of the convertible bond refers to the non-cash conversion of the convertible bond into shares of Mynaric AG, which are shown as prepaid share reserve at the reporting date.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w w:val="89"/>
              </w:rPr>
              <w:t>Non-cash changes</w:t>
            </w:r>
          </w:p>
        </w:tc>
        <w:tc>
          <w:tcPr>
            <w:tcW w:w="2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Balance</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arising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as of</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180" w:type="dxa"/>
            <w:vAlign w:val="bottom"/>
            <w:vMerge w:val="restart"/>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Jan. 1,</w:t>
            </w:r>
          </w:p>
        </w:tc>
        <w:tc>
          <w:tcPr>
            <w:tcW w:w="6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78"/>
              </w:rPr>
              <w:t>cash</w:t>
            </w:r>
          </w:p>
        </w:tc>
        <w:tc>
          <w:tcPr>
            <w:tcW w:w="500" w:type="dxa"/>
            <w:vAlign w:val="bottom"/>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1"/>
              </w:rPr>
              <w:t>Additions/</w:t>
            </w:r>
          </w:p>
        </w:tc>
        <w:tc>
          <w:tcPr>
            <w:tcW w:w="200" w:type="dxa"/>
            <w:vAlign w:val="bottom"/>
          </w:tcPr>
          <w:p>
            <w:pPr>
              <w:spacing w:after="0"/>
              <w:rPr>
                <w:sz w:val="8"/>
                <w:szCs w:val="8"/>
                <w:color w:val="auto"/>
              </w:rPr>
            </w:pPr>
          </w:p>
        </w:tc>
        <w:tc>
          <w:tcPr>
            <w:tcW w:w="5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7"/>
              </w:rPr>
              <w:t>Fair</w:t>
            </w: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3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10"/>
                <w:szCs w:val="10"/>
                <w:color w:val="auto"/>
              </w:rPr>
            </w:pPr>
          </w:p>
        </w:tc>
        <w:tc>
          <w:tcPr>
            <w:tcW w:w="64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5"/>
              </w:rPr>
              <w:t>flows</w:t>
            </w:r>
          </w:p>
        </w:tc>
        <w:tc>
          <w:tcPr>
            <w:tcW w:w="50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w w:val="95"/>
              </w:rPr>
              <w:t>disposals</w:t>
            </w:r>
          </w:p>
        </w:tc>
        <w:tc>
          <w:tcPr>
            <w:tcW w:w="200" w:type="dxa"/>
            <w:vAlign w:val="bottom"/>
          </w:tcPr>
          <w:p>
            <w:pPr>
              <w:spacing w:after="0"/>
              <w:rPr>
                <w:sz w:val="10"/>
                <w:szCs w:val="10"/>
                <w:color w:val="auto"/>
              </w:rPr>
            </w:pPr>
          </w:p>
        </w:tc>
        <w:tc>
          <w:tcPr>
            <w:tcW w:w="5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40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3"/>
              </w:rPr>
              <w:t>FX</w:t>
            </w:r>
          </w:p>
        </w:tc>
        <w:tc>
          <w:tcPr>
            <w:tcW w:w="5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5"/>
              </w:rPr>
              <w:t>value</w:t>
            </w: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Lease liabilities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ind w:left="160"/>
              <w:spacing w:after="0" w:line="113" w:lineRule="exact"/>
              <w:rPr>
                <w:sz w:val="20"/>
                <w:szCs w:val="20"/>
                <w:color w:val="auto"/>
              </w:rPr>
            </w:pPr>
            <w:r>
              <w:rPr>
                <w:rFonts w:ascii="Arial" w:cs="Arial" w:eastAsia="Arial" w:hAnsi="Arial"/>
                <w:sz w:val="10"/>
                <w:szCs w:val="10"/>
                <w:color w:val="auto"/>
                <w:w w:val="76"/>
              </w:rPr>
              <w:t>(439)</w:t>
            </w:r>
          </w:p>
        </w:tc>
        <w:tc>
          <w:tcPr>
            <w:tcW w:w="2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7,190</w:t>
            </w: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5"/>
                <w:szCs w:val="5"/>
                <w:color w:val="auto"/>
                <w:w w:val="70"/>
              </w:rPr>
              <w:t>0</w:t>
            </w:r>
          </w:p>
        </w:tc>
        <w:tc>
          <w:tcPr>
            <w:tcW w:w="2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ind w:left="80"/>
              <w:spacing w:after="0" w:line="113" w:lineRule="exact"/>
              <w:rPr>
                <w:sz w:val="20"/>
                <w:szCs w:val="20"/>
                <w:color w:val="auto"/>
              </w:rPr>
            </w:pPr>
            <w:r>
              <w:rPr>
                <w:rFonts w:ascii="Arial" w:cs="Arial" w:eastAsia="Arial" w:hAnsi="Arial"/>
                <w:sz w:val="11"/>
                <w:szCs w:val="11"/>
                <w:color w:val="auto"/>
                <w:w w:val="79"/>
              </w:rPr>
              <w:t>6,762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11</w:t>
            </w:r>
          </w:p>
        </w:tc>
        <w:tc>
          <w:tcPr>
            <w:tcW w:w="260" w:type="dxa"/>
            <w:vAlign w:val="bottom"/>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Arial" w:cs="Arial" w:eastAsia="Arial" w:hAnsi="Arial"/>
                <w:sz w:val="11"/>
                <w:szCs w:val="11"/>
                <w:b w:val="1"/>
                <w:bCs w:val="1"/>
                <w:color w:val="auto"/>
              </w:rPr>
              <w:t>(439)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7,190</w:t>
            </w:r>
          </w:p>
        </w:tc>
        <w:tc>
          <w:tcPr>
            <w:tcW w:w="760" w:type="dxa"/>
            <w:vAlign w:val="bottom"/>
            <w:gridSpan w:val="3"/>
          </w:tcPr>
          <w:p>
            <w:pPr>
              <w:ind w:left="460"/>
              <w:spacing w:after="0"/>
              <w:rPr>
                <w:sz w:val="20"/>
                <w:szCs w:val="20"/>
                <w:color w:val="auto"/>
              </w:rPr>
            </w:pPr>
            <w:r>
              <w:rPr>
                <w:rFonts w:ascii="Arial" w:cs="Arial" w:eastAsia="Arial" w:hAnsi="Arial"/>
                <w:sz w:val="11"/>
                <w:szCs w:val="11"/>
                <w:b w:val="1"/>
                <w:bCs w:val="1"/>
                <w:color w:val="auto"/>
              </w:rPr>
              <w:t>0</w:t>
            </w:r>
          </w:p>
        </w:tc>
        <w:tc>
          <w:tcPr>
            <w:tcW w:w="4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500" w:type="dxa"/>
            <w:vAlign w:val="bottom"/>
            <w:gridSpan w:val="2"/>
          </w:tcPr>
          <w:p>
            <w:pPr>
              <w:ind w:left="180"/>
              <w:spacing w:after="0"/>
              <w:rPr>
                <w:sz w:val="20"/>
                <w:szCs w:val="20"/>
                <w:color w:val="auto"/>
              </w:rPr>
            </w:pPr>
            <w:r>
              <w:rPr>
                <w:rFonts w:ascii="Arial" w:cs="Arial" w:eastAsia="Arial" w:hAnsi="Arial"/>
                <w:sz w:val="11"/>
                <w:szCs w:val="11"/>
                <w:b w:val="1"/>
                <w:bCs w:val="1"/>
                <w:color w:val="auto"/>
              </w:rPr>
              <w:t>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w w:val="94"/>
              </w:rPr>
              <w:t>6,762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F-55</w:t>
      </w:r>
    </w:p>
    <w:p>
      <w:pPr>
        <w:sectPr>
          <w:pgSz w:w="11900" w:h="16838" w:orient="portrait"/>
          <w:cols w:equalWidth="0" w:num="1">
            <w:col w:w="10159"/>
          </w:cols>
          <w:pgMar w:left="300" w:top="354" w:right="1440" w:bottom="1440" w:gutter="0" w:footer="0" w:header="0"/>
        </w:sectPr>
      </w:pPr>
    </w:p>
    <w:bookmarkStart w:id="246" w:name="page247"/>
    <w:bookmarkEnd w:id="2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79"/>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Apart from the fully consolidated Group subsidiaries, the following entity is deemed a related company:</w:t>
      </w:r>
    </w:p>
    <w:p>
      <w:pPr>
        <w:spacing w:after="0" w:line="87" w:lineRule="exact"/>
        <w:rPr>
          <w:sz w:val="20"/>
          <w:szCs w:val="20"/>
          <w:color w:val="auto"/>
        </w:rPr>
      </w:pPr>
    </w:p>
    <w:p>
      <w:pPr>
        <w:ind w:left="2920" w:hanging="291"/>
        <w:spacing w:after="0"/>
        <w:tabs>
          <w:tab w:leader="none" w:pos="292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MCConsult Dr. Peschko, Gilching (previously: Adelanto management services s.I.)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Pinsent Masons LLP, Munich</w:t>
      </w:r>
    </w:p>
    <w:p>
      <w:pPr>
        <w:spacing w:after="0" w:line="150"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MCConsult Dr. Peschko is a company in which Mr. Dr. Peschko, a former Management Board member who resigned in fiscal year 2020, is a shareholder. The company provides advisory services for the companies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year ended December 31, 2020, the related party expenses involving MCConsult Dr. Peschko amounted to €825 thousand (previous year: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€274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in the amount of €591 thousand (previous year: €43 thousand).</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Pinsent Masons LLP is a law firm in which Mr. Mayrhofer, a former member of the Supervisory Board who resigned in fiscal year 2020, is a partner.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Pinsent Mason LLP provides legal advisory services for the companies of the Mynaric Group.</w:t>
      </w:r>
    </w:p>
    <w:p>
      <w:pPr>
        <w:spacing w:after="0" w:line="141"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During the year ended December 31, 2020, the related party expenses involving Pinsent Masons LLP amounted to €135 thousand (previous year: €75 thousand). Trade and other payables reported as of the reporting date include outstanding obligations from transactions with Pinsent Masons LLP in the amount of €12 thousand (previous year: €6 thousand).</w:t>
      </w:r>
    </w:p>
    <w:p>
      <w:pPr>
        <w:spacing w:after="0" w:line="122"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10" w:lineRule="exact"/>
        <w:rPr>
          <w:sz w:val="20"/>
          <w:szCs w:val="20"/>
          <w:color w:val="auto"/>
        </w:rPr>
      </w:pPr>
    </w:p>
    <w:p>
      <w:pPr>
        <w:ind w:left="2620" w:hanging="360"/>
        <w:spacing w:after="0"/>
        <w:tabs>
          <w:tab w:leader="none" w:pos="2620"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F-56</w:t>
      </w:r>
    </w:p>
    <w:p>
      <w:pPr>
        <w:sectPr>
          <w:pgSz w:w="11900" w:h="16838" w:orient="portrait"/>
          <w:cols w:equalWidth="0" w:num="1">
            <w:col w:w="10159"/>
          </w:cols>
          <w:pgMar w:left="300" w:top="354" w:right="1440" w:bottom="1440" w:gutter="0" w:footer="0" w:header="0"/>
        </w:sectPr>
      </w:pPr>
    </w:p>
    <w:bookmarkStart w:id="247" w:name="page248"/>
    <w:bookmarkEnd w:id="2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for Management Board members consists of three components:</w:t>
      </w:r>
    </w:p>
    <w:p>
      <w:pPr>
        <w:spacing w:after="0" w:line="87" w:lineRule="exact"/>
        <w:rPr>
          <w:sz w:val="20"/>
          <w:szCs w:val="20"/>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 non-performance-related remuneration (fixed remuneration),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performance-related bonuses,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and stock options.</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Non-performance-related remuneration</w:t>
      </w:r>
    </w:p>
    <w:p>
      <w:pPr>
        <w:spacing w:after="0" w:line="150" w:lineRule="exact"/>
        <w:rPr>
          <w:sz w:val="20"/>
          <w:szCs w:val="20"/>
          <w:color w:val="auto"/>
        </w:rPr>
      </w:pPr>
    </w:p>
    <w:p>
      <w:pPr>
        <w:jc w:val="both"/>
        <w:ind w:left="1980" w:right="959"/>
        <w:spacing w:after="0" w:line="276" w:lineRule="auto"/>
        <w:rPr>
          <w:sz w:val="20"/>
          <w:szCs w:val="20"/>
          <w:color w:val="auto"/>
        </w:rPr>
      </w:pPr>
      <w:r>
        <w:rPr>
          <w:rFonts w:ascii="Arial" w:cs="Arial" w:eastAsia="Arial" w:hAnsi="Arial"/>
          <w:sz w:val="12"/>
          <w:szCs w:val="12"/>
          <w:color w:val="auto"/>
        </w:rPr>
        <w:t>The fixed, non-performance-related remuneration comprises the basic remuneration and fringe benefits that may vary over the years, depending on the person involved or the occurrence of certain events.</w:t>
      </w:r>
    </w:p>
    <w:p>
      <w:pPr>
        <w:spacing w:after="0" w:line="115"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Fringe benefits mainly include expenses for company housing for members of the Management Board. Members also receive taxable in-kind benefits.</w:t>
      </w:r>
    </w:p>
    <w:p>
      <w:pPr>
        <w:spacing w:after="0" w:line="2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Performance-related remuneration</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performance-related remuneration comprises two components: the first is agreed upon with the Supervisory Board on an annual basis, and the second is a strategic special component.</w:t>
      </w:r>
    </w:p>
    <w:p>
      <w:pPr>
        <w:spacing w:after="0" w:line="115"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strategic special component is a reward for the Management Board member’s performance in acquiring strategic investors for the Company.</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The third remuneration component comprises stock options granted to selected employees in the form of stock options from Stock Option Plans 2017, 2018, 2019, and 2020,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2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context of these plans, stock options were issued to the Management Board in 2019 and 2020, which entitle the holder to subscribe to Mynaric shares. Detailed information about the granted stock options are presented in Note 9. a) Share-based payments.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F-57</w:t>
      </w:r>
    </w:p>
    <w:p>
      <w:pPr>
        <w:sectPr>
          <w:pgSz w:w="11900" w:h="16838" w:orient="portrait"/>
          <w:cols w:equalWidth="0" w:num="1">
            <w:col w:w="10159"/>
          </w:cols>
          <w:pgMar w:left="300" w:top="354" w:right="1440" w:bottom="1440" w:gutter="0" w:footer="0" w:header="0"/>
        </w:sectPr>
      </w:pPr>
    </w:p>
    <w:bookmarkStart w:id="248" w:name="page249"/>
    <w:bookmarkEnd w:id="2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fiscal year 2020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3"/>
              </w:rPr>
              <w:t>Short-term</w:t>
            </w:r>
          </w:p>
        </w:tc>
        <w:tc>
          <w:tcPr>
            <w:tcW w:w="1700" w:type="dxa"/>
            <w:vAlign w:val="bottom"/>
            <w:gridSpan w:val="4"/>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tcBorders>
              <w:top w:val="single" w:sz="8" w:color="auto"/>
            </w:tcBorders>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Number</w:t>
            </w: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40" w:type="dxa"/>
            <w:vAlign w:val="bottom"/>
            <w:gridSpan w:val="2"/>
          </w:tcPr>
          <w:p>
            <w:pPr>
              <w:jc w:val="right"/>
              <w:ind w:right="540"/>
              <w:spacing w:after="0" w:line="99" w:lineRule="exact"/>
              <w:rPr>
                <w:sz w:val="20"/>
                <w:szCs w:val="20"/>
                <w:color w:val="auto"/>
              </w:rPr>
            </w:pPr>
            <w:r>
              <w:rPr>
                <w:rFonts w:ascii="Arial" w:cs="Arial" w:eastAsia="Arial" w:hAnsi="Arial"/>
                <w:sz w:val="10"/>
                <w:szCs w:val="10"/>
                <w:b w:val="1"/>
                <w:bCs w:val="1"/>
                <w:color w:val="auto"/>
              </w:rPr>
              <w:t>Basic</w:t>
            </w:r>
          </w:p>
        </w:tc>
        <w:tc>
          <w:tcPr>
            <w:tcW w:w="940" w:type="dxa"/>
            <w:vAlign w:val="bottom"/>
            <w:gridSpan w:val="2"/>
          </w:tcPr>
          <w:p>
            <w:pPr>
              <w:jc w:val="right"/>
              <w:ind w:right="500"/>
              <w:spacing w:after="0" w:line="99" w:lineRule="exact"/>
              <w:rPr>
                <w:sz w:val="20"/>
                <w:szCs w:val="20"/>
                <w:color w:val="auto"/>
              </w:rPr>
            </w:pPr>
            <w:r>
              <w:rPr>
                <w:rFonts w:ascii="Arial" w:cs="Arial" w:eastAsia="Arial" w:hAnsi="Arial"/>
                <w:sz w:val="10"/>
                <w:szCs w:val="10"/>
                <w:b w:val="1"/>
                <w:bCs w:val="1"/>
                <w:color w:val="auto"/>
              </w:rPr>
              <w:t>variable</w:t>
            </w:r>
          </w:p>
        </w:tc>
        <w:tc>
          <w:tcPr>
            <w:tcW w:w="7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3"/>
              </w:rPr>
              <w:t>of stock</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1"/>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76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2"/>
              </w:rPr>
              <w:t>options</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77"/>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3180" w:type="dxa"/>
            <w:vAlign w:val="bottom"/>
            <w:gridSpan w:val="2"/>
            <w:vMerge w:val="continue"/>
          </w:tcPr>
          <w:p>
            <w:pPr>
              <w:spacing w:after="0"/>
              <w:rPr>
                <w:sz w:val="9"/>
                <w:szCs w:val="9"/>
                <w:color w:val="auto"/>
              </w:rPr>
            </w:pP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76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7"/>
              </w:rPr>
              <w:t>granted</w:t>
            </w:r>
          </w:p>
        </w:tc>
        <w:tc>
          <w:tcPr>
            <w:tcW w:w="94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6"/>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2020</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525</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357</w:t>
            </w:r>
          </w:p>
        </w:tc>
        <w:tc>
          <w:tcPr>
            <w:tcW w:w="3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30,000</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549</w:t>
            </w: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ind w:left="300"/>
              <w:spacing w:after="0" w:line="113" w:lineRule="exact"/>
              <w:rPr>
                <w:sz w:val="20"/>
                <w:szCs w:val="20"/>
                <w:color w:val="auto"/>
              </w:rPr>
            </w:pPr>
            <w:r>
              <w:rPr>
                <w:rFonts w:ascii="Arial" w:cs="Arial" w:eastAsia="Arial" w:hAnsi="Arial"/>
                <w:sz w:val="11"/>
                <w:szCs w:val="11"/>
                <w:color w:val="auto"/>
                <w:w w:val="79"/>
              </w:rPr>
              <w:t>1,431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80" w:type="dxa"/>
            <w:vAlign w:val="bottom"/>
            <w:gridSpan w:val="2"/>
          </w:tcPr>
          <w:p>
            <w:pPr>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581</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color w:val="auto"/>
                <w:w w:val="90"/>
              </w:rPr>
              <w:t>122,700</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1,072</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w w:val="94"/>
              </w:rPr>
              <w:t>1,808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 severance payment of €691 thousand was granted to Dr. Peschko, a former member of the Management Board of Mynaric AG who resigned in fiscal year 2020. Mr. Edler von Janecek, who also resigned from the Management Board in the reporting year, was granted a severance payment in the amount of €263 thousand.</w:t>
      </w:r>
    </w:p>
    <w:p>
      <w:pPr>
        <w:spacing w:after="0" w:line="122"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Loans granted to the Management Board</w:t>
      </w:r>
    </w:p>
    <w:p>
      <w:pPr>
        <w:spacing w:after="0" w:line="150" w:lineRule="exact"/>
        <w:rPr>
          <w:sz w:val="20"/>
          <w:szCs w:val="20"/>
          <w:color w:val="auto"/>
        </w:rPr>
      </w:pPr>
    </w:p>
    <w:p>
      <w:pPr>
        <w:jc w:val="both"/>
        <w:ind w:left="1980" w:right="999"/>
        <w:spacing w:after="0" w:line="276" w:lineRule="auto"/>
        <w:rPr>
          <w:sz w:val="20"/>
          <w:szCs w:val="20"/>
          <w:color w:val="auto"/>
        </w:rPr>
      </w:pPr>
      <w:r>
        <w:rPr>
          <w:rFonts w:ascii="Arial" w:cs="Arial" w:eastAsia="Arial" w:hAnsi="Arial"/>
          <w:sz w:val="12"/>
          <w:szCs w:val="12"/>
          <w:color w:val="auto"/>
        </w:rPr>
        <w:t>No loans were granted to the Management Board in fiscal years 2020 and 2019, nor were any similar benefits provided. The Management Board does not receive any remuneration for offices held in Group companies.</w:t>
      </w:r>
    </w:p>
    <w:p>
      <w:pPr>
        <w:spacing w:after="0" w:line="210" w:lineRule="exact"/>
        <w:rPr>
          <w:sz w:val="20"/>
          <w:szCs w:val="20"/>
          <w:color w:val="auto"/>
        </w:rPr>
      </w:pPr>
    </w:p>
    <w:p>
      <w:pPr>
        <w:ind w:left="2620" w:hanging="360"/>
        <w:spacing w:after="0"/>
        <w:tabs>
          <w:tab w:leader="none" w:pos="2620" w:val="left"/>
        </w:tabs>
        <w:numPr>
          <w:ilvl w:val="0"/>
          <w:numId w:val="183"/>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Accordingly, the Supervisory Board members receive a fixed annual remuneration, payable after the end of the fiscal year. The remuneration amounts to €20,000 per year, with the chairman receiving twice that amount and the deputy chairperson receiving one and a half times this amount. Attendance fees are not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annual remuneration for the Supervisory Board in fiscal year 2020 is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40" w:type="dxa"/>
            <w:vAlign w:val="bottom"/>
            <w:gridSpan w:val="2"/>
          </w:tcPr>
          <w:p>
            <w:pPr>
              <w:spacing w:after="0"/>
              <w:rPr>
                <w:sz w:val="20"/>
                <w:szCs w:val="20"/>
                <w:color w:val="auto"/>
              </w:rPr>
            </w:pPr>
            <w:r>
              <w:rPr>
                <w:rFonts w:ascii="Arial" w:cs="Arial" w:eastAsia="Arial" w:hAnsi="Arial"/>
                <w:sz w:val="10"/>
                <w:szCs w:val="10"/>
                <w:b w:val="1"/>
                <w:bCs w:val="1"/>
                <w:color w:val="auto"/>
              </w:rPr>
              <w:t>Annual remuneration</w:t>
            </w:r>
          </w:p>
        </w:tc>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22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in € thousand</w:t>
            </w:r>
          </w:p>
        </w:tc>
        <w:tc>
          <w:tcPr>
            <w:tcW w:w="47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9"/>
                <w:szCs w:val="9"/>
                <w:color w:val="auto"/>
              </w:rPr>
            </w:pPr>
          </w:p>
        </w:tc>
        <w:tc>
          <w:tcPr>
            <w:tcW w:w="1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9"/>
                <w:szCs w:val="9"/>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2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Manfred Krischke</w:t>
            </w:r>
          </w:p>
        </w:tc>
        <w:tc>
          <w:tcPr>
            <w:tcW w:w="45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20</w:t>
            </w:r>
          </w:p>
        </w:tc>
        <w:tc>
          <w:tcPr>
            <w:tcW w:w="40" w:type="dxa"/>
            <w:vAlign w:val="bottom"/>
            <w:shd w:val="clear" w:color="auto" w:fill="CCEEFF"/>
          </w:tcPr>
          <w:p>
            <w:pPr>
              <w:spacing w:after="0"/>
              <w:rPr>
                <w:sz w:val="9"/>
                <w:szCs w:val="9"/>
                <w:color w:val="auto"/>
              </w:rPr>
            </w:pP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Thomas Billeter</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Thomas Hanke</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Thomas Mayrhofer</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9</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63</w:t>
            </w:r>
          </w:p>
        </w:tc>
      </w:tr>
      <w:tr>
        <w:trPr>
          <w:trHeight w:val="243"/>
        </w:trPr>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80" w:type="dxa"/>
            <w:vAlign w:val="bottom"/>
            <w:gridSpan w:val="3"/>
          </w:tcPr>
          <w:p>
            <w:pPr>
              <w:jc w:val="right"/>
              <w:ind w:right="3340"/>
              <w:spacing w:after="0"/>
              <w:rPr>
                <w:sz w:val="20"/>
                <w:szCs w:val="20"/>
                <w:color w:val="auto"/>
              </w:rPr>
            </w:pPr>
            <w:r>
              <w:rPr>
                <w:rFonts w:ascii="Arial" w:cs="Arial" w:eastAsia="Arial" w:hAnsi="Arial"/>
                <w:sz w:val="12"/>
                <w:szCs w:val="12"/>
                <w:color w:val="auto"/>
              </w:rPr>
              <w:t>F-58</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49" w:name="page250"/>
    <w:bookmarkEnd w:id="2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Shareholdings of management and supervisory board members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Based on available information, the board members have the following shareholdings: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60" w:type="dxa"/>
            <w:vAlign w:val="bottom"/>
            <w:gridSpan w:val="2"/>
          </w:tcPr>
          <w:p>
            <w:pPr>
              <w:spacing w:after="0"/>
              <w:rPr>
                <w:sz w:val="20"/>
                <w:szCs w:val="20"/>
                <w:color w:val="auto"/>
              </w:rPr>
            </w:pPr>
            <w:r>
              <w:rPr>
                <w:rFonts w:ascii="Arial" w:cs="Arial" w:eastAsia="Arial" w:hAnsi="Arial"/>
                <w:sz w:val="10"/>
                <w:szCs w:val="10"/>
                <w:b w:val="1"/>
                <w:bCs w:val="1"/>
                <w:color w:val="auto"/>
              </w:rPr>
              <w:t>Number of shares</w:t>
            </w:r>
          </w:p>
        </w:tc>
        <w:tc>
          <w:tcPr>
            <w:tcW w:w="360" w:type="dxa"/>
            <w:vAlign w:val="bottom"/>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10"/>
                <w:szCs w:val="10"/>
                <w:color w:val="auto"/>
              </w:rPr>
            </w:pPr>
          </w:p>
        </w:tc>
        <w:tc>
          <w:tcPr>
            <w:tcW w:w="380" w:type="dxa"/>
            <w:vAlign w:val="bottom"/>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0"/>
                <w:szCs w:val="10"/>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87"/>
              </w:rPr>
              <w:t>Change</w:t>
            </w: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Wolfram Peschko</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5"/>
              </w:rPr>
              <w:t>210,089</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210,089</w:t>
            </w: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r>
      <w:tr>
        <w:trPr>
          <w:trHeight w:val="136"/>
        </w:trPr>
        <w:tc>
          <w:tcPr>
            <w:tcW w:w="576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340" w:type="dxa"/>
            <w:vAlign w:val="bottom"/>
            <w:gridSpan w:val="2"/>
          </w:tcPr>
          <w:p>
            <w:pPr>
              <w:ind w:left="260"/>
              <w:spacing w:after="0"/>
              <w:rPr>
                <w:sz w:val="20"/>
                <w:szCs w:val="20"/>
                <w:color w:val="auto"/>
              </w:rPr>
            </w:pPr>
            <w:r>
              <w:rPr>
                <w:rFonts w:ascii="Arial" w:cs="Arial" w:eastAsia="Arial" w:hAnsi="Arial"/>
                <w:sz w:val="11"/>
                <w:szCs w:val="11"/>
                <w:color w:val="auto"/>
                <w:w w:val="97"/>
              </w:rPr>
              <w:t>0</w:t>
            </w:r>
          </w:p>
        </w:tc>
      </w:tr>
    </w:tbl>
    <w:p>
      <w:pPr>
        <w:spacing w:after="0" w:line="229" w:lineRule="exact"/>
        <w:rPr>
          <w:sz w:val="20"/>
          <w:szCs w:val="20"/>
          <w:color w:val="auto"/>
        </w:rPr>
      </w:pPr>
    </w:p>
    <w:p>
      <w:pPr>
        <w:ind w:left="2260" w:hanging="288"/>
        <w:spacing w:after="0"/>
        <w:tabs>
          <w:tab w:leader="none" w:pos="226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10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70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00" w:type="dxa"/>
            <w:vAlign w:val="bottom"/>
            <w:gridSpan w:val="2"/>
          </w:tcPr>
          <w:p>
            <w:pPr>
              <w:spacing w:after="0"/>
              <w:rPr>
                <w:sz w:val="20"/>
                <w:szCs w:val="20"/>
                <w:color w:val="auto"/>
              </w:rPr>
            </w:pPr>
            <w:r>
              <w:rPr>
                <w:rFonts w:ascii="Arial" w:cs="Arial" w:eastAsia="Arial" w:hAnsi="Arial"/>
                <w:sz w:val="10"/>
                <w:szCs w:val="10"/>
                <w:b w:val="1"/>
                <w:bCs w:val="1"/>
                <w:color w:val="auto"/>
                <w:w w:val="89"/>
              </w:rPr>
              <w:t>in € thousand</w:t>
            </w:r>
          </w:p>
        </w:tc>
        <w:tc>
          <w:tcPr>
            <w:tcW w:w="4100" w:type="dxa"/>
            <w:vAlign w:val="bottom"/>
          </w:tcPr>
          <w:p>
            <w:pPr>
              <w:spacing w:after="0"/>
              <w:rPr>
                <w:sz w:val="22"/>
                <w:szCs w:val="22"/>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Dec. 31, 2020</w:t>
            </w:r>
          </w:p>
        </w:tc>
        <w:tc>
          <w:tcPr>
            <w:tcW w:w="11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Dec. 31, 2019</w:t>
            </w:r>
          </w:p>
        </w:tc>
      </w:tr>
      <w:tr>
        <w:trPr>
          <w:trHeight w:val="97"/>
        </w:trPr>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40" w:type="dxa"/>
            <w:vAlign w:val="bottom"/>
            <w:tcBorders>
              <w:top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8"/>
              </w:rPr>
              <w:t>Current</w:t>
            </w:r>
          </w:p>
        </w:tc>
        <w:tc>
          <w:tcPr>
            <w:tcW w:w="5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7"/>
              </w:rPr>
              <w:t>Non-current</w:t>
            </w: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rPr>
              <w:t>Current</w:t>
            </w:r>
          </w:p>
        </w:tc>
        <w:tc>
          <w:tcPr>
            <w:tcW w:w="5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3"/>
              </w:rPr>
              <w:t>Non-current</w:t>
            </w:r>
          </w:p>
        </w:tc>
        <w:tc>
          <w:tcPr>
            <w:tcW w:w="40" w:type="dxa"/>
            <w:vAlign w:val="bottom"/>
          </w:tcPr>
          <w:p>
            <w:pPr>
              <w:spacing w:after="0"/>
              <w:rPr>
                <w:sz w:val="8"/>
                <w:szCs w:val="8"/>
                <w:color w:val="auto"/>
              </w:rPr>
            </w:pPr>
          </w:p>
        </w:tc>
      </w:tr>
      <w:tr>
        <w:trPr>
          <w:trHeight w:val="115"/>
        </w:trPr>
        <w:tc>
          <w:tcPr>
            <w:tcW w:w="47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color w:val="auto"/>
              </w:rPr>
              <w:t>Amortized cost (AmC)</w:t>
            </w: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76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359</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43,198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550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43,824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359</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9,906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5,128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2,461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1,156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790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6,308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3,257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5,972</w:t>
            </w: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2020 in € thousand</w:t>
            </w: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2019 in € thousand</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risk management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is exposed to the following risks from the use of financial instruments:</w:t>
      </w:r>
    </w:p>
    <w:p>
      <w:pPr>
        <w:spacing w:after="0" w:line="87" w:lineRule="exact"/>
        <w:rPr>
          <w:sz w:val="20"/>
          <w:szCs w:val="20"/>
          <w:color w:val="auto"/>
        </w:rPr>
      </w:pPr>
    </w:p>
    <w:p>
      <w:pPr>
        <w:ind w:left="2920" w:hanging="291"/>
        <w:spacing w:after="0"/>
        <w:tabs>
          <w:tab w:leader="none" w:pos="292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Credit risk (see b)(i))</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F-59</w:t>
      </w:r>
    </w:p>
    <w:p>
      <w:pPr>
        <w:sectPr>
          <w:pgSz w:w="11900" w:h="16838" w:orient="portrait"/>
          <w:cols w:equalWidth="0" w:num="1">
            <w:col w:w="10159"/>
          </w:cols>
          <w:pgMar w:left="300" w:top="354" w:right="1440" w:bottom="1440" w:gutter="0" w:footer="0" w:header="0"/>
        </w:sectPr>
      </w:pPr>
    </w:p>
    <w:bookmarkStart w:id="250" w:name="page251"/>
    <w:bookmarkEnd w:id="2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Liquidity risk (see b)(ii))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Market risk (see b)(iii))</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Principles of risk management</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Capital risk management</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2020 was 81.7% (previous year: 68.8%). The increase results mainly from contributions to subscribed capital and the capital reserves from the capital increases made in fiscal year 2020. The equity ratio was calculated as the ratio of total equity to total assets. There have been no changes in the Group’s overall strategy relative to 2019.</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b)(i) Credit risk</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Credit risk is the risk of financial loss if a customer or counterparty to a financial instrument fails to meet its contractual obligations. Credit risk arises principally from the Group’s trade receivables and its debt instruments held as investment securities. The carrying amounts of the financial assets and of contract assets correspond to the maximum credit risk exposure.</w:t>
      </w:r>
    </w:p>
    <w:p>
      <w:pPr>
        <w:spacing w:after="0" w:line="122"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11"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Group considers a financial asset to be in default when the debtor is unlikely to pay its credit obligations to the Group in full, without recourse by the Group to actions such as realizing security (if any is held).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Impairments of financial assets are recognized in profit or loss as follows:</w:t>
      </w:r>
    </w:p>
    <w:p>
      <w:pPr>
        <w:spacing w:after="0" w:line="249" w:lineRule="exact"/>
        <w:rPr>
          <w:sz w:val="20"/>
          <w:szCs w:val="20"/>
          <w:color w:val="auto"/>
        </w:rPr>
      </w:pPr>
    </w:p>
    <w:p>
      <w:pPr>
        <w:ind w:left="2620" w:hanging="360"/>
        <w:spacing w:after="0"/>
        <w:tabs>
          <w:tab w:leader="none" w:pos="2620" w:val="left"/>
        </w:tabs>
        <w:numPr>
          <w:ilvl w:val="0"/>
          <w:numId w:val="18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Trade receivables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0159"/>
          </w:cols>
          <w:pgMar w:left="300" w:top="354" w:right="1440" w:bottom="1440" w:gutter="0" w:footer="0" w:header="0"/>
        </w:sectPr>
      </w:pPr>
    </w:p>
    <w:bookmarkStart w:id="251" w:name="page252"/>
    <w:bookmarkEnd w:id="2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Detailed disclosures concerning the concentration of revenue in particular areas/regions can be found in Note 5. Segment reporting and information on geographical areas.</w:t>
      </w:r>
    </w:p>
    <w:p>
      <w:pPr>
        <w:spacing w:after="0" w:line="115"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The Group introduced a receivables management system that facilitates initial analysis of new customer creditworthiness individually before the Group enters into a business relationship. This analysis comprises external ratings, information by credit agencies (if available), industry information, and, in some cases, information provided by banks. Sales limits are defined for each customer and are reviewed on a quarterly basis. Sales exceeding these limits require the approval of the Risk Management Committee. The Group limits its credit risk from trade receivables by determining a maximum payment term of one month.</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overall credit risk exposure is considered low.</w:t>
      </w:r>
    </w:p>
    <w:p>
      <w:pPr>
        <w:spacing w:after="0" w:line="249" w:lineRule="exact"/>
        <w:rPr>
          <w:sz w:val="20"/>
          <w:szCs w:val="20"/>
          <w:color w:val="auto"/>
        </w:rPr>
      </w:pPr>
    </w:p>
    <w:p>
      <w:pPr>
        <w:ind w:left="2620" w:hanging="360"/>
        <w:spacing w:after="0"/>
        <w:tabs>
          <w:tab w:leader="none" w:pos="2620" w:val="left"/>
        </w:tabs>
        <w:numPr>
          <w:ilvl w:val="0"/>
          <w:numId w:val="18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financial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the reporting date, other financial assets primarily include security deposits for rental agreements of the Mynaric Group.</w:t>
      </w:r>
    </w:p>
    <w:p>
      <w:pPr>
        <w:spacing w:after="0" w:line="15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credit risk exposure resulting from receivables from security deposits is considered low since the deposits are hold at separate accounts restricted from usage for other purposes.</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the previous year this item still included bank balances subject to fixed interest in the amount of €781 thousand, which were fully received in the reporting year.</w:t>
      </w:r>
    </w:p>
    <w:p>
      <w:pPr>
        <w:spacing w:after="0" w:line="214" w:lineRule="exact"/>
        <w:rPr>
          <w:sz w:val="20"/>
          <w:szCs w:val="20"/>
          <w:color w:val="auto"/>
        </w:rPr>
      </w:pPr>
    </w:p>
    <w:p>
      <w:pPr>
        <w:ind w:left="2620" w:hanging="360"/>
        <w:spacing w:after="0"/>
        <w:tabs>
          <w:tab w:leader="none" w:pos="2620" w:val="left"/>
        </w:tabs>
        <w:numPr>
          <w:ilvl w:val="0"/>
          <w:numId w:val="19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As of December 31, 2020, the Group possessed cash and cash equivalents in the amount of €43,198 thousand (previous year: €8,914 thousand). Cash and cash equivalents are deposited at banks and financial institutions with a rating ranging from A- to BBB, based on the rating issued by the rating agency Fitch.</w:t>
      </w:r>
    </w:p>
    <w:p>
      <w:pPr>
        <w:spacing w:after="0" w:line="12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estimated loss allowance for cash and cash equivalents was calculated based upon expected losses within 12 months and reflects the short terms to maturity. The Group assumes that its cash and cash equivalents have a low risk of default due to the external ratings of the banks and financial institutions.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Group follows an approach for determining expected losses for cash and cash equivalents that is similar to the approach used for debt instruments.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expected credit loss is not material and therefore was not recorded.</w:t>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 (ii) Liquidity risk</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uses activity-based cost accounting to calculate the costs of its product and services. This enables the Group to monitor cash requirements and to optimize cash inflows on capital employed.</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Prudent liquidity risk management means being able to meet obligations when due at any time and, beyond that, maintaining sufficient cash and cash equivalents for unplanned expenditures. Management applies rolling forecasts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F-61</w:t>
      </w:r>
    </w:p>
    <w:p>
      <w:pPr>
        <w:sectPr>
          <w:pgSz w:w="11900" w:h="16838" w:orient="portrait"/>
          <w:cols w:equalWidth="0" w:num="1">
            <w:col w:w="10159"/>
          </w:cols>
          <w:pgMar w:left="300" w:top="354" w:right="1440" w:bottom="1440" w:gutter="0" w:footer="0" w:header="0"/>
        </w:sectPr>
      </w:pPr>
    </w:p>
    <w:bookmarkStart w:id="252" w:name="page253"/>
    <w:bookmarkEnd w:id="2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to monitor cash and cash equivalents based upon expected cash flows. This is generally done centrally for the Group. To ensure the Group’s solvency and its viability as a going concern, it is necessary to implement the adapted profit and liquidity planning for the years 2021 and 2022 and to ensure that financing is provided on an as-needed basis in the form of debt or equity capital. The capital increases and issuance of convertible bonds in the fiscal year resulted in a material improvement of liquidity and a significant reduction of the liquidity risk exposure.</w:t>
      </w:r>
    </w:p>
    <w:p>
      <w:pPr>
        <w:spacing w:after="0" w:line="111" w:lineRule="exact"/>
        <w:rPr>
          <w:sz w:val="20"/>
          <w:szCs w:val="20"/>
          <w:color w:val="auto"/>
        </w:rPr>
      </w:pPr>
    </w:p>
    <w:p>
      <w:pPr>
        <w:ind w:left="1980" w:right="879"/>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2021. Loans can be drawn in a minimum amount of €5 million subject to a drawdown fee of 1% of the utilised amount. Outstanding loans under the credit agreement bear interest at a rate of 1% per beginning 30 days. The credit agreement also requires the Company to pay a commitment fee totaling 6% of the aggregate commitments of approximately €25 million. The commitment fee and interest on the drawn amount and the commitment fee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15, 2021, an amount of €7.5 million has been drawn.</w:t>
      </w:r>
    </w:p>
    <w:p>
      <w:pPr>
        <w:spacing w:after="0" w:line="131"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For the year ended 31 December 2020, the Group recognised a net loss of €19.4 million. The Group’s net current assets as at 31 December 2020 were €41.4 million. As of October 15, 2021, the Group has €28 million in available liquidity primarily consisting of cash and cash equivalents and unused credit lines available as well as other highly liquid assets.</w:t>
      </w:r>
    </w:p>
    <w:p>
      <w:pPr>
        <w:spacing w:after="0" w:line="122" w:lineRule="exact"/>
        <w:rPr>
          <w:sz w:val="20"/>
          <w:szCs w:val="20"/>
          <w:color w:val="auto"/>
        </w:rPr>
      </w:pPr>
    </w:p>
    <w:p>
      <w:pPr>
        <w:ind w:left="1980" w:right="859"/>
        <w:spacing w:after="0" w:line="308" w:lineRule="auto"/>
        <w:rPr>
          <w:sz w:val="20"/>
          <w:szCs w:val="20"/>
          <w:color w:val="auto"/>
        </w:rPr>
      </w:pPr>
      <w:r>
        <w:rPr>
          <w:rFonts w:ascii="Arial" w:cs="Arial" w:eastAsia="Arial" w:hAnsi="Arial"/>
          <w:sz w:val="10"/>
          <w:szCs w:val="10"/>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 with a variety of other potential investors which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05" w:lineRule="exact"/>
        <w:rPr>
          <w:sz w:val="20"/>
          <w:szCs w:val="20"/>
          <w:color w:val="auto"/>
        </w:rPr>
      </w:pPr>
    </w:p>
    <w:p>
      <w:pPr>
        <w:ind w:left="1980" w:right="999"/>
        <w:spacing w:after="0" w:line="323" w:lineRule="auto"/>
        <w:rPr>
          <w:sz w:val="20"/>
          <w:szCs w:val="20"/>
          <w:color w:val="auto"/>
        </w:rPr>
      </w:pPr>
      <w:r>
        <w:rPr>
          <w:rFonts w:ascii="Arial" w:cs="Arial" w:eastAsia="Arial" w:hAnsi="Arial"/>
          <w:sz w:val="11"/>
          <w:szCs w:val="11"/>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0159"/>
          </w:cols>
          <w:pgMar w:left="300" w:top="354" w:right="1440" w:bottom="1440" w:gutter="0" w:footer="0" w:header="0"/>
        </w:sectPr>
      </w:pPr>
    </w:p>
    <w:bookmarkStart w:id="253" w:name="page254"/>
    <w:bookmarkEnd w:id="2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04" w:lineRule="exact"/>
        <w:rPr>
          <w:sz w:val="20"/>
          <w:szCs w:val="20"/>
          <w:color w:val="auto"/>
        </w:rPr>
      </w:pPr>
    </w:p>
    <w:p>
      <w:pPr>
        <w:ind w:left="5360"/>
        <w:spacing w:after="0"/>
        <w:rPr>
          <w:sz w:val="20"/>
          <w:szCs w:val="20"/>
          <w:color w:val="auto"/>
        </w:rPr>
      </w:pPr>
      <w:r>
        <w:rPr>
          <w:rFonts w:ascii="Arial" w:cs="Arial" w:eastAsia="Arial" w:hAnsi="Arial"/>
          <w:sz w:val="10"/>
          <w:szCs w:val="10"/>
          <w:b w:val="1"/>
          <w:bCs w:val="1"/>
          <w:color w:val="auto"/>
        </w:rPr>
        <w:t>Dec. 31, 2020</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74"/>
        </w:trPr>
        <w:tc>
          <w:tcPr>
            <w:tcW w:w="54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4"/>
          </w:tcPr>
          <w:p>
            <w:pPr>
              <w:jc w:val="center"/>
              <w:ind w:right="160"/>
              <w:spacing w:after="0" w:line="74" w:lineRule="exact"/>
              <w:rPr>
                <w:sz w:val="20"/>
                <w:szCs w:val="20"/>
                <w:color w:val="auto"/>
              </w:rPr>
            </w:pPr>
            <w:r>
              <w:rPr>
                <w:rFonts w:ascii="Arial" w:cs="Arial" w:eastAsia="Arial" w:hAnsi="Arial"/>
                <w:sz w:val="8"/>
                <w:szCs w:val="8"/>
                <w:b w:val="1"/>
                <w:bCs w:val="1"/>
                <w:color w:val="auto"/>
                <w:w w:val="99"/>
              </w:rPr>
              <w:t>between</w:t>
            </w:r>
          </w:p>
        </w:tc>
        <w:tc>
          <w:tcPr>
            <w:tcW w:w="520" w:type="dxa"/>
            <w:vAlign w:val="bottom"/>
            <w:tcBorders>
              <w:top w:val="single" w:sz="8" w:color="auto"/>
            </w:tcBorders>
            <w:gridSpan w:val="4"/>
          </w:tcPr>
          <w:p>
            <w:pPr>
              <w:jc w:val="center"/>
              <w:ind w:right="1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560" w:type="dxa"/>
            <w:vAlign w:val="bottom"/>
            <w:gridSpan w:val="4"/>
          </w:tcPr>
          <w:p>
            <w:pPr>
              <w:jc w:val="right"/>
              <w:ind w:right="180"/>
              <w:spacing w:after="0" w:line="99" w:lineRule="exact"/>
              <w:rPr>
                <w:sz w:val="20"/>
                <w:szCs w:val="20"/>
                <w:color w:val="auto"/>
              </w:rPr>
            </w:pPr>
            <w:r>
              <w:rPr>
                <w:rFonts w:ascii="Arial" w:cs="Arial" w:eastAsia="Arial" w:hAnsi="Arial"/>
                <w:sz w:val="10"/>
                <w:szCs w:val="10"/>
                <w:b w:val="1"/>
                <w:bCs w:val="1"/>
                <w:color w:val="auto"/>
                <w:w w:val="87"/>
              </w:rPr>
              <w:t>Carrying</w:t>
            </w:r>
          </w:p>
        </w:tc>
        <w:tc>
          <w:tcPr>
            <w:tcW w:w="52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78"/>
              </w:rPr>
              <w:t>less than</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1 and</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3 and</w:t>
            </w:r>
          </w:p>
        </w:tc>
        <w:tc>
          <w:tcPr>
            <w:tcW w:w="60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86"/>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gridSpan w:val="4"/>
          </w:tcPr>
          <w:p>
            <w:pPr>
              <w:ind w:left="40"/>
              <w:spacing w:after="0" w:line="105" w:lineRule="exact"/>
              <w:rPr>
                <w:sz w:val="20"/>
                <w:szCs w:val="20"/>
                <w:color w:val="auto"/>
              </w:rPr>
            </w:pPr>
            <w:r>
              <w:rPr>
                <w:rFonts w:ascii="Arial" w:cs="Arial" w:eastAsia="Arial" w:hAnsi="Arial"/>
                <w:sz w:val="10"/>
                <w:szCs w:val="10"/>
                <w:b w:val="1"/>
                <w:bCs w:val="1"/>
                <w:color w:val="auto"/>
              </w:rPr>
              <w:t>amount</w:t>
            </w:r>
          </w:p>
        </w:tc>
        <w:tc>
          <w:tcPr>
            <w:tcW w:w="520" w:type="dxa"/>
            <w:vAlign w:val="bottom"/>
            <w:gridSpan w:val="4"/>
          </w:tcPr>
          <w:p>
            <w:pPr>
              <w:jc w:val="right"/>
              <w:ind w:right="220"/>
              <w:spacing w:after="0" w:line="105" w:lineRule="exact"/>
              <w:rPr>
                <w:sz w:val="20"/>
                <w:szCs w:val="20"/>
                <w:color w:val="auto"/>
              </w:rPr>
            </w:pPr>
            <w:r>
              <w:rPr>
                <w:rFonts w:ascii="Arial" w:cs="Arial" w:eastAsia="Arial" w:hAnsi="Arial"/>
                <w:sz w:val="10"/>
                <w:szCs w:val="10"/>
                <w:b w:val="1"/>
                <w:bCs w:val="1"/>
                <w:color w:val="auto"/>
                <w:w w:val="96"/>
              </w:rPr>
              <w:t>1 year</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2 years</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5 years</w:t>
            </w:r>
          </w:p>
        </w:tc>
        <w:tc>
          <w:tcPr>
            <w:tcW w:w="600" w:type="dxa"/>
            <w:vAlign w:val="bottom"/>
            <w:gridSpan w:val="4"/>
          </w:tcPr>
          <w:p>
            <w:pPr>
              <w:jc w:val="right"/>
              <w:ind w:right="240"/>
              <w:spacing w:after="0" w:line="105" w:lineRule="exact"/>
              <w:rPr>
                <w:sz w:val="20"/>
                <w:szCs w:val="20"/>
                <w:color w:val="auto"/>
              </w:rPr>
            </w:pPr>
            <w:r>
              <w:rPr>
                <w:rFonts w:ascii="Arial" w:cs="Arial" w:eastAsia="Arial" w:hAnsi="Arial"/>
                <w:sz w:val="10"/>
                <w:szCs w:val="10"/>
                <w:b w:val="1"/>
                <w:bCs w:val="1"/>
                <w:color w:val="auto"/>
                <w:w w:val="98"/>
              </w:rPr>
              <w:t>5 years</w:t>
            </w:r>
          </w:p>
        </w:tc>
        <w:tc>
          <w:tcPr>
            <w:tcW w:w="380" w:type="dxa"/>
            <w:vAlign w:val="bottom"/>
            <w:gridSpan w:val="4"/>
          </w:tcPr>
          <w:p>
            <w:pPr>
              <w:ind w:left="6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8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7,956</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1,168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8,600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32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13,108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6,320</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w w:val="94"/>
              </w:rPr>
              <w:t>13,752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ind w:left="980"/>
              <w:spacing w:after="0"/>
              <w:rPr>
                <w:sz w:val="20"/>
                <w:szCs w:val="20"/>
                <w:color w:val="auto"/>
              </w:rPr>
            </w:pPr>
            <w:r>
              <w:rPr>
                <w:rFonts w:ascii="Arial" w:cs="Arial" w:eastAsia="Arial" w:hAnsi="Arial"/>
                <w:sz w:val="10"/>
                <w:szCs w:val="10"/>
                <w:b w:val="1"/>
                <w:bCs w:val="1"/>
                <w:color w:val="auto"/>
              </w:rPr>
              <w:t>Dec. 31, 2019</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92"/>
              </w:rPr>
              <w:t>Carrying</w:t>
            </w:r>
          </w:p>
        </w:tc>
        <w:tc>
          <w:tcPr>
            <w:tcW w:w="80" w:type="dxa"/>
            <w:vAlign w:val="bottom"/>
          </w:tcPr>
          <w:p>
            <w:pPr>
              <w:spacing w:after="0"/>
              <w:rPr>
                <w:sz w:val="8"/>
                <w:szCs w:val="8"/>
                <w:color w:val="auto"/>
              </w:rPr>
            </w:pPr>
          </w:p>
        </w:tc>
        <w:tc>
          <w:tcPr>
            <w:tcW w:w="440" w:type="dxa"/>
            <w:vAlign w:val="bottom"/>
            <w:gridSpan w:val="3"/>
          </w:tcPr>
          <w:p>
            <w:pPr>
              <w:jc w:val="right"/>
              <w:ind w:right="80"/>
              <w:spacing w:after="0" w:line="99" w:lineRule="exact"/>
              <w:rPr>
                <w:sz w:val="20"/>
                <w:szCs w:val="20"/>
                <w:color w:val="auto"/>
              </w:rPr>
            </w:pPr>
            <w:r>
              <w:rPr>
                <w:rFonts w:ascii="Arial" w:cs="Arial" w:eastAsia="Arial" w:hAnsi="Arial"/>
                <w:sz w:val="10"/>
                <w:szCs w:val="10"/>
                <w:b w:val="1"/>
                <w:bCs w:val="1"/>
                <w:color w:val="auto"/>
                <w:w w:val="78"/>
              </w:rPr>
              <w:t>less than</w:t>
            </w:r>
          </w:p>
        </w:tc>
        <w:tc>
          <w:tcPr>
            <w:tcW w:w="100" w:type="dxa"/>
            <w:vAlign w:val="bottom"/>
          </w:tcPr>
          <w:p>
            <w:pPr>
              <w:spacing w:after="0"/>
              <w:rPr>
                <w:sz w:val="8"/>
                <w:szCs w:val="8"/>
                <w:color w:val="auto"/>
              </w:rPr>
            </w:pPr>
          </w:p>
        </w:tc>
        <w:tc>
          <w:tcPr>
            <w:tcW w:w="42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1 and</w:t>
            </w:r>
          </w:p>
        </w:tc>
        <w:tc>
          <w:tcPr>
            <w:tcW w:w="100" w:type="dxa"/>
            <w:vAlign w:val="bottom"/>
          </w:tcPr>
          <w:p>
            <w:pPr>
              <w:spacing w:after="0"/>
              <w:rPr>
                <w:sz w:val="8"/>
                <w:szCs w:val="8"/>
                <w:color w:val="auto"/>
              </w:rPr>
            </w:pPr>
          </w:p>
        </w:tc>
        <w:tc>
          <w:tcPr>
            <w:tcW w:w="4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3 and</w:t>
            </w:r>
          </w:p>
        </w:tc>
        <w:tc>
          <w:tcPr>
            <w:tcW w:w="80" w:type="dxa"/>
            <w:vAlign w:val="bottom"/>
          </w:tcPr>
          <w:p>
            <w:pPr>
              <w:spacing w:after="0"/>
              <w:rPr>
                <w:sz w:val="8"/>
                <w:szCs w:val="8"/>
                <w:color w:val="auto"/>
              </w:rPr>
            </w:pP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8"/>
              </w:rPr>
              <w:t>amount</w:t>
            </w:r>
          </w:p>
        </w:tc>
        <w:tc>
          <w:tcPr>
            <w:tcW w:w="80" w:type="dxa"/>
            <w:vAlign w:val="bottom"/>
          </w:tcPr>
          <w:p>
            <w:pPr>
              <w:spacing w:after="0"/>
              <w:rPr>
                <w:sz w:val="9"/>
                <w:szCs w:val="9"/>
                <w:color w:val="auto"/>
              </w:rPr>
            </w:pPr>
          </w:p>
        </w:tc>
        <w:tc>
          <w:tcPr>
            <w:tcW w:w="440" w:type="dxa"/>
            <w:vAlign w:val="bottom"/>
            <w:gridSpan w:val="3"/>
          </w:tcPr>
          <w:p>
            <w:pPr>
              <w:jc w:val="right"/>
              <w:ind w:right="120"/>
              <w:spacing w:after="0" w:line="105" w:lineRule="exact"/>
              <w:rPr>
                <w:sz w:val="20"/>
                <w:szCs w:val="20"/>
                <w:color w:val="auto"/>
              </w:rPr>
            </w:pPr>
            <w:r>
              <w:rPr>
                <w:rFonts w:ascii="Arial" w:cs="Arial" w:eastAsia="Arial" w:hAnsi="Arial"/>
                <w:sz w:val="10"/>
                <w:szCs w:val="10"/>
                <w:b w:val="1"/>
                <w:bCs w:val="1"/>
                <w:color w:val="auto"/>
              </w:rPr>
              <w:t>1 year</w:t>
            </w:r>
          </w:p>
        </w:tc>
        <w:tc>
          <w:tcPr>
            <w:tcW w:w="100" w:type="dxa"/>
            <w:vAlign w:val="bottom"/>
          </w:tcPr>
          <w:p>
            <w:pPr>
              <w:spacing w:after="0"/>
              <w:rPr>
                <w:sz w:val="9"/>
                <w:szCs w:val="9"/>
                <w:color w:val="auto"/>
              </w:rPr>
            </w:pPr>
          </w:p>
        </w:tc>
        <w:tc>
          <w:tcPr>
            <w:tcW w:w="4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6"/>
              </w:rPr>
              <w:t>2 years</w:t>
            </w:r>
          </w:p>
        </w:tc>
        <w:tc>
          <w:tcPr>
            <w:tcW w:w="100" w:type="dxa"/>
            <w:vAlign w:val="bottom"/>
          </w:tcPr>
          <w:p>
            <w:pPr>
              <w:spacing w:after="0"/>
              <w:rPr>
                <w:sz w:val="9"/>
                <w:szCs w:val="9"/>
                <w:color w:val="auto"/>
              </w:rPr>
            </w:pPr>
          </w:p>
        </w:tc>
        <w:tc>
          <w:tcPr>
            <w:tcW w:w="420" w:type="dxa"/>
            <w:vAlign w:val="bottom"/>
            <w:gridSpan w:val="3"/>
          </w:tcPr>
          <w:p>
            <w:pPr>
              <w:jc w:val="center"/>
              <w:ind w:right="100"/>
              <w:spacing w:after="0" w:line="105" w:lineRule="exact"/>
              <w:rPr>
                <w:sz w:val="20"/>
                <w:szCs w:val="20"/>
                <w:color w:val="auto"/>
              </w:rPr>
            </w:pPr>
            <w:r>
              <w:rPr>
                <w:rFonts w:ascii="Arial" w:cs="Arial" w:eastAsia="Arial" w:hAnsi="Arial"/>
                <w:sz w:val="10"/>
                <w:szCs w:val="10"/>
                <w:b w:val="1"/>
                <w:bCs w:val="1"/>
                <w:color w:val="auto"/>
                <w:w w:val="81"/>
              </w:rPr>
              <w:t>5 years</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5" w:lineRule="exact"/>
              <w:rPr>
                <w:sz w:val="20"/>
                <w:szCs w:val="20"/>
                <w:color w:val="auto"/>
              </w:rPr>
            </w:pPr>
            <w:r>
              <w:rPr>
                <w:rFonts w:ascii="Arial" w:cs="Arial" w:eastAsia="Arial" w:hAnsi="Arial"/>
                <w:sz w:val="10"/>
                <w:szCs w:val="10"/>
                <w:b w:val="1"/>
                <w:bCs w:val="1"/>
                <w:color w:val="auto"/>
                <w:w w:val="98"/>
              </w:rPr>
              <w:t>5 years</w:t>
            </w:r>
          </w:p>
        </w:tc>
        <w:tc>
          <w:tcPr>
            <w:tcW w:w="80" w:type="dxa"/>
            <w:vAlign w:val="bottom"/>
          </w:tcPr>
          <w:p>
            <w:pPr>
              <w:spacing w:after="0"/>
              <w:rPr>
                <w:sz w:val="9"/>
                <w:szCs w:val="9"/>
                <w:color w:val="auto"/>
              </w:rPr>
            </w:pPr>
          </w:p>
        </w:tc>
        <w:tc>
          <w:tcPr>
            <w:tcW w:w="30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920" w:type="dxa"/>
            <w:vAlign w:val="bottom"/>
            <w:gridSpan w:val="2"/>
            <w:shd w:val="clear" w:color="auto" w:fill="CCEEFF"/>
          </w:tcPr>
          <w:p>
            <w:pPr>
              <w:spacing w:after="0"/>
              <w:rPr>
                <w:sz w:val="9"/>
                <w:szCs w:val="9"/>
                <w:color w:val="auto"/>
              </w:rPr>
            </w:pP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1"/>
                <w:szCs w:val="11"/>
                <w:color w:val="auto"/>
                <w:w w:val="87"/>
              </w:rPr>
              <w:t>2,461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6,762</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7,398</w:t>
            </w: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38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9,229</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3,264</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9,865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(iii) Market risk</w:t>
      </w:r>
    </w:p>
    <w:p>
      <w:pPr>
        <w:spacing w:after="0" w:line="15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21" w:lineRule="exact"/>
        <w:rPr>
          <w:sz w:val="20"/>
          <w:szCs w:val="20"/>
          <w:color w:val="auto"/>
        </w:rPr>
      </w:pPr>
    </w:p>
    <w:p>
      <w:pPr>
        <w:ind w:left="2620" w:hanging="360"/>
        <w:spacing w:after="0"/>
        <w:tabs>
          <w:tab w:leader="none" w:pos="2620" w:val="left"/>
        </w:tabs>
        <w:numPr>
          <w:ilvl w:val="0"/>
          <w:numId w:val="19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risk</w:t>
      </w:r>
    </w:p>
    <w:p>
      <w:pPr>
        <w:spacing w:after="0" w:line="150"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Effects of currency risk</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following is a summary of quantitative information about the Group’s currency risk exposure provided to Group management:</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Dec. 31, 2020</w:t>
            </w: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jc w:val="right"/>
              <w:ind w:right="180"/>
              <w:spacing w:after="0" w:line="79" w:lineRule="exact"/>
              <w:rPr>
                <w:sz w:val="20"/>
                <w:szCs w:val="20"/>
                <w:color w:val="auto"/>
              </w:rPr>
            </w:pPr>
            <w:r>
              <w:rPr>
                <w:rFonts w:ascii="Arial" w:cs="Arial" w:eastAsia="Arial" w:hAnsi="Arial"/>
                <w:sz w:val="8"/>
                <w:szCs w:val="8"/>
                <w:b w:val="1"/>
                <w:bCs w:val="1"/>
                <w:color w:val="auto"/>
              </w:rPr>
              <w:t>EUR</w:t>
            </w:r>
          </w:p>
        </w:tc>
        <w:tc>
          <w:tcPr>
            <w:tcW w:w="80" w:type="dxa"/>
            <w:vAlign w:val="bottom"/>
          </w:tcPr>
          <w:p>
            <w:pPr>
              <w:spacing w:after="0"/>
              <w:rPr>
                <w:sz w:val="8"/>
                <w:szCs w:val="8"/>
                <w:color w:val="auto"/>
              </w:rPr>
            </w:pPr>
          </w:p>
        </w:tc>
        <w:tc>
          <w:tcPr>
            <w:tcW w:w="36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Cash and cash equivalents</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961</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Intercompany-Loan</w:t>
            </w:r>
          </w:p>
        </w:tc>
        <w:tc>
          <w:tcPr>
            <w:tcW w:w="500" w:type="dxa"/>
            <w:vAlign w:val="bottom"/>
            <w:gridSpan w:val="4"/>
          </w:tcPr>
          <w:p>
            <w:pPr>
              <w:jc w:val="right"/>
              <w:ind w:right="14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Trade payables</w:t>
            </w:r>
          </w:p>
        </w:tc>
        <w:tc>
          <w:tcPr>
            <w:tcW w:w="5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5320" w:type="dxa"/>
            <w:vAlign w:val="bottom"/>
            <w:gridSpan w:val="2"/>
          </w:tcPr>
          <w:p>
            <w:pPr>
              <w:spacing w:after="0"/>
              <w:rPr>
                <w:sz w:val="20"/>
                <w:szCs w:val="20"/>
                <w:color w:val="auto"/>
              </w:rPr>
            </w:pPr>
            <w:r>
              <w:rPr>
                <w:rFonts w:ascii="Arial" w:cs="Arial" w:eastAsia="Arial" w:hAnsi="Arial"/>
                <w:sz w:val="11"/>
                <w:szCs w:val="11"/>
                <w:color w:val="auto"/>
              </w:rPr>
              <w:t>Net statement of financial position exposure</w:t>
            </w:r>
          </w:p>
        </w:tc>
        <w:tc>
          <w:tcPr>
            <w:tcW w:w="500" w:type="dxa"/>
            <w:vAlign w:val="bottom"/>
            <w:gridSpan w:val="4"/>
          </w:tcPr>
          <w:p>
            <w:pPr>
              <w:jc w:val="right"/>
              <w:ind w:right="10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862</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(5)</w:t>
            </w:r>
          </w:p>
        </w:tc>
        <w:tc>
          <w:tcPr>
            <w:tcW w:w="420" w:type="dxa"/>
            <w:vAlign w:val="bottom"/>
            <w:gridSpan w:val="2"/>
          </w:tcPr>
          <w:p>
            <w:pPr>
              <w:jc w:val="right"/>
              <w:ind w:right="160"/>
              <w:spacing w:after="0"/>
              <w:rPr>
                <w:sz w:val="20"/>
                <w:szCs w:val="20"/>
                <w:color w:val="auto"/>
              </w:rPr>
            </w:pPr>
            <w:r>
              <w:rPr>
                <w:rFonts w:ascii="Arial" w:cs="Arial" w:eastAsia="Arial" w:hAnsi="Arial"/>
                <w:sz w:val="11"/>
                <w:szCs w:val="11"/>
                <w:color w:val="auto"/>
              </w:rPr>
              <w:t>(53)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60"/>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Dec. 31, 2019</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500" w:type="dxa"/>
            <w:vAlign w:val="bottom"/>
            <w:gridSpan w:val="4"/>
          </w:tcPr>
          <w:p>
            <w:pPr>
              <w:jc w:val="right"/>
              <w:ind w:right="260"/>
              <w:spacing w:after="0" w:line="79" w:lineRule="exact"/>
              <w:rPr>
                <w:sz w:val="20"/>
                <w:szCs w:val="20"/>
                <w:color w:val="auto"/>
              </w:rPr>
            </w:pPr>
            <w:r>
              <w:rPr>
                <w:rFonts w:ascii="Arial" w:cs="Arial" w:eastAsia="Arial" w:hAnsi="Arial"/>
                <w:sz w:val="8"/>
                <w:szCs w:val="8"/>
                <w:b w:val="1"/>
                <w:bCs w:val="1"/>
                <w:color w:val="auto"/>
              </w:rPr>
              <w:t>EUR</w:t>
            </w:r>
          </w:p>
        </w:tc>
        <w:tc>
          <w:tcPr>
            <w:tcW w:w="440" w:type="dxa"/>
            <w:vAlign w:val="bottom"/>
            <w:gridSpan w:val="3"/>
          </w:tcPr>
          <w:p>
            <w:pPr>
              <w:ind w:left="40"/>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Deposits</w:t>
            </w: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875</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875</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638</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Intercompany-Loan</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Trade payables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2</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7</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statement of financial position exposure</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w w:val="91"/>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1,750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F-63</w:t>
      </w:r>
    </w:p>
    <w:p>
      <w:pPr>
        <w:sectPr>
          <w:pgSz w:w="11900" w:h="16838" w:orient="portrait"/>
          <w:cols w:equalWidth="0" w:num="1">
            <w:col w:w="10159"/>
          </w:cols>
          <w:pgMar w:left="300" w:top="354" w:right="1440" w:bottom="1440" w:gutter="0" w:footer="0" w:header="0"/>
        </w:sectPr>
      </w:pPr>
    </w:p>
    <w:bookmarkStart w:id="254" w:name="page255"/>
    <w:bookmarkEnd w:id="2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Sensitivity analysis</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 potential appreciation (depreciation) of EUR, USD, CHF, and RMB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37" w:lineRule="exact"/>
        <w:rPr>
          <w:sz w:val="20"/>
          <w:szCs w:val="20"/>
          <w:color w:val="auto"/>
        </w:rPr>
      </w:pPr>
    </w:p>
    <w:p>
      <w:pPr>
        <w:ind w:left="4980"/>
        <w:spacing w:after="0"/>
        <w:rPr>
          <w:sz w:val="20"/>
          <w:szCs w:val="20"/>
          <w:color w:val="auto"/>
        </w:rPr>
      </w:pPr>
      <w:r>
        <w:rPr>
          <w:rFonts w:ascii="Arial" w:cs="Arial" w:eastAsia="Arial" w:hAnsi="Arial"/>
          <w:sz w:val="10"/>
          <w:szCs w:val="10"/>
          <w:b w:val="1"/>
          <w:bCs w:val="1"/>
          <w:color w:val="auto"/>
        </w:rPr>
        <w:t>Effects on Group profit or loss</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88"/>
        </w:trPr>
        <w:tc>
          <w:tcPr>
            <w:tcW w:w="540" w:type="dxa"/>
            <w:vAlign w:val="bottom"/>
            <w:tcBorders>
              <w:top w:val="single" w:sz="8" w:color="auto"/>
            </w:tcBorders>
          </w:tcPr>
          <w:p>
            <w:pPr>
              <w:spacing w:after="0"/>
              <w:rPr>
                <w:sz w:val="7"/>
                <w:szCs w:val="7"/>
                <w:color w:val="auto"/>
              </w:rPr>
            </w:pPr>
          </w:p>
        </w:tc>
        <w:tc>
          <w:tcPr>
            <w:tcW w:w="202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(228)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228</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(92)</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Effects on Group equity</w:t>
            </w:r>
          </w:p>
        </w:tc>
        <w:tc>
          <w:tcPr>
            <w:tcW w:w="3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(199)</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199</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(86)</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560" w:type="dxa"/>
            <w:vAlign w:val="bottom"/>
            <w:gridSpan w:val="2"/>
          </w:tcPr>
          <w:p>
            <w:pPr>
              <w:spacing w:after="0"/>
              <w:rPr>
                <w:sz w:val="20"/>
                <w:szCs w:val="20"/>
                <w:color w:val="auto"/>
              </w:rPr>
            </w:pPr>
            <w:r>
              <w:rPr>
                <w:rFonts w:ascii="Arial" w:cs="Arial" w:eastAsia="Arial" w:hAnsi="Arial"/>
                <w:sz w:val="12"/>
                <w:szCs w:val="12"/>
                <w:color w:val="auto"/>
              </w:rPr>
              <w:t>The following exchange rates were used:</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0"/>
                <w:szCs w:val="10"/>
                <w:b w:val="1"/>
                <w:bCs w:val="1"/>
                <w:color w:val="auto"/>
                <w:w w:val="84"/>
              </w:rPr>
              <w:t>Spot exchange rate as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5"/>
          </w:tcPr>
          <w:p>
            <w:pPr>
              <w:jc w:val="right"/>
              <w:ind w:right="200"/>
              <w:spacing w:after="0" w:line="99" w:lineRule="exact"/>
              <w:rPr>
                <w:sz w:val="20"/>
                <w:szCs w:val="20"/>
                <w:color w:val="auto"/>
              </w:rPr>
            </w:pPr>
            <w:r>
              <w:rPr>
                <w:rFonts w:ascii="Arial" w:cs="Arial" w:eastAsia="Arial" w:hAnsi="Arial"/>
                <w:sz w:val="10"/>
                <w:szCs w:val="10"/>
                <w:b w:val="1"/>
                <w:bCs w:val="1"/>
                <w:color w:val="auto"/>
              </w:rPr>
              <w:t>of the reporting</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4"/>
          </w:tcPr>
          <w:p>
            <w:pPr>
              <w:jc w:val="right"/>
              <w:ind w:right="280"/>
              <w:spacing w:after="0" w:line="114" w:lineRule="exact"/>
              <w:rPr>
                <w:sz w:val="20"/>
                <w:szCs w:val="20"/>
                <w:color w:val="auto"/>
              </w:rPr>
            </w:pPr>
            <w:r>
              <w:rPr>
                <w:rFonts w:ascii="Arial" w:cs="Arial" w:eastAsia="Arial" w:hAnsi="Arial"/>
                <w:sz w:val="10"/>
                <w:szCs w:val="10"/>
                <w:b w:val="1"/>
                <w:bCs w:val="1"/>
                <w:color w:val="auto"/>
              </w:rPr>
              <w:t>Average rate</w:t>
            </w:r>
          </w:p>
        </w:tc>
        <w:tc>
          <w:tcPr>
            <w:tcW w:w="380" w:type="dxa"/>
            <w:vAlign w:val="bottom"/>
          </w:tcPr>
          <w:p>
            <w:pPr>
              <w:spacing w:after="0"/>
              <w:rPr>
                <w:sz w:val="9"/>
                <w:szCs w:val="9"/>
                <w:color w:val="auto"/>
              </w:rPr>
            </w:pPr>
          </w:p>
        </w:tc>
        <w:tc>
          <w:tcPr>
            <w:tcW w:w="200" w:type="dxa"/>
            <w:vAlign w:val="bottom"/>
          </w:tcPr>
          <w:p>
            <w:pPr>
              <w:ind w:left="20"/>
              <w:spacing w:after="0" w:line="114" w:lineRule="exact"/>
              <w:rPr>
                <w:sz w:val="20"/>
                <w:szCs w:val="20"/>
                <w:color w:val="auto"/>
              </w:rPr>
            </w:pPr>
            <w:r>
              <w:rPr>
                <w:rFonts w:ascii="Arial" w:cs="Arial" w:eastAsia="Arial" w:hAnsi="Arial"/>
                <w:sz w:val="10"/>
                <w:szCs w:val="10"/>
                <w:b w:val="1"/>
                <w:bCs w:val="1"/>
                <w:color w:val="auto"/>
                <w:w w:val="77"/>
              </w:rPr>
              <w:t>date</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56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EUR</w:t>
            </w:r>
          </w:p>
        </w:tc>
        <w:tc>
          <w:tcPr>
            <w:tcW w:w="1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1"/>
                <w:szCs w:val="11"/>
                <w:color w:val="auto"/>
                <w:w w:val="81"/>
              </w:rPr>
              <w:t>2020</w:t>
            </w:r>
          </w:p>
        </w:tc>
        <w:tc>
          <w:tcPr>
            <w:tcW w:w="460" w:type="dxa"/>
            <w:vAlign w:val="bottom"/>
            <w:tcBorders>
              <w:top w:val="single" w:sz="8" w:color="auto"/>
            </w:tcBorders>
            <w:shd w:val="clear" w:color="auto" w:fill="CCEEFF"/>
          </w:tcPr>
          <w:p>
            <w:pPr>
              <w:ind w:left="160"/>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2020</w:t>
            </w:r>
          </w:p>
        </w:tc>
        <w:tc>
          <w:tcPr>
            <w:tcW w:w="2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7"/>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0.87322</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0.88258</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0.81540</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0.89160</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0.93395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0.90446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16"/>
              <w:spacing w:after="0"/>
              <w:rPr>
                <w:sz w:val="20"/>
                <w:szCs w:val="20"/>
                <w:color w:val="auto"/>
              </w:rPr>
            </w:pPr>
            <w:r>
              <w:rPr>
                <w:rFonts w:ascii="Arial" w:cs="Arial" w:eastAsia="Arial" w:hAnsi="Arial"/>
                <w:sz w:val="11"/>
                <w:szCs w:val="11"/>
                <w:color w:val="auto"/>
              </w:rPr>
              <w:t>0.92390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0"/>
              </w:rPr>
              <w:t>0.92130</w:t>
            </w:r>
          </w:p>
        </w:tc>
        <w:tc>
          <w:tcPr>
            <w:tcW w:w="0" w:type="dxa"/>
            <w:vAlign w:val="bottom"/>
          </w:tcPr>
          <w:p>
            <w:pPr>
              <w:spacing w:after="0"/>
              <w:rPr>
                <w:sz w:val="1"/>
                <w:szCs w:val="1"/>
                <w:color w:val="auto"/>
              </w:rPr>
            </w:pPr>
          </w:p>
        </w:tc>
      </w:tr>
      <w:tr>
        <w:trPr>
          <w:trHeight w:val="136"/>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0.12689</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0.12747</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0.12481</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0.12796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20" w:hanging="360"/>
        <w:spacing w:after="0"/>
        <w:tabs>
          <w:tab w:leader="none" w:pos="2620" w:val="left"/>
        </w:tabs>
        <w:numPr>
          <w:ilvl w:val="0"/>
          <w:numId w:val="192"/>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As of the reporting date, the Group does not have any interest-bearing financial assets or interest-bearing financial liabilities. As a result, there are no specific interest rate risks.</w:t>
      </w:r>
    </w:p>
    <w:p>
      <w:pPr>
        <w:spacing w:after="0" w:line="210" w:lineRule="exact"/>
        <w:rPr>
          <w:sz w:val="20"/>
          <w:szCs w:val="20"/>
          <w:color w:val="auto"/>
        </w:rPr>
      </w:pPr>
    </w:p>
    <w:p>
      <w:pPr>
        <w:ind w:left="2260" w:hanging="288"/>
        <w:spacing w:after="0"/>
        <w:tabs>
          <w:tab w:leader="none" w:pos="2260"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 Commitments, and Other Financial Obligations</w:t>
      </w:r>
    </w:p>
    <w:p>
      <w:pPr>
        <w:spacing w:after="0" w:line="168" w:lineRule="exact"/>
        <w:rPr>
          <w:sz w:val="20"/>
          <w:szCs w:val="20"/>
          <w:color w:val="auto"/>
        </w:rPr>
      </w:pPr>
    </w:p>
    <w:p>
      <w:pPr>
        <w:ind w:left="2620" w:hanging="360"/>
        <w:spacing w:after="0"/>
        <w:tabs>
          <w:tab w:leader="none" w:pos="2620"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Within the course of its ordinary activities, the Group may be involved in legal disputes from time to time. Based on the assessment of the Management Board and legal counsel, there are no additional claims beyond the litigation risks reported in the provisions that may be significant in relation to the Group’s business, financial position, or performance.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0159"/>
          </w:cols>
          <w:pgMar w:left="300" w:top="354" w:right="1440" w:bottom="1440" w:gutter="0" w:footer="0" w:header="0"/>
        </w:sectPr>
      </w:pPr>
    </w:p>
    <w:bookmarkStart w:id="255" w:name="page256"/>
    <w:bookmarkEnd w:id="2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95"/>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in the previous year, there are no commitments arising under guarantees and sureties.</w:t>
      </w:r>
    </w:p>
    <w:p>
      <w:pPr>
        <w:spacing w:after="0" w:line="24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540" w:type="dxa"/>
            <w:vAlign w:val="bottom"/>
          </w:tcPr>
          <w:p>
            <w:pPr>
              <w:ind w:left="280"/>
              <w:spacing w:after="0"/>
              <w:rPr>
                <w:sz w:val="20"/>
                <w:szCs w:val="20"/>
                <w:color w:val="auto"/>
              </w:rPr>
            </w:pPr>
            <w:r>
              <w:rPr>
                <w:rFonts w:ascii="Arial" w:cs="Arial" w:eastAsia="Arial" w:hAnsi="Arial"/>
                <w:sz w:val="12"/>
                <w:szCs w:val="12"/>
                <w:b w:val="1"/>
                <w:bCs w:val="1"/>
                <w:color w:val="auto"/>
              </w:rPr>
              <w:t>c)</w:t>
            </w:r>
          </w:p>
        </w:tc>
        <w:tc>
          <w:tcPr>
            <w:tcW w:w="4300" w:type="dxa"/>
            <w:vAlign w:val="bottom"/>
          </w:tcPr>
          <w:p>
            <w:pPr>
              <w:ind w:left="100"/>
              <w:spacing w:after="0"/>
              <w:rPr>
                <w:sz w:val="20"/>
                <w:szCs w:val="20"/>
                <w:color w:val="auto"/>
              </w:rPr>
            </w:pPr>
            <w:r>
              <w:rPr>
                <w:rFonts w:ascii="Arial" w:cs="Arial" w:eastAsia="Arial" w:hAnsi="Arial"/>
                <w:sz w:val="12"/>
                <w:szCs w:val="12"/>
                <w:b w:val="1"/>
                <w:bCs w:val="1"/>
                <w:color w:val="auto"/>
              </w:rPr>
              <w:t>Other financial obligations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840" w:type="dxa"/>
            <w:vAlign w:val="bottom"/>
            <w:gridSpan w:val="2"/>
          </w:tcPr>
          <w:p>
            <w:pPr>
              <w:spacing w:after="0"/>
              <w:rPr>
                <w:sz w:val="20"/>
                <w:szCs w:val="20"/>
                <w:color w:val="auto"/>
              </w:rPr>
            </w:pPr>
            <w:r>
              <w:rPr>
                <w:rFonts w:ascii="Arial" w:cs="Arial" w:eastAsia="Arial" w:hAnsi="Arial"/>
                <w:sz w:val="12"/>
                <w:szCs w:val="12"/>
                <w:color w:val="auto"/>
              </w:rPr>
              <w:t>Other financial obligations as of December 31, 2020 are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540" w:type="dxa"/>
            <w:vAlign w:val="bottom"/>
          </w:tcPr>
          <w:p>
            <w:pPr>
              <w:spacing w:after="0"/>
              <w:rPr>
                <w:sz w:val="20"/>
                <w:szCs w:val="20"/>
                <w:color w:val="auto"/>
              </w:rPr>
            </w:pPr>
            <w:r>
              <w:rPr>
                <w:rFonts w:ascii="Arial" w:cs="Arial" w:eastAsia="Arial" w:hAnsi="Arial"/>
                <w:sz w:val="10"/>
                <w:szCs w:val="10"/>
                <w:b w:val="1"/>
                <w:bCs w:val="1"/>
                <w:color w:val="auto"/>
                <w:w w:val="82"/>
              </w:rPr>
              <w:t>Dec. 31, 2020</w:t>
            </w:r>
          </w:p>
        </w:tc>
        <w:tc>
          <w:tcPr>
            <w:tcW w:w="4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9"/>
              </w:rPr>
              <w:t>in € thousand</w:t>
            </w:r>
          </w:p>
        </w:tc>
        <w:tc>
          <w:tcPr>
            <w:tcW w:w="4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81"/>
              </w:rPr>
              <w:t>up to 1 year</w:t>
            </w: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1 to 5 years</w:t>
            </w:r>
          </w:p>
        </w:tc>
        <w:tc>
          <w:tcPr>
            <w:tcW w:w="6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79"/>
              </w:rPr>
              <w:t>&gt;5 years</w:t>
            </w:r>
          </w:p>
        </w:tc>
        <w:tc>
          <w:tcPr>
            <w:tcW w:w="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r>
      <w:tr>
        <w:trPr>
          <w:trHeight w:val="113"/>
        </w:trPr>
        <w:tc>
          <w:tcPr>
            <w:tcW w:w="48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Rental agreement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132</w:t>
            </w:r>
          </w:p>
        </w:tc>
        <w:tc>
          <w:tcPr>
            <w:tcW w:w="3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654</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304</w:t>
            </w:r>
          </w:p>
        </w:tc>
        <w:tc>
          <w:tcPr>
            <w:tcW w:w="3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1,090</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840" w:type="dxa"/>
            <w:vAlign w:val="bottom"/>
            <w:gridSpan w:val="2"/>
          </w:tcPr>
          <w:p>
            <w:pPr>
              <w:spacing w:after="0"/>
              <w:rPr>
                <w:sz w:val="20"/>
                <w:szCs w:val="20"/>
                <w:color w:val="auto"/>
              </w:rPr>
            </w:pPr>
            <w:r>
              <w:rPr>
                <w:rFonts w:ascii="Arial" w:cs="Arial" w:eastAsia="Arial" w:hAnsi="Arial"/>
                <w:sz w:val="11"/>
                <w:szCs w:val="11"/>
                <w:color w:val="auto"/>
              </w:rPr>
              <w:t>Software and licenses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1,066</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2,235</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3,301</w:t>
            </w: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4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36"/>
        </w:trPr>
        <w:tc>
          <w:tcPr>
            <w:tcW w:w="540" w:type="dxa"/>
            <w:vAlign w:val="bottom"/>
          </w:tcPr>
          <w:p>
            <w:pPr>
              <w:spacing w:after="0"/>
              <w:rPr>
                <w:sz w:val="20"/>
                <w:szCs w:val="20"/>
                <w:color w:val="auto"/>
              </w:rPr>
            </w:pPr>
            <w:r>
              <w:rPr>
                <w:rFonts w:ascii="Arial" w:cs="Arial" w:eastAsia="Arial" w:hAnsi="Arial"/>
                <w:sz w:val="11"/>
                <w:szCs w:val="11"/>
                <w:color w:val="auto"/>
              </w:rPr>
              <w:t>Total</w:t>
            </w:r>
          </w:p>
        </w:tc>
        <w:tc>
          <w:tcPr>
            <w:tcW w:w="4300" w:type="dxa"/>
            <w:vAlign w:val="bottom"/>
          </w:tcPr>
          <w:p>
            <w:pPr>
              <w:spacing w:after="0"/>
              <w:rPr>
                <w:sz w:val="11"/>
                <w:szCs w:val="1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1,283</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2,896</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304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4,483</w:t>
            </w:r>
          </w:p>
        </w:tc>
      </w:tr>
    </w:tbl>
    <w:p>
      <w:pPr>
        <w:spacing w:after="0" w:line="134"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The obligations from rental agreements include incidental rental costs. The future lease payments also include incidental costs agreed in the respective agreements. The significant amount in financial obligations from software and licenses includes an agreement for the implementation and use of SAP that has already been signed but will commence only in the fiscal year 2021. The other obligations are primarily service contracts.</w:t>
      </w:r>
    </w:p>
    <w:p>
      <w:pPr>
        <w:spacing w:after="0" w:line="105"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 addition, there are financial obligations from outstanding purchase orders for intangible assets and Property, plant and equipment in the following amounts: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2"/>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2,509</w:t>
            </w: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4,212</w:t>
            </w:r>
          </w:p>
        </w:tc>
        <w:tc>
          <w:tcPr>
            <w:tcW w:w="40" w:type="dxa"/>
            <w:vAlign w:val="bottom"/>
            <w:shd w:val="clear" w:color="auto" w:fill="CCEEFF"/>
          </w:tcPr>
          <w:p>
            <w:pPr>
              <w:spacing w:after="0"/>
              <w:rPr>
                <w:sz w:val="9"/>
                <w:szCs w:val="9"/>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1,057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263</w:t>
            </w:r>
          </w:p>
        </w:tc>
      </w:tr>
      <w:tr>
        <w:trPr>
          <w:trHeight w:val="135"/>
        </w:trPr>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3,566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4,475</w:t>
            </w:r>
          </w:p>
        </w:tc>
      </w:tr>
    </w:tbl>
    <w:p>
      <w:pPr>
        <w:spacing w:after="0" w:line="230" w:lineRule="exact"/>
        <w:rPr>
          <w:sz w:val="20"/>
          <w:szCs w:val="20"/>
          <w:color w:val="auto"/>
        </w:rPr>
      </w:pPr>
    </w:p>
    <w:p>
      <w:pPr>
        <w:ind w:left="2260" w:hanging="288"/>
        <w:spacing w:after="0"/>
        <w:tabs>
          <w:tab w:leader="none" w:pos="226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 (since June 16, 2020)</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Hubertus Edler von Janecek (degree in engineering), Munich (until July 10, 2020)</w:t>
      </w:r>
    </w:p>
    <w:p>
      <w:pPr>
        <w:spacing w:after="0" w:line="87"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Dr. Wolfram Peschko, Management Board member responsible for Finance &amp; Administration, doctorate of natural sciences, Gauting (until May 27, 2020)</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8"/>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(since June 12, 2020)</w:t>
      </w:r>
    </w:p>
    <w:p>
      <w:pPr>
        <w:spacing w:after="0" w:line="98" w:lineRule="exact"/>
        <w:rPr>
          <w:rFonts w:ascii="Arial" w:cs="Arial" w:eastAsia="Arial" w:hAnsi="Arial"/>
          <w:sz w:val="11"/>
          <w:szCs w:val="11"/>
          <w:color w:val="auto"/>
        </w:rPr>
      </w:pPr>
    </w:p>
    <w:p>
      <w:pPr>
        <w:ind w:left="2920" w:right="1039" w:hanging="219"/>
        <w:spacing w:after="0" w:line="276" w:lineRule="auto"/>
        <w:tabs>
          <w:tab w:leader="none" w:pos="29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Thomas Mayrhofer, member of the Supervisory Board, lawyer, partner of law firm Pinsent Masons Germany LLP (until June 12, 2020)</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F-65</w:t>
      </w:r>
    </w:p>
    <w:p>
      <w:pPr>
        <w:sectPr>
          <w:pgSz w:w="11900" w:h="16838" w:orient="portrait"/>
          <w:cols w:equalWidth="0" w:num="1">
            <w:col w:w="10159"/>
          </w:cols>
          <w:pgMar w:left="300" w:top="354" w:right="1440" w:bottom="1440" w:gutter="0" w:footer="0" w:header="0"/>
        </w:sectPr>
      </w:pPr>
    </w:p>
    <w:bookmarkStart w:id="256" w:name="page257"/>
    <w:bookmarkEnd w:id="2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Joachim Horwath was appointed to the Management Board based on a resolution adopted by the Supervisory Board on February 17, 2021.</w:t>
      </w:r>
    </w:p>
    <w:p>
      <w:pPr>
        <w:spacing w:after="0" w:line="162" w:lineRule="exact"/>
        <w:rPr>
          <w:sz w:val="20"/>
          <w:szCs w:val="20"/>
          <w:color w:val="auto"/>
        </w:rPr>
      </w:pPr>
    </w:p>
    <w:p>
      <w:pPr>
        <w:ind w:left="1980" w:right="979"/>
        <w:spacing w:after="0" w:line="313" w:lineRule="auto"/>
        <w:rPr>
          <w:sz w:val="20"/>
          <w:szCs w:val="20"/>
          <w:color w:val="auto"/>
        </w:rPr>
      </w:pPr>
      <w:r>
        <w:rPr>
          <w:rFonts w:ascii="Arial" w:cs="Arial" w:eastAsia="Arial" w:hAnsi="Arial"/>
          <w:sz w:val="10"/>
          <w:szCs w:val="10"/>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$100 million, no IPO bonus will be paid out. In the case the gross proceeds are between $100 and $150 million, the IPO bonus will increase on a linear basis starting in a range between 0.15% and 0.35% up to a range between 0.3% and 0.7%.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02"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62"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F-66</w:t>
      </w:r>
    </w:p>
    <w:p>
      <w:pPr>
        <w:sectPr>
          <w:pgSz w:w="11900" w:h="16838" w:orient="portrait"/>
          <w:cols w:equalWidth="0" w:num="1">
            <w:col w:w="10159"/>
          </w:cols>
          <w:pgMar w:left="300" w:top="354" w:right="1440" w:bottom="1440" w:gutter="0" w:footer="0" w:header="0"/>
        </w:sectPr>
      </w:pPr>
    </w:p>
    <w:bookmarkStart w:id="257" w:name="page258"/>
    <w:bookmarkEnd w:id="2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8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American Depositary Shares</w:t>
      </w:r>
    </w:p>
    <w:p>
      <w:pPr>
        <w:spacing w:after="0" w:line="134" w:lineRule="exact"/>
        <w:rPr>
          <w:sz w:val="20"/>
          <w:szCs w:val="20"/>
          <w:color w:val="auto"/>
        </w:rPr>
      </w:pPr>
    </w:p>
    <w:p>
      <w:pPr>
        <w:ind w:left="3780"/>
        <w:spacing w:after="0"/>
        <w:tabs>
          <w:tab w:leader="none" w:pos="59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216535</wp:posOffset>
            </wp:positionV>
            <wp:extent cx="98298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2553970</wp:posOffset>
            </wp:positionV>
            <wp:extent cx="9829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702310</wp:posOffset>
            </wp:positionV>
            <wp:extent cx="1062990" cy="10629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20"/>
        <w:spacing w:after="0"/>
        <w:tabs>
          <w:tab w:leader="none" w:pos="7300" w:val="left"/>
        </w:tabs>
        <w:rPr>
          <w:sz w:val="20"/>
          <w:szCs w:val="20"/>
          <w:color w:val="auto"/>
        </w:rPr>
      </w:pPr>
      <w:r>
        <w:rPr>
          <w:rFonts w:ascii="Arial" w:cs="Arial" w:eastAsia="Arial" w:hAnsi="Arial"/>
          <w:sz w:val="17"/>
          <w:szCs w:val="17"/>
          <w:b w:val="1"/>
          <w:bCs w:val="1"/>
          <w:color w:val="auto"/>
        </w:rPr>
        <w:t>Credit Suisse</w:t>
      </w:r>
      <w:r>
        <w:rPr>
          <w:sz w:val="20"/>
          <w:szCs w:val="20"/>
          <w:color w:val="auto"/>
        </w:rPr>
        <w:tab/>
      </w:r>
      <w:r>
        <w:rPr>
          <w:rFonts w:ascii="Arial" w:cs="Arial" w:eastAsia="Arial" w:hAnsi="Arial"/>
          <w:sz w:val="15"/>
          <w:szCs w:val="15"/>
          <w:b w:val="1"/>
          <w:bCs w:val="1"/>
          <w:color w:val="auto"/>
        </w:rPr>
        <w:t>Jefferies</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136525</wp:posOffset>
            </wp:positionV>
            <wp:extent cx="98298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980" w:right="919"/>
        <w:spacing w:after="0" w:line="302" w:lineRule="auto"/>
        <w:rPr>
          <w:sz w:val="20"/>
          <w:szCs w:val="20"/>
          <w:color w:val="auto"/>
        </w:rPr>
      </w:pPr>
      <w:r>
        <w:rPr>
          <w:rFonts w:ascii="Arial" w:cs="Arial" w:eastAsia="Arial" w:hAnsi="Arial"/>
          <w:sz w:val="11"/>
          <w:szCs w:val="11"/>
          <w:b w:val="1"/>
          <w:bCs w:val="1"/>
          <w:color w:val="auto"/>
        </w:rPr>
        <w:t>Through and including , 2021 (25 days after the commencement of this offering), all dealers that buy, sell or trade the ADSs,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0159"/>
          </w:cols>
          <w:pgMar w:left="300" w:top="354" w:right="1440" w:bottom="1440" w:gutter="0" w:footer="0" w:header="0"/>
        </w:sectPr>
      </w:pPr>
    </w:p>
    <w:bookmarkStart w:id="258" w:name="page259"/>
    <w:bookmarkEnd w:id="2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68"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Indemnification of Directors and Officers</w:t>
      </w:r>
    </w:p>
    <w:p>
      <w:pPr>
        <w:spacing w:after="0" w:line="154" w:lineRule="exact"/>
        <w:rPr>
          <w:sz w:val="20"/>
          <w:szCs w:val="20"/>
          <w:color w:val="auto"/>
        </w:rPr>
      </w:pPr>
    </w:p>
    <w:p>
      <w:pPr>
        <w:ind w:left="1980" w:right="1079" w:firstLine="294"/>
        <w:spacing w:after="0" w:line="340" w:lineRule="auto"/>
        <w:rPr>
          <w:sz w:val="20"/>
          <w:szCs w:val="20"/>
          <w:color w:val="auto"/>
        </w:rPr>
      </w:pPr>
      <w:r>
        <w:rPr>
          <w:rFonts w:ascii="Arial" w:cs="Arial" w:eastAsia="Arial" w:hAnsi="Arial"/>
          <w:sz w:val="10"/>
          <w:szCs w:val="10"/>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8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We provide directors’ and officers’ liability insurance for the members of our management and supervisory boards against civil liabilities, which they may incur in connection with their activities on behalf of our company. We intend to expand our insurance coverage against such liabilities, including by providing for coverage against liabilities under the Securities Act.</w:t>
      </w:r>
    </w:p>
    <w:p>
      <w:pPr>
        <w:spacing w:after="0" w:line="122" w:lineRule="exact"/>
        <w:rPr>
          <w:sz w:val="20"/>
          <w:szCs w:val="20"/>
          <w:color w:val="auto"/>
        </w:rPr>
      </w:pPr>
    </w:p>
    <w:p>
      <w:pPr>
        <w:ind w:left="1980" w:right="1059" w:firstLine="294"/>
        <w:spacing w:after="0" w:line="289" w:lineRule="auto"/>
        <w:rPr>
          <w:sz w:val="20"/>
          <w:szCs w:val="20"/>
          <w:color w:val="auto"/>
        </w:rPr>
      </w:pPr>
      <w:r>
        <w:rPr>
          <w:rFonts w:ascii="Arial" w:cs="Arial" w:eastAsia="Arial" w:hAnsi="Arial"/>
          <w:sz w:val="11"/>
          <w:szCs w:val="11"/>
          <w:color w:val="auto"/>
        </w:rPr>
        <w:t>In the underwriting agreement, the form of which is filed as Exhibit 1.1 to this registration statement, the underwriters will agree to indemnify, under certain conditions, us, the members of our management board and persons who control our company within the meaning of the Securities Act, against certain liabilities, but only to the extent that such liabilities arise out of or are based upon certain information relating to the underwriters furnished to us in writing expressly for use in this Registration Statement and certain other disclosure documents.</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Recent Sales of Unregistered Securities</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Set forth below are the sales of all securities sold by Mynaric AG within the past three years (</w:t>
      </w:r>
      <w:r>
        <w:rPr>
          <w:rFonts w:ascii="Arial" w:cs="Arial" w:eastAsia="Arial" w:hAnsi="Arial"/>
          <w:sz w:val="12"/>
          <w:szCs w:val="12"/>
          <w:i w:val="1"/>
          <w:iCs w:val="1"/>
          <w:color w:val="auto"/>
        </w:rPr>
        <w:t>i.e.</w:t>
      </w:r>
      <w:r>
        <w:rPr>
          <w:rFonts w:ascii="Arial" w:cs="Arial" w:eastAsia="Arial" w:hAnsi="Arial"/>
          <w:sz w:val="12"/>
          <w:szCs w:val="12"/>
          <w:color w:val="auto"/>
        </w:rPr>
        <w:t>, since January 1, 2018 up to the date of this registration statement) which were not registered under the Securities Act:</w:t>
      </w:r>
    </w:p>
    <w:p>
      <w:pPr>
        <w:spacing w:after="0" w:line="52" w:lineRule="exact"/>
        <w:rPr>
          <w:sz w:val="20"/>
          <w:szCs w:val="20"/>
          <w:color w:val="auto"/>
        </w:rPr>
      </w:pPr>
    </w:p>
    <w:p>
      <w:pPr>
        <w:ind w:left="2620" w:right="919" w:hanging="360"/>
        <w:spacing w:after="0" w:line="289" w:lineRule="auto"/>
        <w:tabs>
          <w:tab w:leader="none" w:pos="262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On May 14, 2019, we issued 200,000 bearer shares with a nominal value of €1.00 out of authorized capital to Alliance One Investment Singapore PTE Ltd at a subscription price of €55.00 per ordinary share, raising gross proceeds of €11,000,000.00 million in a private placement. Accordingly, our share capital as registered with the commercial register was increased by €200,000.00 from €2,704,304.00 to €2,904,304.00. The subscription rights of existing shareholders were excluded.</w:t>
      </w:r>
    </w:p>
    <w:p>
      <w:pPr>
        <w:spacing w:after="0" w:line="47" w:lineRule="exact"/>
        <w:rPr>
          <w:rFonts w:ascii="Arial" w:cs="Arial" w:eastAsia="Arial" w:hAnsi="Arial"/>
          <w:sz w:val="11"/>
          <w:szCs w:val="11"/>
          <w:color w:val="auto"/>
        </w:rPr>
      </w:pPr>
    </w:p>
    <w:p>
      <w:pPr>
        <w:ind w:left="2620" w:right="879" w:hanging="360"/>
        <w:spacing w:after="0" w:line="283" w:lineRule="auto"/>
        <w:tabs>
          <w:tab w:leader="none" w:pos="262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On February 7, 2020, we issued 290,430 bearer shares with a nominal value of €1.00 out of authorized capital to institutional investors in an accelerated book building transaction at a subscription price of €42.50 per ordinary share, raising gross proceeds of €12,343,275.00 million. The subscription rights of existing shareholders were excluded. The shares were placed by Hauck &amp; Aufhäuser Privatbankiers AG, Frankfurt am Main, by way of a private placement to qualified investors in Germany and by Beech Hill Securities, Inc. in the United States in accordance with Rule 144A of the Securities Act. Through this offering, our share capital as registered with the commercial register was increased by €290,430.00 from €2,904,304.00 by to €3,194,734.00.</w:t>
      </w:r>
    </w:p>
    <w:p>
      <w:pPr>
        <w:spacing w:after="0" w:line="50" w:lineRule="exact"/>
        <w:rPr>
          <w:rFonts w:ascii="Arial" w:cs="Arial" w:eastAsia="Arial" w:hAnsi="Arial"/>
          <w:sz w:val="11"/>
          <w:szCs w:val="11"/>
          <w:color w:val="auto"/>
        </w:rPr>
      </w:pPr>
    </w:p>
    <w:p>
      <w:pPr>
        <w:ind w:left="2620" w:right="859" w:hanging="360"/>
        <w:spacing w:after="0" w:line="320" w:lineRule="auto"/>
        <w:tabs>
          <w:tab w:leader="none" w:pos="2620" w:val="left"/>
        </w:tabs>
        <w:numPr>
          <w:ilvl w:val="0"/>
          <w:numId w:val="201"/>
        </w:numPr>
        <w:rPr>
          <w:rFonts w:ascii="Arial" w:cs="Arial" w:eastAsia="Arial" w:hAnsi="Arial"/>
          <w:sz w:val="10"/>
          <w:szCs w:val="10"/>
          <w:color w:val="auto"/>
        </w:rPr>
      </w:pPr>
      <w:r>
        <w:rPr>
          <w:rFonts w:ascii="Arial" w:cs="Arial" w:eastAsia="Arial" w:hAnsi="Arial"/>
          <w:sz w:val="10"/>
          <w:szCs w:val="10"/>
          <w:color w:val="auto"/>
        </w:rPr>
        <w:t>On October 13, 2020, we issued 800,000 bearer shares with a nominal value of €1.00 out of authorized capital to existing shareholders and institutional investors at a subscription price of €66.00 per ordinary share, raising gross proceeds of €52,800,000.00 million. The amount was initially placed by Hauck &amp; Aufhäuser Privatbankiers AG, Frankfurt am Main, during a pre-placement with institutional investors while full allocation was conditional on the completion of a subscription rights offering to existing shareholders. Through this offering, our share capital as registered with the commercial register was increased by €800,000.00 from €3,194,734.00 to €3,994,734.00.</w:t>
      </w:r>
    </w:p>
    <w:p>
      <w:pPr>
        <w:spacing w:after="0" w:line="34" w:lineRule="exact"/>
        <w:rPr>
          <w:rFonts w:ascii="Arial" w:cs="Arial" w:eastAsia="Arial" w:hAnsi="Arial"/>
          <w:sz w:val="10"/>
          <w:szCs w:val="10"/>
          <w:color w:val="auto"/>
        </w:rPr>
      </w:pPr>
    </w:p>
    <w:p>
      <w:pPr>
        <w:ind w:left="2620" w:hanging="360"/>
        <w:spacing w:after="0"/>
        <w:tabs>
          <w:tab w:leader="none" w:pos="262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259" w:name="page260"/>
    <w:bookmarkEnd w:id="2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offers, sales and issuances of the securities described in the preceding paragraphs were exempt from registration either (a) under Section 4(a)</w:t>
      </w:r>
    </w:p>
    <w:p>
      <w:pPr>
        <w:spacing w:after="0" w:line="38" w:lineRule="exact"/>
        <w:rPr>
          <w:sz w:val="20"/>
          <w:szCs w:val="20"/>
          <w:color w:val="auto"/>
        </w:rPr>
      </w:pPr>
    </w:p>
    <w:p>
      <w:pPr>
        <w:ind w:left="1980" w:right="899" w:hanging="8"/>
        <w:spacing w:after="0" w:line="284" w:lineRule="auto"/>
        <w:tabs>
          <w:tab w:leader="none" w:pos="2150" w:val="left"/>
        </w:tabs>
        <w:numPr>
          <w:ilvl w:val="0"/>
          <w:numId w:val="202"/>
        </w:numPr>
        <w:rPr>
          <w:rFonts w:ascii="Arial" w:cs="Arial" w:eastAsia="Arial" w:hAnsi="Arial"/>
          <w:sz w:val="11"/>
          <w:szCs w:val="11"/>
          <w:color w:val="auto"/>
        </w:rPr>
      </w:pPr>
      <w:r>
        <w:rPr>
          <w:rFonts w:ascii="Arial" w:cs="Arial" w:eastAsia="Arial" w:hAnsi="Arial"/>
          <w:sz w:val="11"/>
          <w:szCs w:val="11"/>
          <w:color w:val="auto"/>
        </w:rPr>
        <w:t>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and/or (c) under Regulation S promulgated under the Securities Act in that offers, sales and issuances were not made to persons in the United States and no directed selling efforts were made in the United States.</w:t>
      </w:r>
    </w:p>
    <w:p>
      <w:pPr>
        <w:spacing w:after="0" w:line="207"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Exhibits and Financial Statement Schedule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exhibits listed in the exhibit index, appearing elsewhere in this registration statement, have been filed as a part of this registration statement.</w:t>
      </w:r>
    </w:p>
    <w:p>
      <w:pPr>
        <w:spacing w:after="0" w:line="16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All schedules have been omitted since they are not required or are not applicable or the required information is shown in the audited consolidated financial statements or notes thereto.</w:t>
      </w:r>
    </w:p>
    <w:p>
      <w:pPr>
        <w:spacing w:after="0" w:line="210"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Undertakings</w:t>
      </w:r>
    </w:p>
    <w:p>
      <w:pPr>
        <w:spacing w:after="0" w:line="154" w:lineRule="exact"/>
        <w:rPr>
          <w:sz w:val="20"/>
          <w:szCs w:val="20"/>
          <w:color w:val="auto"/>
        </w:rPr>
      </w:pPr>
    </w:p>
    <w:p>
      <w:pPr>
        <w:ind w:left="1980" w:right="919" w:firstLine="286"/>
        <w:spacing w:after="0" w:line="323" w:lineRule="auto"/>
        <w:tabs>
          <w:tab w:leader="none" w:pos="2443" w:val="left"/>
        </w:tabs>
        <w:numPr>
          <w:ilvl w:val="1"/>
          <w:numId w:val="203"/>
        </w:numPr>
        <w:rPr>
          <w:rFonts w:ascii="Arial" w:cs="Arial" w:eastAsia="Arial" w:hAnsi="Arial"/>
          <w:sz w:val="11"/>
          <w:szCs w:val="11"/>
          <w:color w:val="auto"/>
        </w:rPr>
      </w:pPr>
      <w:r>
        <w:rPr>
          <w:rFonts w:ascii="Arial" w:cs="Arial" w:eastAsia="Arial" w:hAnsi="Arial"/>
          <w:sz w:val="11"/>
          <w:szCs w:val="11"/>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1" w:lineRule="exact"/>
        <w:rPr>
          <w:rFonts w:ascii="Arial" w:cs="Arial" w:eastAsia="Arial" w:hAnsi="Arial"/>
          <w:sz w:val="11"/>
          <w:szCs w:val="11"/>
          <w:color w:val="auto"/>
        </w:rPr>
      </w:pPr>
    </w:p>
    <w:p>
      <w:pPr>
        <w:ind w:left="1980" w:right="839" w:firstLine="286"/>
        <w:spacing w:after="0" w:line="280" w:lineRule="auto"/>
        <w:tabs>
          <w:tab w:leader="none" w:pos="2443" w:val="left"/>
        </w:tabs>
        <w:numPr>
          <w:ilvl w:val="1"/>
          <w:numId w:val="203"/>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5" w:lineRule="exact"/>
        <w:rPr>
          <w:rFonts w:ascii="Arial" w:cs="Arial" w:eastAsia="Arial" w:hAnsi="Arial"/>
          <w:sz w:val="11"/>
          <w:szCs w:val="11"/>
          <w:color w:val="auto"/>
        </w:rPr>
      </w:pPr>
    </w:p>
    <w:p>
      <w:pPr>
        <w:ind w:left="2440" w:hanging="174"/>
        <w:spacing w:after="0"/>
        <w:tabs>
          <w:tab w:leader="none" w:pos="244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87" w:lineRule="exact"/>
        <w:rPr>
          <w:rFonts w:ascii="Arial" w:cs="Arial" w:eastAsia="Arial" w:hAnsi="Arial"/>
          <w:sz w:val="12"/>
          <w:szCs w:val="12"/>
          <w:color w:val="auto"/>
        </w:rPr>
      </w:pPr>
    </w:p>
    <w:p>
      <w:pPr>
        <w:ind w:left="2620" w:right="879" w:hanging="360"/>
        <w:spacing w:after="0" w:line="298" w:lineRule="auto"/>
        <w:tabs>
          <w:tab w:leader="none" w:pos="262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1" w:lineRule="exact"/>
        <w:rPr>
          <w:rFonts w:ascii="Arial" w:cs="Arial" w:eastAsia="Arial" w:hAnsi="Arial"/>
          <w:sz w:val="11"/>
          <w:szCs w:val="11"/>
          <w:color w:val="auto"/>
        </w:rPr>
      </w:pPr>
    </w:p>
    <w:p>
      <w:pPr>
        <w:ind w:left="2620" w:right="939" w:hanging="360"/>
        <w:spacing w:after="0" w:line="263" w:lineRule="auto"/>
        <w:tabs>
          <w:tab w:leader="none" w:pos="262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II-ii</w:t>
      </w:r>
    </w:p>
    <w:p>
      <w:pPr>
        <w:sectPr>
          <w:pgSz w:w="11900" w:h="16838" w:orient="portrait"/>
          <w:cols w:equalWidth="0" w:num="1">
            <w:col w:w="10159"/>
          </w:cols>
          <w:pgMar w:left="300" w:top="354" w:right="1440" w:bottom="1440" w:gutter="0" w:footer="0" w:header="0"/>
        </w:sectPr>
      </w:pPr>
    </w:p>
    <w:bookmarkStart w:id="260" w:name="page261"/>
    <w:bookmarkEnd w:id="2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560" w:type="dxa"/>
            <w:vAlign w:val="bottom"/>
            <w:gridSpan w:val="5"/>
          </w:tcPr>
          <w:p>
            <w:pPr>
              <w:jc w:val="center"/>
              <w:ind w:right="2800"/>
              <w:spacing w:after="0"/>
              <w:rPr>
                <w:sz w:val="20"/>
                <w:szCs w:val="20"/>
                <w:color w:val="auto"/>
              </w:rPr>
            </w:pPr>
            <w:r>
              <w:rPr>
                <w:rFonts w:ascii="Arial" w:cs="Arial" w:eastAsia="Arial" w:hAnsi="Arial"/>
                <w:sz w:val="12"/>
                <w:szCs w:val="12"/>
                <w:b w:val="1"/>
                <w:bCs w:val="1"/>
                <w:color w:val="auto"/>
              </w:rPr>
              <w:t>EXHIBIT INDEX</w:t>
            </w:r>
          </w:p>
        </w:tc>
      </w:tr>
      <w:tr>
        <w:trPr>
          <w:trHeight w:val="247"/>
        </w:trPr>
        <w:tc>
          <w:tcPr>
            <w:tcW w:w="340" w:type="dxa"/>
            <w:vAlign w:val="bottom"/>
          </w:tcPr>
          <w:p>
            <w:pPr>
              <w:ind w:left="20"/>
              <w:spacing w:after="0"/>
              <w:rPr>
                <w:sz w:val="20"/>
                <w:szCs w:val="20"/>
                <w:color w:val="auto"/>
              </w:rPr>
            </w:pPr>
            <w:r>
              <w:rPr>
                <w:rFonts w:ascii="Arial" w:cs="Arial" w:eastAsia="Arial" w:hAnsi="Arial"/>
                <w:sz w:val="10"/>
                <w:szCs w:val="10"/>
                <w:b w:val="1"/>
                <w:bCs w:val="1"/>
                <w:color w:val="auto"/>
                <w:w w:val="89"/>
              </w:rPr>
              <w:t>Exhibit</w:t>
            </w:r>
          </w:p>
        </w:tc>
        <w:tc>
          <w:tcPr>
            <w:tcW w:w="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113"/>
        </w:trPr>
        <w:tc>
          <w:tcPr>
            <w:tcW w:w="3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4"/>
              </w:rPr>
              <w:t>Number</w:t>
            </w:r>
          </w:p>
        </w:tc>
        <w:tc>
          <w:tcPr>
            <w:tcW w:w="42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gridSpan w:val="3"/>
          </w:tcPr>
          <w:p>
            <w:pPr>
              <w:ind w:left="160"/>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205"/>
        </w:trPr>
        <w:tc>
          <w:tcPr>
            <w:tcW w:w="340" w:type="dxa"/>
            <w:vAlign w:val="bottom"/>
          </w:tcPr>
          <w:p>
            <w:pPr>
              <w:spacing w:after="0"/>
              <w:rPr>
                <w:sz w:val="20"/>
                <w:szCs w:val="20"/>
                <w:color w:val="auto"/>
              </w:rPr>
            </w:pPr>
            <w:r>
              <w:rPr>
                <w:rFonts w:ascii="Arial" w:cs="Arial" w:eastAsia="Arial" w:hAnsi="Arial"/>
                <w:sz w:val="12"/>
                <w:szCs w:val="12"/>
                <w:color w:val="auto"/>
              </w:rPr>
              <w:t>1.1*</w:t>
            </w:r>
          </w:p>
        </w:tc>
        <w:tc>
          <w:tcPr>
            <w:tcW w:w="420" w:type="dxa"/>
            <w:vAlign w:val="bottom"/>
          </w:tcPr>
          <w:p>
            <w:pPr>
              <w:spacing w:after="0"/>
              <w:rPr>
                <w:sz w:val="17"/>
                <w:szCs w:val="17"/>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rPr>
              <w:t>Form of Underwriting Agreement</w:t>
            </w:r>
          </w:p>
        </w:tc>
      </w:tr>
      <w:tr>
        <w:trPr>
          <w:trHeight w:val="189"/>
        </w:trPr>
        <w:tc>
          <w:tcPr>
            <w:tcW w:w="340" w:type="dxa"/>
            <w:vAlign w:val="bottom"/>
          </w:tcPr>
          <w:p>
            <w:pPr>
              <w:spacing w:after="0"/>
              <w:rPr>
                <w:sz w:val="20"/>
                <w:szCs w:val="20"/>
                <w:color w:val="auto"/>
              </w:rPr>
            </w:pPr>
            <w:r>
              <w:rPr>
                <w:rFonts w:ascii="Arial" w:cs="Arial" w:eastAsia="Arial" w:hAnsi="Arial"/>
                <w:sz w:val="12"/>
                <w:szCs w:val="12"/>
                <w:color w:val="auto"/>
              </w:rPr>
              <w:t>3.1</w:t>
            </w:r>
          </w:p>
        </w:tc>
        <w:tc>
          <w:tcPr>
            <w:tcW w:w="420" w:type="dxa"/>
            <w:vAlign w:val="bottom"/>
          </w:tcPr>
          <w:p>
            <w:pPr>
              <w:spacing w:after="0"/>
              <w:rPr>
                <w:sz w:val="16"/>
                <w:szCs w:val="16"/>
                <w:color w:val="auto"/>
              </w:rPr>
            </w:pPr>
          </w:p>
        </w:tc>
        <w:tc>
          <w:tcPr>
            <w:tcW w:w="6580" w:type="dxa"/>
            <w:vAlign w:val="bottom"/>
            <w:gridSpan w:val="7"/>
          </w:tcPr>
          <w:p>
            <w:pPr>
              <w:spacing w:after="0"/>
              <w:rPr>
                <w:rFonts w:ascii="Arial" w:cs="Arial" w:eastAsia="Arial" w:hAnsi="Arial"/>
                <w:sz w:val="12"/>
                <w:szCs w:val="12"/>
                <w:color w:val="0000EE"/>
              </w:rPr>
            </w:pPr>
            <w:hyperlink w:anchor="page264">
              <w:r>
                <w:rPr>
                  <w:rFonts w:ascii="Arial" w:cs="Arial" w:eastAsia="Arial" w:hAnsi="Arial"/>
                  <w:sz w:val="12"/>
                  <w:szCs w:val="12"/>
                  <w:color w:val="0000EE"/>
                </w:rPr>
                <w:t>Articles of Association of Mynaric AG (translated into English)</w:t>
              </w:r>
            </w:hyperlink>
          </w:p>
        </w:tc>
      </w:tr>
      <w:tr>
        <w:trPr>
          <w:trHeight w:val="223"/>
        </w:trPr>
        <w:tc>
          <w:tcPr>
            <w:tcW w:w="340" w:type="dxa"/>
            <w:vAlign w:val="bottom"/>
          </w:tcPr>
          <w:p>
            <w:pPr>
              <w:spacing w:after="0"/>
              <w:rPr>
                <w:sz w:val="20"/>
                <w:szCs w:val="20"/>
                <w:color w:val="auto"/>
              </w:rPr>
            </w:pPr>
            <w:r>
              <w:rPr>
                <w:rFonts w:ascii="Arial" w:cs="Arial" w:eastAsia="Arial" w:hAnsi="Arial"/>
                <w:sz w:val="12"/>
                <w:szCs w:val="12"/>
                <w:color w:val="auto"/>
              </w:rPr>
              <w:t>3.2*</w:t>
            </w:r>
          </w:p>
        </w:tc>
        <w:tc>
          <w:tcPr>
            <w:tcW w:w="420" w:type="dxa"/>
            <w:vAlign w:val="bottom"/>
          </w:tcPr>
          <w:p>
            <w:pPr>
              <w:spacing w:after="0"/>
              <w:rPr>
                <w:sz w:val="19"/>
                <w:szCs w:val="19"/>
                <w:color w:val="auto"/>
              </w:rPr>
            </w:pPr>
          </w:p>
        </w:tc>
        <w:tc>
          <w:tcPr>
            <w:tcW w:w="3060" w:type="dxa"/>
            <w:vAlign w:val="bottom"/>
            <w:tcBorders>
              <w:top w:val="single" w:sz="8" w:color="0000EE"/>
            </w:tcBorders>
            <w:gridSpan w:val="5"/>
          </w:tcPr>
          <w:p>
            <w:pPr>
              <w:spacing w:after="0"/>
              <w:rPr>
                <w:sz w:val="20"/>
                <w:szCs w:val="20"/>
                <w:color w:val="auto"/>
              </w:rPr>
            </w:pPr>
            <w:r>
              <w:rPr>
                <w:rFonts w:ascii="Arial" w:cs="Arial" w:eastAsia="Arial" w:hAnsi="Arial"/>
                <w:sz w:val="12"/>
                <w:szCs w:val="12"/>
                <w:color w:val="auto"/>
                <w:w w:val="93"/>
              </w:rPr>
              <w:t>Rules of Procedure of the Management Board of Mynaric AG</w:t>
            </w:r>
          </w:p>
        </w:tc>
        <w:tc>
          <w:tcPr>
            <w:tcW w:w="3520" w:type="dxa"/>
            <w:vAlign w:val="bottom"/>
            <w:gridSpan w:val="2"/>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3.3*</w:t>
            </w:r>
          </w:p>
        </w:tc>
        <w:tc>
          <w:tcPr>
            <w:tcW w:w="420" w:type="dxa"/>
            <w:vAlign w:val="bottom"/>
          </w:tcPr>
          <w:p>
            <w:pPr>
              <w:spacing w:after="0"/>
              <w:rPr>
                <w:sz w:val="18"/>
                <w:szCs w:val="18"/>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rPr>
              <w:t>Rules of Procedure of the Supervisory Board of Mynaric AG</w:t>
            </w:r>
          </w:p>
        </w:tc>
      </w:tr>
      <w:tr>
        <w:trPr>
          <w:trHeight w:val="207"/>
        </w:trPr>
        <w:tc>
          <w:tcPr>
            <w:tcW w:w="340" w:type="dxa"/>
            <w:vAlign w:val="bottom"/>
          </w:tcPr>
          <w:p>
            <w:pPr>
              <w:spacing w:after="0"/>
              <w:rPr>
                <w:sz w:val="20"/>
                <w:szCs w:val="20"/>
                <w:color w:val="auto"/>
              </w:rPr>
            </w:pPr>
            <w:r>
              <w:rPr>
                <w:rFonts w:ascii="Arial" w:cs="Arial" w:eastAsia="Arial" w:hAnsi="Arial"/>
                <w:sz w:val="12"/>
                <w:szCs w:val="12"/>
                <w:color w:val="auto"/>
              </w:rPr>
              <w:t>4.1*</w:t>
            </w:r>
          </w:p>
        </w:tc>
        <w:tc>
          <w:tcPr>
            <w:tcW w:w="420" w:type="dxa"/>
            <w:vAlign w:val="bottom"/>
          </w:tcPr>
          <w:p>
            <w:pPr>
              <w:spacing w:after="0"/>
              <w:rPr>
                <w:sz w:val="18"/>
                <w:szCs w:val="18"/>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w w:val="92"/>
              </w:rPr>
              <w:t>Form of Deposit Agreement between the Registrant, the depositary and holders and beneficial owners of American Depositary Shares</w:t>
            </w:r>
          </w:p>
        </w:tc>
      </w:tr>
      <w:tr>
        <w:trPr>
          <w:trHeight w:val="153"/>
        </w:trPr>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rPr>
              <w:t>issued thereunder</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4.2*</w:t>
            </w:r>
          </w:p>
        </w:tc>
        <w:tc>
          <w:tcPr>
            <w:tcW w:w="420" w:type="dxa"/>
            <w:vAlign w:val="bottom"/>
          </w:tcPr>
          <w:p>
            <w:pPr>
              <w:spacing w:after="0"/>
              <w:rPr>
                <w:sz w:val="18"/>
                <w:szCs w:val="18"/>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rPr>
              <w:t>Form of American Depositary Receipt evidencing American Depositary Shares (included in Exhibit 4.1)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5.1*</w:t>
            </w:r>
          </w:p>
        </w:tc>
        <w:tc>
          <w:tcPr>
            <w:tcW w:w="420" w:type="dxa"/>
            <w:vAlign w:val="bottom"/>
          </w:tcPr>
          <w:p>
            <w:pPr>
              <w:spacing w:after="0"/>
              <w:rPr>
                <w:sz w:val="18"/>
                <w:szCs w:val="18"/>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rPr>
              <w:t>Opinion of Sullivan &amp; Cromwell LLP as to the validity of the ordinary shares</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8.1*</w:t>
            </w:r>
          </w:p>
        </w:tc>
        <w:tc>
          <w:tcPr>
            <w:tcW w:w="420" w:type="dxa"/>
            <w:vAlign w:val="bottom"/>
          </w:tcPr>
          <w:p>
            <w:pPr>
              <w:spacing w:after="0"/>
              <w:rPr>
                <w:sz w:val="18"/>
                <w:szCs w:val="18"/>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rPr>
              <w:t>Opinion of Sullivan &amp; Cromwell LLP as to U.S. tax matters</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8.2*</w:t>
            </w:r>
          </w:p>
        </w:tc>
        <w:tc>
          <w:tcPr>
            <w:tcW w:w="420" w:type="dxa"/>
            <w:vAlign w:val="bottom"/>
          </w:tcPr>
          <w:p>
            <w:pPr>
              <w:spacing w:after="0"/>
              <w:rPr>
                <w:sz w:val="18"/>
                <w:szCs w:val="18"/>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rPr>
              <w:t>Opinion of Sullivan &amp; Cromwell LLP as to German tax matters (included in Exhibit 5.1)</w:t>
            </w:r>
          </w:p>
        </w:tc>
      </w:tr>
      <w:tr>
        <w:trPr>
          <w:trHeight w:val="189"/>
        </w:trPr>
        <w:tc>
          <w:tcPr>
            <w:tcW w:w="340" w:type="dxa"/>
            <w:vAlign w:val="bottom"/>
          </w:tcPr>
          <w:p>
            <w:pPr>
              <w:spacing w:after="0"/>
              <w:rPr>
                <w:sz w:val="20"/>
                <w:szCs w:val="20"/>
                <w:color w:val="auto"/>
              </w:rPr>
            </w:pPr>
            <w:r>
              <w:rPr>
                <w:rFonts w:ascii="Arial" w:cs="Arial" w:eastAsia="Arial" w:hAnsi="Arial"/>
                <w:sz w:val="12"/>
                <w:szCs w:val="12"/>
                <w:color w:val="auto"/>
              </w:rPr>
              <w:t>10.1</w:t>
            </w:r>
          </w:p>
        </w:tc>
        <w:tc>
          <w:tcPr>
            <w:tcW w:w="420" w:type="dxa"/>
            <w:vAlign w:val="bottom"/>
          </w:tcPr>
          <w:p>
            <w:pPr>
              <w:spacing w:after="0"/>
              <w:rPr>
                <w:sz w:val="16"/>
                <w:szCs w:val="16"/>
                <w:color w:val="auto"/>
              </w:rPr>
            </w:pPr>
          </w:p>
        </w:tc>
        <w:tc>
          <w:tcPr>
            <w:tcW w:w="2020" w:type="dxa"/>
            <w:vAlign w:val="bottom"/>
            <w:tcBorders>
              <w:bottom w:val="single" w:sz="8" w:color="0000EE"/>
            </w:tcBorders>
            <w:gridSpan w:val="2"/>
          </w:tcPr>
          <w:p>
            <w:pPr>
              <w:spacing w:after="0"/>
              <w:rPr>
                <w:rFonts w:ascii="Arial" w:cs="Arial" w:eastAsia="Arial" w:hAnsi="Arial"/>
                <w:sz w:val="12"/>
                <w:szCs w:val="12"/>
                <w:color w:val="0000EE"/>
                <w:w w:val="91"/>
              </w:rPr>
            </w:pPr>
            <w:hyperlink w:anchor="page275">
              <w:r>
                <w:rPr>
                  <w:rFonts w:ascii="Arial" w:cs="Arial" w:eastAsia="Arial" w:hAnsi="Arial"/>
                  <w:sz w:val="12"/>
                  <w:szCs w:val="12"/>
                  <w:color w:val="0000EE"/>
                  <w:w w:val="91"/>
                </w:rPr>
                <w:t>Mynaric AG, Stock Option Program 2019</w:t>
              </w:r>
            </w:hyperlink>
          </w:p>
        </w:tc>
        <w:tc>
          <w:tcPr>
            <w:tcW w:w="4560" w:type="dxa"/>
            <w:vAlign w:val="bottom"/>
            <w:gridSpan w:val="5"/>
          </w:tcPr>
          <w:p>
            <w:pPr>
              <w:spacing w:after="0"/>
              <w:rPr>
                <w:sz w:val="16"/>
                <w:szCs w:val="16"/>
                <w:color w:val="auto"/>
              </w:rPr>
            </w:pPr>
          </w:p>
        </w:tc>
      </w:tr>
      <w:tr>
        <w:trPr>
          <w:trHeight w:val="196"/>
        </w:trPr>
        <w:tc>
          <w:tcPr>
            <w:tcW w:w="340" w:type="dxa"/>
            <w:vAlign w:val="bottom"/>
          </w:tcPr>
          <w:p>
            <w:pPr>
              <w:spacing w:after="0"/>
              <w:rPr>
                <w:sz w:val="20"/>
                <w:szCs w:val="20"/>
                <w:color w:val="auto"/>
              </w:rPr>
            </w:pPr>
            <w:r>
              <w:rPr>
                <w:rFonts w:ascii="Arial" w:cs="Arial" w:eastAsia="Arial" w:hAnsi="Arial"/>
                <w:sz w:val="12"/>
                <w:szCs w:val="12"/>
                <w:color w:val="auto"/>
              </w:rPr>
              <w:t>10.2</w:t>
            </w:r>
          </w:p>
        </w:tc>
        <w:tc>
          <w:tcPr>
            <w:tcW w:w="420" w:type="dxa"/>
            <w:vAlign w:val="bottom"/>
          </w:tcPr>
          <w:p>
            <w:pPr>
              <w:spacing w:after="0"/>
              <w:rPr>
                <w:sz w:val="17"/>
                <w:szCs w:val="17"/>
                <w:color w:val="auto"/>
              </w:rPr>
            </w:pPr>
          </w:p>
        </w:tc>
        <w:tc>
          <w:tcPr>
            <w:tcW w:w="2020" w:type="dxa"/>
            <w:vAlign w:val="bottom"/>
            <w:tcBorders>
              <w:bottom w:val="single" w:sz="8" w:color="0000EE"/>
            </w:tcBorders>
            <w:gridSpan w:val="2"/>
          </w:tcPr>
          <w:p>
            <w:pPr>
              <w:spacing w:after="0"/>
              <w:rPr>
                <w:rFonts w:ascii="Arial" w:cs="Arial" w:eastAsia="Arial" w:hAnsi="Arial"/>
                <w:sz w:val="12"/>
                <w:szCs w:val="12"/>
                <w:color w:val="0000EE"/>
                <w:w w:val="91"/>
              </w:rPr>
            </w:pPr>
            <w:hyperlink w:anchor="page301">
              <w:r>
                <w:rPr>
                  <w:rFonts w:ascii="Arial" w:cs="Arial" w:eastAsia="Arial" w:hAnsi="Arial"/>
                  <w:sz w:val="12"/>
                  <w:szCs w:val="12"/>
                  <w:color w:val="0000EE"/>
                  <w:w w:val="91"/>
                </w:rPr>
                <w:t>Mynaric AG, Stock Option Program 2020</w:t>
              </w:r>
            </w:hyperlink>
          </w:p>
        </w:tc>
        <w:tc>
          <w:tcPr>
            <w:tcW w:w="4560" w:type="dxa"/>
            <w:vAlign w:val="bottom"/>
            <w:gridSpan w:val="5"/>
          </w:tcPr>
          <w:p>
            <w:pPr>
              <w:spacing w:after="0"/>
              <w:rPr>
                <w:sz w:val="17"/>
                <w:szCs w:val="17"/>
                <w:color w:val="auto"/>
              </w:rPr>
            </w:pPr>
          </w:p>
        </w:tc>
      </w:tr>
      <w:tr>
        <w:trPr>
          <w:trHeight w:val="196"/>
        </w:trPr>
        <w:tc>
          <w:tcPr>
            <w:tcW w:w="340" w:type="dxa"/>
            <w:vAlign w:val="bottom"/>
          </w:tcPr>
          <w:p>
            <w:pPr>
              <w:spacing w:after="0"/>
              <w:rPr>
                <w:sz w:val="20"/>
                <w:szCs w:val="20"/>
                <w:color w:val="auto"/>
              </w:rPr>
            </w:pPr>
            <w:r>
              <w:rPr>
                <w:rFonts w:ascii="Arial" w:cs="Arial" w:eastAsia="Arial" w:hAnsi="Arial"/>
                <w:sz w:val="12"/>
                <w:szCs w:val="12"/>
                <w:color w:val="auto"/>
              </w:rPr>
              <w:t>10.3</w:t>
            </w:r>
          </w:p>
        </w:tc>
        <w:tc>
          <w:tcPr>
            <w:tcW w:w="420" w:type="dxa"/>
            <w:vAlign w:val="bottom"/>
          </w:tcPr>
          <w:p>
            <w:pPr>
              <w:spacing w:after="0"/>
              <w:rPr>
                <w:sz w:val="17"/>
                <w:szCs w:val="17"/>
                <w:color w:val="auto"/>
              </w:rPr>
            </w:pPr>
          </w:p>
        </w:tc>
        <w:tc>
          <w:tcPr>
            <w:tcW w:w="2020" w:type="dxa"/>
            <w:vAlign w:val="bottom"/>
            <w:tcBorders>
              <w:bottom w:val="single" w:sz="8" w:color="0000EE"/>
            </w:tcBorders>
            <w:gridSpan w:val="2"/>
          </w:tcPr>
          <w:p>
            <w:pPr>
              <w:spacing w:after="0"/>
              <w:rPr>
                <w:rFonts w:ascii="Arial" w:cs="Arial" w:eastAsia="Arial" w:hAnsi="Arial"/>
                <w:sz w:val="12"/>
                <w:szCs w:val="12"/>
                <w:color w:val="0000EE"/>
                <w:w w:val="91"/>
              </w:rPr>
            </w:pPr>
            <w:hyperlink w:anchor="page318">
              <w:r>
                <w:rPr>
                  <w:rFonts w:ascii="Arial" w:cs="Arial" w:eastAsia="Arial" w:hAnsi="Arial"/>
                  <w:sz w:val="12"/>
                  <w:szCs w:val="12"/>
                  <w:color w:val="0000EE"/>
                  <w:w w:val="91"/>
                </w:rPr>
                <w:t>Mynaric AG, Stock Option Program 2021</w:t>
              </w:r>
            </w:hyperlink>
          </w:p>
        </w:tc>
        <w:tc>
          <w:tcPr>
            <w:tcW w:w="4560" w:type="dxa"/>
            <w:vAlign w:val="bottom"/>
            <w:gridSpan w:val="5"/>
          </w:tcPr>
          <w:p>
            <w:pPr>
              <w:spacing w:after="0"/>
              <w:rPr>
                <w:sz w:val="17"/>
                <w:szCs w:val="17"/>
                <w:color w:val="auto"/>
              </w:rPr>
            </w:pPr>
          </w:p>
        </w:tc>
      </w:tr>
      <w:tr>
        <w:trPr>
          <w:trHeight w:val="196"/>
        </w:trPr>
        <w:tc>
          <w:tcPr>
            <w:tcW w:w="340" w:type="dxa"/>
            <w:vAlign w:val="bottom"/>
          </w:tcPr>
          <w:p>
            <w:pPr>
              <w:spacing w:after="0"/>
              <w:rPr>
                <w:sz w:val="20"/>
                <w:szCs w:val="20"/>
                <w:color w:val="auto"/>
              </w:rPr>
            </w:pPr>
            <w:r>
              <w:rPr>
                <w:rFonts w:ascii="Arial" w:cs="Arial" w:eastAsia="Arial" w:hAnsi="Arial"/>
                <w:sz w:val="12"/>
                <w:szCs w:val="12"/>
                <w:color w:val="auto"/>
              </w:rPr>
              <w:t>10.4</w:t>
            </w:r>
          </w:p>
        </w:tc>
        <w:tc>
          <w:tcPr>
            <w:tcW w:w="4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rPr>
                <w:rFonts w:ascii="Arial" w:cs="Arial" w:eastAsia="Arial" w:hAnsi="Arial"/>
                <w:sz w:val="12"/>
                <w:szCs w:val="12"/>
                <w:color w:val="0000EE"/>
                <w:w w:val="91"/>
              </w:rPr>
            </w:pPr>
            <w:hyperlink w:anchor="page336">
              <w:r>
                <w:rPr>
                  <w:rFonts w:ascii="Arial" w:cs="Arial" w:eastAsia="Arial" w:hAnsi="Arial"/>
                  <w:sz w:val="12"/>
                  <w:szCs w:val="12"/>
                  <w:color w:val="0000EE"/>
                  <w:w w:val="91"/>
                </w:rPr>
                <w:t>Mynaric AG, Restricted Stock Units Program 2021</w:t>
              </w:r>
            </w:hyperlink>
          </w:p>
        </w:tc>
        <w:tc>
          <w:tcPr>
            <w:tcW w:w="4120" w:type="dxa"/>
            <w:vAlign w:val="bottom"/>
            <w:gridSpan w:val="4"/>
          </w:tcPr>
          <w:p>
            <w:pPr>
              <w:spacing w:after="0"/>
              <w:rPr>
                <w:sz w:val="17"/>
                <w:szCs w:val="17"/>
                <w:color w:val="auto"/>
              </w:rPr>
            </w:pPr>
          </w:p>
        </w:tc>
      </w:tr>
      <w:tr>
        <w:trPr>
          <w:trHeight w:val="196"/>
        </w:trPr>
        <w:tc>
          <w:tcPr>
            <w:tcW w:w="340" w:type="dxa"/>
            <w:vAlign w:val="bottom"/>
          </w:tcPr>
          <w:p>
            <w:pPr>
              <w:spacing w:after="0"/>
              <w:rPr>
                <w:sz w:val="20"/>
                <w:szCs w:val="20"/>
                <w:color w:val="auto"/>
              </w:rPr>
            </w:pPr>
            <w:r>
              <w:rPr>
                <w:rFonts w:ascii="Arial" w:cs="Arial" w:eastAsia="Arial" w:hAnsi="Arial"/>
                <w:sz w:val="12"/>
                <w:szCs w:val="12"/>
                <w:color w:val="auto"/>
              </w:rPr>
              <w:t>21.1</w:t>
            </w:r>
          </w:p>
        </w:tc>
        <w:tc>
          <w:tcPr>
            <w:tcW w:w="420" w:type="dxa"/>
            <w:vAlign w:val="bottom"/>
          </w:tcPr>
          <w:p>
            <w:pPr>
              <w:spacing w:after="0"/>
              <w:rPr>
                <w:sz w:val="17"/>
                <w:szCs w:val="17"/>
                <w:color w:val="auto"/>
              </w:rPr>
            </w:pPr>
          </w:p>
        </w:tc>
        <w:tc>
          <w:tcPr>
            <w:tcW w:w="1760" w:type="dxa"/>
            <w:vAlign w:val="bottom"/>
            <w:tcBorders>
              <w:bottom w:val="single" w:sz="8" w:color="0000EE"/>
            </w:tcBorders>
          </w:tcPr>
          <w:p>
            <w:pPr>
              <w:spacing w:after="0"/>
              <w:rPr>
                <w:rFonts w:ascii="Arial" w:cs="Arial" w:eastAsia="Arial" w:hAnsi="Arial"/>
                <w:sz w:val="12"/>
                <w:szCs w:val="12"/>
                <w:color w:val="0000EE"/>
                <w:w w:val="90"/>
              </w:rPr>
            </w:pPr>
            <w:hyperlink w:anchor="page358">
              <w:r>
                <w:rPr>
                  <w:rFonts w:ascii="Arial" w:cs="Arial" w:eastAsia="Arial" w:hAnsi="Arial"/>
                  <w:sz w:val="12"/>
                  <w:szCs w:val="12"/>
                  <w:color w:val="0000EE"/>
                  <w:w w:val="90"/>
                </w:rPr>
                <w:t>List of Subsidiaries of the Registrant</w:t>
              </w:r>
            </w:hyperlink>
          </w:p>
        </w:tc>
        <w:tc>
          <w:tcPr>
            <w:tcW w:w="4820" w:type="dxa"/>
            <w:vAlign w:val="bottom"/>
            <w:gridSpan w:val="6"/>
          </w:tcPr>
          <w:p>
            <w:pPr>
              <w:spacing w:after="0"/>
              <w:rPr>
                <w:sz w:val="17"/>
                <w:szCs w:val="17"/>
                <w:color w:val="auto"/>
              </w:rPr>
            </w:pPr>
          </w:p>
        </w:tc>
      </w:tr>
      <w:tr>
        <w:trPr>
          <w:trHeight w:val="196"/>
        </w:trPr>
        <w:tc>
          <w:tcPr>
            <w:tcW w:w="340" w:type="dxa"/>
            <w:vAlign w:val="bottom"/>
          </w:tcPr>
          <w:p>
            <w:pPr>
              <w:spacing w:after="0"/>
              <w:rPr>
                <w:sz w:val="20"/>
                <w:szCs w:val="20"/>
                <w:color w:val="auto"/>
              </w:rPr>
            </w:pPr>
            <w:r>
              <w:rPr>
                <w:rFonts w:ascii="Arial" w:cs="Arial" w:eastAsia="Arial" w:hAnsi="Arial"/>
                <w:sz w:val="12"/>
                <w:szCs w:val="12"/>
                <w:color w:val="auto"/>
              </w:rPr>
              <w:t>23.1</w:t>
            </w:r>
          </w:p>
        </w:tc>
        <w:tc>
          <w:tcPr>
            <w:tcW w:w="42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rPr>
                <w:rFonts w:ascii="Arial" w:cs="Arial" w:eastAsia="Arial" w:hAnsi="Arial"/>
                <w:sz w:val="12"/>
                <w:szCs w:val="12"/>
                <w:color w:val="0000EE"/>
                <w:w w:val="91"/>
              </w:rPr>
            </w:pPr>
            <w:hyperlink w:anchor="page359">
              <w:r>
                <w:rPr>
                  <w:rFonts w:ascii="Arial" w:cs="Arial" w:eastAsia="Arial" w:hAnsi="Arial"/>
                  <w:sz w:val="12"/>
                  <w:szCs w:val="12"/>
                  <w:color w:val="0000EE"/>
                  <w:w w:val="91"/>
                </w:rPr>
                <w:t>Consent of KPMG AG Wirtschaftsprüfungsgesellschaft</w:t>
              </w:r>
            </w:hyperlink>
          </w:p>
        </w:tc>
        <w:tc>
          <w:tcPr>
            <w:tcW w:w="3900" w:type="dxa"/>
            <w:vAlign w:val="bottom"/>
            <w:gridSpan w:val="3"/>
          </w:tcPr>
          <w:p>
            <w:pPr>
              <w:spacing w:after="0"/>
              <w:rPr>
                <w:sz w:val="17"/>
                <w:szCs w:val="17"/>
                <w:color w:val="auto"/>
              </w:rPr>
            </w:pPr>
          </w:p>
        </w:tc>
      </w:tr>
      <w:tr>
        <w:trPr>
          <w:trHeight w:val="223"/>
        </w:trPr>
        <w:tc>
          <w:tcPr>
            <w:tcW w:w="340" w:type="dxa"/>
            <w:vAlign w:val="bottom"/>
          </w:tcPr>
          <w:p>
            <w:pPr>
              <w:spacing w:after="0"/>
              <w:rPr>
                <w:sz w:val="20"/>
                <w:szCs w:val="20"/>
                <w:color w:val="auto"/>
              </w:rPr>
            </w:pPr>
            <w:r>
              <w:rPr>
                <w:rFonts w:ascii="Arial" w:cs="Arial" w:eastAsia="Arial" w:hAnsi="Arial"/>
                <w:sz w:val="12"/>
                <w:szCs w:val="12"/>
                <w:color w:val="auto"/>
              </w:rPr>
              <w:t>23.2*</w:t>
            </w:r>
          </w:p>
        </w:tc>
        <w:tc>
          <w:tcPr>
            <w:tcW w:w="420" w:type="dxa"/>
            <w:vAlign w:val="bottom"/>
          </w:tcPr>
          <w:p>
            <w:pPr>
              <w:spacing w:after="0"/>
              <w:rPr>
                <w:sz w:val="19"/>
                <w:szCs w:val="19"/>
                <w:color w:val="auto"/>
              </w:rPr>
            </w:pPr>
          </w:p>
        </w:tc>
        <w:tc>
          <w:tcPr>
            <w:tcW w:w="6580" w:type="dxa"/>
            <w:vAlign w:val="bottom"/>
            <w:gridSpan w:val="7"/>
          </w:tcPr>
          <w:p>
            <w:pPr>
              <w:spacing w:after="0"/>
              <w:rPr>
                <w:sz w:val="20"/>
                <w:szCs w:val="20"/>
                <w:color w:val="auto"/>
              </w:rPr>
            </w:pPr>
            <w:r>
              <w:rPr>
                <w:rFonts w:ascii="Arial" w:cs="Arial" w:eastAsia="Arial" w:hAnsi="Arial"/>
                <w:sz w:val="12"/>
                <w:szCs w:val="12"/>
                <w:color w:val="auto"/>
              </w:rPr>
              <w:t>Consent of Sullivan &amp; Cromwell LLP (included in Exhibits 5.1, 8.1 and 8.2)</w:t>
            </w:r>
          </w:p>
        </w:tc>
      </w:tr>
      <w:tr>
        <w:trPr>
          <w:trHeight w:val="189"/>
        </w:trPr>
        <w:tc>
          <w:tcPr>
            <w:tcW w:w="340" w:type="dxa"/>
            <w:vAlign w:val="bottom"/>
          </w:tcPr>
          <w:p>
            <w:pPr>
              <w:spacing w:after="0"/>
              <w:rPr>
                <w:sz w:val="20"/>
                <w:szCs w:val="20"/>
                <w:color w:val="auto"/>
              </w:rPr>
            </w:pPr>
            <w:r>
              <w:rPr>
                <w:rFonts w:ascii="Arial" w:cs="Arial" w:eastAsia="Arial" w:hAnsi="Arial"/>
                <w:sz w:val="12"/>
                <w:szCs w:val="12"/>
                <w:color w:val="auto"/>
              </w:rPr>
              <w:t>24.1</w:t>
            </w:r>
          </w:p>
        </w:tc>
        <w:tc>
          <w:tcPr>
            <w:tcW w:w="420" w:type="dxa"/>
            <w:vAlign w:val="bottom"/>
          </w:tcPr>
          <w:p>
            <w:pPr>
              <w:spacing w:after="0"/>
              <w:rPr>
                <w:sz w:val="16"/>
                <w:szCs w:val="16"/>
                <w:color w:val="auto"/>
              </w:rPr>
            </w:pPr>
          </w:p>
        </w:tc>
        <w:tc>
          <w:tcPr>
            <w:tcW w:w="6580" w:type="dxa"/>
            <w:vAlign w:val="bottom"/>
            <w:gridSpan w:val="7"/>
          </w:tcPr>
          <w:p>
            <w:pPr>
              <w:spacing w:after="0"/>
              <w:rPr>
                <w:rFonts w:ascii="Arial" w:cs="Arial" w:eastAsia="Arial" w:hAnsi="Arial"/>
                <w:sz w:val="12"/>
                <w:szCs w:val="12"/>
                <w:color w:val="0000EE"/>
              </w:rPr>
            </w:pPr>
            <w:hyperlink w:anchor="page262">
              <w:r>
                <w:rPr>
                  <w:rFonts w:ascii="Arial" w:cs="Arial" w:eastAsia="Arial" w:hAnsi="Arial"/>
                  <w:sz w:val="12"/>
                  <w:szCs w:val="12"/>
                  <w:color w:val="0000EE"/>
                </w:rPr>
                <w:t>Powers of Attorney (included on signature page to the registration statement)</w:t>
              </w:r>
            </w:hyperlink>
          </w:p>
        </w:tc>
      </w:tr>
      <w:tr>
        <w:trPr>
          <w:trHeight w:val="223"/>
        </w:trPr>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00" w:type="dxa"/>
            <w:vAlign w:val="bottom"/>
            <w:tcBorders>
              <w:top w:val="single" w:sz="8" w:color="0000EE"/>
            </w:tcBorders>
            <w:gridSpan w:val="6"/>
          </w:tcPr>
          <w:p>
            <w:pPr>
              <w:spacing w:after="0"/>
              <w:rPr>
                <w:sz w:val="20"/>
                <w:szCs w:val="20"/>
                <w:color w:val="auto"/>
              </w:rPr>
            </w:pPr>
            <w:r>
              <w:rPr>
                <w:rFonts w:ascii="Arial" w:cs="Arial" w:eastAsia="Arial" w:hAnsi="Arial"/>
                <w:sz w:val="12"/>
                <w:szCs w:val="12"/>
                <w:color w:val="auto"/>
              </w:rPr>
              <w:t>* To be filed by amendment.</w:t>
            </w:r>
          </w:p>
        </w:tc>
        <w:tc>
          <w:tcPr>
            <w:tcW w:w="288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00" w:type="dxa"/>
            <w:vAlign w:val="bottom"/>
            <w:gridSpan w:val="3"/>
          </w:tcPr>
          <w:p>
            <w:pPr>
              <w:jc w:val="center"/>
              <w:ind w:right="3440"/>
              <w:spacing w:after="0"/>
              <w:rPr>
                <w:sz w:val="20"/>
                <w:szCs w:val="20"/>
                <w:color w:val="auto"/>
              </w:rPr>
            </w:pPr>
            <w:r>
              <w:rPr>
                <w:rFonts w:ascii="Arial" w:cs="Arial" w:eastAsia="Arial" w:hAnsi="Arial"/>
                <w:sz w:val="12"/>
                <w:szCs w:val="12"/>
                <w:color w:val="auto"/>
              </w:rPr>
              <w:t>II-iii</w:t>
            </w:r>
          </w:p>
        </w:tc>
      </w:tr>
    </w:tbl>
    <w:p>
      <w:pPr>
        <w:sectPr>
          <w:pgSz w:w="11900" w:h="16838" w:orient="portrait"/>
          <w:cols w:equalWidth="0" w:num="1">
            <w:col w:w="10159"/>
          </w:cols>
          <w:pgMar w:left="300" w:top="354" w:right="1440" w:bottom="1440" w:gutter="0" w:footer="0" w:header="0"/>
        </w:sectPr>
      </w:pPr>
    </w:p>
    <w:bookmarkStart w:id="261" w:name="page262"/>
    <w:bookmarkEnd w:id="2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Munich, the Federal Republic of Germany on October 19, 2021.</w:t>
      </w:r>
    </w:p>
    <w:p>
      <w:pPr>
        <w:spacing w:after="0" w:line="136"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Mynaric AG</w:t>
      </w:r>
    </w:p>
    <w:p>
      <w:pPr>
        <w:spacing w:after="0" w:line="154"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9525</wp:posOffset>
            </wp:positionV>
            <wp:extent cx="171450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Bulent Altan</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2"/>
          <w:szCs w:val="12"/>
          <w:color w:val="auto"/>
        </w:rPr>
        <w:t>Title:</w:t>
        <w:tab/>
        <w:t>Chief Executive Officer</w:t>
      </w:r>
    </w:p>
    <w:p>
      <w:pPr>
        <w:spacing w:after="0" w:line="141"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9525</wp:posOffset>
            </wp:positionV>
            <wp:extent cx="171450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Stefan Berndt-von Bülow</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2"/>
          <w:szCs w:val="12"/>
          <w:color w:val="auto"/>
        </w:rPr>
        <w:t>Title:</w:t>
        <w:tab/>
        <w:t>Chief Financial Officer</w:t>
      </w:r>
    </w:p>
    <w:p>
      <w:pPr>
        <w:spacing w:after="0" w:line="281"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KNOW ALL PERSONS BY THESE PRESENTS, that each person whose signature appears below does hereby constitute and appoint Bulent Altan and Stefan Berndt-von Bülow,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03"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and on the dates indicated.</w:t>
      </w:r>
    </w:p>
    <w:p>
      <w:pPr>
        <w:spacing w:after="0" w:line="126" w:lineRule="exact"/>
        <w:rPr>
          <w:sz w:val="20"/>
          <w:szCs w:val="20"/>
          <w:color w:val="auto"/>
        </w:rPr>
      </w:pPr>
    </w:p>
    <w:tbl>
      <w:tblPr>
        <w:tblLayout w:type="fixed"/>
        <w:tblInd w:w="2080" w:type="dxa"/>
        <w:tblCellMar>
          <w:top w:w="0" w:type="dxa"/>
          <w:left w:w="0" w:type="dxa"/>
          <w:bottom w:w="0" w:type="dxa"/>
          <w:right w:w="0" w:type="dxa"/>
        </w:tblCellMar>
      </w:tblPr>
      <w:tr>
        <w:trPr>
          <w:trHeight w:val="115"/>
        </w:trPr>
        <w:tc>
          <w:tcPr>
            <w:tcW w:w="110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jc w:val="center"/>
              <w:spacing w:after="0"/>
              <w:rPr>
                <w:sz w:val="20"/>
                <w:szCs w:val="20"/>
                <w:color w:val="auto"/>
              </w:rPr>
            </w:pPr>
            <w:r>
              <w:rPr>
                <w:rFonts w:ascii="Arial" w:cs="Arial" w:eastAsia="Arial" w:hAnsi="Arial"/>
                <w:sz w:val="10"/>
                <w:szCs w:val="10"/>
                <w:b w:val="1"/>
                <w:bCs w:val="1"/>
                <w:color w:val="auto"/>
                <w:w w:val="97"/>
              </w:rPr>
              <w:t>Title</w:t>
            </w:r>
          </w:p>
        </w:tc>
        <w:tc>
          <w:tcPr>
            <w:tcW w:w="1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2"/>
              </w:rPr>
              <w:t>Date</w:t>
            </w:r>
          </w:p>
        </w:tc>
        <w:tc>
          <w:tcPr>
            <w:tcW w:w="0" w:type="dxa"/>
            <w:vAlign w:val="bottom"/>
          </w:tcPr>
          <w:p>
            <w:pPr>
              <w:spacing w:after="0"/>
              <w:rPr>
                <w:sz w:val="1"/>
                <w:szCs w:val="1"/>
                <w:color w:val="auto"/>
              </w:rPr>
            </w:pPr>
          </w:p>
        </w:tc>
      </w:tr>
      <w:tr>
        <w:trPr>
          <w:trHeight w:val="20"/>
        </w:trPr>
        <w:tc>
          <w:tcPr>
            <w:tcW w:w="1100" w:type="dxa"/>
            <w:vAlign w:val="bottom"/>
            <w:vMerge w:val="restart"/>
          </w:tcPr>
          <w:p>
            <w:pPr>
              <w:ind w:left="920"/>
              <w:spacing w:after="0"/>
              <w:rPr>
                <w:sz w:val="20"/>
                <w:szCs w:val="20"/>
                <w:color w:val="auto"/>
              </w:rPr>
            </w:pPr>
            <w:r>
              <w:rPr>
                <w:rFonts w:ascii="Arial" w:cs="Arial" w:eastAsia="Arial" w:hAnsi="Arial"/>
                <w:sz w:val="12"/>
                <w:szCs w:val="12"/>
                <w:color w:val="auto"/>
              </w:rPr>
              <w:t>/s/</w:t>
            </w:r>
          </w:p>
        </w:tc>
        <w:tc>
          <w:tcPr>
            <w:tcW w:w="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Borders>
              <w:bottom w:val="single" w:sz="8" w:color="auto"/>
            </w:tcBorders>
            <w:vMerge w:val="continue"/>
          </w:tcPr>
          <w:p>
            <w:pPr>
              <w:spacing w:after="0"/>
              <w:rPr>
                <w:sz w:val="11"/>
                <w:szCs w:val="11"/>
                <w:color w:val="auto"/>
              </w:rPr>
            </w:pPr>
          </w:p>
        </w:tc>
        <w:tc>
          <w:tcPr>
            <w:tcW w:w="160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Bulent Altan</w:t>
            </w: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20"/>
              <w:spacing w:after="0"/>
              <w:rPr>
                <w:sz w:val="20"/>
                <w:szCs w:val="20"/>
                <w:color w:val="auto"/>
              </w:rPr>
            </w:pPr>
            <w:r>
              <w:rPr>
                <w:rFonts w:ascii="Arial" w:cs="Arial" w:eastAsia="Arial" w:hAnsi="Arial"/>
                <w:sz w:val="12"/>
                <w:szCs w:val="12"/>
                <w:color w:val="auto"/>
                <w:w w:val="95"/>
              </w:rPr>
              <w:t>Bulent Altan</w:t>
            </w:r>
          </w:p>
        </w:tc>
        <w:tc>
          <w:tcPr>
            <w:tcW w:w="3380" w:type="dxa"/>
            <w:vAlign w:val="bottom"/>
            <w:gridSpan w:val="3"/>
          </w:tcPr>
          <w:p>
            <w:pPr>
              <w:jc w:val="center"/>
              <w:ind w:right="60"/>
              <w:spacing w:after="0"/>
              <w:rPr>
                <w:sz w:val="20"/>
                <w:szCs w:val="20"/>
                <w:color w:val="auto"/>
              </w:rPr>
            </w:pPr>
            <w:r>
              <w:rPr>
                <w:rFonts w:ascii="Arial" w:cs="Arial" w:eastAsia="Arial" w:hAnsi="Arial"/>
                <w:sz w:val="12"/>
                <w:szCs w:val="12"/>
                <w:color w:val="auto"/>
                <w:w w:val="92"/>
              </w:rPr>
              <w:t>Chief Executive Officer Member of the Management Board</w:t>
            </w:r>
          </w:p>
        </w:tc>
        <w:tc>
          <w:tcPr>
            <w:tcW w:w="980" w:type="dxa"/>
            <w:vAlign w:val="bottom"/>
            <w:gridSpan w:val="3"/>
          </w:tcPr>
          <w:p>
            <w:pPr>
              <w:jc w:val="center"/>
              <w:ind w:left="100"/>
              <w:spacing w:after="0" w:line="133" w:lineRule="exact"/>
              <w:rPr>
                <w:sz w:val="20"/>
                <w:szCs w:val="20"/>
                <w:color w:val="auto"/>
              </w:rPr>
            </w:pPr>
            <w:r>
              <w:rPr>
                <w:rFonts w:ascii="Arial" w:cs="Arial" w:eastAsia="Arial" w:hAnsi="Arial"/>
                <w:sz w:val="12"/>
                <w:szCs w:val="12"/>
                <w:color w:val="auto"/>
                <w:w w:val="88"/>
              </w:rPr>
              <w:t>October 19, 2021</w:t>
            </w:r>
          </w:p>
        </w:tc>
        <w:tc>
          <w:tcPr>
            <w:tcW w:w="0" w:type="dxa"/>
            <w:vAlign w:val="bottom"/>
          </w:tcPr>
          <w:p>
            <w:pPr>
              <w:spacing w:after="0"/>
              <w:rPr>
                <w:sz w:val="1"/>
                <w:szCs w:val="1"/>
                <w:color w:val="auto"/>
              </w:rPr>
            </w:pPr>
          </w:p>
        </w:tc>
      </w:tr>
      <w:tr>
        <w:trPr>
          <w:trHeight w:val="288"/>
        </w:trPr>
        <w:tc>
          <w:tcPr>
            <w:tcW w:w="2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color w:val="auto"/>
                <w:w w:val="92"/>
              </w:rPr>
              <w:t>/s/ Stefan Berndt-von Bülow</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00"/>
              <w:spacing w:after="0"/>
              <w:rPr>
                <w:sz w:val="20"/>
                <w:szCs w:val="20"/>
                <w:color w:val="auto"/>
              </w:rPr>
            </w:pPr>
            <w:r>
              <w:rPr>
                <w:rFonts w:ascii="Arial" w:cs="Arial" w:eastAsia="Arial" w:hAnsi="Arial"/>
                <w:sz w:val="12"/>
                <w:szCs w:val="12"/>
                <w:color w:val="auto"/>
                <w:w w:val="93"/>
              </w:rPr>
              <w:t>Stefan Berndt-von Bülow</w:t>
            </w:r>
          </w:p>
        </w:tc>
        <w:tc>
          <w:tcPr>
            <w:tcW w:w="3380" w:type="dxa"/>
            <w:vAlign w:val="bottom"/>
            <w:gridSpan w:val="3"/>
          </w:tcPr>
          <w:p>
            <w:pPr>
              <w:jc w:val="center"/>
              <w:ind w:right="60"/>
              <w:spacing w:after="0"/>
              <w:rPr>
                <w:sz w:val="20"/>
                <w:szCs w:val="20"/>
                <w:color w:val="auto"/>
              </w:rPr>
            </w:pPr>
            <w:r>
              <w:rPr>
                <w:rFonts w:ascii="Arial" w:cs="Arial" w:eastAsia="Arial" w:hAnsi="Arial"/>
                <w:sz w:val="12"/>
                <w:szCs w:val="12"/>
                <w:color w:val="auto"/>
                <w:w w:val="91"/>
              </w:rPr>
              <w:t>Chief Financial Officer and Member of the Management Board</w:t>
            </w:r>
          </w:p>
        </w:tc>
        <w:tc>
          <w:tcPr>
            <w:tcW w:w="980" w:type="dxa"/>
            <w:vAlign w:val="bottom"/>
            <w:gridSpan w:val="3"/>
          </w:tcPr>
          <w:p>
            <w:pPr>
              <w:jc w:val="center"/>
              <w:ind w:left="100"/>
              <w:spacing w:after="0"/>
              <w:rPr>
                <w:sz w:val="20"/>
                <w:szCs w:val="20"/>
                <w:color w:val="auto"/>
              </w:rPr>
            </w:pPr>
            <w:r>
              <w:rPr>
                <w:rFonts w:ascii="Arial" w:cs="Arial" w:eastAsia="Arial" w:hAnsi="Arial"/>
                <w:sz w:val="12"/>
                <w:szCs w:val="12"/>
                <w:color w:val="auto"/>
                <w:w w:val="88"/>
              </w:rPr>
              <w:t>October 19, 2021</w:t>
            </w:r>
          </w:p>
        </w:tc>
        <w:tc>
          <w:tcPr>
            <w:tcW w:w="0" w:type="dxa"/>
            <w:vAlign w:val="bottom"/>
          </w:tcPr>
          <w:p>
            <w:pPr>
              <w:spacing w:after="0"/>
              <w:rPr>
                <w:sz w:val="1"/>
                <w:szCs w:val="1"/>
                <w:color w:val="auto"/>
              </w:rPr>
            </w:pPr>
          </w:p>
        </w:tc>
      </w:tr>
      <w:tr>
        <w:trPr>
          <w:trHeight w:val="288"/>
        </w:trPr>
        <w:tc>
          <w:tcPr>
            <w:tcW w:w="2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color w:val="auto"/>
                <w:w w:val="91"/>
              </w:rPr>
              <w:t>/s/ Joachim Horwath</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00"/>
              <w:spacing w:after="0"/>
              <w:rPr>
                <w:sz w:val="20"/>
                <w:szCs w:val="20"/>
                <w:color w:val="auto"/>
              </w:rPr>
            </w:pPr>
            <w:r>
              <w:rPr>
                <w:rFonts w:ascii="Arial" w:cs="Arial" w:eastAsia="Arial" w:hAnsi="Arial"/>
                <w:sz w:val="12"/>
                <w:szCs w:val="12"/>
                <w:color w:val="auto"/>
                <w:w w:val="90"/>
              </w:rPr>
              <w:t>Joachim Horwath</w:t>
            </w:r>
          </w:p>
        </w:tc>
        <w:tc>
          <w:tcPr>
            <w:tcW w:w="3380" w:type="dxa"/>
            <w:vAlign w:val="bottom"/>
            <w:gridSpan w:val="3"/>
          </w:tcPr>
          <w:p>
            <w:pPr>
              <w:jc w:val="center"/>
              <w:ind w:right="60"/>
              <w:spacing w:after="0"/>
              <w:rPr>
                <w:sz w:val="20"/>
                <w:szCs w:val="20"/>
                <w:color w:val="auto"/>
              </w:rPr>
            </w:pPr>
            <w:r>
              <w:rPr>
                <w:rFonts w:ascii="Arial" w:cs="Arial" w:eastAsia="Arial" w:hAnsi="Arial"/>
                <w:sz w:val="12"/>
                <w:szCs w:val="12"/>
                <w:color w:val="auto"/>
                <w:w w:val="91"/>
              </w:rPr>
              <w:t>Chief Technology Officer and Member of the Management Board</w:t>
            </w:r>
          </w:p>
        </w:tc>
        <w:tc>
          <w:tcPr>
            <w:tcW w:w="980" w:type="dxa"/>
            <w:vAlign w:val="bottom"/>
            <w:gridSpan w:val="3"/>
          </w:tcPr>
          <w:p>
            <w:pPr>
              <w:jc w:val="center"/>
              <w:ind w:left="100"/>
              <w:spacing w:after="0"/>
              <w:rPr>
                <w:sz w:val="20"/>
                <w:szCs w:val="20"/>
                <w:color w:val="auto"/>
              </w:rPr>
            </w:pPr>
            <w:r>
              <w:rPr>
                <w:rFonts w:ascii="Arial" w:cs="Arial" w:eastAsia="Arial" w:hAnsi="Arial"/>
                <w:sz w:val="12"/>
                <w:szCs w:val="12"/>
                <w:color w:val="auto"/>
                <w:w w:val="88"/>
              </w:rPr>
              <w:t>October 19, 2021</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380" w:type="dxa"/>
            <w:vAlign w:val="bottom"/>
            <w:gridSpan w:val="3"/>
          </w:tcPr>
          <w:p>
            <w:pPr>
              <w:ind w:left="760"/>
              <w:spacing w:after="0"/>
              <w:rPr>
                <w:sz w:val="20"/>
                <w:szCs w:val="20"/>
                <w:color w:val="auto"/>
              </w:rPr>
            </w:pPr>
            <w:r>
              <w:rPr>
                <w:rFonts w:ascii="Arial" w:cs="Arial" w:eastAsia="Arial" w:hAnsi="Arial"/>
                <w:sz w:val="12"/>
                <w:szCs w:val="12"/>
                <w:color w:val="auto"/>
              </w:rPr>
              <w:t>II-iv</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62" w:name="page263"/>
    <w:bookmarkEnd w:id="2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 OF AUTHORIZED REPRESENTATIVE IN THE UNITED STATES</w:t>
      </w:r>
    </w:p>
    <w:p>
      <w:pPr>
        <w:spacing w:after="0" w:line="154"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Pursuant to the Securities Act of 1933, as amended, the undersigned, the duly appointed representative in the United States of Mynaric AG has signed this registration statement or amendment thereto in the city of Newark, State of Delaware on October 19, 2021.</w:t>
      </w:r>
    </w:p>
    <w:p>
      <w:pPr>
        <w:spacing w:after="0" w:line="110"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Puglisi &amp; Associates</w:t>
      </w:r>
    </w:p>
    <w:p>
      <w:pPr>
        <w:spacing w:after="0" w:line="150"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9525</wp:posOffset>
            </wp:positionV>
            <wp:extent cx="170878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Donald J. Puglisi</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 Managing Director</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II-v</w:t>
      </w:r>
    </w:p>
    <w:p>
      <w:pPr>
        <w:sectPr>
          <w:pgSz w:w="11900" w:h="16838" w:orient="portrait"/>
          <w:cols w:equalWidth="0" w:num="1">
            <w:col w:w="10159"/>
          </w:cols>
          <w:pgMar w:left="300" w:top="354" w:right="1440" w:bottom="1440" w:gutter="0" w:footer="0" w:header="0"/>
        </w:sectPr>
      </w:pPr>
    </w:p>
    <w:bookmarkStart w:id="263" w:name="page264"/>
    <w:bookmarkEnd w:id="263"/>
    <w:p>
      <w:pPr>
        <w:jc w:val="right"/>
        <w:ind w:right="839"/>
        <w:spacing w:after="0"/>
        <w:rPr>
          <w:sz w:val="20"/>
          <w:szCs w:val="20"/>
          <w:color w:val="auto"/>
        </w:rPr>
      </w:pPr>
      <w:r>
        <w:rPr>
          <w:rFonts w:ascii="Arial" w:cs="Arial" w:eastAsia="Arial" w:hAnsi="Arial"/>
          <w:sz w:val="12"/>
          <w:szCs w:val="12"/>
          <w:b w:val="1"/>
          <w:bCs w:val="1"/>
          <w:color w:val="auto"/>
        </w:rPr>
        <w:t>Exhibit 3.1</w:t>
      </w:r>
    </w:p>
    <w:p>
      <w:pPr>
        <w:spacing w:after="0" w:line="154" w:lineRule="exact"/>
        <w:rPr>
          <w:sz w:val="20"/>
          <w:szCs w:val="20"/>
          <w:color w:val="auto"/>
        </w:rPr>
      </w:pPr>
    </w:p>
    <w:p>
      <w:pPr>
        <w:jc w:val="right"/>
        <w:ind w:right="839"/>
        <w:spacing w:after="0"/>
        <w:rPr>
          <w:sz w:val="20"/>
          <w:szCs w:val="20"/>
          <w:color w:val="auto"/>
        </w:rPr>
      </w:pPr>
      <w:r>
        <w:rPr>
          <w:rFonts w:ascii="Arial" w:cs="Arial" w:eastAsia="Arial" w:hAnsi="Arial"/>
          <w:sz w:val="12"/>
          <w:szCs w:val="12"/>
          <w:b w:val="1"/>
          <w:bCs w:val="1"/>
          <w:i w:val="1"/>
          <w:iCs w:val="1"/>
          <w:color w:val="auto"/>
        </w:rPr>
        <w:t>Convenience Translation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ARTICLES OF INCORPORATION</w:t>
      </w:r>
    </w:p>
    <w:p>
      <w:pPr>
        <w:spacing w:after="0" w:line="150"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I. General provisions</w:t>
      </w:r>
    </w:p>
    <w:p>
      <w:pPr>
        <w:spacing w:after="0" w:line="78"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Company name, registered office, and financial year</w:t>
      </w:r>
    </w:p>
    <w:p>
      <w:pPr>
        <w:spacing w:after="0" w:line="159" w:lineRule="exact"/>
        <w:rPr>
          <w:sz w:val="20"/>
          <w:szCs w:val="20"/>
          <w:color w:val="auto"/>
        </w:rPr>
      </w:pPr>
    </w:p>
    <w:p>
      <w:pPr>
        <w:ind w:left="1120" w:hanging="288"/>
        <w:spacing w:after="0"/>
        <w:tabs>
          <w:tab w:leader="none" w:pos="11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The name of the company is: Mynaric AG</w:t>
      </w:r>
    </w:p>
    <w:p>
      <w:pPr>
        <w:spacing w:after="0" w:line="87" w:lineRule="exact"/>
        <w:rPr>
          <w:rFonts w:ascii="Arial" w:cs="Arial" w:eastAsia="Arial" w:hAnsi="Arial"/>
          <w:sz w:val="12"/>
          <w:szCs w:val="12"/>
          <w:color w:val="auto"/>
        </w:rPr>
      </w:pPr>
    </w:p>
    <w:p>
      <w:pPr>
        <w:ind w:left="1120" w:hanging="288"/>
        <w:spacing w:after="0"/>
        <w:tabs>
          <w:tab w:leader="none" w:pos="11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The Company’s registered office is located in Gilching in the district of Starnberg, Germany.</w:t>
      </w:r>
    </w:p>
    <w:p>
      <w:pPr>
        <w:spacing w:after="0" w:line="87" w:lineRule="exact"/>
        <w:rPr>
          <w:rFonts w:ascii="Arial" w:cs="Arial" w:eastAsia="Arial" w:hAnsi="Arial"/>
          <w:sz w:val="12"/>
          <w:szCs w:val="12"/>
          <w:color w:val="auto"/>
        </w:rPr>
      </w:pPr>
    </w:p>
    <w:p>
      <w:pPr>
        <w:ind w:left="1120" w:hanging="288"/>
        <w:spacing w:after="0"/>
        <w:tabs>
          <w:tab w:leader="none" w:pos="11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The Company’s financial year is the same as the calendar year.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Objects of the Company</w:t>
      </w:r>
    </w:p>
    <w:p>
      <w:pPr>
        <w:spacing w:after="0" w:line="159" w:lineRule="exact"/>
        <w:rPr>
          <w:sz w:val="20"/>
          <w:szCs w:val="20"/>
          <w:color w:val="auto"/>
        </w:rPr>
      </w:pPr>
    </w:p>
    <w:p>
      <w:pPr>
        <w:ind w:left="1120" w:right="1159" w:hanging="288"/>
        <w:spacing w:after="0" w:line="263" w:lineRule="auto"/>
        <w:tabs>
          <w:tab w:leader="none" w:pos="11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objects of the Company are the development, manufacture, sale, and operation of equipment, software, systems, and solutions for communication networks – particularly in the aerospace sector – and related products, the holding and management of equity investments in companies that operate in this area, and the performance of related services.</w:t>
      </w:r>
    </w:p>
    <w:p>
      <w:pPr>
        <w:spacing w:after="0" w:line="59" w:lineRule="exact"/>
        <w:rPr>
          <w:rFonts w:ascii="Arial" w:cs="Arial" w:eastAsia="Arial" w:hAnsi="Arial"/>
          <w:sz w:val="12"/>
          <w:szCs w:val="12"/>
          <w:color w:val="auto"/>
        </w:rPr>
      </w:pPr>
    </w:p>
    <w:p>
      <w:pPr>
        <w:ind w:left="1120" w:right="919" w:hanging="288"/>
        <w:spacing w:after="0" w:line="263" w:lineRule="auto"/>
        <w:tabs>
          <w:tab w:leader="none" w:pos="11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The Company is authorized to carry out all transactions and measures that serve to support the objects of the Company. To this end, the Company may establish, acquire, or dispose of other companies or branch offices in Germany and abroad or enter into company agreements with other companies.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Official announcements</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The Company’s official announcements are published in the German Federal Gazette.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 Share capital and shares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Share capital</w:t>
      </w:r>
    </w:p>
    <w:p>
      <w:pPr>
        <w:spacing w:after="0" w:line="159" w:lineRule="exact"/>
        <w:rPr>
          <w:sz w:val="20"/>
          <w:szCs w:val="20"/>
          <w:color w:val="auto"/>
        </w:rPr>
      </w:pPr>
    </w:p>
    <w:p>
      <w:pPr>
        <w:ind w:left="1120" w:hanging="288"/>
        <w:spacing w:after="0"/>
        <w:tabs>
          <w:tab w:leader="none" w:pos="11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The share capital of the Company is €4,092,948.00 and is divided into 4,092,948 no-par-value shares.</w:t>
      </w:r>
    </w:p>
    <w:p>
      <w:pPr>
        <w:spacing w:after="0" w:line="87" w:lineRule="exact"/>
        <w:rPr>
          <w:rFonts w:ascii="Arial" w:cs="Arial" w:eastAsia="Arial" w:hAnsi="Arial"/>
          <w:sz w:val="12"/>
          <w:szCs w:val="12"/>
          <w:color w:val="auto"/>
        </w:rPr>
      </w:pPr>
    </w:p>
    <w:p>
      <w:pPr>
        <w:ind w:left="1120" w:hanging="288"/>
        <w:spacing w:after="0"/>
        <w:tabs>
          <w:tab w:leader="none" w:pos="11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The shares are made out to the bearer.</w:t>
      </w:r>
    </w:p>
    <w:p>
      <w:pPr>
        <w:spacing w:after="0" w:line="87" w:lineRule="exact"/>
        <w:rPr>
          <w:rFonts w:ascii="Arial" w:cs="Arial" w:eastAsia="Arial" w:hAnsi="Arial"/>
          <w:sz w:val="12"/>
          <w:szCs w:val="12"/>
          <w:color w:val="auto"/>
        </w:rPr>
      </w:pPr>
    </w:p>
    <w:p>
      <w:pPr>
        <w:ind w:left="1120" w:right="859" w:hanging="288"/>
        <w:spacing w:after="0" w:line="313" w:lineRule="auto"/>
        <w:tabs>
          <w:tab w:leader="none" w:pos="1120" w:val="left"/>
        </w:tabs>
        <w:numPr>
          <w:ilvl w:val="0"/>
          <w:numId w:val="207"/>
        </w:numPr>
        <w:rPr>
          <w:rFonts w:ascii="Arial" w:cs="Arial" w:eastAsia="Arial" w:hAnsi="Arial"/>
          <w:sz w:val="10"/>
          <w:szCs w:val="10"/>
          <w:color w:val="auto"/>
        </w:rPr>
      </w:pPr>
      <w:r>
        <w:rPr>
          <w:rFonts w:ascii="Arial" w:cs="Arial" w:eastAsia="Arial" w:hAnsi="Arial"/>
          <w:sz w:val="10"/>
          <w:szCs w:val="10"/>
          <w:color w:val="auto"/>
        </w:rPr>
        <w:t>The Management Board is authorized, subject to the approval of the Supervisory Board, to increase the share capital by up to €1,841,827.00 by issuing up to 1,841,827 new, no-par-value bearer shares in return for cash and/or non-cash contributions on one or more occasions until May 13, 2026 (Authorized Capital 2021/I). Shareholders must be given pre-emption rights in any such issue. The new shares may also be underwritten by a bank specified by the Management Board or a company (financial institution) operating in accordance with section 53 (1) sentence 1 of the German Banking Act (KWG) or section 53b (1) sentence 1 or (7) KWG, or a syndicate of such banks or financial institutions, subject to the obligation that the shares be offered to the Company’s shareholders for subscription. However, the Management Board is authorized, subject to the approval of the Supervisory Board, to disapply the pre-emption rights of existing shareholders on one or more occasions</w:t>
      </w:r>
    </w:p>
    <w:p>
      <w:pPr>
        <w:sectPr>
          <w:pgSz w:w="11900" w:h="16838" w:orient="portrait"/>
          <w:cols w:equalWidth="0" w:num="1">
            <w:col w:w="9019"/>
          </w:cols>
          <w:pgMar w:left="1440" w:top="127" w:right="1440" w:bottom="1440" w:gutter="0" w:footer="0" w:header="0"/>
        </w:sectPr>
      </w:pPr>
    </w:p>
    <w:bookmarkStart w:id="264" w:name="page265"/>
    <w:bookmarkEnd w:id="264"/>
    <w:p>
      <w:pPr>
        <w:ind w:left="1480" w:hanging="360"/>
        <w:spacing w:after="0"/>
        <w:tabs>
          <w:tab w:leader="none" w:pos="1480" w:val="left"/>
        </w:tabs>
        <w:numPr>
          <w:ilvl w:val="0"/>
          <w:numId w:val="20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this is necessary in order to exclude any fractional amounts from the pre-emption rights;</w:t>
      </w:r>
    </w:p>
    <w:p>
      <w:pPr>
        <w:spacing w:after="0" w:line="87" w:lineRule="exact"/>
        <w:rPr>
          <w:rFonts w:ascii="Arial" w:cs="Arial" w:eastAsia="Arial" w:hAnsi="Arial"/>
          <w:sz w:val="12"/>
          <w:szCs w:val="12"/>
          <w:color w:val="auto"/>
        </w:rPr>
      </w:pPr>
    </w:p>
    <w:p>
      <w:pPr>
        <w:ind w:left="1480" w:right="1079" w:hanging="360"/>
        <w:spacing w:after="0" w:line="263" w:lineRule="auto"/>
        <w:tabs>
          <w:tab w:leader="none" w:pos="148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in the event of a capital increase in return for non-cash contributions, particularly in the context of mergers or the direct or indirect acquisition of companies, operations, parts of companies, equity investments, or other assets or entitlement to acquire assets, including receivables due from the Company or its group companies;</w:t>
      </w:r>
    </w:p>
    <w:p>
      <w:pPr>
        <w:spacing w:after="0" w:line="59" w:lineRule="exact"/>
        <w:rPr>
          <w:rFonts w:ascii="Arial" w:cs="Arial" w:eastAsia="Arial" w:hAnsi="Arial"/>
          <w:sz w:val="12"/>
          <w:szCs w:val="12"/>
          <w:color w:val="auto"/>
        </w:rPr>
      </w:pPr>
    </w:p>
    <w:p>
      <w:pPr>
        <w:ind w:left="1480" w:right="859" w:hanging="360"/>
        <w:spacing w:after="0" w:line="279" w:lineRule="auto"/>
        <w:tabs>
          <w:tab w:leader="none" w:pos="1480" w:val="left"/>
        </w:tabs>
        <w:numPr>
          <w:ilvl w:val="0"/>
          <w:numId w:val="208"/>
        </w:numPr>
        <w:rPr>
          <w:rFonts w:ascii="Arial" w:cs="Arial" w:eastAsia="Arial" w:hAnsi="Arial"/>
          <w:sz w:val="11"/>
          <w:szCs w:val="11"/>
          <w:color w:val="auto"/>
        </w:rPr>
      </w:pPr>
      <w:r>
        <w:rPr>
          <w:rFonts w:ascii="Arial" w:cs="Arial" w:eastAsia="Arial" w:hAnsi="Arial"/>
          <w:sz w:val="11"/>
          <w:szCs w:val="11"/>
          <w:color w:val="auto"/>
        </w:rPr>
        <w:t>if a capital increase in return for cash contributions does not exceed 10 percent of the share capital, either at the time this authorization takes effect or, if this amount is lower, at the time of exercise of this authorization, and the issue price for the new shares is not significantly below the market price (section 186 (3) sentence 4 AktG); in the event that pre-emption rights are disapplied in accordance with section 186 (3) sentence 4 AktG when this authorization is exercised, the disapplication of pre-emption rights as a result of other authorizations in direct or similar application of section 186 (3) sentence 4 AktG must be taken into account; the market price is the price of an American Depositary Share (‘ADS’) listed on the New York Stock Exchange or NASDAQ stock exchange, multiplied by the number of ADSs that represent one share; if the Company’s shares are listed in the Xetra system of the Frankfurt Stock Exchange (or a functionally comparable successor to the Xetra system) and, at the same time, the Company’s ADSs are listed on the New York Stock Exchange or NASDAQ stock exchange, the Company chooses which of these market prices is applicable;</w:t>
      </w:r>
    </w:p>
    <w:p>
      <w:pPr>
        <w:spacing w:after="0" w:line="53" w:lineRule="exact"/>
        <w:rPr>
          <w:rFonts w:ascii="Arial" w:cs="Arial" w:eastAsia="Arial" w:hAnsi="Arial"/>
          <w:sz w:val="11"/>
          <w:szCs w:val="11"/>
          <w:color w:val="auto"/>
        </w:rPr>
      </w:pPr>
    </w:p>
    <w:p>
      <w:pPr>
        <w:ind w:left="1480" w:right="919" w:hanging="360"/>
        <w:spacing w:after="0" w:line="323" w:lineRule="auto"/>
        <w:tabs>
          <w:tab w:leader="none" w:pos="1480" w:val="left"/>
        </w:tabs>
        <w:numPr>
          <w:ilvl w:val="0"/>
          <w:numId w:val="208"/>
        </w:numPr>
        <w:rPr>
          <w:rFonts w:ascii="Arial" w:cs="Arial" w:eastAsia="Arial" w:hAnsi="Arial"/>
          <w:sz w:val="11"/>
          <w:szCs w:val="11"/>
          <w:color w:val="auto"/>
        </w:rPr>
      </w:pPr>
      <w:r>
        <w:rPr>
          <w:rFonts w:ascii="Arial" w:cs="Arial" w:eastAsia="Arial" w:hAnsi="Arial"/>
          <w:sz w:val="11"/>
          <w:szCs w:val="11"/>
          <w:color w:val="auto"/>
        </w:rPr>
        <w:t>for the purpose of listing the Company’s shares – if applicable, in the form of ADSs – on a non-German stock exchange and also to create shares – if applicable, in the form of ADSs – that are to be used for settlement or in connection with an over-allotment option.</w:t>
      </w:r>
    </w:p>
    <w:p>
      <w:pPr>
        <w:spacing w:after="0" w:line="92" w:lineRule="exact"/>
        <w:rPr>
          <w:sz w:val="20"/>
          <w:szCs w:val="20"/>
          <w:color w:val="auto"/>
        </w:rPr>
      </w:pPr>
    </w:p>
    <w:p>
      <w:pPr>
        <w:ind w:left="840" w:right="979"/>
        <w:spacing w:after="0" w:line="256" w:lineRule="auto"/>
        <w:rPr>
          <w:sz w:val="20"/>
          <w:szCs w:val="20"/>
          <w:color w:val="auto"/>
        </w:rPr>
      </w:pPr>
      <w:r>
        <w:rPr>
          <w:rFonts w:ascii="Arial" w:cs="Arial" w:eastAsia="Arial" w:hAnsi="Arial"/>
          <w:sz w:val="12"/>
          <w:szCs w:val="12"/>
          <w:color w:val="auto"/>
        </w:rPr>
        <w:t>The Management Board is authorized, subject to the approval of the Supervisory Board, to specify the finer details of the capital increase and the conditions governing the share issue; this also includes determination of the dividend rights of the new shares, which, in departure from section 60 (2) AktG, may be stipulated for a financial year that has already ended. The Supervisory Board is authorized to amend article 4 of the articles of incorporation after the share capital has been increased in full or in part in accordance with the specific utilization of the authorized capital and after expiry of the authorization period.</w:t>
      </w:r>
    </w:p>
    <w:p>
      <w:pPr>
        <w:spacing w:after="0" w:line="65" w:lineRule="exact"/>
        <w:rPr>
          <w:sz w:val="20"/>
          <w:szCs w:val="20"/>
          <w:color w:val="auto"/>
        </w:rPr>
      </w:pPr>
    </w:p>
    <w:p>
      <w:pPr>
        <w:ind w:left="1120" w:right="979" w:hanging="288"/>
        <w:spacing w:after="0" w:line="283" w:lineRule="auto"/>
        <w:tabs>
          <w:tab w:leader="none" w:pos="1120" w:val="left"/>
        </w:tabs>
        <w:numPr>
          <w:ilvl w:val="0"/>
          <w:numId w:val="209"/>
        </w:numPr>
        <w:rPr>
          <w:rFonts w:ascii="Arial" w:cs="Arial" w:eastAsia="Arial" w:hAnsi="Arial"/>
          <w:sz w:val="11"/>
          <w:szCs w:val="11"/>
          <w:color w:val="auto"/>
        </w:rPr>
      </w:pPr>
      <w:r>
        <w:rPr>
          <w:rFonts w:ascii="Arial" w:cs="Arial" w:eastAsia="Arial" w:hAnsi="Arial"/>
          <w:sz w:val="11"/>
          <w:szCs w:val="11"/>
          <w:color w:val="auto"/>
        </w:rPr>
        <w:t>The Company’s share capital has been increased by conditional capital of up to €1,500.00 through the issue of up to 1,500 new, no-par-value bearer or registered shares (Conditional Capital 2017). The conditional capital increase serves solely to grant pre-emption rights to shares (share options) to employees of the Company or of the Company’s affiliated companies, such rights being granted on the basis of the Annual General Meeting authorizations dated September 8, 2017 and July 2, 2019. The shares are issued at the issue price specified in the aforementioned authorizations. The conditional capital increase is exercised only to the extent that pre-emption rights are exercised and the Company does not grant treasury shares or a cash settlement to settle the pre-emption rights.</w:t>
      </w:r>
    </w:p>
    <w:p>
      <w:pPr>
        <w:sectPr>
          <w:pgSz w:w="11900" w:h="16838" w:orient="portrait"/>
          <w:cols w:equalWidth="0" w:num="1">
            <w:col w:w="9019"/>
          </w:cols>
          <w:pgMar w:left="1440" w:top="230" w:right="1440" w:bottom="1440" w:gutter="0" w:footer="0" w:header="0"/>
        </w:sectPr>
      </w:pPr>
    </w:p>
    <w:bookmarkStart w:id="265" w:name="page266"/>
    <w:bookmarkEnd w:id="265"/>
    <w:p>
      <w:pPr>
        <w:ind w:left="1120" w:right="1079"/>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new shares carry dividend rights from the start of the financial year for which, on the date of the exercise of the pre-emption rights, the Annual General Meeting has not yet approved a resolution on the appropriation of profit. The Company’s Management Board is authorized to specify the finer details of the conditional capital increase and the procedure for carrying it out.</w:t>
      </w:r>
    </w:p>
    <w:p>
      <w:pPr>
        <w:spacing w:after="0" w:line="42" w:lineRule="exact"/>
        <w:rPr>
          <w:sz w:val="20"/>
          <w:szCs w:val="20"/>
          <w:color w:val="auto"/>
        </w:rPr>
      </w:pPr>
    </w:p>
    <w:p>
      <w:pPr>
        <w:ind w:left="1120" w:right="859" w:hanging="288"/>
        <w:spacing w:after="0" w:line="278" w:lineRule="auto"/>
        <w:tabs>
          <w:tab w:leader="none" w:pos="1120" w:val="left"/>
        </w:tabs>
        <w:numPr>
          <w:ilvl w:val="0"/>
          <w:numId w:val="210"/>
        </w:numPr>
        <w:rPr>
          <w:rFonts w:ascii="Arial" w:cs="Arial" w:eastAsia="Arial" w:hAnsi="Arial"/>
          <w:sz w:val="11"/>
          <w:szCs w:val="11"/>
          <w:color w:val="auto"/>
        </w:rPr>
      </w:pPr>
      <w:r>
        <w:rPr>
          <w:rFonts w:ascii="Arial" w:cs="Arial" w:eastAsia="Arial" w:hAnsi="Arial"/>
          <w:sz w:val="11"/>
          <w:szCs w:val="11"/>
          <w:color w:val="auto"/>
        </w:rPr>
        <w:t>The Company’s share capital has been increased by conditional capital of up to €270,000.00 through the issue of up to 270,000 new, no-par-value bearer or registered shares (Conditional Capital 2019).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Annual General Meeting authorization dated July 2, 2019.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Management Board or, if members of the Company’s Management Board are affected, the Company’s Supervisory Board is authorized to specify the finer details of the conditional capital increase and the procedure for carrying it out. The Supervisory Board is authorized to amend the wording of the articles of incorporation in line with the issue of shares in connection with the exercise of pre-emption rights.</w:t>
      </w:r>
    </w:p>
    <w:p>
      <w:pPr>
        <w:spacing w:after="0" w:line="53" w:lineRule="exact"/>
        <w:rPr>
          <w:rFonts w:ascii="Arial" w:cs="Arial" w:eastAsia="Arial" w:hAnsi="Arial"/>
          <w:sz w:val="11"/>
          <w:szCs w:val="11"/>
          <w:color w:val="auto"/>
        </w:rPr>
      </w:pPr>
    </w:p>
    <w:p>
      <w:pPr>
        <w:ind w:left="1120" w:right="859" w:hanging="288"/>
        <w:spacing w:after="0" w:line="254" w:lineRule="auto"/>
        <w:tabs>
          <w:tab w:leader="none" w:pos="11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The Company’s share capital has been increased by conditional capital of up to €34,473.00 through the issue of up to 34,473 new, no-par-value bearer or registered shares (Conditional Capital 2020/I).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Annual General Meeting authorization dated June 12, 2020.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w:t>
      </w:r>
    </w:p>
    <w:p>
      <w:pPr>
        <w:spacing w:after="0" w:line="57" w:lineRule="exact"/>
        <w:rPr>
          <w:rFonts w:ascii="Arial" w:cs="Arial" w:eastAsia="Arial" w:hAnsi="Arial"/>
          <w:sz w:val="12"/>
          <w:szCs w:val="12"/>
          <w:color w:val="auto"/>
        </w:rPr>
      </w:pPr>
    </w:p>
    <w:p>
      <w:pPr>
        <w:ind w:left="1120" w:right="859"/>
        <w:spacing w:after="0" w:line="285" w:lineRule="auto"/>
        <w:rPr>
          <w:rFonts w:ascii="Arial" w:cs="Arial" w:eastAsia="Arial" w:hAnsi="Arial"/>
          <w:sz w:val="12"/>
          <w:szCs w:val="12"/>
          <w:color w:val="auto"/>
        </w:rPr>
      </w:pPr>
      <w:r>
        <w:rPr>
          <w:rFonts w:ascii="Arial" w:cs="Arial" w:eastAsia="Arial" w:hAnsi="Arial"/>
          <w:sz w:val="11"/>
          <w:szCs w:val="11"/>
          <w:color w:val="auto"/>
        </w:rPr>
        <w:t>The new shares carry dividend rights from the start of the financial year for which, on the date of the exercise of the pre-emption rights, the Annual General Meeting has not yet approved a resolution on the appropriation of profit. The Company’s Management Board or, if members of the Company’s Management Board are affected, the Company’s Supervisory Board is authorized to specify the finer details of the conditional capital increase and the procedure for carrying it out. The Supervisory Board is authorized to amend the wording of the articles of incorporation in line with the issue of shares in connection with the exercise of pre-emption rights.</w:t>
      </w:r>
    </w:p>
    <w:p>
      <w:pPr>
        <w:spacing w:after="0" w:line="50" w:lineRule="exact"/>
        <w:rPr>
          <w:rFonts w:ascii="Arial" w:cs="Arial" w:eastAsia="Arial" w:hAnsi="Arial"/>
          <w:sz w:val="12"/>
          <w:szCs w:val="12"/>
          <w:color w:val="auto"/>
        </w:rPr>
      </w:pPr>
    </w:p>
    <w:p>
      <w:pPr>
        <w:ind w:left="1120" w:right="1079" w:hanging="288"/>
        <w:spacing w:after="0" w:line="326" w:lineRule="auto"/>
        <w:tabs>
          <w:tab w:leader="none" w:pos="1120" w:val="left"/>
        </w:tabs>
        <w:numPr>
          <w:ilvl w:val="0"/>
          <w:numId w:val="210"/>
        </w:numPr>
        <w:rPr>
          <w:rFonts w:ascii="Arial" w:cs="Arial" w:eastAsia="Arial" w:hAnsi="Arial"/>
          <w:sz w:val="10"/>
          <w:szCs w:val="10"/>
          <w:color w:val="auto"/>
        </w:rPr>
      </w:pPr>
      <w:r>
        <w:rPr>
          <w:rFonts w:ascii="Arial" w:cs="Arial" w:eastAsia="Arial" w:hAnsi="Arial"/>
          <w:sz w:val="10"/>
          <w:szCs w:val="10"/>
          <w:color w:val="auto"/>
        </w:rPr>
        <w:t>The Company’s share capital has been increased by conditional capital of up to €1,179,679.00 through the issue of up to 1,179,679 new, no-par-value bearer shares (Conditional Capital 2020/II). The conditional capital increase is exercised only to the extent that the holders of convertible and/or warrant-linked bonds issued by the Company until June 11, 2025 on the basis of the Annual General Meeting authorization dated June 12, 2020 exercise their conversion right or warrant, or conversion obligations arising from such debt instruments are</w:t>
      </w:r>
    </w:p>
    <w:p>
      <w:pPr>
        <w:sectPr>
          <w:pgSz w:w="11900" w:h="16838" w:orient="portrait"/>
          <w:cols w:equalWidth="0" w:num="1">
            <w:col w:w="9019"/>
          </w:cols>
          <w:pgMar w:left="1440" w:top="230" w:right="1440" w:bottom="1440" w:gutter="0" w:footer="0" w:header="0"/>
        </w:sectPr>
      </w:pPr>
    </w:p>
    <w:bookmarkStart w:id="266" w:name="page267"/>
    <w:bookmarkEnd w:id="266"/>
    <w:p>
      <w:pPr>
        <w:ind w:left="112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fulfilled, and provided that other forms of settlement are not used. The new shares carry dividend rights from the beginning of the financial year in which they are issued as a result of the exercise of conversion rights or warrants or the fulfillment of conversion obligations. The Management Board is authorized, subject to the approval of the Supervisory Board, to specify the finer details of the procedure for the conditional capital increase. The Supervisory Board is authorized to amend the wording of the articles of incorporation in line with the specific utilization of the conditional capital.</w:t>
      </w:r>
    </w:p>
    <w:p>
      <w:pPr>
        <w:spacing w:after="0" w:line="65" w:lineRule="exact"/>
        <w:rPr>
          <w:sz w:val="20"/>
          <w:szCs w:val="20"/>
          <w:color w:val="auto"/>
        </w:rPr>
      </w:pPr>
    </w:p>
    <w:p>
      <w:pPr>
        <w:ind w:left="1120" w:hanging="288"/>
        <w:spacing w:after="0"/>
        <w:tabs>
          <w:tab w:leader="none" w:pos="1120" w:val="left"/>
        </w:tabs>
        <w:numPr>
          <w:ilvl w:val="0"/>
          <w:numId w:val="211"/>
        </w:numPr>
        <w:rPr>
          <w:rFonts w:ascii="Arial" w:cs="Arial" w:eastAsia="Arial" w:hAnsi="Arial"/>
          <w:sz w:val="11"/>
          <w:szCs w:val="11"/>
          <w:color w:val="auto"/>
        </w:rPr>
      </w:pPr>
      <w:r>
        <w:rPr>
          <w:rFonts w:ascii="Arial" w:cs="Arial" w:eastAsia="Arial" w:hAnsi="Arial"/>
          <w:sz w:val="11"/>
          <w:szCs w:val="11"/>
          <w:color w:val="auto"/>
        </w:rPr>
        <w:t>The Management Board is authorized, subject to the approval of the Supervisory Board, to increase the Company’s share capital by up to</w:t>
      </w:r>
    </w:p>
    <w:p>
      <w:pPr>
        <w:spacing w:after="0" w:line="26" w:lineRule="exact"/>
        <w:rPr>
          <w:rFonts w:ascii="Arial" w:cs="Arial" w:eastAsia="Arial" w:hAnsi="Arial"/>
          <w:sz w:val="11"/>
          <w:szCs w:val="11"/>
          <w:color w:val="auto"/>
        </w:rPr>
      </w:pPr>
    </w:p>
    <w:p>
      <w:pPr>
        <w:ind w:left="1120" w:right="959"/>
        <w:spacing w:after="0" w:line="260" w:lineRule="auto"/>
        <w:rPr>
          <w:rFonts w:ascii="Arial" w:cs="Arial" w:eastAsia="Arial" w:hAnsi="Arial"/>
          <w:sz w:val="11"/>
          <w:szCs w:val="11"/>
          <w:color w:val="auto"/>
        </w:rPr>
      </w:pPr>
      <w:r>
        <w:rPr>
          <w:rFonts w:ascii="Arial" w:cs="Arial" w:eastAsia="Arial" w:hAnsi="Arial"/>
          <w:sz w:val="12"/>
          <w:szCs w:val="12"/>
          <w:color w:val="auto"/>
        </w:rPr>
        <w:t>€204,647.00 by issuing up to 204,647 new, no-par-value bearer shares in return for cash and/or non-cash contributions on one or more occasions until May 13, 2026 (Authorized Capital 2021/II).</w:t>
      </w:r>
    </w:p>
    <w:p>
      <w:pPr>
        <w:spacing w:after="0" w:line="52" w:lineRule="exact"/>
        <w:rPr>
          <w:rFonts w:ascii="Arial" w:cs="Arial" w:eastAsia="Arial" w:hAnsi="Arial"/>
          <w:sz w:val="11"/>
          <w:szCs w:val="11"/>
          <w:color w:val="auto"/>
        </w:rPr>
      </w:pPr>
    </w:p>
    <w:p>
      <w:pPr>
        <w:ind w:left="1120" w:right="879"/>
        <w:spacing w:after="0" w:line="281" w:lineRule="auto"/>
        <w:rPr>
          <w:rFonts w:ascii="Arial" w:cs="Arial" w:eastAsia="Arial" w:hAnsi="Arial"/>
          <w:sz w:val="11"/>
          <w:szCs w:val="11"/>
          <w:color w:val="auto"/>
        </w:rPr>
      </w:pPr>
      <w:r>
        <w:rPr>
          <w:rFonts w:ascii="Arial" w:cs="Arial" w:eastAsia="Arial" w:hAnsi="Arial"/>
          <w:sz w:val="11"/>
          <w:szCs w:val="11"/>
          <w:color w:val="auto"/>
        </w:rPr>
        <w:t>Shareholders’ pre-emption rights are disapplied. Authorized Capital 2021/II serves the delivery of shares of the Company for the settlement of Restricted Stock Units (RSUs) under the Company’s Restricted Stock Unit Program (RSUP) to selected employees of the Company and its affiliated companies, as specified in more detail in the RSUP, in return for the entitlement to payment that arose in connection with the RSUs. The issue price of the new shares can be paid in cash and/or non-cash contributions, including but not limited to the contribution of receivables due from the Company under the RSUP. The Management Board is authorized, subject to the approval of the Supervisory Board, to specify the finer details of the capital increase and the procedure for carrying it out; this also includes determination of the dividend rights of the new shares, which, in departure from section 60 (2) AktG, may be stipulated for a financial year that has already ended.</w:t>
      </w:r>
    </w:p>
    <w:p>
      <w:pPr>
        <w:spacing w:after="0" w:line="43" w:lineRule="exact"/>
        <w:rPr>
          <w:rFonts w:ascii="Arial" w:cs="Arial" w:eastAsia="Arial" w:hAnsi="Arial"/>
          <w:sz w:val="11"/>
          <w:szCs w:val="11"/>
          <w:color w:val="auto"/>
        </w:rPr>
      </w:pPr>
    </w:p>
    <w:p>
      <w:pPr>
        <w:ind w:left="1120" w:right="899"/>
        <w:spacing w:after="0" w:line="259" w:lineRule="auto"/>
        <w:rPr>
          <w:rFonts w:ascii="Arial" w:cs="Arial" w:eastAsia="Arial" w:hAnsi="Arial"/>
          <w:sz w:val="11"/>
          <w:szCs w:val="11"/>
          <w:color w:val="auto"/>
        </w:rPr>
      </w:pPr>
      <w:r>
        <w:rPr>
          <w:rFonts w:ascii="Arial" w:cs="Arial" w:eastAsia="Arial" w:hAnsi="Arial"/>
          <w:sz w:val="12"/>
          <w:szCs w:val="12"/>
          <w:color w:val="auto"/>
        </w:rPr>
        <w:t>The Management Board is authorized, subject to the approval of the Supervisory Board, to specify the finer details of the capital increase and the conditions governing the share issue. This authorization also encompasses the issue of RSUs. The Supervisory Board is authorized to amend article 4 of the articles of incorporation after the share capital has been increased in full or in part in accordance with the specific utilization of the authorized capital and after expiry of the authorization period.</w:t>
      </w:r>
    </w:p>
    <w:p>
      <w:pPr>
        <w:sectPr>
          <w:pgSz w:w="11900" w:h="16838" w:orient="portrait"/>
          <w:cols w:equalWidth="0" w:num="1">
            <w:col w:w="9019"/>
          </w:cols>
          <w:pgMar w:left="1440" w:top="230" w:right="1440" w:bottom="1440" w:gutter="0" w:footer="0" w:header="0"/>
        </w:sectPr>
      </w:pPr>
    </w:p>
    <w:bookmarkStart w:id="267" w:name="page268"/>
    <w:bookmarkEnd w:id="267"/>
    <w:p>
      <w:pPr>
        <w:ind w:left="1120" w:right="859" w:hanging="288"/>
        <w:spacing w:after="0" w:line="280" w:lineRule="auto"/>
        <w:tabs>
          <w:tab w:leader="none" w:pos="1120" w:val="left"/>
        </w:tabs>
        <w:numPr>
          <w:ilvl w:val="0"/>
          <w:numId w:val="21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Company’s share capital has been increased by conditional capital of up to €457,501.00 through the issue of up to 457,501 new, no-par-value bearer shares (Conditional Capital 2021/I). The conditional capital increase is exercised only to the extent that the holders of convertible and/or warrant-linked bonds issued by the Company until May 13, 2026 on the basis of the Annual General Meeting authorization dated May 14, 2021 exercise their conversion right or warrant, or conversion obligations arising from such debt instruments are fulfilled, and provided that other forms of settlement are not used. The new shares carry dividend rights from the beginning of the financial year in which they are issued as a result of the exercise of conversion rights or warrants or the fulfillment of conversion obligations. The Management Board is authorized, subject to the approval of the Supervisory Board, to specify the finer details of the procedure for the conditional capital increase. The Supervisory Board is authorized to amend the wording of the articles of incorporation in line with the specific utilization of the conditional capital.</w:t>
      </w:r>
    </w:p>
    <w:p>
      <w:pPr>
        <w:spacing w:after="0" w:line="52" w:lineRule="exact"/>
        <w:rPr>
          <w:rFonts w:ascii="Arial" w:cs="Arial" w:eastAsia="Arial" w:hAnsi="Arial"/>
          <w:sz w:val="11"/>
          <w:szCs w:val="11"/>
          <w:color w:val="auto"/>
        </w:rPr>
      </w:pPr>
    </w:p>
    <w:p>
      <w:pPr>
        <w:ind w:left="1120" w:right="859" w:hanging="288"/>
        <w:spacing w:after="0" w:line="278" w:lineRule="auto"/>
        <w:tabs>
          <w:tab w:leader="none" w:pos="1120" w:val="left"/>
        </w:tabs>
        <w:numPr>
          <w:ilvl w:val="0"/>
          <w:numId w:val="212"/>
        </w:numPr>
        <w:rPr>
          <w:rFonts w:ascii="Arial" w:cs="Arial" w:eastAsia="Arial" w:hAnsi="Arial"/>
          <w:sz w:val="11"/>
          <w:szCs w:val="11"/>
          <w:color w:val="auto"/>
        </w:rPr>
      </w:pPr>
      <w:r>
        <w:rPr>
          <w:rFonts w:ascii="Arial" w:cs="Arial" w:eastAsia="Arial" w:hAnsi="Arial"/>
          <w:sz w:val="11"/>
          <w:szCs w:val="11"/>
          <w:color w:val="auto"/>
        </w:rPr>
        <w:t>The Company’s share capital has been increased by conditional capital of up to €103,321.00 through the issue of up to 103,321 new, no-par-value bearer or registered shares (Conditional Capital 2021/II). The conditional capital increase serves solely to grant pre-emption rights to shares (share options) to members of the Company’s Management Board, such rights being granted on the basis of the Annual General Meeting authorization dated May 14, 2021.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Supervisory Board is authorized to specify the finer details of the conditional capital increase and the procedure for carrying it out. The Supervisory Board is also authorized to amend the wording of the articles of incorporation in line with the issue of shares in connection with the exercise of pre-emption rights.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Shares</w:t>
      </w:r>
    </w:p>
    <w:p>
      <w:pPr>
        <w:spacing w:after="0" w:line="159" w:lineRule="exact"/>
        <w:rPr>
          <w:sz w:val="20"/>
          <w:szCs w:val="20"/>
          <w:color w:val="auto"/>
        </w:rPr>
      </w:pPr>
    </w:p>
    <w:p>
      <w:pPr>
        <w:ind w:left="1120" w:right="1179" w:hanging="288"/>
        <w:spacing w:after="0" w:line="276" w:lineRule="auto"/>
        <w:tabs>
          <w:tab w:leader="none" w:pos="112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The form and content of the share certificates, and of dividend and renewal coupons, are specified by the Management Board, subject to the approval of the Supervisory Board.</w:t>
      </w:r>
    </w:p>
    <w:p>
      <w:pPr>
        <w:spacing w:after="0" w:line="51" w:lineRule="exact"/>
        <w:rPr>
          <w:rFonts w:ascii="Arial" w:cs="Arial" w:eastAsia="Arial" w:hAnsi="Arial"/>
          <w:sz w:val="12"/>
          <w:szCs w:val="12"/>
          <w:color w:val="auto"/>
        </w:rPr>
      </w:pPr>
    </w:p>
    <w:p>
      <w:pPr>
        <w:ind w:left="1120" w:right="1159" w:hanging="288"/>
        <w:spacing w:after="0" w:line="323" w:lineRule="auto"/>
        <w:tabs>
          <w:tab w:leader="none" w:pos="112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Shareholders’ entitlement to individual share certificates is excluded, unless individual share certificates are necessary according to the rules applicable on a stock exchange to which the shares have been admitted. Global certificates can be issued.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Other securities</w:t>
      </w:r>
    </w:p>
    <w:p>
      <w:pPr>
        <w:spacing w:after="0" w:line="141" w:lineRule="exact"/>
        <w:rPr>
          <w:sz w:val="20"/>
          <w:szCs w:val="20"/>
          <w:color w:val="auto"/>
        </w:rPr>
      </w:pPr>
    </w:p>
    <w:p>
      <w:pPr>
        <w:jc w:val="both"/>
        <w:ind w:left="1120" w:right="939"/>
        <w:spacing w:after="0" w:line="263" w:lineRule="auto"/>
        <w:rPr>
          <w:sz w:val="20"/>
          <w:szCs w:val="20"/>
          <w:color w:val="auto"/>
        </w:rPr>
      </w:pPr>
      <w:r>
        <w:rPr>
          <w:rFonts w:ascii="Arial" w:cs="Arial" w:eastAsia="Arial" w:hAnsi="Arial"/>
          <w:sz w:val="12"/>
          <w:szCs w:val="12"/>
          <w:color w:val="auto"/>
        </w:rPr>
        <w:t>The form and content of the certificates for convertible bonds, debt instruments, warrant-linked bonds, and warrants issued by the Company, and the corresponding interest coupons, depositary receipts, and renewal coupons are specified by the Management Board, subject to the approval of the Supervisory Board. Entitlement to individual certificates is excluded.</w:t>
      </w:r>
    </w:p>
    <w:p>
      <w:pPr>
        <w:sectPr>
          <w:pgSz w:w="11900" w:h="16838" w:orient="portrait"/>
          <w:cols w:equalWidth="0" w:num="1">
            <w:col w:w="9019"/>
          </w:cols>
          <w:pgMar w:left="1440" w:top="230" w:right="1440"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III. Management Board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Composition, rules of procedure, and adoption of resolutions</w:t>
      </w:r>
    </w:p>
    <w:p>
      <w:pPr>
        <w:spacing w:after="0" w:line="159" w:lineRule="exact"/>
        <w:rPr>
          <w:sz w:val="20"/>
          <w:szCs w:val="20"/>
          <w:color w:val="auto"/>
        </w:rPr>
      </w:pPr>
    </w:p>
    <w:p>
      <w:pPr>
        <w:ind w:left="1120" w:right="1079" w:hanging="288"/>
        <w:spacing w:after="0" w:line="276" w:lineRule="auto"/>
        <w:tabs>
          <w:tab w:leader="none" w:pos="112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The Management Board comprises one or more persons. The Management Board may consist of just one person, even if the Company’s share capital exceeds €3,000,000. Deputy members of the Management Board may be appointed.</w:t>
      </w:r>
    </w:p>
    <w:p>
      <w:pPr>
        <w:spacing w:after="0" w:line="51" w:lineRule="exact"/>
        <w:rPr>
          <w:rFonts w:ascii="Arial" w:cs="Arial" w:eastAsia="Arial" w:hAnsi="Arial"/>
          <w:sz w:val="12"/>
          <w:szCs w:val="12"/>
          <w:color w:val="auto"/>
        </w:rPr>
      </w:pPr>
    </w:p>
    <w:p>
      <w:pPr>
        <w:ind w:left="1120" w:right="1019" w:hanging="288"/>
        <w:spacing w:after="0" w:line="276" w:lineRule="auto"/>
        <w:tabs>
          <w:tab w:leader="none" w:pos="112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The Supervisory Board appoints the Management Board members and decides on the number of members in accordance with paragraph 1. The Supervisory Board may appoint a Chief Executive Officer and a deputy Chief Executive Officer.</w:t>
      </w:r>
    </w:p>
    <w:p>
      <w:pPr>
        <w:spacing w:after="0" w:line="51" w:lineRule="exact"/>
        <w:rPr>
          <w:rFonts w:ascii="Arial" w:cs="Arial" w:eastAsia="Arial" w:hAnsi="Arial"/>
          <w:sz w:val="12"/>
          <w:szCs w:val="12"/>
          <w:color w:val="auto"/>
        </w:rPr>
      </w:pPr>
    </w:p>
    <w:p>
      <w:pPr>
        <w:ind w:left="1120" w:right="1239" w:hanging="288"/>
        <w:spacing w:after="0" w:line="276" w:lineRule="auto"/>
        <w:tabs>
          <w:tab w:leader="none" w:pos="112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Resolutions of the Management Board are adopted by simple majority of the votes of the Management Board members participating in the adoption of a resolution. In the event of a tied vote, the Chief Executive Officer has the casting vote.</w:t>
      </w:r>
    </w:p>
    <w:p>
      <w:pPr>
        <w:sectPr>
          <w:pgSz w:w="11900" w:h="16838" w:orient="portrait"/>
          <w:cols w:equalWidth="0" w:num="1">
            <w:col w:w="9019"/>
          </w:cols>
          <w:pgMar w:left="1440" w:top="230" w:right="1440" w:bottom="1440" w:gutter="0" w:footer="0" w:header="0"/>
        </w:sectPr>
      </w:pPr>
    </w:p>
    <w:bookmarkStart w:id="269" w:name="page270"/>
    <w:bookmarkEnd w:id="269"/>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Management and representation of the Company</w:t>
      </w:r>
    </w:p>
    <w:p>
      <w:pPr>
        <w:spacing w:after="0" w:line="159" w:lineRule="exact"/>
        <w:rPr>
          <w:sz w:val="20"/>
          <w:szCs w:val="20"/>
          <w:color w:val="auto"/>
        </w:rPr>
      </w:pPr>
    </w:p>
    <w:p>
      <w:pPr>
        <w:ind w:left="1120" w:right="1319" w:hanging="288"/>
        <w:spacing w:after="0" w:line="323" w:lineRule="auto"/>
        <w:tabs>
          <w:tab w:leader="none" w:pos="1120" w:val="left"/>
        </w:tabs>
        <w:numPr>
          <w:ilvl w:val="0"/>
          <w:numId w:val="215"/>
        </w:numPr>
        <w:rPr>
          <w:rFonts w:ascii="Arial" w:cs="Arial" w:eastAsia="Arial" w:hAnsi="Arial"/>
          <w:sz w:val="11"/>
          <w:szCs w:val="11"/>
          <w:color w:val="auto"/>
        </w:rPr>
      </w:pPr>
      <w:r>
        <w:rPr>
          <w:rFonts w:ascii="Arial" w:cs="Arial" w:eastAsia="Arial" w:hAnsi="Arial"/>
          <w:sz w:val="11"/>
          <w:szCs w:val="11"/>
          <w:color w:val="auto"/>
        </w:rPr>
        <w:t>The Management Board members must run the Company’s business in accordance with the law, the articles of incorporation, the rules of procedure for the Management Board, the schedule of responsibilities, and their individual service contracts.</w:t>
      </w:r>
    </w:p>
    <w:p>
      <w:pPr>
        <w:spacing w:after="0" w:line="28" w:lineRule="exact"/>
        <w:rPr>
          <w:rFonts w:ascii="Arial" w:cs="Arial" w:eastAsia="Arial" w:hAnsi="Arial"/>
          <w:sz w:val="11"/>
          <w:szCs w:val="11"/>
          <w:color w:val="auto"/>
        </w:rPr>
      </w:pPr>
    </w:p>
    <w:p>
      <w:pPr>
        <w:ind w:left="1120" w:right="939" w:hanging="288"/>
        <w:spacing w:after="0" w:line="263" w:lineRule="auto"/>
        <w:tabs>
          <w:tab w:leader="none" w:pos="112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If only one member has been appointed, this person represents the Company alone. If more than one Management Board has been appointed, the Company is represented by either two Management Board members together or by one Management Board member in conjunction with one person with commercial power of attorney (Prokurist).</w:t>
      </w:r>
    </w:p>
    <w:p>
      <w:pPr>
        <w:spacing w:after="0" w:line="59" w:lineRule="exact"/>
        <w:rPr>
          <w:rFonts w:ascii="Arial" w:cs="Arial" w:eastAsia="Arial" w:hAnsi="Arial"/>
          <w:sz w:val="12"/>
          <w:szCs w:val="12"/>
          <w:color w:val="auto"/>
        </w:rPr>
      </w:pPr>
    </w:p>
    <w:p>
      <w:pPr>
        <w:ind w:left="1120" w:right="859" w:hanging="288"/>
        <w:spacing w:after="0" w:line="259" w:lineRule="auto"/>
        <w:tabs>
          <w:tab w:leader="none" w:pos="112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The Supervisory Board may stipulate different representation rules, including, but not limited to, authorizing Management Board members to represent the Company alone. Furthermore, the Supervisory Board can determine generally or on a case-by-case basis that individual or all Management Board members be authorized to represent the Company in legal transactions while acting as a representative of a third party; section 112 AktG still applies.</w:t>
      </w:r>
    </w:p>
    <w:p>
      <w:pPr>
        <w:spacing w:after="0" w:line="61" w:lineRule="exact"/>
        <w:rPr>
          <w:rFonts w:ascii="Arial" w:cs="Arial" w:eastAsia="Arial" w:hAnsi="Arial"/>
          <w:sz w:val="12"/>
          <w:szCs w:val="12"/>
          <w:color w:val="auto"/>
        </w:rPr>
      </w:pPr>
    </w:p>
    <w:p>
      <w:pPr>
        <w:ind w:left="1120" w:right="1239" w:hanging="288"/>
        <w:spacing w:after="0" w:line="276" w:lineRule="auto"/>
        <w:tabs>
          <w:tab w:leader="none" w:pos="112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The Supervisory Board must stipulate by means of a resolution or in the rules of procedure for the Management Board that certain types of transaction require the Supervisory Board’s approval.</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IV. Supervisory Board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Composition and term of office</w:t>
      </w:r>
    </w:p>
    <w:p>
      <w:pPr>
        <w:spacing w:after="0" w:line="159" w:lineRule="exact"/>
        <w:rPr>
          <w:sz w:val="20"/>
          <w:szCs w:val="20"/>
          <w:color w:val="auto"/>
        </w:rPr>
      </w:pPr>
    </w:p>
    <w:p>
      <w:pPr>
        <w:ind w:left="1120" w:hanging="288"/>
        <w:spacing w:after="0"/>
        <w:tabs>
          <w:tab w:leader="none" w:pos="112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The Supervisory Board comprises five members.</w:t>
      </w:r>
    </w:p>
    <w:p>
      <w:pPr>
        <w:spacing w:after="0" w:line="87" w:lineRule="exact"/>
        <w:rPr>
          <w:rFonts w:ascii="Arial" w:cs="Arial" w:eastAsia="Arial" w:hAnsi="Arial"/>
          <w:sz w:val="12"/>
          <w:szCs w:val="12"/>
          <w:color w:val="auto"/>
        </w:rPr>
      </w:pPr>
    </w:p>
    <w:p>
      <w:pPr>
        <w:ind w:left="1120" w:right="1039" w:hanging="288"/>
        <w:spacing w:after="0" w:line="263" w:lineRule="auto"/>
        <w:tabs>
          <w:tab w:leader="none" w:pos="112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The Supervisory Board is elected for the period up to the end of the Annual General Meeting in which its actions are formally approved for the fourth financial year after the start of its term of office. The financial year in which the election takes place is not included in this calculation. Members of the Supervisory Board can be re-elected.</w:t>
      </w:r>
    </w:p>
    <w:p>
      <w:pPr>
        <w:spacing w:after="0" w:line="59" w:lineRule="exact"/>
        <w:rPr>
          <w:rFonts w:ascii="Arial" w:cs="Arial" w:eastAsia="Arial" w:hAnsi="Arial"/>
          <w:sz w:val="12"/>
          <w:szCs w:val="12"/>
          <w:color w:val="auto"/>
        </w:rPr>
      </w:pPr>
    </w:p>
    <w:p>
      <w:pPr>
        <w:ind w:left="1120" w:right="879" w:hanging="288"/>
        <w:spacing w:after="0" w:line="255" w:lineRule="auto"/>
        <w:tabs>
          <w:tab w:leader="none" w:pos="112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Substitute members for one or more particular Supervisory Board members may be elected at the same time as the ordinary Supervisory Board members. They become Supervisory Board members in the sequence determined in the election if the Supervisory Board members for whom they were elected as substitute members leave the Supervisory Board before the end of their term of office. In the event that a substitute member takes the place of the departing member and, at a subsequent Annual General Meeting after the substitution, an election is held to replace the departing member, the substitute member’s term of office expires at the end of this Annual General Meeting, otherwise at the end of the remaining term of office of the departing member.</w:t>
      </w:r>
    </w:p>
    <w:p>
      <w:pPr>
        <w:spacing w:after="0" w:line="65" w:lineRule="exact"/>
        <w:rPr>
          <w:rFonts w:ascii="Arial" w:cs="Arial" w:eastAsia="Arial" w:hAnsi="Arial"/>
          <w:sz w:val="12"/>
          <w:szCs w:val="12"/>
          <w:color w:val="auto"/>
        </w:rPr>
      </w:pPr>
    </w:p>
    <w:p>
      <w:pPr>
        <w:ind w:left="1120" w:right="1019" w:hanging="288"/>
        <w:spacing w:after="0" w:line="340" w:lineRule="auto"/>
        <w:tabs>
          <w:tab w:leader="none" w:pos="1120" w:val="left"/>
        </w:tabs>
        <w:numPr>
          <w:ilvl w:val="0"/>
          <w:numId w:val="216"/>
        </w:numPr>
        <w:rPr>
          <w:rFonts w:ascii="Arial" w:cs="Arial" w:eastAsia="Arial" w:hAnsi="Arial"/>
          <w:sz w:val="10"/>
          <w:szCs w:val="10"/>
          <w:color w:val="auto"/>
        </w:rPr>
      </w:pPr>
      <w:r>
        <w:rPr>
          <w:rFonts w:ascii="Arial" w:cs="Arial" w:eastAsia="Arial" w:hAnsi="Arial"/>
          <w:sz w:val="10"/>
          <w:szCs w:val="10"/>
          <w:color w:val="auto"/>
        </w:rPr>
        <w:t>If a Supervisory Board member is elected in place of a departing member, his or her term of office continues for the remaining term of office of the departing member. If the election to replace a Supervisory Board member who left before the end of his or her term of office results in the departure of a substitute member, the resolution concerning the election must be adopted with a majority of three-quarters of the votes cast.</w:t>
      </w:r>
    </w:p>
    <w:p>
      <w:pPr>
        <w:spacing w:after="0" w:line="24" w:lineRule="exact"/>
        <w:rPr>
          <w:rFonts w:ascii="Arial" w:cs="Arial" w:eastAsia="Arial" w:hAnsi="Arial"/>
          <w:sz w:val="10"/>
          <w:szCs w:val="10"/>
          <w:color w:val="auto"/>
        </w:rPr>
      </w:pPr>
    </w:p>
    <w:p>
      <w:pPr>
        <w:ind w:left="1120" w:right="919" w:hanging="288"/>
        <w:spacing w:after="0" w:line="263" w:lineRule="auto"/>
        <w:tabs>
          <w:tab w:leader="none" w:pos="112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Every Supervisory Board member may resign from office by giving three months’ notice. Resignation must take the form of a written declaration to the Management Board, and the chairperson of the Supervisory Board must also be notified. This does not affect the right to resign for good cause.</w:t>
      </w:r>
    </w:p>
    <w:p>
      <w:pPr>
        <w:sectPr>
          <w:pgSz w:w="11900" w:h="16838" w:orient="portrait"/>
          <w:cols w:equalWidth="0" w:num="1">
            <w:col w:w="9019"/>
          </w:cols>
          <w:pgMar w:left="1440" w:top="230" w:right="1440"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Chairperson and deputy chairperson</w:t>
      </w:r>
    </w:p>
    <w:p>
      <w:pPr>
        <w:spacing w:after="0" w:line="159" w:lineRule="exact"/>
        <w:rPr>
          <w:sz w:val="20"/>
          <w:szCs w:val="20"/>
          <w:color w:val="auto"/>
        </w:rPr>
      </w:pPr>
    </w:p>
    <w:p>
      <w:pPr>
        <w:ind w:left="1120" w:right="939" w:hanging="288"/>
        <w:spacing w:after="0" w:line="298" w:lineRule="auto"/>
        <w:tabs>
          <w:tab w:leader="none" w:pos="1120" w:val="left"/>
        </w:tabs>
        <w:numPr>
          <w:ilvl w:val="0"/>
          <w:numId w:val="217"/>
        </w:numPr>
        <w:rPr>
          <w:rFonts w:ascii="Arial" w:cs="Arial" w:eastAsia="Arial" w:hAnsi="Arial"/>
          <w:sz w:val="11"/>
          <w:szCs w:val="11"/>
          <w:color w:val="auto"/>
        </w:rPr>
      </w:pPr>
      <w:r>
        <w:rPr>
          <w:rFonts w:ascii="Arial" w:cs="Arial" w:eastAsia="Arial" w:hAnsi="Arial"/>
          <w:sz w:val="11"/>
          <w:szCs w:val="11"/>
          <w:color w:val="auto"/>
        </w:rPr>
        <w:t>The Supervisory Board elects from its number a chairperson and one or more deputies at the first meeting after it has been elected. They are each elected for the duration of the term of office for which they have been elected to the Supervisory Board or for a shorter period defined by the Supervisory Board. Where there is more than one deputy, the sequence specified by the voting applies.</w:t>
      </w:r>
    </w:p>
    <w:p>
      <w:pPr>
        <w:spacing w:after="0" w:line="41" w:lineRule="exact"/>
        <w:rPr>
          <w:rFonts w:ascii="Arial" w:cs="Arial" w:eastAsia="Arial" w:hAnsi="Arial"/>
          <w:sz w:val="11"/>
          <w:szCs w:val="11"/>
          <w:color w:val="auto"/>
        </w:rPr>
      </w:pPr>
    </w:p>
    <w:p>
      <w:pPr>
        <w:ind w:left="1120" w:right="899" w:hanging="288"/>
        <w:spacing w:after="0" w:line="276" w:lineRule="auto"/>
        <w:tabs>
          <w:tab w:leader="none" w:pos="112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If the chairperson or one of his or her deputies leaves before his or her term of office has expired, the Supervisory Board must hold an election for a successor for the remaining term of office of the departing member without undue delay.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Supervisory Board meetings</w:t>
      </w:r>
    </w:p>
    <w:p>
      <w:pPr>
        <w:spacing w:after="0" w:line="159" w:lineRule="exact"/>
        <w:rPr>
          <w:sz w:val="20"/>
          <w:szCs w:val="20"/>
          <w:color w:val="auto"/>
        </w:rPr>
      </w:pPr>
    </w:p>
    <w:p>
      <w:pPr>
        <w:ind w:left="1120" w:right="899" w:hanging="288"/>
        <w:spacing w:after="0" w:line="298" w:lineRule="auto"/>
        <w:tabs>
          <w:tab w:leader="none" w:pos="1120" w:val="left"/>
        </w:tabs>
        <w:numPr>
          <w:ilvl w:val="0"/>
          <w:numId w:val="218"/>
        </w:numPr>
        <w:rPr>
          <w:rFonts w:ascii="Arial" w:cs="Arial" w:eastAsia="Arial" w:hAnsi="Arial"/>
          <w:sz w:val="11"/>
          <w:szCs w:val="11"/>
          <w:color w:val="auto"/>
        </w:rPr>
      </w:pPr>
      <w:r>
        <w:rPr>
          <w:rFonts w:ascii="Arial" w:cs="Arial" w:eastAsia="Arial" w:hAnsi="Arial"/>
          <w:sz w:val="11"/>
          <w:szCs w:val="11"/>
          <w:color w:val="auto"/>
        </w:rPr>
        <w:t>The meetings of the Supervisory Board are convened in writing by the chairperson of the Supervisory Board with 14 days’ notice. The day on which the invitation is sent and the day of the meeting are not included in the calculation of the notice period. In urgent cases, the chairperson can shorten the notice period appropriately and convene meetings orally, by telephone, or in writing using electronic media (e.g. email).</w:t>
      </w:r>
    </w:p>
    <w:p>
      <w:pPr>
        <w:spacing w:after="0" w:line="41" w:lineRule="exact"/>
        <w:rPr>
          <w:rFonts w:ascii="Arial" w:cs="Arial" w:eastAsia="Arial" w:hAnsi="Arial"/>
          <w:sz w:val="11"/>
          <w:szCs w:val="11"/>
          <w:color w:val="auto"/>
        </w:rPr>
      </w:pPr>
    </w:p>
    <w:p>
      <w:pPr>
        <w:ind w:left="1120" w:right="1079" w:hanging="288"/>
        <w:spacing w:after="0" w:line="276" w:lineRule="auto"/>
        <w:tabs>
          <w:tab w:leader="none" w:pos="112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The invitation must include details of the agenda. If proper notice of the agenda is not provided, voting in respect of the agenda may only take place if no objection is raised by any Supervisory Board member.</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Supervisory Board resolutions</w:t>
      </w:r>
    </w:p>
    <w:p>
      <w:pPr>
        <w:spacing w:after="0" w:line="159" w:lineRule="exact"/>
        <w:rPr>
          <w:sz w:val="20"/>
          <w:szCs w:val="20"/>
          <w:color w:val="auto"/>
        </w:rPr>
      </w:pPr>
    </w:p>
    <w:p>
      <w:pPr>
        <w:ind w:left="1120" w:right="859" w:hanging="288"/>
        <w:spacing w:after="0" w:line="256" w:lineRule="auto"/>
        <w:tabs>
          <w:tab w:leader="none" w:pos="112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Resolutions of the Supervisory Board are usually adopted in meetings. By order of the chairperson of the Supervisory Board, resolutions may be adopted outside of meetings by means of voting conducted in writing, by telex, by telephone, or using electronic media unless a member objects to this procedure by an appropriate deadline specified by the chairperson. The chairperson produces a written record of such resolutions without undue delay and forwards it to all members. Where votes are held outside of meetings, the provisions below apply with the necessary modifications.</w:t>
      </w:r>
    </w:p>
    <w:p>
      <w:pPr>
        <w:spacing w:after="0" w:line="65" w:lineRule="exact"/>
        <w:rPr>
          <w:rFonts w:ascii="Arial" w:cs="Arial" w:eastAsia="Arial" w:hAnsi="Arial"/>
          <w:sz w:val="12"/>
          <w:szCs w:val="12"/>
          <w:color w:val="auto"/>
        </w:rPr>
      </w:pPr>
    </w:p>
    <w:p>
      <w:pPr>
        <w:ind w:left="1120" w:hanging="288"/>
        <w:spacing w:after="0"/>
        <w:tabs>
          <w:tab w:leader="none" w:pos="112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A member is deemed to have participated in the adoption of a resolution even if that member abstained from voting.</w:t>
      </w:r>
    </w:p>
    <w:p>
      <w:pPr>
        <w:spacing w:after="0" w:line="87" w:lineRule="exact"/>
        <w:rPr>
          <w:rFonts w:ascii="Arial" w:cs="Arial" w:eastAsia="Arial" w:hAnsi="Arial"/>
          <w:sz w:val="12"/>
          <w:szCs w:val="12"/>
          <w:color w:val="auto"/>
        </w:rPr>
      </w:pPr>
    </w:p>
    <w:p>
      <w:pPr>
        <w:ind w:left="1120" w:right="1119" w:hanging="288"/>
        <w:spacing w:after="0" w:line="263" w:lineRule="auto"/>
        <w:tabs>
          <w:tab w:leader="none" w:pos="112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The Supervisory Board adopts its resolutions by a simple majority of the votes cast, unless the law stipulates otherwise. An abstention is not deemed to be a cast vote. A relative majority applies in elections. In the event of a tied vote, the chairperson of the Supervisory Board has the casting vote; this also applies to elections.</w:t>
      </w:r>
    </w:p>
    <w:p>
      <w:pPr>
        <w:spacing w:after="0" w:line="59" w:lineRule="exact"/>
        <w:rPr>
          <w:rFonts w:ascii="Arial" w:cs="Arial" w:eastAsia="Arial" w:hAnsi="Arial"/>
          <w:sz w:val="12"/>
          <w:szCs w:val="12"/>
          <w:color w:val="auto"/>
        </w:rPr>
      </w:pPr>
    </w:p>
    <w:p>
      <w:pPr>
        <w:ind w:left="1120" w:right="919" w:hanging="288"/>
        <w:spacing w:after="0" w:line="276" w:lineRule="auto"/>
        <w:tabs>
          <w:tab w:leader="none" w:pos="112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The chairperson of the Supervisory Board is authorized to issue declarations of intent in the name of the Supervisory Board that are necessary for the implementation of Supervisory Board resolutions.</w:t>
      </w:r>
    </w:p>
    <w:p>
      <w:pPr>
        <w:spacing w:after="0" w:line="51" w:lineRule="exact"/>
        <w:rPr>
          <w:rFonts w:ascii="Arial" w:cs="Arial" w:eastAsia="Arial" w:hAnsi="Arial"/>
          <w:sz w:val="12"/>
          <w:szCs w:val="12"/>
          <w:color w:val="auto"/>
        </w:rPr>
      </w:pPr>
    </w:p>
    <w:p>
      <w:pPr>
        <w:ind w:left="1120" w:right="939" w:hanging="288"/>
        <w:spacing w:after="0" w:line="276" w:lineRule="auto"/>
        <w:tabs>
          <w:tab w:leader="none" w:pos="112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Minutes must be taken of the discussions and resolutions of the Supervisory Board; the minutes must be signed by the meeting chairperson or, in the case of voting outside of meetings, by the person who chaired the voting.</w:t>
      </w:r>
    </w:p>
    <w:p>
      <w:pPr>
        <w:sectPr>
          <w:pgSz w:w="11900" w:h="16838" w:orient="portrait"/>
          <w:cols w:equalWidth="0" w:num="1">
            <w:col w:w="9019"/>
          </w:cols>
          <w:pgMar w:left="1440" w:top="230" w:right="1440" w:bottom="1440" w:gutter="0" w:footer="0" w:header="0"/>
        </w:sectPr>
      </w:pPr>
    </w:p>
    <w:bookmarkStart w:id="271" w:name="page272"/>
    <w:bookmarkEnd w:id="271"/>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Rules of procedure</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Supervisory Board establishes its own rules of procedure within the framework of the law and the articles of incorporation.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Remuneration</w:t>
      </w:r>
    </w:p>
    <w:p>
      <w:pPr>
        <w:spacing w:after="0" w:line="159" w:lineRule="exact"/>
        <w:rPr>
          <w:sz w:val="20"/>
          <w:szCs w:val="20"/>
          <w:color w:val="auto"/>
        </w:rPr>
      </w:pPr>
    </w:p>
    <w:p>
      <w:pPr>
        <w:ind w:left="1120" w:hanging="288"/>
        <w:spacing w:after="0"/>
        <w:tabs>
          <w:tab w:leader="none" w:pos="112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The remuneration of the members of the Supervisory Board is approved by the Annual General Meeting.</w:t>
      </w:r>
    </w:p>
    <w:p>
      <w:pPr>
        <w:spacing w:after="0" w:line="87" w:lineRule="exact"/>
        <w:rPr>
          <w:rFonts w:ascii="Arial" w:cs="Arial" w:eastAsia="Arial" w:hAnsi="Arial"/>
          <w:sz w:val="12"/>
          <w:szCs w:val="12"/>
          <w:color w:val="auto"/>
        </w:rPr>
      </w:pPr>
    </w:p>
    <w:p>
      <w:pPr>
        <w:ind w:left="1120" w:right="1459" w:hanging="288"/>
        <w:spacing w:after="0" w:line="276" w:lineRule="auto"/>
        <w:tabs>
          <w:tab w:leader="none" w:pos="112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The Supervisory Board members are also reimbursed for all out-of-pocket expenses and for any VAT payable on their remuneration or out-of-pocket expenses.</w:t>
      </w:r>
    </w:p>
    <w:p>
      <w:pPr>
        <w:spacing w:after="0" w:line="51" w:lineRule="exact"/>
        <w:rPr>
          <w:rFonts w:ascii="Arial" w:cs="Arial" w:eastAsia="Arial" w:hAnsi="Arial"/>
          <w:sz w:val="12"/>
          <w:szCs w:val="12"/>
          <w:color w:val="auto"/>
        </w:rPr>
      </w:pPr>
    </w:p>
    <w:p>
      <w:pPr>
        <w:ind w:left="1120" w:hanging="288"/>
        <w:spacing w:after="0"/>
        <w:tabs>
          <w:tab w:leader="none" w:pos="112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The Company pays the costs of directors’ and officers’ insurance for the Supervisory Board members.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Amendments to the articles of incorporation</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Supervisory Board is authorized to decide on amendments to the articles of incorporation that relate purely to the wording.</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V. Annual General Meeting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Venue, notice, and participation</w:t>
      </w:r>
    </w:p>
    <w:p>
      <w:pPr>
        <w:spacing w:after="0" w:line="159" w:lineRule="exact"/>
        <w:rPr>
          <w:sz w:val="20"/>
          <w:szCs w:val="20"/>
          <w:color w:val="auto"/>
        </w:rPr>
      </w:pPr>
    </w:p>
    <w:p>
      <w:pPr>
        <w:ind w:left="1120" w:right="1079" w:hanging="288"/>
        <w:spacing w:after="0" w:line="276" w:lineRule="auto"/>
        <w:tabs>
          <w:tab w:leader="none" w:pos="11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The Annual General Meeting is held at the registered office of the Company, at the premises of a German stock exchange, or in a German city with more than 500,000 residents.</w:t>
      </w:r>
    </w:p>
    <w:p>
      <w:pPr>
        <w:spacing w:after="0" w:line="51" w:lineRule="exact"/>
        <w:rPr>
          <w:rFonts w:ascii="Arial" w:cs="Arial" w:eastAsia="Arial" w:hAnsi="Arial"/>
          <w:sz w:val="12"/>
          <w:szCs w:val="12"/>
          <w:color w:val="auto"/>
        </w:rPr>
      </w:pPr>
    </w:p>
    <w:p>
      <w:pPr>
        <w:ind w:left="1120" w:hanging="288"/>
        <w:spacing w:after="0"/>
        <w:tabs>
          <w:tab w:leader="none" w:pos="11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The Annual General Meeting is convened by the Management Board or, in cases prescribed by law, by the Supervisory Board.</w:t>
      </w:r>
    </w:p>
    <w:p>
      <w:pPr>
        <w:spacing w:after="0" w:line="87" w:lineRule="exact"/>
        <w:rPr>
          <w:rFonts w:ascii="Arial" w:cs="Arial" w:eastAsia="Arial" w:hAnsi="Arial"/>
          <w:sz w:val="12"/>
          <w:szCs w:val="12"/>
          <w:color w:val="auto"/>
        </w:rPr>
      </w:pPr>
    </w:p>
    <w:p>
      <w:pPr>
        <w:ind w:left="1120" w:right="959" w:hanging="288"/>
        <w:spacing w:after="0" w:line="323" w:lineRule="auto"/>
        <w:tabs>
          <w:tab w:leader="none" w:pos="1120" w:val="left"/>
        </w:tabs>
        <w:numPr>
          <w:ilvl w:val="0"/>
          <w:numId w:val="221"/>
        </w:numPr>
        <w:rPr>
          <w:rFonts w:ascii="Arial" w:cs="Arial" w:eastAsia="Arial" w:hAnsi="Arial"/>
          <w:sz w:val="11"/>
          <w:szCs w:val="11"/>
          <w:color w:val="auto"/>
        </w:rPr>
      </w:pPr>
      <w:r>
        <w:rPr>
          <w:rFonts w:ascii="Arial" w:cs="Arial" w:eastAsia="Arial" w:hAnsi="Arial"/>
          <w:sz w:val="11"/>
          <w:szCs w:val="11"/>
          <w:color w:val="auto"/>
        </w:rPr>
        <w:t>Proof of share ownership prepared in text form (as defined in section 126b of the German Civil Code, BGB) by the last intermediary pursuant to section 67c (3) AktG is sufficient proof of entitlement to participate in the Annual General Meeting or exercise voting rights.</w:t>
      </w:r>
    </w:p>
    <w:p>
      <w:pPr>
        <w:spacing w:after="0" w:line="28" w:lineRule="exact"/>
        <w:rPr>
          <w:rFonts w:ascii="Arial" w:cs="Arial" w:eastAsia="Arial" w:hAnsi="Arial"/>
          <w:sz w:val="11"/>
          <w:szCs w:val="11"/>
          <w:color w:val="auto"/>
        </w:rPr>
      </w:pPr>
    </w:p>
    <w:p>
      <w:pPr>
        <w:ind w:left="1120" w:right="959" w:hanging="288"/>
        <w:spacing w:after="0" w:line="263" w:lineRule="auto"/>
        <w:tabs>
          <w:tab w:leader="none" w:pos="11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The proof of share ownership must confirm possession of the shareholding at the start of the 21st day before the Annual General Meeting. In the relationship with the Company, the only criterion for participation in the Annual General Meeting or for the exercise of voting rights by a shareholder is whether or not the shareholder has provided the proof of share ownership.</w:t>
      </w:r>
    </w:p>
    <w:p>
      <w:pPr>
        <w:spacing w:after="0" w:line="59" w:lineRule="exact"/>
        <w:rPr>
          <w:rFonts w:ascii="Arial" w:cs="Arial" w:eastAsia="Arial" w:hAnsi="Arial"/>
          <w:sz w:val="12"/>
          <w:szCs w:val="12"/>
          <w:color w:val="auto"/>
        </w:rPr>
      </w:pPr>
    </w:p>
    <w:p>
      <w:pPr>
        <w:ind w:left="1120" w:right="899" w:hanging="288"/>
        <w:spacing w:after="0" w:line="285" w:lineRule="auto"/>
        <w:tabs>
          <w:tab w:leader="none" w:pos="1120" w:val="left"/>
        </w:tabs>
        <w:numPr>
          <w:ilvl w:val="0"/>
          <w:numId w:val="221"/>
        </w:numPr>
        <w:rPr>
          <w:rFonts w:ascii="Arial" w:cs="Arial" w:eastAsia="Arial" w:hAnsi="Arial"/>
          <w:sz w:val="11"/>
          <w:szCs w:val="11"/>
          <w:color w:val="auto"/>
        </w:rPr>
      </w:pPr>
      <w:r>
        <w:rPr>
          <w:rFonts w:ascii="Arial" w:cs="Arial" w:eastAsia="Arial" w:hAnsi="Arial"/>
          <w:sz w:val="11"/>
          <w:szCs w:val="11"/>
          <w:color w:val="auto"/>
        </w:rPr>
        <w:t>The registration form and proof of share ownership must be received by the Company at the address shown in the notice of the meeting no later than the sixth day before the Annual General Meeting; the statutory provisions govern the calculation of the registration period. The Management Board is entitled to specify a shorter registration period (measured in days) in the notice of the Annual General Meeting; in this case, the shorter registration period stipulated by the Management Board applies to the receipt of the registration form and proof of share ownership. This does not affect any further shortening of the registration period on the basis of statutory provisions.</w:t>
      </w:r>
    </w:p>
    <w:p>
      <w:pPr>
        <w:sectPr>
          <w:pgSz w:w="11900" w:h="16838" w:orient="portrait"/>
          <w:cols w:equalWidth="0" w:num="1">
            <w:col w:w="9019"/>
          </w:cols>
          <w:pgMar w:left="1440" w:top="230" w:right="1440" w:bottom="1440" w:gutter="0" w:footer="0" w:header="0"/>
        </w:sectPr>
      </w:pPr>
    </w:p>
    <w:bookmarkStart w:id="272" w:name="page273"/>
    <w:bookmarkEnd w:id="272"/>
    <w:p>
      <w:pPr>
        <w:ind w:left="1120" w:hanging="288"/>
        <w:spacing w:after="0"/>
        <w:tabs>
          <w:tab w:leader="none" w:pos="1120" w:val="left"/>
        </w:tabs>
        <w:numPr>
          <w:ilvl w:val="0"/>
          <w:numId w:val="22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announcement giving notice of the Annual General Meeting can include further details about registration and proof of entitlement.</w:t>
      </w:r>
    </w:p>
    <w:p>
      <w:pPr>
        <w:spacing w:after="0" w:line="98" w:lineRule="exact"/>
        <w:rPr>
          <w:rFonts w:ascii="Arial" w:cs="Arial" w:eastAsia="Arial" w:hAnsi="Arial"/>
          <w:sz w:val="11"/>
          <w:szCs w:val="11"/>
          <w:color w:val="auto"/>
        </w:rPr>
      </w:pPr>
    </w:p>
    <w:p>
      <w:pPr>
        <w:ind w:left="1120" w:right="879" w:hanging="288"/>
        <w:spacing w:after="0" w:line="281" w:lineRule="auto"/>
        <w:tabs>
          <w:tab w:leader="none" w:pos="1120" w:val="left"/>
        </w:tabs>
        <w:numPr>
          <w:ilvl w:val="0"/>
          <w:numId w:val="222"/>
        </w:numPr>
        <w:rPr>
          <w:rFonts w:ascii="Arial" w:cs="Arial" w:eastAsia="Arial" w:hAnsi="Arial"/>
          <w:sz w:val="11"/>
          <w:szCs w:val="11"/>
          <w:color w:val="auto"/>
        </w:rPr>
      </w:pPr>
      <w:r>
        <w:rPr>
          <w:rFonts w:ascii="Arial" w:cs="Arial" w:eastAsia="Arial" w:hAnsi="Arial"/>
          <w:sz w:val="11"/>
          <w:szCs w:val="11"/>
          <w:color w:val="auto"/>
        </w:rPr>
        <w:t>Shareholders can appoint authorized representatives to represent them at the Annual General Meeting and exercise their voting rights. The appointment of an authorized representative, and the cancellation and proof of such an appointment, must be in text form (as defined in section 126b BGB). The notice of the Annual General Meeting can specify simplified processes for appointing an authorized representative, and for cancelling and providing proof of such an appointment; to the extent permitted by law, it can also specify details about appointing and cancelling an authorized representative, including the manner in which proof of such an appointment can be sent to the Company. The proxies appointed by the Company can also be appointed as authorized representatives by fax or using electronic media if this is indicated by the Management Board in the announcement giving notice of the Annual General Meeting. Section 135 AktG still applies.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Chairing the Annual General Meeting</w:t>
      </w:r>
    </w:p>
    <w:p>
      <w:pPr>
        <w:spacing w:after="0" w:line="159" w:lineRule="exact"/>
        <w:rPr>
          <w:sz w:val="20"/>
          <w:szCs w:val="20"/>
          <w:color w:val="auto"/>
        </w:rPr>
      </w:pPr>
    </w:p>
    <w:p>
      <w:pPr>
        <w:ind w:left="1120" w:right="1159" w:hanging="288"/>
        <w:spacing w:after="0" w:line="276" w:lineRule="auto"/>
        <w:tabs>
          <w:tab w:leader="none" w:pos="112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Annual General Meeting is chaired by the chairman of the Supervisory Board or another person designated by the Supervisory Board. It cannot be chaired by a Management Board member or the certifying notary.</w:t>
      </w:r>
    </w:p>
    <w:p>
      <w:pPr>
        <w:spacing w:after="0" w:line="51" w:lineRule="exact"/>
        <w:rPr>
          <w:rFonts w:ascii="Arial" w:cs="Arial" w:eastAsia="Arial" w:hAnsi="Arial"/>
          <w:sz w:val="12"/>
          <w:szCs w:val="12"/>
          <w:color w:val="auto"/>
        </w:rPr>
      </w:pPr>
    </w:p>
    <w:p>
      <w:pPr>
        <w:ind w:left="1120" w:right="879" w:hanging="288"/>
        <w:spacing w:after="0" w:line="326" w:lineRule="auto"/>
        <w:tabs>
          <w:tab w:leader="none" w:pos="1120" w:val="left"/>
        </w:tabs>
        <w:numPr>
          <w:ilvl w:val="0"/>
          <w:numId w:val="223"/>
        </w:numPr>
        <w:rPr>
          <w:rFonts w:ascii="Arial" w:cs="Arial" w:eastAsia="Arial" w:hAnsi="Arial"/>
          <w:sz w:val="10"/>
          <w:szCs w:val="10"/>
          <w:color w:val="auto"/>
        </w:rPr>
      </w:pPr>
      <w:r>
        <w:rPr>
          <w:rFonts w:ascii="Arial" w:cs="Arial" w:eastAsia="Arial" w:hAnsi="Arial"/>
          <w:sz w:val="10"/>
          <w:szCs w:val="10"/>
          <w:color w:val="auto"/>
        </w:rPr>
        <w:t>The chairperson chairs the discussions and determines the sequence in which the agenda is dealt with, the form and sequence of the votes, and the sequence of contributions to the debate. The chairperson can set an appropriate limit on the time allotted to shareholders for speaking and asking questions and can specify further details in this regard. In particular, he or she is entitled, at the beginning of the Annual General Meeting or while it is in progress, to set an appropriate time limit for the entire Annual General Meeting, for the individual agenda items, or for individual speakers.</w:t>
      </w:r>
    </w:p>
    <w:p>
      <w:pPr>
        <w:spacing w:after="0" w:line="32" w:lineRule="exact"/>
        <w:rPr>
          <w:rFonts w:ascii="Arial" w:cs="Arial" w:eastAsia="Arial" w:hAnsi="Arial"/>
          <w:sz w:val="10"/>
          <w:szCs w:val="10"/>
          <w:color w:val="auto"/>
        </w:rPr>
      </w:pPr>
    </w:p>
    <w:p>
      <w:pPr>
        <w:ind w:left="1120" w:right="979" w:hanging="288"/>
        <w:spacing w:after="0" w:line="276" w:lineRule="auto"/>
        <w:tabs>
          <w:tab w:leader="none" w:pos="112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meeting chairperson is authorized to permit the video and audio broadcasting of all or parts of the Annual General Meeting in a manner that he or she has determined.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Adoption of resolutions</w:t>
      </w:r>
    </w:p>
    <w:p>
      <w:pPr>
        <w:spacing w:after="0" w:line="141" w:lineRule="exact"/>
        <w:rPr>
          <w:sz w:val="20"/>
          <w:szCs w:val="20"/>
          <w:color w:val="auto"/>
        </w:rPr>
      </w:pPr>
    </w:p>
    <w:p>
      <w:pPr>
        <w:jc w:val="both"/>
        <w:ind w:left="840" w:right="859"/>
        <w:spacing w:after="0" w:line="263" w:lineRule="auto"/>
        <w:rPr>
          <w:sz w:val="20"/>
          <w:szCs w:val="20"/>
          <w:color w:val="auto"/>
        </w:rPr>
      </w:pPr>
      <w:r>
        <w:rPr>
          <w:rFonts w:ascii="Arial" w:cs="Arial" w:eastAsia="Arial" w:hAnsi="Arial"/>
          <w:sz w:val="12"/>
          <w:szCs w:val="12"/>
          <w:color w:val="auto"/>
        </w:rPr>
        <w:t>Unless otherwise stipulated by law or the articles of incorporation, the Annual General Meeting adopts its resolutions with a simple majority of the votes cast or, where a majority of capital is required, by simple majority of the share capital represented in the voting. An abstention is not deemed to be a cast vote.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VI. Single-entity financial statements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Single-entity financial statements</w:t>
      </w:r>
    </w:p>
    <w:p>
      <w:pPr>
        <w:spacing w:after="0" w:line="159" w:lineRule="exact"/>
        <w:rPr>
          <w:sz w:val="20"/>
          <w:szCs w:val="20"/>
          <w:color w:val="auto"/>
        </w:rPr>
      </w:pPr>
    </w:p>
    <w:p>
      <w:pPr>
        <w:ind w:left="1120" w:right="959" w:hanging="288"/>
        <w:spacing w:after="0" w:line="326" w:lineRule="auto"/>
        <w:tabs>
          <w:tab w:leader="none" w:pos="1120" w:val="left"/>
        </w:tabs>
        <w:numPr>
          <w:ilvl w:val="0"/>
          <w:numId w:val="224"/>
        </w:numPr>
        <w:rPr>
          <w:rFonts w:ascii="Arial" w:cs="Arial" w:eastAsia="Arial" w:hAnsi="Arial"/>
          <w:sz w:val="10"/>
          <w:szCs w:val="10"/>
          <w:color w:val="auto"/>
        </w:rPr>
      </w:pPr>
      <w:r>
        <w:rPr>
          <w:rFonts w:ascii="Arial" w:cs="Arial" w:eastAsia="Arial" w:hAnsi="Arial"/>
          <w:sz w:val="10"/>
          <w:szCs w:val="10"/>
          <w:color w:val="auto"/>
        </w:rPr>
        <w:t>The Management Board must prepare the single-entity financial statements, the management report if required by law, the consolidated financial statements if required, and the group management report if required by law for the preceding financial year and present them to the Supervisory Board by the statutory deadlines. At the same time, the Management Board must present to the Supervisory Board the proposal for the appropriation of profit that it wishes to submit to the Annual General Meeting. The Supervisory Board must review the single-entity financial</w:t>
      </w:r>
    </w:p>
    <w:p>
      <w:pPr>
        <w:sectPr>
          <w:pgSz w:w="11900" w:h="16838" w:orient="portrait"/>
          <w:cols w:equalWidth="0" w:num="1">
            <w:col w:w="9019"/>
          </w:cols>
          <w:pgMar w:left="1440" w:top="230" w:right="1440" w:bottom="1440" w:gutter="0" w:footer="0" w:header="0"/>
        </w:sectPr>
      </w:pPr>
    </w:p>
    <w:bookmarkStart w:id="273" w:name="page274"/>
    <w:bookmarkEnd w:id="273"/>
    <w:p>
      <w:pPr>
        <w:ind w:left="1120" w:right="9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statements, the management report if applicable, the proposal for the appropriation of profit, the consolidated financial statements, and the group management report if applicable. If the Supervisory Board approves the single-entity financial statements, they are deemed adopted, unless the Management Board or Supervisory Board resolves to have the Annual General Meeting adopt the single-entity financial statements. The Supervisory Board must resolve on the approval of the consolidated financial statements.</w:t>
      </w:r>
    </w:p>
    <w:p>
      <w:pPr>
        <w:spacing w:after="0" w:line="61" w:lineRule="exact"/>
        <w:rPr>
          <w:sz w:val="20"/>
          <w:szCs w:val="20"/>
          <w:color w:val="auto"/>
        </w:rPr>
      </w:pPr>
    </w:p>
    <w:p>
      <w:pPr>
        <w:ind w:left="1120" w:right="999" w:hanging="288"/>
        <w:spacing w:after="0" w:line="276" w:lineRule="auto"/>
        <w:tabs>
          <w:tab w:leader="none" w:pos="112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The Management Board must convene the Annual General Meeting without undue delay once it has received the Supervisory Board’s report on the outcome of its review.</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Appropriation of profit</w:t>
      </w:r>
    </w:p>
    <w:p>
      <w:pPr>
        <w:spacing w:after="0" w:line="159" w:lineRule="exact"/>
        <w:rPr>
          <w:sz w:val="20"/>
          <w:szCs w:val="20"/>
          <w:color w:val="auto"/>
        </w:rPr>
      </w:pPr>
    </w:p>
    <w:p>
      <w:pPr>
        <w:ind w:left="1120" w:right="859" w:hanging="288"/>
        <w:spacing w:after="0" w:line="276" w:lineRule="auto"/>
        <w:tabs>
          <w:tab w:leader="none" w:pos="112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The statutory provisions apply with respect to the appropriation of profit. In a resolution concerning a capital increase, the distribution of profit for new shares may be determined in departure from section 60 (2) sentence 3 AktG.</w:t>
      </w:r>
    </w:p>
    <w:p>
      <w:pPr>
        <w:spacing w:after="0" w:line="51" w:lineRule="exact"/>
        <w:rPr>
          <w:rFonts w:ascii="Arial" w:cs="Arial" w:eastAsia="Arial" w:hAnsi="Arial"/>
          <w:sz w:val="12"/>
          <w:szCs w:val="12"/>
          <w:color w:val="auto"/>
        </w:rPr>
      </w:pPr>
    </w:p>
    <w:p>
      <w:pPr>
        <w:ind w:left="1120" w:hanging="288"/>
        <w:spacing w:after="0"/>
        <w:tabs>
          <w:tab w:leader="none" w:pos="112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The Annual General Meeting may decide on a non-cash distribution in place of or in addition to a cash distribution.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VII. Concluding provisions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Formation expenses</w:t>
      </w:r>
    </w:p>
    <w:p>
      <w:pPr>
        <w:spacing w:after="0" w:line="141" w:lineRule="exact"/>
        <w:rPr>
          <w:sz w:val="20"/>
          <w:szCs w:val="20"/>
          <w:color w:val="auto"/>
        </w:rPr>
      </w:pPr>
    </w:p>
    <w:p>
      <w:pPr>
        <w:ind w:left="840" w:right="979"/>
        <w:spacing w:after="0" w:line="276" w:lineRule="auto"/>
        <w:rPr>
          <w:sz w:val="20"/>
          <w:szCs w:val="20"/>
          <w:color w:val="auto"/>
        </w:rPr>
      </w:pPr>
      <w:r>
        <w:rPr>
          <w:rFonts w:ascii="Arial" w:cs="Arial" w:eastAsia="Arial" w:hAnsi="Arial"/>
          <w:sz w:val="12"/>
          <w:szCs w:val="12"/>
          <w:color w:val="auto"/>
        </w:rPr>
        <w:t>The court costs and notary costs, including publication costs and other costs for legal and tax advice that are incurred in connection with setting up the Company are borne by the Company up to a total sum of €2,500.00.</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Miscellaneous</w:t>
      </w:r>
    </w:p>
    <w:p>
      <w:pPr>
        <w:spacing w:after="0" w:line="141" w:lineRule="exact"/>
        <w:rPr>
          <w:sz w:val="20"/>
          <w:szCs w:val="20"/>
          <w:color w:val="auto"/>
        </w:rPr>
      </w:pPr>
    </w:p>
    <w:p>
      <w:pPr>
        <w:ind w:left="840" w:right="1039"/>
        <w:spacing w:after="0" w:line="298" w:lineRule="auto"/>
        <w:rPr>
          <w:sz w:val="20"/>
          <w:szCs w:val="20"/>
          <w:color w:val="auto"/>
        </w:rPr>
      </w:pPr>
      <w:r>
        <w:rPr>
          <w:rFonts w:ascii="Arial" w:cs="Arial" w:eastAsia="Arial" w:hAnsi="Arial"/>
          <w:sz w:val="11"/>
          <w:szCs w:val="11"/>
          <w:color w:val="auto"/>
        </w:rPr>
        <w:t>The law applies where the articles of incorporation do not contain relevant provisions. Should individual provisions of this document be or become ineffective, this should not affect the rest of the content. The shareholders are obliged to replace any ineffective provision with an effective provision that corresponds as closely as possible to the intended commercial purpose. The same applies to omissions.</w:t>
      </w:r>
    </w:p>
    <w:p>
      <w:pPr>
        <w:sectPr>
          <w:pgSz w:w="11900" w:h="16838" w:orient="portrait"/>
          <w:cols w:equalWidth="0" w:num="1">
            <w:col w:w="9019"/>
          </w:cols>
          <w:pgMar w:left="1440" w:top="230" w:right="1440" w:bottom="1440" w:gutter="0" w:footer="0" w:header="0"/>
        </w:sectPr>
      </w:pPr>
    </w:p>
    <w:bookmarkStart w:id="274" w:name="page275"/>
    <w:bookmarkEnd w:id="274"/>
    <w:p>
      <w:pPr>
        <w:spacing w:after="0" w:line="200" w:lineRule="exact"/>
        <w:rPr>
          <w:sz w:val="20"/>
          <w:szCs w:val="20"/>
          <w:color w:val="auto"/>
        </w:rPr>
      </w:pPr>
    </w:p>
    <w:p>
      <w:pPr>
        <w:spacing w:after="0" w:line="322" w:lineRule="exact"/>
        <w:rPr>
          <w:sz w:val="20"/>
          <w:szCs w:val="20"/>
          <w:color w:val="auto"/>
        </w:rPr>
      </w:pPr>
    </w:p>
    <w:p>
      <w:pPr>
        <w:jc w:val="center"/>
        <w:ind w:left="880"/>
        <w:spacing w:after="0"/>
        <w:rPr>
          <w:sz w:val="20"/>
          <w:szCs w:val="20"/>
          <w:color w:val="auto"/>
        </w:rPr>
      </w:pPr>
      <w:r>
        <w:rPr>
          <w:rFonts w:ascii="Arial" w:cs="Arial" w:eastAsia="Arial" w:hAnsi="Arial"/>
          <w:sz w:val="12"/>
          <w:szCs w:val="12"/>
          <w:b w:val="1"/>
          <w:bCs w:val="1"/>
          <w:color w:val="auto"/>
        </w:rPr>
        <w:t>Mynaric AG</w:t>
      </w:r>
    </w:p>
    <w:p>
      <w:pPr>
        <w:spacing w:after="0" w:line="78" w:lineRule="exact"/>
        <w:rPr>
          <w:sz w:val="20"/>
          <w:szCs w:val="20"/>
          <w:color w:val="auto"/>
        </w:rPr>
      </w:pPr>
    </w:p>
    <w:p>
      <w:pPr>
        <w:jc w:val="center"/>
        <w:ind w:left="880"/>
        <w:spacing w:after="0"/>
        <w:rPr>
          <w:sz w:val="20"/>
          <w:szCs w:val="20"/>
          <w:color w:val="auto"/>
        </w:rPr>
      </w:pPr>
      <w:r>
        <w:rPr>
          <w:rFonts w:ascii="Arial" w:cs="Arial" w:eastAsia="Arial" w:hAnsi="Arial"/>
          <w:sz w:val="12"/>
          <w:szCs w:val="12"/>
          <w:b w:val="1"/>
          <w:bCs w:val="1"/>
          <w:color w:val="auto"/>
        </w:rPr>
        <w:t>AKTIENOPTIONSPROGRAMM 2019</w:t>
      </w:r>
    </w:p>
    <w:p>
      <w:pPr>
        <w:spacing w:after="0" w:line="78" w:lineRule="exact"/>
        <w:rPr>
          <w:sz w:val="20"/>
          <w:szCs w:val="20"/>
          <w:color w:val="auto"/>
        </w:rPr>
      </w:pPr>
    </w:p>
    <w:p>
      <w:pPr>
        <w:ind w:left="1720"/>
        <w:spacing w:after="0"/>
        <w:rPr>
          <w:sz w:val="20"/>
          <w:szCs w:val="20"/>
          <w:color w:val="auto"/>
        </w:rPr>
      </w:pPr>
      <w:r>
        <w:rPr>
          <w:rFonts w:ascii="Arial" w:cs="Arial" w:eastAsia="Arial" w:hAnsi="Arial"/>
          <w:sz w:val="12"/>
          <w:szCs w:val="12"/>
          <w:b w:val="1"/>
          <w:bCs w:val="1"/>
          <w:color w:val="auto"/>
        </w:rPr>
        <w:t>Optionsbedingungen für Bezugsrechte</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2"/>
          <w:szCs w:val="12"/>
          <w:b w:val="1"/>
          <w:bCs w:val="1"/>
          <w:color w:val="auto"/>
        </w:rPr>
        <w:t>aus dem Aktienoptionsprogramm 2019</w:t>
      </w:r>
    </w:p>
    <w:p>
      <w:pPr>
        <w:spacing w:after="0" w:line="222" w:lineRule="exact"/>
        <w:rPr>
          <w:sz w:val="20"/>
          <w:szCs w:val="20"/>
          <w:color w:val="auto"/>
        </w:rPr>
      </w:pPr>
    </w:p>
    <w:p>
      <w:pPr>
        <w:ind w:left="840"/>
        <w:spacing w:after="0" w:line="278" w:lineRule="auto"/>
        <w:rPr>
          <w:sz w:val="20"/>
          <w:szCs w:val="20"/>
          <w:color w:val="auto"/>
        </w:rPr>
      </w:pPr>
      <w:r>
        <w:rPr>
          <w:rFonts w:ascii="Arial" w:cs="Arial" w:eastAsia="Arial" w:hAnsi="Arial"/>
          <w:sz w:val="11"/>
          <w:szCs w:val="11"/>
          <w:color w:val="auto"/>
        </w:rPr>
        <w:t>Die Hauptversammlung der Mynaric AG, Gilching/Landkreis München, (nachfolgend auch “</w:t>
      </w:r>
      <w:r>
        <w:rPr>
          <w:rFonts w:ascii="Arial" w:cs="Arial" w:eastAsia="Arial" w:hAnsi="Arial"/>
          <w:sz w:val="11"/>
          <w:szCs w:val="11"/>
          <w:b w:val="1"/>
          <w:bCs w:val="1"/>
          <w:color w:val="auto"/>
        </w:rPr>
        <w:t>Mynaric</w:t>
      </w:r>
      <w:r>
        <w:rPr>
          <w:rFonts w:ascii="Arial" w:cs="Arial" w:eastAsia="Arial" w:hAnsi="Arial"/>
          <w:sz w:val="11"/>
          <w:szCs w:val="11"/>
          <w:color w:val="auto"/>
        </w:rPr>
        <w:t>” oder die “</w:t>
      </w:r>
      <w:r>
        <w:rPr>
          <w:rFonts w:ascii="Arial" w:cs="Arial" w:eastAsia="Arial" w:hAnsi="Arial"/>
          <w:sz w:val="11"/>
          <w:szCs w:val="11"/>
          <w:b w:val="1"/>
          <w:bCs w:val="1"/>
          <w:color w:val="auto"/>
        </w:rPr>
        <w:t>Gesellschaft</w:t>
      </w:r>
      <w:r>
        <w:rPr>
          <w:rFonts w:ascii="Arial" w:cs="Arial" w:eastAsia="Arial" w:hAnsi="Arial"/>
          <w:sz w:val="11"/>
          <w:szCs w:val="11"/>
          <w:color w:val="auto"/>
        </w:rPr>
        <w:t>”) hat am 02. Juli 2019 ein Aktienoptionsprogramm beschlossen, auf dessen Grundlage Mitgliedern des Vorstandes der Gesellschaft oder Geschäftsführern von mit der Gesellschaft verbundenen Unternehmen (“</w:t>
      </w:r>
      <w:r>
        <w:rPr>
          <w:rFonts w:ascii="Arial" w:cs="Arial" w:eastAsia="Arial" w:hAnsi="Arial"/>
          <w:sz w:val="11"/>
          <w:szCs w:val="11"/>
          <w:b w:val="1"/>
          <w:bCs w:val="1"/>
          <w:color w:val="auto"/>
        </w:rPr>
        <w:t>Gruppe 1</w:t>
      </w:r>
      <w:r>
        <w:rPr>
          <w:rFonts w:ascii="Arial" w:cs="Arial" w:eastAsia="Arial" w:hAnsi="Arial"/>
          <w:sz w:val="11"/>
          <w:szCs w:val="11"/>
          <w:color w:val="auto"/>
        </w:rPr>
        <w:t>”) sowie Arbeitnehmern der Gesellschaft oder von mit der Gesellschaft verbundenen Unternehmen im In- und Ausland (“</w:t>
      </w:r>
      <w:r>
        <w:rPr>
          <w:rFonts w:ascii="Arial" w:cs="Arial" w:eastAsia="Arial" w:hAnsi="Arial"/>
          <w:sz w:val="11"/>
          <w:szCs w:val="11"/>
          <w:b w:val="1"/>
          <w:bCs w:val="1"/>
          <w:color w:val="auto"/>
        </w:rPr>
        <w:t>Gruppe 2</w:t>
      </w:r>
      <w:r>
        <w:rPr>
          <w:rFonts w:ascii="Arial" w:cs="Arial" w:eastAsia="Arial" w:hAnsi="Arial"/>
          <w:sz w:val="11"/>
          <w:szCs w:val="11"/>
          <w:color w:val="auto"/>
        </w:rPr>
        <w:t>”) (Gruppe 1 und Gruppe 2 gemeinsam auch “</w:t>
      </w:r>
      <w:r>
        <w:rPr>
          <w:rFonts w:ascii="Arial" w:cs="Arial" w:eastAsia="Arial" w:hAnsi="Arial"/>
          <w:sz w:val="11"/>
          <w:szCs w:val="11"/>
          <w:b w:val="1"/>
          <w:bCs w:val="1"/>
          <w:color w:val="auto"/>
        </w:rPr>
        <w:t>Bezugsberechtigte</w:t>
      </w:r>
      <w:r>
        <w:rPr>
          <w:rFonts w:ascii="Arial" w:cs="Arial" w:eastAsia="Arial" w:hAnsi="Arial"/>
          <w:sz w:val="11"/>
          <w:szCs w:val="11"/>
          <w:color w:val="auto"/>
        </w:rPr>
        <w:t>”) in einer oder mehreren Tranchen Bezugsrechte auf neue, auf den Inhaber oder den Namen lautende Aktien der Gesellschaft (die “</w:t>
      </w:r>
      <w:r>
        <w:rPr>
          <w:rFonts w:ascii="Arial" w:cs="Arial" w:eastAsia="Arial" w:hAnsi="Arial"/>
          <w:sz w:val="11"/>
          <w:szCs w:val="11"/>
          <w:b w:val="1"/>
          <w:bCs w:val="1"/>
          <w:color w:val="auto"/>
        </w:rPr>
        <w:t>Bezugsrechte</w:t>
      </w:r>
      <w:r>
        <w:rPr>
          <w:rFonts w:ascii="Arial" w:cs="Arial" w:eastAsia="Arial" w:hAnsi="Arial"/>
          <w:sz w:val="11"/>
          <w:szCs w:val="11"/>
          <w:color w:val="auto"/>
        </w:rPr>
        <w:t>”) gewährt werden können.</w:t>
      </w:r>
    </w:p>
    <w:p>
      <w:pPr>
        <w:spacing w:after="0" w:line="47" w:lineRule="exact"/>
        <w:rPr>
          <w:sz w:val="20"/>
          <w:szCs w:val="20"/>
          <w:color w:val="auto"/>
        </w:rPr>
      </w:pPr>
    </w:p>
    <w:p>
      <w:pPr>
        <w:ind w:left="840" w:right="40"/>
        <w:spacing w:after="0" w:line="326" w:lineRule="auto"/>
        <w:rPr>
          <w:sz w:val="20"/>
          <w:szCs w:val="20"/>
          <w:color w:val="auto"/>
        </w:rPr>
      </w:pPr>
      <w:r>
        <w:rPr>
          <w:rFonts w:ascii="Arial" w:cs="Arial" w:eastAsia="Arial" w:hAnsi="Arial"/>
          <w:sz w:val="10"/>
          <w:szCs w:val="10"/>
          <w:color w:val="auto"/>
        </w:rPr>
        <w:t>Der Aufsichtsrat und der Vorstand haben beschlossen, von dieser Ermächtigung Gebrauch zu machen. Für die Bezugsrechte des Aktienoptionsprogramms 2019 gelten diese Optionsbedingungen. Sie bilden einen integralen Bestandteil der Bezugsrechte mit den Bezugsberechtigten.</w:t>
      </w:r>
    </w:p>
    <w:p>
      <w:pPr>
        <w:spacing w:after="0" w:line="20" w:lineRule="exact"/>
        <w:rPr>
          <w:sz w:val="20"/>
          <w:szCs w:val="20"/>
          <w:color w:val="auto"/>
        </w:rPr>
      </w:pPr>
      <w:r>
        <w:rPr>
          <w:sz w:val="20"/>
          <w:szCs w:val="20"/>
          <w:color w:val="auto"/>
        </w:rPr>
        <w:br w:type="column"/>
      </w:r>
    </w:p>
    <w:p>
      <w:pPr>
        <w:jc w:val="right"/>
        <w:ind w:right="839"/>
        <w:spacing w:after="0"/>
        <w:rPr>
          <w:sz w:val="20"/>
          <w:szCs w:val="20"/>
          <w:color w:val="auto"/>
        </w:rPr>
      </w:pPr>
      <w:r>
        <w:rPr>
          <w:rFonts w:ascii="Arial" w:cs="Arial" w:eastAsia="Arial" w:hAnsi="Arial"/>
          <w:sz w:val="12"/>
          <w:szCs w:val="12"/>
          <w:b w:val="1"/>
          <w:bCs w:val="1"/>
          <w:color w:val="auto"/>
        </w:rPr>
        <w:t>Exhibit 10.1</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English translation – legally non binding</w:t>
      </w:r>
    </w:p>
    <w:p>
      <w:pPr>
        <w:spacing w:after="0" w:line="78" w:lineRule="exact"/>
        <w:rPr>
          <w:sz w:val="20"/>
          <w:szCs w:val="20"/>
          <w:color w:val="auto"/>
        </w:rPr>
      </w:pPr>
    </w:p>
    <w:p>
      <w:pPr>
        <w:ind w:left="1400"/>
        <w:spacing w:after="0"/>
        <w:rPr>
          <w:sz w:val="20"/>
          <w:szCs w:val="20"/>
          <w:color w:val="auto"/>
        </w:rPr>
      </w:pPr>
      <w:r>
        <w:rPr>
          <w:rFonts w:ascii="Arial" w:cs="Arial" w:eastAsia="Arial" w:hAnsi="Arial"/>
          <w:sz w:val="12"/>
          <w:szCs w:val="12"/>
          <w:b w:val="1"/>
          <w:bCs w:val="1"/>
          <w:color w:val="auto"/>
        </w:rPr>
        <w:t>Mynaric AG</w:t>
      </w:r>
    </w:p>
    <w:p>
      <w:pPr>
        <w:spacing w:after="0" w:line="78"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STOCK OPTION PROGRAM 2019</w:t>
      </w:r>
    </w:p>
    <w:p>
      <w:pPr>
        <w:spacing w:after="0" w:line="78"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Option conditions for subscription</w:t>
      </w:r>
    </w:p>
    <w:p>
      <w:pPr>
        <w:spacing w:after="0" w:line="19"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rights from the stock option program</w:t>
      </w:r>
    </w:p>
    <w:p>
      <w:pPr>
        <w:spacing w:after="0" w:line="6" w:lineRule="exact"/>
        <w:rPr>
          <w:sz w:val="20"/>
          <w:szCs w:val="20"/>
          <w:color w:val="auto"/>
        </w:rPr>
      </w:pPr>
    </w:p>
    <w:p>
      <w:pPr>
        <w:jc w:val="center"/>
        <w:ind w:right="839"/>
        <w:spacing w:after="0"/>
        <w:rPr>
          <w:sz w:val="20"/>
          <w:szCs w:val="20"/>
          <w:color w:val="auto"/>
        </w:rPr>
      </w:pPr>
      <w:r>
        <w:rPr>
          <w:rFonts w:ascii="Arial" w:cs="Arial" w:eastAsia="Arial" w:hAnsi="Arial"/>
          <w:sz w:val="12"/>
          <w:szCs w:val="12"/>
          <w:b w:val="1"/>
          <w:bCs w:val="1"/>
          <w:color w:val="auto"/>
        </w:rPr>
        <w:t>2019</w:t>
      </w:r>
    </w:p>
    <w:p>
      <w:pPr>
        <w:spacing w:after="0" w:line="78" w:lineRule="exact"/>
        <w:rPr>
          <w:sz w:val="20"/>
          <w:szCs w:val="20"/>
          <w:color w:val="auto"/>
        </w:rPr>
      </w:pPr>
    </w:p>
    <w:p>
      <w:pPr>
        <w:ind w:right="919"/>
        <w:spacing w:after="0" w:line="278" w:lineRule="auto"/>
        <w:rPr>
          <w:sz w:val="20"/>
          <w:szCs w:val="20"/>
          <w:color w:val="auto"/>
        </w:rPr>
      </w:pPr>
      <w:r>
        <w:rPr>
          <w:rFonts w:ascii="Arial" w:cs="Arial" w:eastAsia="Arial" w:hAnsi="Arial"/>
          <w:sz w:val="11"/>
          <w:szCs w:val="11"/>
          <w:color w:val="auto"/>
        </w:rPr>
        <w:t>On July 2, 2019, the Annual General Meeting of Mynaric AG, Gilching/Germany, (hereinafter also referred to as “</w:t>
      </w:r>
      <w:r>
        <w:rPr>
          <w:rFonts w:ascii="Arial" w:cs="Arial" w:eastAsia="Arial" w:hAnsi="Arial"/>
          <w:sz w:val="11"/>
          <w:szCs w:val="11"/>
          <w:b w:val="1"/>
          <w:bCs w:val="1"/>
          <w:color w:val="auto"/>
        </w:rPr>
        <w:t>Mynaric</w:t>
      </w:r>
      <w:r>
        <w:rPr>
          <w:rFonts w:ascii="Arial" w:cs="Arial" w:eastAsia="Arial" w:hAnsi="Arial"/>
          <w:sz w:val="11"/>
          <w:szCs w:val="11"/>
          <w:color w:val="auto"/>
        </w:rPr>
        <w:t>” or the “</w:t>
      </w:r>
      <w:r>
        <w:rPr>
          <w:rFonts w:ascii="Arial" w:cs="Arial" w:eastAsia="Arial" w:hAnsi="Arial"/>
          <w:sz w:val="11"/>
          <w:szCs w:val="11"/>
          <w:b w:val="1"/>
          <w:bCs w:val="1"/>
          <w:color w:val="auto"/>
        </w:rPr>
        <w:t>Company</w:t>
      </w:r>
      <w:r>
        <w:rPr>
          <w:rFonts w:ascii="Arial" w:cs="Arial" w:eastAsia="Arial" w:hAnsi="Arial"/>
          <w:sz w:val="11"/>
          <w:szCs w:val="11"/>
          <w:color w:val="auto"/>
        </w:rPr>
        <w:t>”) resolved a stock option program on the basis of which members of the Executive Board of the Company or managing directors of companies affiliated with the Company (“</w:t>
      </w:r>
      <w:r>
        <w:rPr>
          <w:rFonts w:ascii="Arial" w:cs="Arial" w:eastAsia="Arial" w:hAnsi="Arial"/>
          <w:sz w:val="11"/>
          <w:szCs w:val="11"/>
          <w:b w:val="1"/>
          <w:bCs w:val="1"/>
          <w:color w:val="auto"/>
        </w:rPr>
        <w:t>Group 1</w:t>
      </w:r>
      <w:r>
        <w:rPr>
          <w:rFonts w:ascii="Arial" w:cs="Arial" w:eastAsia="Arial" w:hAnsi="Arial"/>
          <w:sz w:val="11"/>
          <w:szCs w:val="11"/>
          <w:color w:val="auto"/>
        </w:rPr>
        <w:t>”) as well as employees of the Company or of companies affiliated with the Company in Germany and abroad (“</w:t>
      </w:r>
      <w:r>
        <w:rPr>
          <w:rFonts w:ascii="Arial" w:cs="Arial" w:eastAsia="Arial" w:hAnsi="Arial"/>
          <w:sz w:val="11"/>
          <w:szCs w:val="11"/>
          <w:b w:val="1"/>
          <w:bCs w:val="1"/>
          <w:color w:val="auto"/>
        </w:rPr>
        <w:t>Group 2</w:t>
      </w:r>
      <w:r>
        <w:rPr>
          <w:rFonts w:ascii="Arial" w:cs="Arial" w:eastAsia="Arial" w:hAnsi="Arial"/>
          <w:sz w:val="11"/>
          <w:szCs w:val="11"/>
          <w:color w:val="auto"/>
        </w:rPr>
        <w:t>”) (Group 1 and Group 2 together also referred to as “</w:t>
      </w:r>
      <w:r>
        <w:rPr>
          <w:rFonts w:ascii="Arial" w:cs="Arial" w:eastAsia="Arial" w:hAnsi="Arial"/>
          <w:sz w:val="11"/>
          <w:szCs w:val="11"/>
          <w:b w:val="1"/>
          <w:bCs w:val="1"/>
          <w:color w:val="auto"/>
        </w:rPr>
        <w:t>beneficiaries</w:t>
      </w:r>
      <w:r>
        <w:rPr>
          <w:rFonts w:ascii="Arial" w:cs="Arial" w:eastAsia="Arial" w:hAnsi="Arial"/>
          <w:sz w:val="11"/>
          <w:szCs w:val="11"/>
          <w:color w:val="auto"/>
        </w:rPr>
        <w:t>”) can be granted subscription rights to new bearer or registered shares of the Company (the “</w:t>
      </w:r>
      <w:r>
        <w:rPr>
          <w:rFonts w:ascii="Arial" w:cs="Arial" w:eastAsia="Arial" w:hAnsi="Arial"/>
          <w:sz w:val="11"/>
          <w:szCs w:val="11"/>
          <w:b w:val="1"/>
          <w:bCs w:val="1"/>
          <w:color w:val="auto"/>
        </w:rPr>
        <w:t>subscription rights</w:t>
      </w:r>
      <w:r>
        <w:rPr>
          <w:rFonts w:ascii="Arial" w:cs="Arial" w:eastAsia="Arial" w:hAnsi="Arial"/>
          <w:sz w:val="11"/>
          <w:szCs w:val="11"/>
          <w:color w:val="auto"/>
        </w:rPr>
        <w:t>”) in one or more tranches.</w:t>
      </w:r>
    </w:p>
    <w:p>
      <w:pPr>
        <w:spacing w:after="0" w:line="47" w:lineRule="exact"/>
        <w:rPr>
          <w:sz w:val="20"/>
          <w:szCs w:val="20"/>
          <w:color w:val="auto"/>
        </w:rPr>
      </w:pPr>
    </w:p>
    <w:p>
      <w:pPr>
        <w:ind w:right="1019"/>
        <w:spacing w:after="0" w:line="289" w:lineRule="auto"/>
        <w:rPr>
          <w:sz w:val="20"/>
          <w:szCs w:val="20"/>
          <w:color w:val="auto"/>
        </w:rPr>
      </w:pPr>
      <w:r>
        <w:rPr>
          <w:rFonts w:ascii="Arial" w:cs="Arial" w:eastAsia="Arial" w:hAnsi="Arial"/>
          <w:sz w:val="11"/>
          <w:szCs w:val="11"/>
          <w:color w:val="auto"/>
        </w:rPr>
        <w:t>The Supervisory Board and the Management Board have decided to make use of this authorization. These option conditions apply to the subscription rights of stock option program 2019. They form an integral part of the subscription rights with the beneficiaries.</w:t>
      </w:r>
    </w:p>
    <w:p>
      <w:pPr>
        <w:sectPr>
          <w:pgSz w:w="11900" w:h="16838" w:orient="portrait"/>
          <w:cols w:equalWidth="0" w:num="2">
            <w:col w:w="4540" w:space="180"/>
            <w:col w:w="4299"/>
          </w:cols>
          <w:pgMar w:left="1440" w:top="127" w:right="1440" w:bottom="1440" w:gutter="0" w:footer="0" w:header="0"/>
        </w:sectPr>
      </w:pPr>
    </w:p>
    <w:bookmarkStart w:id="275" w:name="page276"/>
    <w:bookmarkEnd w:id="275"/>
    <w:tbl>
      <w:tblPr>
        <w:tblLayout w:type="fixed"/>
        <w:tblInd w:w="1060" w:type="dxa"/>
        <w:tblCellMar>
          <w:top w:w="0" w:type="dxa"/>
          <w:left w:w="0" w:type="dxa"/>
          <w:bottom w:w="0" w:type="dxa"/>
          <w:right w:w="0" w:type="dxa"/>
        </w:tblCellMar>
      </w:tblPr>
      <w:tr>
        <w:trPr>
          <w:trHeight w:val="144"/>
        </w:trPr>
        <w:tc>
          <w:tcPr>
            <w:tcW w:w="3460" w:type="dxa"/>
            <w:vAlign w:val="bottom"/>
          </w:tcPr>
          <w:p>
            <w:pPr>
              <w:jc w:val="right"/>
              <w:ind w:right="1680"/>
              <w:spacing w:after="0"/>
              <w:rPr>
                <w:sz w:val="20"/>
                <w:szCs w:val="20"/>
                <w:color w:val="auto"/>
              </w:rPr>
            </w:pPr>
            <w:r>
              <w:rPr>
                <w:rFonts w:ascii="Arial" w:cs="Arial" w:eastAsia="Arial" w:hAnsi="Arial"/>
                <w:sz w:val="12"/>
                <w:szCs w:val="12"/>
                <w:b w:val="1"/>
                <w:bCs w:val="1"/>
                <w:color w:val="auto"/>
              </w:rPr>
              <w:t>§ 1</w:t>
            </w:r>
          </w:p>
        </w:tc>
        <w:tc>
          <w:tcPr>
            <w:tcW w:w="3620" w:type="dxa"/>
            <w:vAlign w:val="bottom"/>
          </w:tcPr>
          <w:p>
            <w:pPr>
              <w:jc w:val="right"/>
              <w:ind w:right="1580"/>
              <w:spacing w:after="0"/>
              <w:rPr>
                <w:sz w:val="20"/>
                <w:szCs w:val="20"/>
                <w:color w:val="auto"/>
              </w:rPr>
            </w:pPr>
            <w:r>
              <w:rPr>
                <w:rFonts w:ascii="Arial" w:cs="Arial" w:eastAsia="Arial" w:hAnsi="Arial"/>
                <w:sz w:val="12"/>
                <w:szCs w:val="12"/>
                <w:b w:val="1"/>
                <w:bCs w:val="1"/>
                <w:color w:val="auto"/>
              </w:rPr>
              <w:t>§ 1</w:t>
            </w:r>
          </w:p>
        </w:tc>
      </w:tr>
      <w:tr>
        <w:trPr>
          <w:trHeight w:val="166"/>
        </w:trPr>
        <w:tc>
          <w:tcPr>
            <w:tcW w:w="3460" w:type="dxa"/>
            <w:vAlign w:val="bottom"/>
          </w:tcPr>
          <w:p>
            <w:pPr>
              <w:jc w:val="center"/>
              <w:ind w:right="100"/>
              <w:spacing w:after="0"/>
              <w:rPr>
                <w:sz w:val="20"/>
                <w:szCs w:val="20"/>
                <w:color w:val="auto"/>
              </w:rPr>
            </w:pPr>
            <w:r>
              <w:rPr>
                <w:rFonts w:ascii="Arial" w:cs="Arial" w:eastAsia="Arial" w:hAnsi="Arial"/>
                <w:sz w:val="12"/>
                <w:szCs w:val="12"/>
                <w:b w:val="1"/>
                <w:bCs w:val="1"/>
                <w:color w:val="auto"/>
                <w:w w:val="89"/>
              </w:rPr>
              <w:t>Inhalt der Bezugsrechte, Gesamtvolumen und dessen Aufteilung</w:t>
            </w:r>
          </w:p>
        </w:tc>
        <w:tc>
          <w:tcPr>
            <w:tcW w:w="3620" w:type="dxa"/>
            <w:vAlign w:val="bottom"/>
          </w:tcPr>
          <w:p>
            <w:pPr>
              <w:jc w:val="center"/>
              <w:ind w:left="120"/>
              <w:spacing w:after="0"/>
              <w:rPr>
                <w:sz w:val="20"/>
                <w:szCs w:val="20"/>
                <w:color w:val="auto"/>
              </w:rPr>
            </w:pPr>
            <w:r>
              <w:rPr>
                <w:rFonts w:ascii="Arial" w:cs="Arial" w:eastAsia="Arial" w:hAnsi="Arial"/>
                <w:sz w:val="12"/>
                <w:szCs w:val="12"/>
                <w:b w:val="1"/>
                <w:bCs w:val="1"/>
                <w:color w:val="auto"/>
                <w:w w:val="90"/>
              </w:rPr>
              <w:t>Content of the subscription rights, total volume and its distribution</w:t>
            </w:r>
          </w:p>
        </w:tc>
      </w:tr>
    </w:tbl>
    <w:p>
      <w:pPr>
        <w:jc w:val="center"/>
        <w:ind w:left="120"/>
        <w:spacing w:after="0"/>
        <w:rPr>
          <w:sz w:val="20"/>
          <w:szCs w:val="20"/>
          <w:color w:val="auto"/>
        </w:rPr>
        <w:sectPr>
          <w:pgSz w:w="11900" w:h="16838" w:orient="portrait"/>
          <w:cols w:equalWidth="0" w:num="1">
            <w:col w:w="9019"/>
          </w:cols>
          <w:pgMar w:left="1440" w:top="298"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63" w:lineRule="exact"/>
        <w:rPr>
          <w:sz w:val="20"/>
          <w:szCs w:val="20"/>
          <w:color w:val="auto"/>
        </w:rPr>
      </w:pPr>
    </w:p>
    <w:p>
      <w:pPr>
        <w:ind w:left="1120" w:hanging="299"/>
        <w:spacing w:after="0" w:line="298" w:lineRule="auto"/>
        <w:tabs>
          <w:tab w:leader="none" w:pos="1100"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1"/>
          <w:szCs w:val="11"/>
          <w:color w:val="auto"/>
        </w:rPr>
        <w:t>Jedes Bezugsrecht berechtigt den Bezugsberechtigten nach Maßgabe dieser Optionsbedingungen zum Bezug je einer neuen, auf den Inhaber lautenden Aktie der Mynaric zum Ausübungspreis.</w:t>
      </w:r>
    </w:p>
    <w:p>
      <w:pPr>
        <w:spacing w:after="0" w:line="33" w:lineRule="exact"/>
        <w:rPr>
          <w:sz w:val="20"/>
          <w:szCs w:val="20"/>
          <w:color w:val="auto"/>
        </w:rPr>
      </w:pPr>
    </w:p>
    <w:p>
      <w:pPr>
        <w:jc w:val="both"/>
        <w:ind w:left="1120" w:right="60" w:hanging="299"/>
        <w:spacing w:after="0" w:line="298" w:lineRule="auto"/>
        <w:tabs>
          <w:tab w:leader="none" w:pos="110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1"/>
          <w:szCs w:val="11"/>
          <w:color w:val="auto"/>
        </w:rPr>
        <w:t>Unter diesem Aktienoptionsprogramm können bis zum 31. Dezember 2022 einmal oder mehrmals bis zu 270.000 Bezugsrechte ausgegeben werden. Das Gesamtvolumen teilt sich wie folgt auf:</w:t>
      </w:r>
    </w:p>
    <w:p>
      <w:pPr>
        <w:spacing w:after="0" w:line="33" w:lineRule="exact"/>
        <w:rPr>
          <w:sz w:val="20"/>
          <w:szCs w:val="20"/>
          <w:color w:val="auto"/>
        </w:rPr>
      </w:pPr>
    </w:p>
    <w:p>
      <w:pPr>
        <w:ind w:left="1300" w:hanging="168"/>
        <w:spacing w:after="0"/>
        <w:tabs>
          <w:tab w:leader="none" w:pos="130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135.000 Bezugsrechte (50 Prozent) an die Gruppe 1</w:t>
      </w:r>
    </w:p>
    <w:p>
      <w:pPr>
        <w:spacing w:after="0" w:line="87" w:lineRule="exact"/>
        <w:rPr>
          <w:rFonts w:ascii="Arial" w:cs="Arial" w:eastAsia="Arial" w:hAnsi="Arial"/>
          <w:sz w:val="12"/>
          <w:szCs w:val="12"/>
          <w:color w:val="auto"/>
        </w:rPr>
      </w:pPr>
    </w:p>
    <w:p>
      <w:pPr>
        <w:ind w:left="1300" w:hanging="168"/>
        <w:spacing w:after="0"/>
        <w:tabs>
          <w:tab w:leader="none" w:pos="130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135.000 Bezugsrechte (50 Prozent) an die Gruppe 2.</w:t>
      </w:r>
    </w:p>
    <w:p>
      <w:pPr>
        <w:spacing w:after="0" w:line="83" w:lineRule="exact"/>
        <w:rPr>
          <w:sz w:val="20"/>
          <w:szCs w:val="20"/>
          <w:color w:val="auto"/>
        </w:rPr>
      </w:pPr>
    </w:p>
    <w:p>
      <w:pPr>
        <w:jc w:val="center"/>
        <w:ind w:left="880"/>
        <w:spacing w:after="0"/>
        <w:rPr>
          <w:sz w:val="20"/>
          <w:szCs w:val="20"/>
          <w:color w:val="auto"/>
        </w:rPr>
      </w:pPr>
      <w:r>
        <w:rPr>
          <w:rFonts w:ascii="Arial" w:cs="Arial" w:eastAsia="Arial" w:hAnsi="Arial"/>
          <w:sz w:val="12"/>
          <w:szCs w:val="12"/>
          <w:b w:val="1"/>
          <w:bCs w:val="1"/>
          <w:color w:val="auto"/>
        </w:rPr>
        <w:t>§ 2</w:t>
      </w:r>
    </w:p>
    <w:p>
      <w:pPr>
        <w:spacing w:after="0" w:line="19" w:lineRule="exact"/>
        <w:rPr>
          <w:sz w:val="20"/>
          <w:szCs w:val="20"/>
          <w:color w:val="auto"/>
        </w:rPr>
      </w:pPr>
    </w:p>
    <w:p>
      <w:pPr>
        <w:jc w:val="center"/>
        <w:ind w:left="880"/>
        <w:spacing w:after="0"/>
        <w:rPr>
          <w:sz w:val="20"/>
          <w:szCs w:val="20"/>
          <w:color w:val="auto"/>
        </w:rPr>
      </w:pPr>
      <w:r>
        <w:rPr>
          <w:rFonts w:ascii="Arial" w:cs="Arial" w:eastAsia="Arial" w:hAnsi="Arial"/>
          <w:sz w:val="11"/>
          <w:szCs w:val="11"/>
          <w:b w:val="1"/>
          <w:bCs w:val="1"/>
          <w:color w:val="auto"/>
        </w:rPr>
        <w:t>Ausgabezeitraum, Ausübungszeiträume, Wartezeit, Begrenzung,</w:t>
      </w:r>
    </w:p>
    <w:p>
      <w:pPr>
        <w:spacing w:after="0" w:line="18" w:lineRule="exact"/>
        <w:rPr>
          <w:sz w:val="20"/>
          <w:szCs w:val="20"/>
          <w:color w:val="auto"/>
        </w:rPr>
      </w:pPr>
    </w:p>
    <w:p>
      <w:pPr>
        <w:jc w:val="center"/>
        <w:ind w:left="880"/>
        <w:spacing w:after="0"/>
        <w:rPr>
          <w:sz w:val="20"/>
          <w:szCs w:val="20"/>
          <w:color w:val="auto"/>
        </w:rPr>
      </w:pPr>
      <w:r>
        <w:rPr>
          <w:rFonts w:ascii="Arial" w:cs="Arial" w:eastAsia="Arial" w:hAnsi="Arial"/>
          <w:sz w:val="12"/>
          <w:szCs w:val="12"/>
          <w:b w:val="1"/>
          <w:bCs w:val="1"/>
          <w:color w:val="auto"/>
        </w:rPr>
        <w:t>Ausübbarkeit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280" w:right="1019" w:hanging="299"/>
        <w:spacing w:after="0" w:line="298" w:lineRule="auto"/>
        <w:tabs>
          <w:tab w:leader="none" w:pos="260"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1"/>
          <w:szCs w:val="11"/>
          <w:color w:val="auto"/>
        </w:rPr>
        <w:t>Each subscription right entitles the beneficiary to purchase one new bearer share in Mynaric at the exercise price in accordance with these option conditions.</w:t>
      </w:r>
    </w:p>
    <w:p>
      <w:pPr>
        <w:spacing w:after="0" w:line="33" w:lineRule="exact"/>
        <w:rPr>
          <w:sz w:val="20"/>
          <w:szCs w:val="20"/>
          <w:color w:val="auto"/>
        </w:rPr>
      </w:pPr>
    </w:p>
    <w:p>
      <w:pPr>
        <w:jc w:val="both"/>
        <w:ind w:left="280" w:right="859" w:hanging="299"/>
        <w:spacing w:after="0" w:line="263" w:lineRule="auto"/>
        <w:tabs>
          <w:tab w:leader="none" w:pos="260" w:val="left"/>
        </w:tabs>
        <w:rPr>
          <w:sz w:val="20"/>
          <w:szCs w:val="20"/>
          <w:color w:val="auto"/>
        </w:rPr>
      </w:pPr>
      <w:r>
        <w:rPr>
          <w:rFonts w:ascii="Arial" w:cs="Arial" w:eastAsia="Arial" w:hAnsi="Arial"/>
          <w:sz w:val="12"/>
          <w:szCs w:val="12"/>
          <w:color w:val="auto"/>
        </w:rPr>
        <w:t>1.2</w:t>
        <w:tab/>
        <w:t>Under this stock option program, up to 270,000 subscription rights may be issued on one or more occasions up to 31 December 2022. The total volume is divided up as follows:</w:t>
      </w:r>
    </w:p>
    <w:p>
      <w:pPr>
        <w:spacing w:after="0" w:line="50" w:lineRule="exact"/>
        <w:rPr>
          <w:sz w:val="20"/>
          <w:szCs w:val="20"/>
          <w:color w:val="auto"/>
        </w:rPr>
      </w:pPr>
    </w:p>
    <w:p>
      <w:pPr>
        <w:ind w:left="440" w:hanging="163"/>
        <w:spacing w:after="0"/>
        <w:tabs>
          <w:tab w:leader="none" w:pos="44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135,000 subscription rights (50 percent) to Group 1</w:t>
      </w:r>
    </w:p>
    <w:p>
      <w:pPr>
        <w:spacing w:after="0" w:line="87" w:lineRule="exact"/>
        <w:rPr>
          <w:rFonts w:ascii="Arial" w:cs="Arial" w:eastAsia="Arial" w:hAnsi="Arial"/>
          <w:sz w:val="12"/>
          <w:szCs w:val="12"/>
          <w:color w:val="auto"/>
        </w:rPr>
      </w:pPr>
    </w:p>
    <w:p>
      <w:pPr>
        <w:ind w:left="440" w:hanging="163"/>
        <w:spacing w:after="0"/>
        <w:tabs>
          <w:tab w:leader="none" w:pos="44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135,000 subscription rights (50 percent) to Group 2.</w:t>
      </w:r>
    </w:p>
    <w:p>
      <w:pPr>
        <w:spacing w:after="0" w:line="83" w:lineRule="exact"/>
        <w:rPr>
          <w:sz w:val="20"/>
          <w:szCs w:val="20"/>
          <w:color w:val="auto"/>
        </w:rPr>
      </w:pPr>
    </w:p>
    <w:p>
      <w:pPr>
        <w:jc w:val="center"/>
        <w:ind w:right="859"/>
        <w:spacing w:after="0"/>
        <w:rPr>
          <w:sz w:val="20"/>
          <w:szCs w:val="20"/>
          <w:color w:val="auto"/>
        </w:rPr>
      </w:pPr>
      <w:r>
        <w:rPr>
          <w:rFonts w:ascii="Arial" w:cs="Arial" w:eastAsia="Arial" w:hAnsi="Arial"/>
          <w:sz w:val="12"/>
          <w:szCs w:val="12"/>
          <w:b w:val="1"/>
          <w:bCs w:val="1"/>
          <w:color w:val="auto"/>
        </w:rPr>
        <w:t>§ 2</w:t>
      </w:r>
    </w:p>
    <w:p>
      <w:pPr>
        <w:spacing w:after="0" w:line="19" w:lineRule="exact"/>
        <w:rPr>
          <w:sz w:val="20"/>
          <w:szCs w:val="20"/>
          <w:color w:val="auto"/>
        </w:rPr>
      </w:pPr>
    </w:p>
    <w:p>
      <w:pPr>
        <w:jc w:val="center"/>
        <w:ind w:right="859"/>
        <w:spacing w:after="0"/>
        <w:rPr>
          <w:sz w:val="20"/>
          <w:szCs w:val="20"/>
          <w:color w:val="auto"/>
        </w:rPr>
      </w:pPr>
      <w:r>
        <w:rPr>
          <w:rFonts w:ascii="Arial" w:cs="Arial" w:eastAsia="Arial" w:hAnsi="Arial"/>
          <w:sz w:val="12"/>
          <w:szCs w:val="12"/>
          <w:b w:val="1"/>
          <w:bCs w:val="1"/>
          <w:color w:val="auto"/>
        </w:rPr>
        <w:t>Issue period, exercise periods, waiting period, limitation,</w:t>
      </w:r>
    </w:p>
    <w:p>
      <w:pPr>
        <w:spacing w:after="0" w:line="6" w:lineRule="exact"/>
        <w:rPr>
          <w:sz w:val="20"/>
          <w:szCs w:val="20"/>
          <w:color w:val="auto"/>
        </w:rPr>
      </w:pPr>
    </w:p>
    <w:p>
      <w:pPr>
        <w:jc w:val="center"/>
        <w:ind w:right="859"/>
        <w:spacing w:after="0"/>
        <w:rPr>
          <w:sz w:val="20"/>
          <w:szCs w:val="20"/>
          <w:color w:val="auto"/>
        </w:rPr>
      </w:pPr>
      <w:r>
        <w:rPr>
          <w:rFonts w:ascii="Arial" w:cs="Arial" w:eastAsia="Arial" w:hAnsi="Arial"/>
          <w:sz w:val="12"/>
          <w:szCs w:val="12"/>
          <w:b w:val="1"/>
          <w:bCs w:val="1"/>
          <w:color w:val="auto"/>
        </w:rPr>
        <w:t>exercisability</w:t>
      </w:r>
    </w:p>
    <w:p>
      <w:pPr>
        <w:spacing w:after="0" w:line="69" w:lineRule="exact"/>
        <w:rPr>
          <w:sz w:val="20"/>
          <w:szCs w:val="20"/>
          <w:color w:val="auto"/>
        </w:rPr>
      </w:pPr>
    </w:p>
    <w:p>
      <w:pPr>
        <w:sectPr>
          <w:pgSz w:w="11900" w:h="16838" w:orient="portrait"/>
          <w:cols w:equalWidth="0" w:num="2">
            <w:col w:w="4540" w:space="140"/>
            <w:col w:w="4339"/>
          </w:cols>
          <w:pgMar w:left="1440" w:top="298" w:right="1440" w:bottom="1440" w:gutter="0" w:footer="0" w:header="0"/>
          <w:type w:val="continuous"/>
        </w:sectPr>
      </w:pPr>
    </w:p>
    <w:p>
      <w:pPr>
        <w:ind w:left="1120" w:hanging="299"/>
        <w:spacing w:after="0" w:line="263" w:lineRule="auto"/>
        <w:tabs>
          <w:tab w:leader="none" w:pos="1100" w:val="left"/>
        </w:tabs>
        <w:rPr>
          <w:sz w:val="20"/>
          <w:szCs w:val="20"/>
          <w:color w:val="auto"/>
        </w:rPr>
      </w:pPr>
      <w:r>
        <w:rPr>
          <w:rFonts w:ascii="Arial" w:cs="Arial" w:eastAsia="Arial" w:hAnsi="Arial"/>
          <w:sz w:val="12"/>
          <w:szCs w:val="12"/>
          <w:color w:val="auto"/>
        </w:rPr>
        <w:t>2.1</w:t>
        <w:tab/>
        <w:t>Die Begebung der Bezugsrechte erfolgt durch Abschluss einer Individualvereinbarung zwischen der Gesellschaft und dem jeweiligen Bezugsberechtigten (die “</w:t>
      </w:r>
      <w:r>
        <w:rPr>
          <w:rFonts w:ascii="Arial" w:cs="Arial" w:eastAsia="Arial" w:hAnsi="Arial"/>
          <w:sz w:val="12"/>
          <w:szCs w:val="12"/>
          <w:b w:val="1"/>
          <w:bCs w:val="1"/>
          <w:color w:val="auto"/>
        </w:rPr>
        <w:t>Individualvereinbarung</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999" w:hanging="299"/>
        <w:spacing w:after="0" w:line="263" w:lineRule="auto"/>
        <w:rPr>
          <w:sz w:val="20"/>
          <w:szCs w:val="20"/>
          <w:color w:val="auto"/>
        </w:rPr>
      </w:pPr>
      <w:r>
        <w:rPr>
          <w:rFonts w:ascii="Arial" w:cs="Arial" w:eastAsia="Arial" w:hAnsi="Arial"/>
          <w:sz w:val="12"/>
          <w:szCs w:val="12"/>
          <w:color w:val="auto"/>
        </w:rPr>
        <w:t>2.1</w:t>
      </w:r>
      <w:r>
        <w:rPr>
          <w:sz w:val="20"/>
          <w:szCs w:val="20"/>
          <w:color w:val="auto"/>
        </w:rPr>
        <w:t xml:space="preserve"> </w:t>
      </w:r>
      <w:r>
        <w:rPr>
          <w:rFonts w:ascii="Arial" w:cs="Arial" w:eastAsia="Arial" w:hAnsi="Arial"/>
          <w:sz w:val="12"/>
          <w:szCs w:val="12"/>
          <w:color w:val="auto"/>
        </w:rPr>
        <w:t>The subscription rights are issued by concluding an individual agreement between the Company and the respective beneficiary (the “</w:t>
      </w:r>
      <w:r>
        <w:rPr>
          <w:rFonts w:ascii="Arial" w:cs="Arial" w:eastAsia="Arial" w:hAnsi="Arial"/>
          <w:sz w:val="12"/>
          <w:szCs w:val="12"/>
          <w:b w:val="1"/>
          <w:bCs w:val="1"/>
          <w:color w:val="auto"/>
        </w:rPr>
        <w:t>Individual Agreement</w:t>
      </w:r>
      <w:r>
        <w:rPr>
          <w:rFonts w:ascii="Arial" w:cs="Arial" w:eastAsia="Arial" w:hAnsi="Arial"/>
          <w:sz w:val="12"/>
          <w:szCs w:val="12"/>
          <w:color w:val="auto"/>
        </w:rPr>
        <w:t>”).</w:t>
      </w:r>
    </w:p>
    <w:p>
      <w:pPr>
        <w:spacing w:after="0" w:line="77" w:lineRule="exact"/>
        <w:rPr>
          <w:sz w:val="20"/>
          <w:szCs w:val="20"/>
          <w:color w:val="auto"/>
        </w:rPr>
      </w:pPr>
    </w:p>
    <w:p>
      <w:pPr>
        <w:sectPr>
          <w:pgSz w:w="11900" w:h="16838" w:orient="portrait"/>
          <w:cols w:equalWidth="0" w:num="2">
            <w:col w:w="4520" w:space="420"/>
            <w:col w:w="4079"/>
          </w:cols>
          <w:pgMar w:left="1440" w:top="298"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2 / 26</w:t>
      </w:r>
    </w:p>
    <w:p>
      <w:pPr>
        <w:sectPr>
          <w:pgSz w:w="11900" w:h="16838" w:orient="portrait"/>
          <w:cols w:equalWidth="0" w:num="1">
            <w:col w:w="9019"/>
          </w:cols>
          <w:pgMar w:left="1440" w:top="298" w:right="1440" w:bottom="1440" w:gutter="0" w:footer="0" w:header="0"/>
          <w:type w:val="continuous"/>
        </w:sectPr>
      </w:pPr>
    </w:p>
    <w:bookmarkStart w:id="276" w:name="page277"/>
    <w:bookmarkEnd w:id="276"/>
    <w:p>
      <w:pPr>
        <w:ind w:left="840"/>
        <w:spacing w:after="0"/>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2.2</w:t>
      </w:r>
      <w:r>
        <w:rPr>
          <w:sz w:val="20"/>
          <w:szCs w:val="20"/>
          <w:color w:val="auto"/>
        </w:rPr>
        <w:tab/>
      </w:r>
      <w:r>
        <w:rPr>
          <w:rFonts w:ascii="Arial" w:cs="Arial" w:eastAsia="Arial" w:hAnsi="Arial"/>
          <w:sz w:val="10"/>
          <w:szCs w:val="10"/>
          <w:color w:val="auto"/>
        </w:rPr>
        <w:t>Bezugsrechte können innerhalb des Ermächtigungszeitraums nach</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einem einmal oderwiederholt aufzulegenden Programm bis zu vier Mal</w:t>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innerhalb eines Geschäftsjahres begeben werden und zwar jeweils</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innerhalb der letzten fünf Börsentage eins Quartals (jeweils der</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Ausgabezeitraum</w:t>
      </w:r>
      <w:r>
        <w:rPr>
          <w:rFonts w:ascii="Arial" w:cs="Arial" w:eastAsia="Arial" w:hAnsi="Arial"/>
          <w:sz w:val="11"/>
          <w:szCs w:val="11"/>
          <w:color w:val="auto"/>
        </w:rPr>
        <w:t>“). Als Ausgabetag gilt der Zeitpunkt, zu dem den</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Bezugsberechtigten das Angebot zur Gewährung von Bezugsrechten</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zugeht, ungeachtet des Zeitpunkts der Annahme des Angebots. Im</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Angebot kann ein späterer Zeitpunkt als Ausgabetag bestimmt werden.</w:t>
      </w:r>
    </w:p>
    <w:p>
      <w:pPr>
        <w:spacing w:after="0" w:line="92" w:lineRule="exact"/>
        <w:rPr>
          <w:sz w:val="20"/>
          <w:szCs w:val="20"/>
          <w:color w:val="auto"/>
        </w:rPr>
      </w:pPr>
    </w:p>
    <w:p>
      <w:pPr>
        <w:ind w:left="1120" w:right="20" w:hanging="299"/>
        <w:spacing w:after="0" w:line="276" w:lineRule="auto"/>
        <w:tabs>
          <w:tab w:leader="none" w:pos="1100"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1"/>
          <w:szCs w:val="11"/>
          <w:color w:val="auto"/>
        </w:rPr>
        <w:t>Die Bezugsrechte können von den Bezugsberechtigten innerhalb von drei Jahren nachdem Zeitpunkt ausgeübt werden, zu dem die Wartezeit abgelaufen ist. Innerhalb dieses Zeitraums können Bezugsrechte innerhalb von vier Wochen nach Bekanntgabe der Ergebnisse des Jahres- oder Halbjahresabschlusses eines Geschäftsjahres ausgeübt werden (“</w:t>
      </w:r>
      <w:r>
        <w:rPr>
          <w:rFonts w:ascii="Arial" w:cs="Arial" w:eastAsia="Arial" w:hAnsi="Arial"/>
          <w:sz w:val="11"/>
          <w:szCs w:val="11"/>
          <w:b w:val="1"/>
          <w:bCs w:val="1"/>
          <w:color w:val="auto"/>
        </w:rPr>
        <w:t>Ausübungszeitraum</w:t>
      </w:r>
      <w:r>
        <w:rPr>
          <w:rFonts w:ascii="Arial" w:cs="Arial" w:eastAsia="Arial" w:hAnsi="Arial"/>
          <w:sz w:val="11"/>
          <w:szCs w:val="11"/>
          <w:color w:val="auto"/>
        </w:rPr>
        <w:t>”). Der Ausübungszeitraum kann vom Vorstand der Gesellschaft bzw., soweit Mitglieder des Vorstands der Gesellschaft betroffen sind, vom Aufsichtsrat der Gesellschaft angemessen verlängert werden, sofern aufgrund gesetzlicher Vorschriften die Ausübung zum Ablauf des ursprünglichen Ausübungszeitraums nicht möglich ist. Die Laufzeit der Bezugsrechte endet nach Ablauf des jeweiligen (ggf. verlängerten) Ausübungszeitraums. Bezugsrechte, die bis zum Ablauf des jeweiligen Ausübungszeitraums nicht ausgeübt worden sind, verfallen entschädigungslos.</w:t>
      </w:r>
    </w:p>
    <w:p>
      <w:pPr>
        <w:spacing w:after="0" w:line="20" w:lineRule="exact"/>
        <w:rPr>
          <w:sz w:val="20"/>
          <w:szCs w:val="20"/>
          <w:color w:val="auto"/>
        </w:rPr>
      </w:pPr>
      <w:r>
        <w:rPr>
          <w:sz w:val="20"/>
          <w:szCs w:val="20"/>
          <w:color w:val="auto"/>
        </w:rPr>
        <w:br w:type="column"/>
      </w:r>
    </w:p>
    <w:p>
      <w:pPr>
        <w:ind w:left="20" w:right="879" w:hanging="299"/>
        <w:spacing w:after="0" w:line="281" w:lineRule="auto"/>
        <w:rPr>
          <w:sz w:val="20"/>
          <w:szCs w:val="20"/>
          <w:color w:val="auto"/>
        </w:rPr>
      </w:pPr>
      <w:r>
        <w:rPr>
          <w:rFonts w:ascii="Arial" w:cs="Arial" w:eastAsia="Arial" w:hAnsi="Arial"/>
          <w:sz w:val="12"/>
          <w:szCs w:val="12"/>
          <w:color w:val="auto"/>
        </w:rPr>
        <w:t>2.2</w:t>
      </w:r>
      <w:r>
        <w:rPr>
          <w:sz w:val="20"/>
          <w:szCs w:val="20"/>
          <w:color w:val="auto"/>
        </w:rPr>
        <w:t xml:space="preserve"> </w:t>
      </w:r>
      <w:r>
        <w:rPr>
          <w:rFonts w:ascii="Arial" w:cs="Arial" w:eastAsia="Arial" w:hAnsi="Arial"/>
          <w:sz w:val="11"/>
          <w:szCs w:val="11"/>
          <w:color w:val="auto"/>
        </w:rPr>
        <w:t>Subscription rights may be issued up to four times within the authorization period following a program to be launched once or repeatedly within a fiscal year, in each case within the last five trading days of a quarter (the “</w:t>
      </w:r>
      <w:r>
        <w:rPr>
          <w:rFonts w:ascii="Arial" w:cs="Arial" w:eastAsia="Arial" w:hAnsi="Arial"/>
          <w:sz w:val="11"/>
          <w:szCs w:val="11"/>
          <w:b w:val="1"/>
          <w:bCs w:val="1"/>
          <w:color w:val="auto"/>
        </w:rPr>
        <w:t>issue period</w:t>
      </w:r>
      <w:r>
        <w:rPr>
          <w:rFonts w:ascii="Arial" w:cs="Arial" w:eastAsia="Arial" w:hAnsi="Arial"/>
          <w:sz w:val="11"/>
          <w:szCs w:val="11"/>
          <w:color w:val="auto"/>
        </w:rPr>
        <w:t>”). The issue date shall be the date on which the beneficiaries receive the offer to grant subscription rights, irrespective of the date of acceptance of the offer. The offer may specify a later date as the issue date.</w:t>
      </w:r>
    </w:p>
    <w:p>
      <w:pPr>
        <w:spacing w:after="0" w:line="187" w:lineRule="exact"/>
        <w:rPr>
          <w:sz w:val="20"/>
          <w:szCs w:val="20"/>
          <w:color w:val="auto"/>
        </w:rPr>
      </w:pPr>
    </w:p>
    <w:p>
      <w:pPr>
        <w:ind w:right="859" w:hanging="299"/>
        <w:spacing w:after="0" w:line="277" w:lineRule="auto"/>
        <w:rPr>
          <w:sz w:val="20"/>
          <w:szCs w:val="20"/>
          <w:color w:val="auto"/>
        </w:rPr>
      </w:pPr>
      <w:r>
        <w:rPr>
          <w:rFonts w:ascii="Arial" w:cs="Arial" w:eastAsia="Arial" w:hAnsi="Arial"/>
          <w:sz w:val="12"/>
          <w:szCs w:val="12"/>
          <w:color w:val="auto"/>
        </w:rPr>
        <w:t>2.3</w:t>
      </w:r>
      <w:r>
        <w:rPr>
          <w:sz w:val="20"/>
          <w:szCs w:val="20"/>
          <w:color w:val="auto"/>
        </w:rPr>
        <w:t xml:space="preserve"> </w:t>
      </w:r>
      <w:r>
        <w:rPr>
          <w:rFonts w:ascii="Arial" w:cs="Arial" w:eastAsia="Arial" w:hAnsi="Arial"/>
          <w:sz w:val="11"/>
          <w:szCs w:val="11"/>
          <w:color w:val="auto"/>
        </w:rPr>
        <w:t>The subscription rights may be exercised by the beneficiaries within three years of the date on which the waiting period expires. Within this period, subscription rights may be exercised within four weeks of the announcement of the results of the annual or semi-annual financial statements for a fiscal year (“</w:t>
      </w:r>
      <w:r>
        <w:rPr>
          <w:rFonts w:ascii="Arial" w:cs="Arial" w:eastAsia="Arial" w:hAnsi="Arial"/>
          <w:sz w:val="11"/>
          <w:szCs w:val="11"/>
          <w:b w:val="1"/>
          <w:bCs w:val="1"/>
          <w:color w:val="auto"/>
        </w:rPr>
        <w:t>exercise</w:t>
      </w:r>
      <w:r>
        <w:rPr>
          <w:rFonts w:ascii="Arial" w:cs="Arial" w:eastAsia="Arial" w:hAnsi="Arial"/>
          <w:sz w:val="11"/>
          <w:szCs w:val="11"/>
          <w:color w:val="auto"/>
        </w:rPr>
        <w:t xml:space="preserve"> </w:t>
      </w:r>
      <w:r>
        <w:rPr>
          <w:rFonts w:ascii="Arial" w:cs="Arial" w:eastAsia="Arial" w:hAnsi="Arial"/>
          <w:sz w:val="11"/>
          <w:szCs w:val="11"/>
          <w:b w:val="1"/>
          <w:bCs w:val="1"/>
          <w:color w:val="auto"/>
        </w:rPr>
        <w:t>period</w:t>
      </w:r>
      <w:r>
        <w:rPr>
          <w:rFonts w:ascii="Arial" w:cs="Arial" w:eastAsia="Arial" w:hAnsi="Arial"/>
          <w:sz w:val="11"/>
          <w:szCs w:val="11"/>
          <w:color w:val="auto"/>
        </w:rPr>
        <w:t>”). The exercise period may be reasonably extended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Management Board of the Company or, to the extent that members of the Management Board of the Company are affected, by the Supervisory Board of the Company, if the exercise is not possible at the end of the original exercise period due to statutory provisions. The term of the subscription rights ends at the end of the respective (possibly extended) exercise period. Subscription rights that have not been exercised by the end of the respective exercise period expire without compensation.</w:t>
      </w:r>
    </w:p>
    <w:p>
      <w:pPr>
        <w:spacing w:after="0" w:line="215" w:lineRule="exact"/>
        <w:rPr>
          <w:sz w:val="20"/>
          <w:szCs w:val="20"/>
          <w:color w:val="auto"/>
        </w:rPr>
      </w:pPr>
    </w:p>
    <w:p>
      <w:pPr>
        <w:sectPr>
          <w:pgSz w:w="11900" w:h="16838" w:orient="portrait"/>
          <w:cols w:equalWidth="0" w:num="2">
            <w:col w:w="4560" w:space="380"/>
            <w:col w:w="4079"/>
          </w:cols>
          <w:pgMar w:left="1440" w:top="230" w:right="1440" w:bottom="1440" w:gutter="0" w:footer="0" w:header="0"/>
        </w:sectPr>
      </w:pPr>
    </w:p>
    <w:p>
      <w:pPr>
        <w:jc w:val="center"/>
        <w:ind w:right="19"/>
        <w:spacing w:after="0"/>
        <w:rPr>
          <w:sz w:val="20"/>
          <w:szCs w:val="20"/>
          <w:color w:val="auto"/>
        </w:rPr>
      </w:pPr>
      <w:r>
        <w:rPr>
          <w:rFonts w:ascii="Arial" w:cs="Arial" w:eastAsia="Arial" w:hAnsi="Arial"/>
          <w:sz w:val="11"/>
          <w:szCs w:val="11"/>
          <w:color w:val="auto"/>
        </w:rPr>
        <w:t>3 / 26</w:t>
      </w:r>
    </w:p>
    <w:p>
      <w:pPr>
        <w:sectPr>
          <w:pgSz w:w="11900" w:h="16838" w:orient="portrait"/>
          <w:cols w:equalWidth="0" w:num="1">
            <w:col w:w="9019"/>
          </w:cols>
          <w:pgMar w:left="1440" w:top="230" w:right="1440" w:bottom="1440" w:gutter="0" w:footer="0" w:header="0"/>
          <w:type w:val="continuous"/>
        </w:sectPr>
      </w:pPr>
    </w:p>
    <w:bookmarkStart w:id="277" w:name="page278"/>
    <w:bookmarkEnd w:id="277"/>
    <w:p>
      <w:pPr>
        <w:ind w:left="1120" w:hanging="299"/>
        <w:spacing w:after="0" w:line="326" w:lineRule="auto"/>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2.4</w:t>
      </w:r>
      <w:r>
        <w:rPr>
          <w:sz w:val="20"/>
          <w:szCs w:val="20"/>
          <w:color w:val="auto"/>
        </w:rPr>
        <w:tab/>
      </w:r>
      <w:r>
        <w:rPr>
          <w:rFonts w:ascii="Arial" w:cs="Arial" w:eastAsia="Arial" w:hAnsi="Arial"/>
          <w:sz w:val="10"/>
          <w:szCs w:val="10"/>
          <w:color w:val="auto"/>
        </w:rPr>
        <w:t>Bezugsrechte können erstmals nach Ablauf der Wartezeit ausgeübt werden. Die Wartezeit einer Tranche von Bezugsrechten beginnt jeweils mit dem festgelegten Ausgabetag und endet frühestens mit dem Ablauf des vierten Jahrestags nach dem Ausgabetag (“</w:t>
      </w:r>
      <w:r>
        <w:rPr>
          <w:rFonts w:ascii="Arial" w:cs="Arial" w:eastAsia="Arial" w:hAnsi="Arial"/>
          <w:sz w:val="10"/>
          <w:szCs w:val="10"/>
          <w:b w:val="1"/>
          <w:bCs w:val="1"/>
          <w:color w:val="auto"/>
        </w:rPr>
        <w:t>Wartezeit</w:t>
      </w:r>
      <w:r>
        <w:rPr>
          <w:rFonts w:ascii="Arial" w:cs="Arial" w:eastAsia="Arial" w:hAnsi="Arial"/>
          <w:sz w:val="10"/>
          <w:szCs w:val="10"/>
          <w:color w:val="auto"/>
        </w:rPr>
        <w:t>”).</w:t>
      </w:r>
    </w:p>
    <w:p>
      <w:pPr>
        <w:spacing w:after="0" w:line="167" w:lineRule="exact"/>
        <w:rPr>
          <w:sz w:val="20"/>
          <w:szCs w:val="20"/>
          <w:color w:val="auto"/>
        </w:rPr>
      </w:pPr>
    </w:p>
    <w:p>
      <w:pPr>
        <w:ind w:left="1120" w:right="40" w:hanging="299"/>
        <w:spacing w:after="0" w:line="307" w:lineRule="auto"/>
        <w:tabs>
          <w:tab w:leader="none" w:pos="1100"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0"/>
          <w:szCs w:val="10"/>
          <w:color w:val="auto"/>
        </w:rPr>
        <w:t>Die Gesellschaft ist berechtigt, die Anzahl der in einem Ausübungszeitraum maximal insgesamt auszuübenden Bezugsrechte nach billigem Ermessen (§ 315 BGB) zu begrenzen, wenn dies aus sachlichen Gründen (z. B. Sicherung des Aktienkurses der Mynaric, Sicherung der Verwertbarkeit der jungen Aktien) geboten erscheint. Soweit in diesem Fall die Gesamtzahl der von den Bezugsberechtigten ausgeübten Bezugsrechte die von der Gesellschaft festgesetzte Höchstgrenze übersteigt, gelten die Bezugsrechte in einer Anzahl als ausgeübt, die – bezogen auf die Höchstgrenze – dem Verhältnis der vom Bezugsrechtsinhaber tatsächlich ausgeübten Bezugsrechte zur Gesamtzahl der in diesem Ausübungszeitraum ausgeübten Bezugsrechte entspricht, d.h. die Anzahl der ausgeübten Bezugsrechte reduziert sich entsprechend pro rata.</w:t>
      </w:r>
    </w:p>
    <w:p>
      <w:pPr>
        <w:spacing w:after="0" w:line="20" w:lineRule="exact"/>
        <w:rPr>
          <w:sz w:val="20"/>
          <w:szCs w:val="20"/>
          <w:color w:val="auto"/>
        </w:rPr>
      </w:pPr>
      <w:r>
        <w:rPr>
          <w:sz w:val="20"/>
          <w:szCs w:val="20"/>
          <w:color w:val="auto"/>
        </w:rPr>
        <w:br w:type="column"/>
      </w:r>
    </w:p>
    <w:p>
      <w:pPr>
        <w:ind w:left="20" w:right="899" w:hanging="299"/>
        <w:spacing w:after="0" w:line="256" w:lineRule="auto"/>
        <w:rPr>
          <w:sz w:val="20"/>
          <w:szCs w:val="20"/>
          <w:color w:val="auto"/>
        </w:rPr>
      </w:pPr>
      <w:r>
        <w:rPr>
          <w:rFonts w:ascii="Arial" w:cs="Arial" w:eastAsia="Arial" w:hAnsi="Arial"/>
          <w:sz w:val="12"/>
          <w:szCs w:val="12"/>
          <w:color w:val="auto"/>
        </w:rPr>
        <w:t>2.4</w:t>
      </w:r>
      <w:r>
        <w:rPr>
          <w:sz w:val="20"/>
          <w:szCs w:val="20"/>
          <w:color w:val="auto"/>
        </w:rPr>
        <w:t xml:space="preserve"> </w:t>
      </w:r>
      <w:r>
        <w:rPr>
          <w:rFonts w:ascii="Arial" w:cs="Arial" w:eastAsia="Arial" w:hAnsi="Arial"/>
          <w:sz w:val="12"/>
          <w:szCs w:val="12"/>
          <w:color w:val="auto"/>
        </w:rPr>
        <w:t>Subscription rights can only be exercised after the end of the waiting period. The waiting period of a tranche of subscription rights begins in each case on the specified issue date and ends at the earliest at the end of the fourth anniversary after the issue date (“</w:t>
      </w:r>
      <w:r>
        <w:rPr>
          <w:rFonts w:ascii="Arial" w:cs="Arial" w:eastAsia="Arial" w:hAnsi="Arial"/>
          <w:sz w:val="12"/>
          <w:szCs w:val="12"/>
          <w:b w:val="1"/>
          <w:bCs w:val="1"/>
          <w:color w:val="auto"/>
        </w:rPr>
        <w:t>waiting period</w:t>
      </w:r>
      <w:r>
        <w:rPr>
          <w:rFonts w:ascii="Arial" w:cs="Arial" w:eastAsia="Arial" w:hAnsi="Arial"/>
          <w:sz w:val="12"/>
          <w:szCs w:val="12"/>
          <w:color w:val="auto"/>
        </w:rPr>
        <w:t>”).</w:t>
      </w:r>
    </w:p>
    <w:p>
      <w:pPr>
        <w:spacing w:after="0" w:line="56" w:lineRule="exact"/>
        <w:rPr>
          <w:sz w:val="20"/>
          <w:szCs w:val="20"/>
          <w:color w:val="auto"/>
        </w:rPr>
      </w:pPr>
    </w:p>
    <w:p>
      <w:pPr>
        <w:ind w:right="839" w:hanging="299"/>
        <w:spacing w:after="0" w:line="277" w:lineRule="auto"/>
        <w:rPr>
          <w:sz w:val="20"/>
          <w:szCs w:val="20"/>
          <w:color w:val="auto"/>
        </w:rPr>
      </w:pPr>
      <w:r>
        <w:rPr>
          <w:rFonts w:ascii="Arial" w:cs="Arial" w:eastAsia="Arial" w:hAnsi="Arial"/>
          <w:sz w:val="12"/>
          <w:szCs w:val="12"/>
          <w:color w:val="auto"/>
        </w:rPr>
        <w:t>2.5</w:t>
      </w:r>
      <w:r>
        <w:rPr>
          <w:sz w:val="20"/>
          <w:szCs w:val="20"/>
          <w:color w:val="auto"/>
        </w:rPr>
        <w:t xml:space="preserve"> </w:t>
      </w:r>
      <w:r>
        <w:rPr>
          <w:rFonts w:ascii="Arial" w:cs="Arial" w:eastAsia="Arial" w:hAnsi="Arial"/>
          <w:sz w:val="11"/>
          <w:szCs w:val="11"/>
          <w:color w:val="auto"/>
        </w:rPr>
        <w:t>The company is entitled to limit the number of subscription rights to be exercised in an exercise period to a maximum total number at its reasonable discretion (§ 315 BGB), if this appears necessary for objective reasons (e.g. securing Mynaric’s share price, securing the usability of the new shares). Insofar as in this case the total number of subscription rights exercised by the beneficiaries exceeds the maximum limit set by the company, the subscription rights are deemed to be exercised in a number which - with reference to the maximum limit- corresponds to the ratio of the subscription rights actually exercised by the holder of the subscription rights to the total number of subscription rights exercised in this exercise period, i.e. the number of subscription rights exercised is reduced accordingly pro rata.</w:t>
      </w:r>
    </w:p>
    <w:p>
      <w:pPr>
        <w:spacing w:after="0" w:line="73" w:lineRule="exact"/>
        <w:rPr>
          <w:sz w:val="20"/>
          <w:szCs w:val="20"/>
          <w:color w:val="auto"/>
        </w:rPr>
      </w:pPr>
    </w:p>
    <w:p>
      <w:pPr>
        <w:sectPr>
          <w:pgSz w:w="11900" w:h="16838" w:orient="portrait"/>
          <w:cols w:equalWidth="0" w:num="2">
            <w:col w:w="4560" w:space="380"/>
            <w:col w:w="4079"/>
          </w:cols>
          <w:pgMar w:left="1440" w:top="230" w:right="1440" w:bottom="1440" w:gutter="0" w:footer="0" w:header="0"/>
        </w:sectPr>
      </w:pPr>
    </w:p>
    <w:p>
      <w:pPr>
        <w:jc w:val="center"/>
        <w:ind w:right="19"/>
        <w:spacing w:after="0"/>
        <w:rPr>
          <w:sz w:val="20"/>
          <w:szCs w:val="20"/>
          <w:color w:val="auto"/>
        </w:rPr>
      </w:pPr>
      <w:r>
        <w:rPr>
          <w:rFonts w:ascii="Arial" w:cs="Arial" w:eastAsia="Arial" w:hAnsi="Arial"/>
          <w:sz w:val="11"/>
          <w:szCs w:val="11"/>
          <w:color w:val="auto"/>
        </w:rPr>
        <w:t>4 / 26</w:t>
      </w:r>
    </w:p>
    <w:p>
      <w:pPr>
        <w:sectPr>
          <w:pgSz w:w="11900" w:h="16838" w:orient="portrait"/>
          <w:cols w:equalWidth="0" w:num="1">
            <w:col w:w="9019"/>
          </w:cols>
          <w:pgMar w:left="1440" w:top="230" w:right="1440" w:bottom="1440" w:gutter="0" w:footer="0" w:header="0"/>
          <w:type w:val="continuous"/>
        </w:sectPr>
      </w:pPr>
    </w:p>
    <w:bookmarkStart w:id="278" w:name="page279"/>
    <w:bookmarkEnd w:id="278"/>
    <w:p>
      <w:pPr>
        <w:jc w:val="center"/>
        <w:ind w:right="19"/>
        <w:spacing w:after="0"/>
        <w:tabs>
          <w:tab w:leader="none" w:pos="120" w:val="left"/>
          <w:tab w:leader="none" w:pos="100" w:val="left"/>
          <w:tab w:leader="none" w:pos="14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2.6</w:t>
      </w:r>
      <w:r>
        <w:rPr>
          <w:sz w:val="20"/>
          <w:szCs w:val="20"/>
          <w:color w:val="auto"/>
        </w:rPr>
        <w:tab/>
      </w:r>
      <w:r>
        <w:rPr>
          <w:rFonts w:ascii="Arial" w:cs="Arial" w:eastAsia="Arial" w:hAnsi="Arial"/>
          <w:sz w:val="11"/>
          <w:szCs w:val="11"/>
          <w:color w:val="auto"/>
        </w:rPr>
        <w:t>Bezugsrechte sind nur ausübbar, wenn die Wartezeit abgelaufen ist und</w:t>
      </w:r>
      <w:r>
        <w:rPr>
          <w:sz w:val="20"/>
          <w:szCs w:val="20"/>
          <w:color w:val="auto"/>
        </w:rPr>
        <w:tab/>
      </w:r>
      <w:r>
        <w:rPr>
          <w:rFonts w:ascii="Arial" w:cs="Arial" w:eastAsia="Arial" w:hAnsi="Arial"/>
          <w:sz w:val="12"/>
          <w:szCs w:val="12"/>
          <w:color w:val="auto"/>
        </w:rPr>
        <w:t>2.6</w:t>
      </w:r>
      <w:r>
        <w:rPr>
          <w:sz w:val="20"/>
          <w:szCs w:val="20"/>
          <w:color w:val="auto"/>
        </w:rPr>
        <w:tab/>
      </w:r>
      <w:r>
        <w:rPr>
          <w:rFonts w:ascii="Arial" w:cs="Arial" w:eastAsia="Arial" w:hAnsi="Arial"/>
          <w:sz w:val="10"/>
          <w:szCs w:val="10"/>
          <w:color w:val="auto"/>
        </w:rPr>
        <w:t>Subscription rights may only be exercised if the waiting period has</w:t>
      </w:r>
    </w:p>
    <w:p>
      <w:pPr>
        <w:spacing w:after="0" w:line="15"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wenn das Erfolgsziel erreicht wurde. Die Bedienung der Bezugsrechte</w:t>
      </w:r>
      <w:r>
        <w:rPr>
          <w:sz w:val="20"/>
          <w:szCs w:val="20"/>
          <w:color w:val="auto"/>
        </w:rPr>
        <w:tab/>
      </w:r>
      <w:r>
        <w:rPr>
          <w:rFonts w:ascii="Arial" w:cs="Arial" w:eastAsia="Arial" w:hAnsi="Arial"/>
          <w:sz w:val="10"/>
          <w:szCs w:val="10"/>
          <w:color w:val="auto"/>
        </w:rPr>
        <w:t>expired and if the performance target has been achieved. The</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erfolgt in Aktien der Gesellschaft, wobei je ein Bezugsrecht zum Bezug</w:t>
      </w:r>
      <w:r>
        <w:rPr>
          <w:sz w:val="20"/>
          <w:szCs w:val="20"/>
          <w:color w:val="auto"/>
        </w:rPr>
        <w:tab/>
      </w:r>
      <w:r>
        <w:rPr>
          <w:rFonts w:ascii="Arial" w:cs="Arial" w:eastAsia="Arial" w:hAnsi="Arial"/>
          <w:sz w:val="10"/>
          <w:szCs w:val="10"/>
          <w:color w:val="auto"/>
        </w:rPr>
        <w:t>subscription rights are serviced in shares of the Company, whereby</w:t>
      </w:r>
    </w:p>
    <w:p>
      <w:pPr>
        <w:spacing w:after="0" w:line="6" w:lineRule="exact"/>
        <w:rPr>
          <w:sz w:val="20"/>
          <w:szCs w:val="20"/>
          <w:color w:val="auto"/>
        </w:rPr>
      </w:pPr>
    </w:p>
    <w:p>
      <w:pPr>
        <w:ind w:left="1140"/>
        <w:spacing w:after="0"/>
        <w:tabs>
          <w:tab w:leader="none" w:pos="4940" w:val="left"/>
        </w:tabs>
        <w:rPr>
          <w:sz w:val="20"/>
          <w:szCs w:val="20"/>
          <w:color w:val="auto"/>
        </w:rPr>
      </w:pPr>
      <w:r>
        <w:rPr>
          <w:rFonts w:ascii="Arial" w:cs="Arial" w:eastAsia="Arial" w:hAnsi="Arial"/>
          <w:sz w:val="12"/>
          <w:szCs w:val="12"/>
          <w:color w:val="auto"/>
        </w:rPr>
        <w:t>von je einer Aktie berechtigt.</w:t>
      </w:r>
      <w:r>
        <w:rPr>
          <w:sz w:val="20"/>
          <w:szCs w:val="20"/>
          <w:color w:val="auto"/>
        </w:rPr>
        <w:tab/>
      </w:r>
      <w:r>
        <w:rPr>
          <w:rFonts w:ascii="Arial" w:cs="Arial" w:eastAsia="Arial" w:hAnsi="Arial"/>
          <w:sz w:val="10"/>
          <w:szCs w:val="10"/>
          <w:color w:val="auto"/>
        </w:rPr>
        <w:t>one subscription right entitles the holder to subscribe for one share</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each.</w:t>
      </w:r>
    </w:p>
    <w:p>
      <w:pPr>
        <w:spacing w:after="0" w:line="65" w:lineRule="exact"/>
        <w:rPr>
          <w:sz w:val="20"/>
          <w:szCs w:val="20"/>
          <w:color w:val="auto"/>
        </w:rPr>
      </w:pPr>
    </w:p>
    <w:p>
      <w:pPr>
        <w:ind w:left="2640"/>
        <w:spacing w:after="0"/>
        <w:tabs>
          <w:tab w:leader="none" w:pos="6320" w:val="left"/>
        </w:tabs>
        <w:rPr>
          <w:sz w:val="20"/>
          <w:szCs w:val="20"/>
          <w:color w:val="auto"/>
        </w:rPr>
      </w:pPr>
      <w:r>
        <w:rPr>
          <w:rFonts w:ascii="Arial" w:cs="Arial" w:eastAsia="Arial" w:hAnsi="Arial"/>
          <w:sz w:val="12"/>
          <w:szCs w:val="12"/>
          <w:b w:val="1"/>
          <w:bCs w:val="1"/>
          <w:color w:val="auto"/>
        </w:rPr>
        <w:t>§ 3</w:t>
      </w:r>
      <w:r>
        <w:rPr>
          <w:sz w:val="20"/>
          <w:szCs w:val="20"/>
          <w:color w:val="auto"/>
        </w:rPr>
        <w:tab/>
      </w:r>
      <w:r>
        <w:rPr>
          <w:rFonts w:ascii="Arial" w:cs="Arial" w:eastAsia="Arial" w:hAnsi="Arial"/>
          <w:sz w:val="11"/>
          <w:szCs w:val="11"/>
          <w:b w:val="1"/>
          <w:bCs w:val="1"/>
          <w:color w:val="auto"/>
        </w:rPr>
        <w:t>§ 3</w:t>
      </w:r>
    </w:p>
    <w:p>
      <w:pPr>
        <w:spacing w:after="0" w:line="19"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2"/>
          <w:szCs w:val="12"/>
          <w:b w:val="1"/>
          <w:bCs w:val="1"/>
          <w:color w:val="auto"/>
        </w:rPr>
        <w:t>Ausübungspreis</w:t>
      </w:r>
      <w:r>
        <w:rPr>
          <w:sz w:val="20"/>
          <w:szCs w:val="20"/>
          <w:color w:val="auto"/>
        </w:rPr>
        <w:tab/>
      </w:r>
      <w:r>
        <w:rPr>
          <w:rFonts w:ascii="Arial" w:cs="Arial" w:eastAsia="Arial" w:hAnsi="Arial"/>
          <w:sz w:val="12"/>
          <w:szCs w:val="12"/>
          <w:b w:val="1"/>
          <w:bCs w:val="1"/>
          <w:color w:val="auto"/>
        </w:rPr>
        <w:t>Exercise price</w:t>
      </w:r>
    </w:p>
    <w:p>
      <w:pPr>
        <w:sectPr>
          <w:pgSz w:w="11900" w:h="16838" w:orient="portrait"/>
          <w:cols w:equalWidth="0" w:num="1">
            <w:col w:w="9019"/>
          </w:cols>
          <w:pgMar w:left="1440" w:top="230" w:right="1440" w:bottom="1440" w:gutter="0" w:footer="0" w:header="0"/>
        </w:sectPr>
      </w:pPr>
    </w:p>
    <w:p>
      <w:pPr>
        <w:spacing w:after="0" w:line="69" w:lineRule="exact"/>
        <w:rPr>
          <w:sz w:val="20"/>
          <w:szCs w:val="20"/>
          <w:color w:val="auto"/>
        </w:rPr>
      </w:pPr>
    </w:p>
    <w:p>
      <w:pPr>
        <w:ind w:left="1120" w:hanging="299"/>
        <w:spacing w:after="0" w:line="277" w:lineRule="auto"/>
        <w:tabs>
          <w:tab w:leader="none" w:pos="110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1"/>
          <w:szCs w:val="11"/>
          <w:color w:val="auto"/>
        </w:rPr>
        <w:t>Bei Ausübung eines Bezugsrechts ist für jede zu beziehende Aktie der Ausübungspreis zu zahlen. Der „</w:t>
      </w:r>
      <w:r>
        <w:rPr>
          <w:rFonts w:ascii="Arial" w:cs="Arial" w:eastAsia="Arial" w:hAnsi="Arial"/>
          <w:sz w:val="11"/>
          <w:szCs w:val="11"/>
          <w:b w:val="1"/>
          <w:bCs w:val="1"/>
          <w:color w:val="auto"/>
        </w:rPr>
        <w:t>Ausübungspreis</w:t>
      </w:r>
      <w:r>
        <w:rPr>
          <w:rFonts w:ascii="Arial" w:cs="Arial" w:eastAsia="Arial" w:hAnsi="Arial"/>
          <w:sz w:val="11"/>
          <w:szCs w:val="11"/>
          <w:color w:val="auto"/>
        </w:rPr>
        <w:t>“ je Aktie entspricht dem volumengewichteten 6-Monats-Durchschnittskurs der Aktie der Gesellschaft oder dem in Beträge je Aktie umzurechnenden volumengewichteten 6-Monats-Durchschnittskurs des die Aktie vertretenden Rechts oder Zertifikats im Handelssystem mit dem höchsten gesamten Handelsumsatz an Aktien der Gesellschaft oder an solche vertretenden Rechten oder Zertifikaten an den zehn dem Tag vor dem Ausgabezeitraum vorangehenden Tagen, an denen dieses Handelssystem für den allgemeinen Börsenhandel geöffnet gewesen ist. Für Zeiträume, in denen das Handelssystem mit dem höchsten gesamten Handelsumsatz an Aktien der</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859" w:hanging="299"/>
        <w:spacing w:after="0" w:line="277" w:lineRule="auto"/>
        <w:rPr>
          <w:sz w:val="20"/>
          <w:szCs w:val="20"/>
          <w:color w:val="auto"/>
        </w:rPr>
      </w:pPr>
      <w:r>
        <w:rPr>
          <w:rFonts w:ascii="Arial" w:cs="Arial" w:eastAsia="Arial" w:hAnsi="Arial"/>
          <w:sz w:val="12"/>
          <w:szCs w:val="12"/>
          <w:color w:val="auto"/>
        </w:rPr>
        <w:t>3.1</w:t>
      </w:r>
      <w:r>
        <w:rPr>
          <w:sz w:val="20"/>
          <w:szCs w:val="20"/>
          <w:color w:val="auto"/>
        </w:rPr>
        <w:t xml:space="preserve"> </w:t>
      </w:r>
      <w:r>
        <w:rPr>
          <w:rFonts w:ascii="Arial" w:cs="Arial" w:eastAsia="Arial" w:hAnsi="Arial"/>
          <w:sz w:val="11"/>
          <w:szCs w:val="11"/>
          <w:color w:val="auto"/>
        </w:rPr>
        <w:t>When a subscription right is exercised, the exercise price is payable for each share to be subscribed. The “</w:t>
      </w:r>
      <w:r>
        <w:rPr>
          <w:rFonts w:ascii="Arial" w:cs="Arial" w:eastAsia="Arial" w:hAnsi="Arial"/>
          <w:sz w:val="11"/>
          <w:szCs w:val="11"/>
          <w:b w:val="1"/>
          <w:bCs w:val="1"/>
          <w:color w:val="auto"/>
        </w:rPr>
        <w:t>exercise price</w:t>
      </w:r>
      <w:r>
        <w:rPr>
          <w:rFonts w:ascii="Arial" w:cs="Arial" w:eastAsia="Arial" w:hAnsi="Arial"/>
          <w:sz w:val="11"/>
          <w:szCs w:val="11"/>
          <w:color w:val="auto"/>
        </w:rPr>
        <w:t>” per share corresponds to the volume-weighted 6-months average price of the share or the volume-weighted 6-months average price, to be converted into amounts per share, of the right or certificate representing the share in the trading system with the highest total trading volume in shares of the Company or in rights or certificates representing such shares on the ten days preceding the day before the issue period on which this trading system has been open for general stock exchange trading. For periods in which the trading system with the highest total trading volume in shares of the Company or in rights or certificates representing such shares on the ten days preceding the day before the issue period on which this trading system</w:t>
      </w:r>
    </w:p>
    <w:p>
      <w:pPr>
        <w:spacing w:after="0" w:line="71" w:lineRule="exact"/>
        <w:rPr>
          <w:sz w:val="20"/>
          <w:szCs w:val="20"/>
          <w:color w:val="auto"/>
        </w:rPr>
      </w:pPr>
    </w:p>
    <w:p>
      <w:pPr>
        <w:sectPr>
          <w:pgSz w:w="11900" w:h="16838" w:orient="portrait"/>
          <w:cols w:equalWidth="0" w:num="2">
            <w:col w:w="4580" w:space="360"/>
            <w:col w:w="4079"/>
          </w:cols>
          <w:pgMar w:left="1440" w:top="230"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5 / 26</w:t>
      </w:r>
    </w:p>
    <w:p>
      <w:pPr>
        <w:sectPr>
          <w:pgSz w:w="11900" w:h="16838" w:orient="portrait"/>
          <w:cols w:equalWidth="0" w:num="1">
            <w:col w:w="9019"/>
          </w:cols>
          <w:pgMar w:left="1440" w:top="230" w:right="1440" w:bottom="1440" w:gutter="0" w:footer="0" w:header="0"/>
          <w:type w:val="continuous"/>
        </w:sectPr>
      </w:pPr>
    </w:p>
    <w:bookmarkStart w:id="279" w:name="page280"/>
    <w:bookmarkEnd w:id="279"/>
    <w:p>
      <w:pPr>
        <w:ind w:left="1140"/>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Gesellschaft oder an solche vertretenden Rechten oder Zertifikaten an den zehn dem Tag vor dem Ausgabezeitraum vorangehenden Tagen, an denen dieses Handelssystem für den allgemeinen Börsenhandel geöffnet gewesen ist, die Frankfurter Wertpapierbörse ist, entspricht der Ausübungspreis je Aktie dem volumengewichteten</w:t>
      </w:r>
    </w:p>
    <w:p>
      <w:pPr>
        <w:spacing w:after="0" w:line="2" w:lineRule="exact"/>
        <w:rPr>
          <w:sz w:val="20"/>
          <w:szCs w:val="20"/>
          <w:color w:val="auto"/>
        </w:rPr>
      </w:pPr>
    </w:p>
    <w:p>
      <w:pPr>
        <w:ind w:left="1140" w:right="40"/>
        <w:spacing w:after="0" w:line="253" w:lineRule="auto"/>
        <w:rPr>
          <w:sz w:val="20"/>
          <w:szCs w:val="20"/>
          <w:color w:val="auto"/>
        </w:rPr>
      </w:pPr>
      <w:r>
        <w:rPr>
          <w:rFonts w:ascii="Arial" w:cs="Arial" w:eastAsia="Arial" w:hAnsi="Arial"/>
          <w:sz w:val="12"/>
          <w:szCs w:val="12"/>
          <w:color w:val="auto"/>
        </w:rPr>
        <w:t>6-Monats-Durchschnittskurs der Aktie im Xetra-Handel (oder einem vergleichbaren Nachfolgesystem) an der Frankfurter Wertpapierbörse am Tag vor dem Ausgabezeitraum. Der Mindestausübungspreis entspricht mindestens dem geringsten Ausgabebetrag im Sinne von § 9 Abs. 1 AktG.</w:t>
      </w:r>
    </w:p>
    <w:p>
      <w:pPr>
        <w:spacing w:after="0" w:line="20" w:lineRule="exact"/>
        <w:rPr>
          <w:sz w:val="20"/>
          <w:szCs w:val="20"/>
          <w:color w:val="auto"/>
        </w:rPr>
      </w:pPr>
      <w:r>
        <w:rPr>
          <w:sz w:val="20"/>
          <w:szCs w:val="20"/>
          <w:color w:val="auto"/>
        </w:rPr>
        <w:br w:type="column"/>
      </w:r>
    </w:p>
    <w:p>
      <w:pPr>
        <w:ind w:right="879"/>
        <w:spacing w:after="0" w:line="281" w:lineRule="auto"/>
        <w:rPr>
          <w:sz w:val="20"/>
          <w:szCs w:val="20"/>
          <w:color w:val="auto"/>
        </w:rPr>
      </w:pPr>
      <w:r>
        <w:rPr>
          <w:rFonts w:ascii="Arial" w:cs="Arial" w:eastAsia="Arial" w:hAnsi="Arial"/>
          <w:sz w:val="11"/>
          <w:szCs w:val="11"/>
          <w:color w:val="auto"/>
        </w:rPr>
        <w:t>has been open for general stock exchange trading is the Frankfurt Stock Exchange, the exercise price per share shall correspond to the volume-weighted 6-months average price of the share in Xetra trading (or a comparable successor system) on the Frankfurt Stock Exchange on the day before the issue period. The minimum exercise price shall be at least equal to the lowest issue price within the meaning of Section 9 (1) AktG.</w:t>
      </w:r>
    </w:p>
    <w:p>
      <w:pPr>
        <w:spacing w:after="0" w:line="475" w:lineRule="exact"/>
        <w:rPr>
          <w:sz w:val="20"/>
          <w:szCs w:val="20"/>
          <w:color w:val="auto"/>
        </w:rPr>
      </w:pPr>
    </w:p>
    <w:p>
      <w:pPr>
        <w:sectPr>
          <w:pgSz w:w="11900" w:h="16838" w:orient="portrait"/>
          <w:cols w:equalWidth="0" w:num="2">
            <w:col w:w="4580" w:space="380"/>
            <w:col w:w="4059"/>
          </w:cols>
          <w:pgMar w:left="1440" w:top="230" w:right="1440" w:bottom="1440" w:gutter="0" w:footer="0" w:header="0"/>
        </w:sectPr>
      </w:pPr>
    </w:p>
    <w:p>
      <w:pPr>
        <w:ind w:left="840"/>
        <w:spacing w:after="0"/>
        <w:tabs>
          <w:tab w:leader="none" w:pos="110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0"/>
          <w:szCs w:val="10"/>
          <w:color w:val="auto"/>
        </w:rPr>
        <w:t>Der Ausübungspreis ist mit Ausübung des Bezugsrechts zahlbar.</w:t>
      </w:r>
    </w:p>
    <w:p>
      <w:pPr>
        <w:spacing w:after="0" w:line="20" w:lineRule="exact"/>
        <w:rPr>
          <w:sz w:val="20"/>
          <w:szCs w:val="20"/>
          <w:color w:val="auto"/>
        </w:rPr>
      </w:pPr>
      <w:r>
        <w:rPr>
          <w:sz w:val="20"/>
          <w:szCs w:val="20"/>
          <w:color w:val="auto"/>
        </w:rPr>
        <w:br w:type="column"/>
      </w:r>
    </w:p>
    <w:p>
      <w:pPr>
        <w:ind w:right="1219" w:hanging="299"/>
        <w:spacing w:after="0" w:line="276" w:lineRule="auto"/>
        <w:rPr>
          <w:sz w:val="20"/>
          <w:szCs w:val="20"/>
          <w:color w:val="auto"/>
        </w:rPr>
      </w:pPr>
      <w:r>
        <w:rPr>
          <w:rFonts w:ascii="Arial" w:cs="Arial" w:eastAsia="Arial" w:hAnsi="Arial"/>
          <w:sz w:val="12"/>
          <w:szCs w:val="12"/>
          <w:color w:val="auto"/>
        </w:rPr>
        <w:t>3.2</w:t>
      </w:r>
      <w:r>
        <w:rPr>
          <w:sz w:val="20"/>
          <w:szCs w:val="20"/>
          <w:color w:val="auto"/>
        </w:rPr>
        <w:t xml:space="preserve"> </w:t>
      </w:r>
      <w:r>
        <w:rPr>
          <w:rFonts w:ascii="Arial" w:cs="Arial" w:eastAsia="Arial" w:hAnsi="Arial"/>
          <w:sz w:val="12"/>
          <w:szCs w:val="12"/>
          <w:color w:val="auto"/>
        </w:rPr>
        <w:t>The exercise price is payable when the subscription right is exercised.</w:t>
      </w:r>
    </w:p>
    <w:p>
      <w:pPr>
        <w:spacing w:after="0" w:line="37" w:lineRule="exact"/>
        <w:rPr>
          <w:sz w:val="20"/>
          <w:szCs w:val="20"/>
          <w:color w:val="auto"/>
        </w:rPr>
      </w:pPr>
    </w:p>
    <w:p>
      <w:pPr>
        <w:sectPr>
          <w:pgSz w:w="11900" w:h="16838" w:orient="portrait"/>
          <w:cols w:equalWidth="0" w:num="2">
            <w:col w:w="4240" w:space="700"/>
            <w:col w:w="4079"/>
          </w:cols>
          <w:pgMar w:left="1440" w:top="230" w:right="1440" w:bottom="1440" w:gutter="0" w:footer="0" w:header="0"/>
          <w:type w:val="continuous"/>
        </w:sectPr>
      </w:pPr>
    </w:p>
    <w:p>
      <w:pPr>
        <w:ind w:left="2620"/>
        <w:spacing w:after="0"/>
        <w:tabs>
          <w:tab w:leader="none" w:pos="6320" w:val="left"/>
        </w:tabs>
        <w:rPr>
          <w:sz w:val="20"/>
          <w:szCs w:val="20"/>
          <w:color w:val="auto"/>
        </w:rPr>
      </w:pPr>
      <w:r>
        <w:rPr>
          <w:rFonts w:ascii="Arial" w:cs="Arial" w:eastAsia="Arial" w:hAnsi="Arial"/>
          <w:sz w:val="13"/>
          <w:szCs w:val="13"/>
          <w:b w:val="1"/>
          <w:bCs w:val="1"/>
          <w:color w:val="auto"/>
        </w:rPr>
        <w:t>§ 4</w:t>
      </w:r>
      <w:r>
        <w:rPr>
          <w:sz w:val="20"/>
          <w:szCs w:val="20"/>
          <w:color w:val="auto"/>
        </w:rPr>
        <w:tab/>
      </w:r>
      <w:r>
        <w:rPr>
          <w:rFonts w:ascii="Arial" w:cs="Arial" w:eastAsia="Arial" w:hAnsi="Arial"/>
          <w:sz w:val="11"/>
          <w:szCs w:val="11"/>
          <w:b w:val="1"/>
          <w:bCs w:val="1"/>
          <w:color w:val="auto"/>
        </w:rPr>
        <w:t>§ 4</w:t>
      </w:r>
    </w:p>
    <w:p>
      <w:pPr>
        <w:spacing w:after="0" w:line="18" w:lineRule="exact"/>
        <w:rPr>
          <w:sz w:val="20"/>
          <w:szCs w:val="20"/>
          <w:color w:val="auto"/>
        </w:rPr>
      </w:pPr>
    </w:p>
    <w:p>
      <w:pPr>
        <w:ind w:left="2400"/>
        <w:spacing w:after="0"/>
        <w:tabs>
          <w:tab w:leader="none" w:pos="5840" w:val="left"/>
        </w:tabs>
        <w:rPr>
          <w:sz w:val="20"/>
          <w:szCs w:val="20"/>
          <w:color w:val="auto"/>
        </w:rPr>
      </w:pPr>
      <w:r>
        <w:rPr>
          <w:rFonts w:ascii="Arial" w:cs="Arial" w:eastAsia="Arial" w:hAnsi="Arial"/>
          <w:sz w:val="11"/>
          <w:szCs w:val="11"/>
          <w:b w:val="1"/>
          <w:bCs w:val="1"/>
          <w:color w:val="auto"/>
        </w:rPr>
        <w:t>Erfolgsziel</w:t>
      </w:r>
      <w:r>
        <w:rPr>
          <w:sz w:val="20"/>
          <w:szCs w:val="20"/>
          <w:color w:val="auto"/>
        </w:rPr>
        <w:tab/>
      </w:r>
      <w:r>
        <w:rPr>
          <w:rFonts w:ascii="Arial" w:cs="Arial" w:eastAsia="Arial" w:hAnsi="Arial"/>
          <w:sz w:val="11"/>
          <w:szCs w:val="11"/>
          <w:b w:val="1"/>
          <w:bCs w:val="1"/>
          <w:color w:val="auto"/>
        </w:rPr>
        <w:t>Performance target</w:t>
      </w:r>
    </w:p>
    <w:p>
      <w:pPr>
        <w:sectPr>
          <w:pgSz w:w="11900" w:h="16838" w:orient="portrait"/>
          <w:cols w:equalWidth="0" w:num="1">
            <w:col w:w="9019"/>
          </w:cols>
          <w:pgMar w:left="1440" w:top="230" w:right="1440" w:bottom="1440" w:gutter="0" w:footer="0" w:header="0"/>
          <w:type w:val="continuous"/>
        </w:sectPr>
      </w:pPr>
    </w:p>
    <w:p>
      <w:pPr>
        <w:spacing w:after="0" w:line="90"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0"/>
          <w:szCs w:val="10"/>
          <w:color w:val="auto"/>
        </w:rPr>
        <w:t>Bezugsrechte können nur ausgeübt werden, wenn und soweit das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Erfolgsziel wie nachfolgend beschrieben erreicht wurde:</w:t>
      </w:r>
    </w:p>
    <w:p>
      <w:pPr>
        <w:spacing w:after="0" w:line="69" w:lineRule="exact"/>
        <w:rPr>
          <w:sz w:val="20"/>
          <w:szCs w:val="20"/>
          <w:color w:val="auto"/>
        </w:rPr>
      </w:pPr>
    </w:p>
    <w:p>
      <w:pPr>
        <w:jc w:val="both"/>
        <w:ind w:left="1140" w:right="60"/>
        <w:spacing w:after="0" w:line="306" w:lineRule="auto"/>
        <w:rPr>
          <w:sz w:val="20"/>
          <w:szCs w:val="20"/>
          <w:color w:val="auto"/>
        </w:rPr>
      </w:pPr>
      <w:r>
        <w:rPr>
          <w:rFonts w:ascii="Arial" w:cs="Arial" w:eastAsia="Arial" w:hAnsi="Arial"/>
          <w:sz w:val="10"/>
          <w:szCs w:val="10"/>
          <w:color w:val="auto"/>
        </w:rPr>
        <w:t>Das Erfolgsziel ist an die absolute Kursentwicklung der Aktie der Gesellschaft während der Wartezeit gekoppelt. Die Bezugsrechte können ausgeübt werden, wenn der volumengewichtete</w:t>
      </w:r>
    </w:p>
    <w:p>
      <w:pPr>
        <w:spacing w:after="0" w:line="1" w:lineRule="exact"/>
        <w:rPr>
          <w:sz w:val="20"/>
          <w:szCs w:val="20"/>
          <w:color w:val="auto"/>
        </w:rPr>
      </w:pPr>
    </w:p>
    <w:p>
      <w:pPr>
        <w:ind w:left="1140"/>
        <w:spacing w:after="0" w:line="260" w:lineRule="auto"/>
        <w:rPr>
          <w:sz w:val="20"/>
          <w:szCs w:val="20"/>
          <w:color w:val="auto"/>
        </w:rPr>
      </w:pPr>
      <w:r>
        <w:rPr>
          <w:rFonts w:ascii="Arial" w:cs="Arial" w:eastAsia="Arial" w:hAnsi="Arial"/>
          <w:sz w:val="12"/>
          <w:szCs w:val="12"/>
          <w:color w:val="auto"/>
        </w:rPr>
        <w:t>6-Monats-Durchschnittskurs der Aktie der Gesellschaft oder der in Beträge je Aktie umzurechnende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919" w:hanging="299"/>
        <w:spacing w:after="0" w:line="375" w:lineRule="auto"/>
        <w:rPr>
          <w:sz w:val="20"/>
          <w:szCs w:val="20"/>
          <w:color w:val="auto"/>
        </w:rPr>
      </w:pPr>
      <w:r>
        <w:rPr>
          <w:rFonts w:ascii="Arial" w:cs="Arial" w:eastAsia="Arial" w:hAnsi="Arial"/>
          <w:sz w:val="12"/>
          <w:szCs w:val="12"/>
          <w:color w:val="auto"/>
        </w:rPr>
        <w:t>4.1</w:t>
      </w:r>
      <w:r>
        <w:rPr>
          <w:sz w:val="20"/>
          <w:szCs w:val="20"/>
          <w:color w:val="auto"/>
        </w:rPr>
        <w:t xml:space="preserve"> </w:t>
      </w:r>
      <w:r>
        <w:rPr>
          <w:rFonts w:ascii="Arial" w:cs="Arial" w:eastAsia="Arial" w:hAnsi="Arial"/>
          <w:sz w:val="10"/>
          <w:szCs w:val="10"/>
          <w:color w:val="auto"/>
        </w:rPr>
        <w:t>Subscription rights may only be exercised if and to the extent that the performance target has been achieved as described below:</w:t>
      </w:r>
    </w:p>
    <w:p>
      <w:pPr>
        <w:spacing w:after="0" w:line="1" w:lineRule="exact"/>
        <w:rPr>
          <w:sz w:val="20"/>
          <w:szCs w:val="20"/>
          <w:color w:val="auto"/>
        </w:rPr>
      </w:pPr>
    </w:p>
    <w:p>
      <w:pPr>
        <w:ind w:right="899"/>
        <w:spacing w:after="0" w:line="285" w:lineRule="auto"/>
        <w:rPr>
          <w:sz w:val="20"/>
          <w:szCs w:val="20"/>
          <w:color w:val="auto"/>
        </w:rPr>
      </w:pPr>
      <w:r>
        <w:rPr>
          <w:rFonts w:ascii="Arial" w:cs="Arial" w:eastAsia="Arial" w:hAnsi="Arial"/>
          <w:sz w:val="11"/>
          <w:szCs w:val="11"/>
          <w:color w:val="auto"/>
        </w:rPr>
        <w:t>The performance targets are linked to the absolute performance of the Company’s share price during the waiting period. The subscription rights may be exercised if the 6-months volume-weighted average price of the Company’s share or the 6-months volume-weighted average price, to be converted into</w:t>
      </w:r>
    </w:p>
    <w:p>
      <w:pPr>
        <w:spacing w:after="0" w:line="68" w:lineRule="exact"/>
        <w:rPr>
          <w:sz w:val="20"/>
          <w:szCs w:val="20"/>
          <w:color w:val="auto"/>
        </w:rPr>
      </w:pPr>
    </w:p>
    <w:p>
      <w:pPr>
        <w:sectPr>
          <w:pgSz w:w="11900" w:h="16838" w:orient="portrait"/>
          <w:cols w:equalWidth="0" w:num="2">
            <w:col w:w="4340" w:space="620"/>
            <w:col w:w="4059"/>
          </w:cols>
          <w:pgMar w:left="1440" w:top="230" w:right="1440"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6 / 26</w:t>
      </w:r>
    </w:p>
    <w:p>
      <w:pPr>
        <w:sectPr>
          <w:pgSz w:w="11900" w:h="16838" w:orient="portrait"/>
          <w:cols w:equalWidth="0" w:num="1">
            <w:col w:w="9019"/>
          </w:cols>
          <w:pgMar w:left="1440" w:top="230" w:right="1440" w:bottom="1440" w:gutter="0" w:footer="0" w:header="0"/>
          <w:type w:val="continuous"/>
        </w:sectPr>
      </w:pPr>
    </w:p>
    <w:bookmarkStart w:id="280" w:name="page281"/>
    <w:bookmarkEnd w:id="280"/>
    <w:p>
      <w:pPr>
        <w:ind w:left="1140"/>
        <w:spacing w:after="0" w:line="305"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volumengewichtete 6-Monats-Durchschnittskurs des die Aktie vertretenden Rechts oder Zertifikats in dem Handelssystem mit dem höchsten gesamten Handelsumsatz an Aktien der Gesellschaft oder an solche vertretenden Rechten oder Zertifikaten an den zehn letzten Tagen vor dem Tag des Ablaufs der Wartezeit, an denen dieses Handelssystem für den allgemeinen Börsenhandel geöffnet gewesen ist, bei Ablauf der Wartezeit mindestens 20 % über dem Ausübungspreis liegt. Für Zeiträume, in denen das Handelssystem mit dem höchsten gesamten Handelsumsatz an Aktien der Gesellschaft oder an solche vertretenden Rechten oder Zertifikaten an den zehn letzten Tagen vor dem Tag des Ablaufs der Wartezeit, an denen dieses Handelssystem für den allgemeinen Börsenhandel geöffnet gewesen ist, die Frankfurter Wertpapierbörse ist, können die Aktienoptionen ausgeübt werden, wenn der volumengewichtete 6-Monats-Durchschnittskurs der Aktie der Gesellschaft im Xetra-Handel (oder einem vergleichbaren Nachfolgesystem) an der Frankfurter Wertpapierbörse bei Ablauf der Wartezeit mindestens 20 % über dem Ausübungspreis liegt.</w:t>
      </w:r>
    </w:p>
    <w:p>
      <w:pPr>
        <w:spacing w:after="0" w:line="182" w:lineRule="exact"/>
        <w:rPr>
          <w:sz w:val="20"/>
          <w:szCs w:val="20"/>
          <w:color w:val="auto"/>
        </w:rPr>
      </w:pPr>
    </w:p>
    <w:p>
      <w:pPr>
        <w:ind w:left="1120" w:right="80" w:hanging="299"/>
        <w:spacing w:after="0" w:line="256" w:lineRule="auto"/>
        <w:tabs>
          <w:tab w:leader="none" w:pos="1100" w:val="left"/>
        </w:tabs>
        <w:rPr>
          <w:sz w:val="20"/>
          <w:szCs w:val="20"/>
          <w:color w:val="auto"/>
        </w:rPr>
      </w:pPr>
      <w:r>
        <w:rPr>
          <w:rFonts w:ascii="Arial" w:cs="Arial" w:eastAsia="Arial" w:hAnsi="Arial"/>
          <w:sz w:val="12"/>
          <w:szCs w:val="12"/>
          <w:color w:val="auto"/>
        </w:rPr>
        <w:t>4.2</w:t>
        <w:tab/>
        <w:t>Bei einer Änderung der Börsenusancen sind die Bestimmungen dieser Optionsbedingungen so auszulegen, dass sie dem ursprünglich Gewollten möglichst nahe kommen. Bei einer Ablösung des Xetra-Handelssystems durch ein Nachfolgesystem ist auf dieses Nachfolgesystem abzustellen.</w:t>
      </w:r>
    </w:p>
    <w:p>
      <w:pPr>
        <w:spacing w:after="0" w:line="20" w:lineRule="exact"/>
        <w:rPr>
          <w:sz w:val="20"/>
          <w:szCs w:val="20"/>
          <w:color w:val="auto"/>
        </w:rPr>
      </w:pPr>
      <w:r>
        <w:rPr>
          <w:sz w:val="20"/>
          <w:szCs w:val="20"/>
          <w:color w:val="auto"/>
        </w:rPr>
        <w:br w:type="column"/>
      </w:r>
    </w:p>
    <w:p>
      <w:pPr>
        <w:ind w:right="839"/>
        <w:spacing w:after="0" w:line="276" w:lineRule="auto"/>
        <w:rPr>
          <w:sz w:val="20"/>
          <w:szCs w:val="20"/>
          <w:color w:val="auto"/>
        </w:rPr>
      </w:pPr>
      <w:r>
        <w:rPr>
          <w:rFonts w:ascii="Arial" w:cs="Arial" w:eastAsia="Arial" w:hAnsi="Arial"/>
          <w:sz w:val="11"/>
          <w:szCs w:val="11"/>
          <w:color w:val="auto"/>
        </w:rPr>
        <w:t>amounts per share, of the right or certificate representing the share in the trading system with the highest total trading volume in shares of the Company or in rights or certificates representing such shares on the ten last days prior to the expiry date of the waiting period on which this trading system has been open for general stock exchange trading is at least 20% above the exercise price at the end of the waiting period. For periods in which the trading system with the highest total trading volume in shares of the Company or in rights or certificates representing such shares on the ten last days prior to the expiry date of the waiting period on which this trading system has been open for general stock exchange trading is the Frankfurt Stock Exchange, the stock options may be exercised if the volume-weighted 6-months average price of the Company’s shares in Xetra trading (or a comparable successor system) on the Frankfurt Stock Exchange at the expiry of the waiting period is at least 20% above the exercise price.</w:t>
      </w:r>
    </w:p>
    <w:p>
      <w:pPr>
        <w:spacing w:after="0" w:line="47" w:lineRule="exact"/>
        <w:rPr>
          <w:sz w:val="20"/>
          <w:szCs w:val="20"/>
          <w:color w:val="auto"/>
        </w:rPr>
      </w:pPr>
    </w:p>
    <w:p>
      <w:pPr>
        <w:ind w:right="859" w:hanging="299"/>
        <w:spacing w:after="0" w:line="285" w:lineRule="auto"/>
        <w:rPr>
          <w:sz w:val="20"/>
          <w:szCs w:val="20"/>
          <w:color w:val="auto"/>
        </w:rPr>
      </w:pPr>
      <w:r>
        <w:rPr>
          <w:rFonts w:ascii="Arial" w:cs="Arial" w:eastAsia="Arial" w:hAnsi="Arial"/>
          <w:sz w:val="12"/>
          <w:szCs w:val="12"/>
          <w:color w:val="auto"/>
        </w:rPr>
        <w:t>4.2</w:t>
      </w:r>
      <w:r>
        <w:rPr>
          <w:sz w:val="20"/>
          <w:szCs w:val="20"/>
          <w:color w:val="auto"/>
        </w:rPr>
        <w:t xml:space="preserve"> </w:t>
      </w:r>
      <w:r>
        <w:rPr>
          <w:rFonts w:ascii="Arial" w:cs="Arial" w:eastAsia="Arial" w:hAnsi="Arial"/>
          <w:sz w:val="11"/>
          <w:szCs w:val="11"/>
          <w:color w:val="auto"/>
        </w:rPr>
        <w:t>In the event of a change in stock exchange practices, the provisions of these option terms and conditions must be interpreted in such a way that they come as close as possible to the original intention. If the Xetra trading system is replaced by a successor system, this successor system shall be used.</w:t>
      </w:r>
    </w:p>
    <w:p>
      <w:pPr>
        <w:spacing w:after="0" w:line="68" w:lineRule="exact"/>
        <w:rPr>
          <w:sz w:val="20"/>
          <w:szCs w:val="20"/>
          <w:color w:val="auto"/>
        </w:rPr>
      </w:pPr>
    </w:p>
    <w:p>
      <w:pPr>
        <w:sectPr>
          <w:pgSz w:w="11900" w:h="16838" w:orient="portrait"/>
          <w:cols w:equalWidth="0" w:num="2">
            <w:col w:w="4580" w:space="380"/>
            <w:col w:w="4059"/>
          </w:cols>
          <w:pgMar w:left="1440" w:top="230" w:right="1440" w:bottom="1440" w:gutter="0" w:footer="0" w:header="0"/>
        </w:sectPr>
      </w:pPr>
    </w:p>
    <w:p>
      <w:pPr>
        <w:jc w:val="center"/>
        <w:ind w:right="19"/>
        <w:spacing w:after="0"/>
        <w:rPr>
          <w:sz w:val="20"/>
          <w:szCs w:val="20"/>
          <w:color w:val="auto"/>
        </w:rPr>
      </w:pPr>
      <w:r>
        <w:rPr>
          <w:rFonts w:ascii="Arial" w:cs="Arial" w:eastAsia="Arial" w:hAnsi="Arial"/>
          <w:sz w:val="11"/>
          <w:szCs w:val="11"/>
          <w:color w:val="auto"/>
        </w:rPr>
        <w:t>7 / 26</w:t>
      </w:r>
    </w:p>
    <w:p>
      <w:pPr>
        <w:sectPr>
          <w:pgSz w:w="11900" w:h="16838" w:orient="portrait"/>
          <w:cols w:equalWidth="0" w:num="1">
            <w:col w:w="9019"/>
          </w:cols>
          <w:pgMar w:left="1440" w:top="230" w:right="1440" w:bottom="1440" w:gutter="0" w:footer="0" w:header="0"/>
          <w:type w:val="continuous"/>
        </w:sectPr>
      </w:pPr>
    </w:p>
    <w:bookmarkStart w:id="281" w:name="page282"/>
    <w:bookmarkEnd w:id="281"/>
    <w:p>
      <w:pPr>
        <w:jc w:val="center"/>
        <w:ind w:left="6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5</w:t>
      </w:r>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2"/>
          <w:szCs w:val="12"/>
          <w:b w:val="1"/>
          <w:bCs w:val="1"/>
          <w:color w:val="auto"/>
        </w:rPr>
        <w:t>Ausübung der Bezugsrechte</w:t>
      </w:r>
    </w:p>
    <w:p>
      <w:pPr>
        <w:spacing w:after="0" w:line="69" w:lineRule="exact"/>
        <w:rPr>
          <w:sz w:val="20"/>
          <w:szCs w:val="20"/>
          <w:color w:val="auto"/>
        </w:rPr>
      </w:pPr>
    </w:p>
    <w:p>
      <w:pPr>
        <w:ind w:left="840"/>
        <w:spacing w:after="0"/>
        <w:tabs>
          <w:tab w:leader="none" w:pos="1100" w:val="left"/>
          <w:tab w:leader="none" w:pos="4640" w:val="left"/>
        </w:tabs>
        <w:rPr>
          <w:sz w:val="20"/>
          <w:szCs w:val="20"/>
          <w:color w:val="auto"/>
        </w:rPr>
      </w:pPr>
      <w:r>
        <w:rPr>
          <w:rFonts w:ascii="Arial" w:cs="Arial" w:eastAsia="Arial" w:hAnsi="Arial"/>
          <w:sz w:val="12"/>
          <w:szCs w:val="12"/>
          <w:color w:val="auto"/>
        </w:rPr>
        <w:t>5.1</w:t>
      </w:r>
      <w:r>
        <w:rPr>
          <w:sz w:val="20"/>
          <w:szCs w:val="20"/>
          <w:color w:val="auto"/>
        </w:rPr>
        <w:tab/>
      </w:r>
      <w:r>
        <w:rPr>
          <w:rFonts w:ascii="Arial" w:cs="Arial" w:eastAsia="Arial" w:hAnsi="Arial"/>
          <w:sz w:val="11"/>
          <w:szCs w:val="11"/>
          <w:color w:val="auto"/>
        </w:rPr>
        <w:t>Die Ausübung der Bezugsrechte erfolgt durch schriftliche, eigenhändig</w:t>
      </w:r>
      <w:r>
        <w:rPr>
          <w:sz w:val="20"/>
          <w:szCs w:val="20"/>
          <w:color w:val="auto"/>
        </w:rPr>
        <w:tab/>
      </w:r>
      <w:r>
        <w:rPr>
          <w:rFonts w:ascii="Arial" w:cs="Arial" w:eastAsia="Arial" w:hAnsi="Arial"/>
          <w:sz w:val="10"/>
          <w:szCs w:val="10"/>
          <w:color w:val="auto"/>
        </w:rPr>
        <w:t>5.1</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unterschriebene Erklärung gegenüber der Gesellschaft</w:t>
      </w:r>
    </w:p>
    <w:p>
      <w:pPr>
        <w:spacing w:after="0" w:line="6" w:lineRule="exact"/>
        <w:rPr>
          <w:sz w:val="20"/>
          <w:szCs w:val="20"/>
          <w:color w:val="auto"/>
        </w:rPr>
      </w:pPr>
    </w:p>
    <w:p>
      <w:pPr>
        <w:ind w:left="1140" w:right="300"/>
        <w:spacing w:after="0" w:line="330"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Bezugserklärung</w:t>
      </w:r>
      <w:r>
        <w:rPr>
          <w:rFonts w:ascii="Arial" w:cs="Arial" w:eastAsia="Arial" w:hAnsi="Arial"/>
          <w:sz w:val="10"/>
          <w:szCs w:val="10"/>
          <w:color w:val="auto"/>
        </w:rPr>
        <w:t>“), die dieser innerhalb eines Ausübungszeitraums in doppelter Ausfertigung zugehen muss. Für die Bezugserklärung ist der bei der Gesellschaft erhältliche Vordruck zu verwenden.</w:t>
      </w:r>
    </w:p>
    <w:p>
      <w:pPr>
        <w:spacing w:after="0" w:line="21" w:lineRule="exact"/>
        <w:rPr>
          <w:sz w:val="20"/>
          <w:szCs w:val="20"/>
          <w:color w:val="auto"/>
        </w:rPr>
      </w:pPr>
    </w:p>
    <w:p>
      <w:pPr>
        <w:ind w:left="1120" w:hanging="299"/>
        <w:spacing w:after="0" w:line="253" w:lineRule="auto"/>
        <w:tabs>
          <w:tab w:leader="none" w:pos="1100" w:val="left"/>
        </w:tabs>
        <w:rPr>
          <w:sz w:val="20"/>
          <w:szCs w:val="20"/>
          <w:color w:val="auto"/>
        </w:rPr>
      </w:pPr>
      <w:r>
        <w:rPr>
          <w:rFonts w:ascii="Arial" w:cs="Arial" w:eastAsia="Arial" w:hAnsi="Arial"/>
          <w:sz w:val="12"/>
          <w:szCs w:val="12"/>
          <w:color w:val="auto"/>
        </w:rPr>
        <w:t>5.2</w:t>
        <w:tab/>
        <w:t>Über die Angaben nach § 198 AktG hinaus hat die Bezugserklärung die 5.2 Anzahl der Bezugsrechte, welche der Bezugsrechtsinhaber ausüben möchte, sowie die Angabe eines Wertpapierdepots des Bezugsrechtsinhabers zur Einbuchung der Aktien der Mynaric zu enthalten. Die Anzahl der ausgeübten Bezugsrechte muss durch 50</w:t>
      </w:r>
    </w:p>
    <w:p>
      <w:pPr>
        <w:spacing w:after="0" w:line="2" w:lineRule="exact"/>
        <w:rPr>
          <w:sz w:val="20"/>
          <w:szCs w:val="20"/>
          <w:color w:val="auto"/>
        </w:rPr>
      </w:pPr>
    </w:p>
    <w:p>
      <w:pPr>
        <w:ind w:left="1140" w:right="280"/>
        <w:spacing w:after="0" w:line="252" w:lineRule="auto"/>
        <w:rPr>
          <w:sz w:val="20"/>
          <w:szCs w:val="20"/>
          <w:color w:val="auto"/>
        </w:rPr>
      </w:pPr>
      <w:r>
        <w:rPr>
          <w:rFonts w:ascii="Arial" w:cs="Arial" w:eastAsia="Arial" w:hAnsi="Arial"/>
          <w:sz w:val="12"/>
          <w:szCs w:val="12"/>
          <w:color w:val="auto"/>
        </w:rPr>
        <w:t>teilbar sein, es sei denn, ein Bezugsrechtsinhaber übt alle ihm zustehenden Bezugsrechte aus. Soweit sich die Anzahl der ausübbaren Bezugsrechte wegen einer Überschreitung der für einen Ausübungszeitraum festgelegten Höchstgrenze (§ 2.5 der Optionsbedingungen) reduziert, wird Mynaric den Bezugsberechtigten hierauf</w:t>
      </w:r>
    </w:p>
    <w:p>
      <w:pPr>
        <w:spacing w:after="0" w:line="229"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8 / 26</w:t>
      </w:r>
    </w:p>
    <w:p>
      <w:pPr>
        <w:spacing w:after="0" w:line="20" w:lineRule="exact"/>
        <w:rPr>
          <w:sz w:val="20"/>
          <w:szCs w:val="20"/>
          <w:color w:val="auto"/>
        </w:rPr>
      </w:pPr>
      <w:r>
        <w:rPr>
          <w:sz w:val="20"/>
          <w:szCs w:val="20"/>
          <w:color w:val="auto"/>
        </w:rPr>
        <w:br w:type="column"/>
      </w:r>
    </w:p>
    <w:p>
      <w:pPr>
        <w:jc w:val="center"/>
        <w:ind w:right="1139"/>
        <w:spacing w:after="0"/>
        <w:rPr>
          <w:sz w:val="20"/>
          <w:szCs w:val="20"/>
          <w:color w:val="auto"/>
        </w:rPr>
      </w:pPr>
      <w:r>
        <w:rPr>
          <w:rFonts w:ascii="Arial" w:cs="Arial" w:eastAsia="Arial" w:hAnsi="Arial"/>
          <w:sz w:val="12"/>
          <w:szCs w:val="12"/>
          <w:b w:val="1"/>
          <w:bCs w:val="1"/>
          <w:color w:val="auto"/>
        </w:rPr>
        <w:t>§ 5</w:t>
      </w:r>
    </w:p>
    <w:p>
      <w:pPr>
        <w:spacing w:after="0" w:line="19" w:lineRule="exact"/>
        <w:rPr>
          <w:sz w:val="20"/>
          <w:szCs w:val="20"/>
          <w:color w:val="auto"/>
        </w:rPr>
      </w:pPr>
    </w:p>
    <w:p>
      <w:pPr>
        <w:jc w:val="center"/>
        <w:ind w:right="1139"/>
        <w:spacing w:after="0"/>
        <w:rPr>
          <w:sz w:val="20"/>
          <w:szCs w:val="20"/>
          <w:color w:val="auto"/>
        </w:rPr>
      </w:pPr>
      <w:r>
        <w:rPr>
          <w:rFonts w:ascii="Arial" w:cs="Arial" w:eastAsia="Arial" w:hAnsi="Arial"/>
          <w:sz w:val="12"/>
          <w:szCs w:val="12"/>
          <w:b w:val="1"/>
          <w:bCs w:val="1"/>
          <w:color w:val="auto"/>
        </w:rPr>
        <w:t>Exercise of subscription rights</w:t>
      </w:r>
    </w:p>
    <w:p>
      <w:pPr>
        <w:spacing w:after="0" w:line="69" w:lineRule="exact"/>
        <w:rPr>
          <w:sz w:val="20"/>
          <w:szCs w:val="20"/>
          <w:color w:val="auto"/>
        </w:rPr>
      </w:pPr>
    </w:p>
    <w:p>
      <w:pPr>
        <w:ind w:left="20" w:right="939" w:hanging="7"/>
        <w:spacing w:after="0" w:line="285" w:lineRule="auto"/>
        <w:rPr>
          <w:sz w:val="20"/>
          <w:szCs w:val="20"/>
          <w:color w:val="auto"/>
        </w:rPr>
      </w:pPr>
      <w:r>
        <w:rPr>
          <w:rFonts w:ascii="Arial" w:cs="Arial" w:eastAsia="Arial" w:hAnsi="Arial"/>
          <w:sz w:val="11"/>
          <w:szCs w:val="11"/>
          <w:color w:val="auto"/>
        </w:rPr>
        <w:t>The subscription rights shall be exercised by means of a written, personallysigned declaration to the Company (“</w:t>
      </w:r>
      <w:r>
        <w:rPr>
          <w:rFonts w:ascii="Arial" w:cs="Arial" w:eastAsia="Arial" w:hAnsi="Arial"/>
          <w:sz w:val="11"/>
          <w:szCs w:val="11"/>
          <w:b w:val="1"/>
          <w:bCs w:val="1"/>
          <w:color w:val="auto"/>
        </w:rPr>
        <w:t>subscription</w:t>
      </w:r>
      <w:r>
        <w:rPr>
          <w:rFonts w:ascii="Arial" w:cs="Arial" w:eastAsia="Arial" w:hAnsi="Arial"/>
          <w:sz w:val="11"/>
          <w:szCs w:val="11"/>
          <w:color w:val="auto"/>
        </w:rPr>
        <w:t xml:space="preserve"> </w:t>
      </w:r>
      <w:r>
        <w:rPr>
          <w:rFonts w:ascii="Arial" w:cs="Arial" w:eastAsia="Arial" w:hAnsi="Arial"/>
          <w:sz w:val="11"/>
          <w:szCs w:val="11"/>
          <w:b w:val="1"/>
          <w:bCs w:val="1"/>
          <w:color w:val="auto"/>
        </w:rPr>
        <w:t>declaration</w:t>
      </w:r>
      <w:r>
        <w:rPr>
          <w:rFonts w:ascii="Arial" w:cs="Arial" w:eastAsia="Arial" w:hAnsi="Arial"/>
          <w:sz w:val="11"/>
          <w:szCs w:val="11"/>
          <w:color w:val="auto"/>
        </w:rPr>
        <w:t>”), which the Company must receive in duplicate</w:t>
      </w:r>
      <w:r>
        <w:rPr>
          <w:rFonts w:ascii="Arial" w:cs="Arial" w:eastAsia="Arial" w:hAnsi="Arial"/>
          <w:sz w:val="11"/>
          <w:szCs w:val="11"/>
          <w:b w:val="1"/>
          <w:bCs w:val="1"/>
          <w:color w:val="auto"/>
        </w:rPr>
        <w:t xml:space="preserve"> </w:t>
      </w:r>
      <w:r>
        <w:rPr>
          <w:rFonts w:ascii="Arial" w:cs="Arial" w:eastAsia="Arial" w:hAnsi="Arial"/>
          <w:sz w:val="11"/>
          <w:szCs w:val="11"/>
          <w:color w:val="auto"/>
        </w:rPr>
        <w:t>within an exercise period. The form available from the Company must be used for the subscription declaration.</w:t>
      </w:r>
    </w:p>
    <w:p>
      <w:pPr>
        <w:spacing w:after="0" w:line="41" w:lineRule="exact"/>
        <w:rPr>
          <w:sz w:val="20"/>
          <w:szCs w:val="20"/>
          <w:color w:val="auto"/>
        </w:rPr>
      </w:pPr>
    </w:p>
    <w:p>
      <w:pPr>
        <w:ind w:left="20" w:right="879" w:hanging="5"/>
        <w:spacing w:after="0" w:line="277" w:lineRule="auto"/>
        <w:rPr>
          <w:sz w:val="20"/>
          <w:szCs w:val="20"/>
          <w:color w:val="auto"/>
        </w:rPr>
      </w:pPr>
      <w:r>
        <w:rPr>
          <w:rFonts w:ascii="Arial" w:cs="Arial" w:eastAsia="Arial" w:hAnsi="Arial"/>
          <w:sz w:val="11"/>
          <w:szCs w:val="11"/>
          <w:color w:val="auto"/>
        </w:rPr>
        <w:t>In addition the information pursuant to § 198 AktG, the subscription declaration must contain the number of subscription rights which the holder of subscription rights wishes to exercise, as well as information on a securities account of the holder of subscription rights for the registration of the shares of Mynaric. The number of subscription rights exercised must be divisible by 50, unless a holder of subscription rights exercises all subscription rights to which he is entitled. If the number of exercisable subscription rights is reduced due to the fact that the maximum number of subscription rights determined for an exercise period (§ 2.5 of the option conditions) has been exceeded, Mynaric will notify the beneficiary of this and</w:t>
      </w:r>
    </w:p>
    <w:p>
      <w:pPr>
        <w:sectPr>
          <w:pgSz w:w="11900" w:h="16838" w:orient="portrait"/>
          <w:cols w:equalWidth="0" w:num="2">
            <w:col w:w="4800" w:space="140"/>
            <w:col w:w="4079"/>
          </w:cols>
          <w:pgMar w:left="1440" w:top="226" w:right="1440" w:bottom="1440" w:gutter="0" w:footer="0" w:header="0"/>
        </w:sectPr>
      </w:pPr>
    </w:p>
    <w:bookmarkStart w:id="282" w:name="page283"/>
    <w:bookmarkEnd w:id="282"/>
    <w:p>
      <w:pPr>
        <w:ind w:left="1140"/>
        <w:spacing w:after="0" w:line="31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hinweisen und ihm die Höchstzahl der von ihm in diesem Ausübungszeitraum ausübbaren Bezugsrechte mitteilen. In diesem Fall hat der Bezugsberechtigte unverzüglich eine neue Bezugserklärung im Sinne dieser Vorschrift auszufertigen. Diese neue Bezugserklärung darf sich höchstens auf die dem Bezugsberechtigten mitgeteilten Höchstanzahl der von ihm ausübbaren Bezugsrechte beziehen.</w:t>
      </w:r>
    </w:p>
    <w:p>
      <w:pPr>
        <w:spacing w:after="0" w:line="28" w:lineRule="exact"/>
        <w:rPr>
          <w:sz w:val="20"/>
          <w:szCs w:val="20"/>
          <w:color w:val="auto"/>
        </w:rPr>
      </w:pPr>
    </w:p>
    <w:p>
      <w:pPr>
        <w:ind w:left="1120" w:hanging="299"/>
        <w:spacing w:after="0" w:line="277" w:lineRule="auto"/>
        <w:tabs>
          <w:tab w:leader="none" w:pos="1100" w:val="left"/>
        </w:tabs>
        <w:rPr>
          <w:sz w:val="20"/>
          <w:szCs w:val="20"/>
          <w:color w:val="auto"/>
        </w:rPr>
      </w:pPr>
      <w:r>
        <w:rPr>
          <w:rFonts w:ascii="Arial" w:cs="Arial" w:eastAsia="Arial" w:hAnsi="Arial"/>
          <w:sz w:val="12"/>
          <w:szCs w:val="12"/>
          <w:color w:val="auto"/>
        </w:rPr>
        <w:t>5.3</w:t>
      </w:r>
      <w:r>
        <w:rPr>
          <w:sz w:val="20"/>
          <w:szCs w:val="20"/>
          <w:color w:val="auto"/>
        </w:rPr>
        <w:tab/>
      </w:r>
      <w:r>
        <w:rPr>
          <w:rFonts w:ascii="Arial" w:cs="Arial" w:eastAsia="Arial" w:hAnsi="Arial"/>
          <w:sz w:val="11"/>
          <w:szCs w:val="11"/>
          <w:color w:val="auto"/>
        </w:rPr>
        <w:t>Die Abgabe der Bezugserklärung kann nur innerhalb des jeweiligen Ausübungszeitraums erfolgen, im Falle einer mitgeteilten Überschreitung der Höchstgrenze innerhalb von einer Woche seit Zugang der Mitteilung der Mynaric. Sie muss zu ihrer Wirksamkeit der Mynaric spätestens am letzten Tag des Ausübungszeitraums zugegangen sein. Eine mittels Telefax fristgerecht übermittelte Bezugserklärung gilt als rechtzeitig zugegangen, wenn das Original spätestens am dritten auf den Zugang des Telefaxes folgenden Börsenhandelstag zugeht. Eine Erklärung per E-Mail ist zulässig, wenn sie das Original der unterzeichneten Bezugserklärung als Dateianhang (z. B. im pdf- oder tif- Format) enthält und das Original spätestens am dritten auf den Zugang des E-Mails folgenden Börsenhandelstag zugeht.</w:t>
      </w:r>
    </w:p>
    <w:p>
      <w:pPr>
        <w:spacing w:after="0" w:line="20" w:lineRule="exact"/>
        <w:rPr>
          <w:sz w:val="20"/>
          <w:szCs w:val="20"/>
          <w:color w:val="auto"/>
        </w:rPr>
      </w:pPr>
      <w:r>
        <w:rPr>
          <w:sz w:val="20"/>
          <w:szCs w:val="20"/>
          <w:color w:val="auto"/>
        </w:rPr>
        <w:br w:type="column"/>
      </w:r>
    </w:p>
    <w:p>
      <w:pPr>
        <w:ind w:right="839"/>
        <w:spacing w:after="0" w:line="316" w:lineRule="auto"/>
        <w:rPr>
          <w:sz w:val="20"/>
          <w:szCs w:val="20"/>
          <w:color w:val="auto"/>
        </w:rPr>
      </w:pPr>
      <w:r>
        <w:rPr>
          <w:rFonts w:ascii="Arial" w:cs="Arial" w:eastAsia="Arial" w:hAnsi="Arial"/>
          <w:sz w:val="10"/>
          <w:szCs w:val="10"/>
          <w:color w:val="auto"/>
        </w:rPr>
        <w:t>inform him/her of the maximum number of subscription rights that can be exercised in this exercise period. In this case, the beneficiary shall immediately issue a new subscription declaration in the sense of this provision. This new subscription declaration may relate to no more than the maximum number of subscription rights that the beneficiary has been notified of and which he/she may exercise.</w:t>
      </w:r>
    </w:p>
    <w:p>
      <w:pPr>
        <w:spacing w:after="0" w:line="28" w:lineRule="exact"/>
        <w:rPr>
          <w:sz w:val="20"/>
          <w:szCs w:val="20"/>
          <w:color w:val="auto"/>
        </w:rPr>
      </w:pPr>
    </w:p>
    <w:p>
      <w:pPr>
        <w:ind w:right="899" w:hanging="239"/>
        <w:spacing w:after="0" w:line="277" w:lineRule="auto"/>
        <w:rPr>
          <w:sz w:val="20"/>
          <w:szCs w:val="20"/>
          <w:color w:val="auto"/>
        </w:rPr>
      </w:pPr>
      <w:r>
        <w:rPr>
          <w:rFonts w:ascii="Arial" w:cs="Arial" w:eastAsia="Arial" w:hAnsi="Arial"/>
          <w:sz w:val="11"/>
          <w:szCs w:val="11"/>
          <w:color w:val="auto"/>
        </w:rPr>
        <w:t>5.3 The declaration of subscription can only be made within the respectiveexercise period, in the case of a notified exceeding of the maximum limit within one week after receipt of the notification from Mynaric. In order to be effective, it must be received by Mynaric at the latest on the last day of the exercise period. A subscription declaration sent by fax in due time is considered to have been received in time if the original is received by Mynaric at the latest on the third stock exchange trading day following receipt of the fax. A declaration by e-mail is permissible if it contains the original of the signed subscription declaration as a file attachment (e.g. in pdf or tif format) and the original is received no later than on the third stock exchange trading day following receipt of the e-mail.</w:t>
      </w:r>
    </w:p>
    <w:p>
      <w:pPr>
        <w:spacing w:after="0" w:line="73" w:lineRule="exact"/>
        <w:rPr>
          <w:sz w:val="20"/>
          <w:szCs w:val="20"/>
          <w:color w:val="auto"/>
        </w:rPr>
      </w:pPr>
    </w:p>
    <w:p>
      <w:pPr>
        <w:sectPr>
          <w:pgSz w:w="11900" w:h="16838" w:orient="portrait"/>
          <w:cols w:equalWidth="0" w:num="2">
            <w:col w:w="4560" w:space="340"/>
            <w:col w:w="4119"/>
          </w:cols>
          <w:pgMar w:left="1440" w:top="230" w:right="1440" w:bottom="1440" w:gutter="0" w:footer="0" w:header="0"/>
        </w:sectPr>
      </w:pPr>
    </w:p>
    <w:p>
      <w:pPr>
        <w:jc w:val="center"/>
        <w:ind w:right="19"/>
        <w:spacing w:after="0"/>
        <w:rPr>
          <w:sz w:val="20"/>
          <w:szCs w:val="20"/>
          <w:color w:val="auto"/>
        </w:rPr>
      </w:pPr>
      <w:r>
        <w:rPr>
          <w:rFonts w:ascii="Arial" w:cs="Arial" w:eastAsia="Arial" w:hAnsi="Arial"/>
          <w:sz w:val="11"/>
          <w:szCs w:val="11"/>
          <w:color w:val="auto"/>
        </w:rPr>
        <w:t>9 / 26</w:t>
      </w:r>
    </w:p>
    <w:p>
      <w:pPr>
        <w:sectPr>
          <w:pgSz w:w="11900" w:h="16838" w:orient="portrait"/>
          <w:cols w:equalWidth="0" w:num="1">
            <w:col w:w="9019"/>
          </w:cols>
          <w:pgMar w:left="1440" w:top="230" w:right="1440" w:bottom="1440" w:gutter="0" w:footer="0" w:header="0"/>
          <w:type w:val="continuous"/>
        </w:sectPr>
      </w:pPr>
    </w:p>
    <w:bookmarkStart w:id="283" w:name="page284"/>
    <w:bookmarkEnd w:id="283"/>
    <w:p>
      <w:pPr>
        <w:ind w:left="1080" w:hanging="239"/>
        <w:spacing w:after="0" w:line="27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5.4 Mit Ausübung der Bezugsrechte ist der Ausübungspreis an die Mynaric zu zahlen. Nach Eingang der Zahlung des Ausübungspreises auf das in der Bezugserklärung angegebene Konto wird Mynaric dem Bezugsrechtsinhaber unverzüglich die den ausgeübten Bezugsrechten entsprechende Anzahl an Aktien gutschreiben. Mynaric ist berechtigt, mit Bezugsrechtsinhabern hinsichtlich einzelner Ausübungszeiträume eine hiervon abweichende Regelung zu treffen, insbesondere eine spätere Fälligkeit des Ausübungspreises vorzusehen und die Aktien zu einem späteren Zeitpunkt dem Bezugsrechtsinhaber gutzuschreiben, wenn dies aus sachlichen Gründen geboten ist, insbesondere, um eine zu den bestehenden Aktien unterschiedliche Gewinnberechtigung der gelieferten Aktien zu vermeiden. In diesem Fall wird Mynaric eine entsprechend spätere Fälligkeit des Ausübungspreises festlegen. Die Bezugserklärung kann bestimmen, dass Bezugsrechte verfallen, soweit Zahlungen nicht binnen einer angemessenen Frist nach Ablauf des Ausübungszeitraumes, in dem die Bezugsrechte ausgeübt wurden, erfolgt sind. Eine Frist von zwei Wochen gilt als angemessen. Die Bezugserklärung oder die Ausübungserklärung können für die Zahlung des Ausübungspreises eine Lastschriftvereinbarung sowie einen Abbuchungsauftrag für Lastschriften enthalten.</w:t>
      </w:r>
    </w:p>
    <w:p>
      <w:pPr>
        <w:spacing w:after="0" w:line="20" w:lineRule="exact"/>
        <w:rPr>
          <w:sz w:val="20"/>
          <w:szCs w:val="20"/>
          <w:color w:val="auto"/>
        </w:rPr>
      </w:pPr>
      <w:r>
        <w:rPr>
          <w:sz w:val="20"/>
          <w:szCs w:val="20"/>
          <w:color w:val="auto"/>
        </w:rPr>
        <w:br w:type="column"/>
      </w:r>
    </w:p>
    <w:p>
      <w:pPr>
        <w:ind w:right="839" w:hanging="239"/>
        <w:spacing w:after="0" w:line="275" w:lineRule="auto"/>
        <w:rPr>
          <w:sz w:val="20"/>
          <w:szCs w:val="20"/>
          <w:color w:val="auto"/>
        </w:rPr>
      </w:pPr>
      <w:r>
        <w:rPr>
          <w:rFonts w:ascii="Arial" w:cs="Arial" w:eastAsia="Arial" w:hAnsi="Arial"/>
          <w:sz w:val="11"/>
          <w:szCs w:val="11"/>
          <w:color w:val="auto"/>
        </w:rPr>
        <w:t>5.4 Upon exercise of the subscription rights, the exercise price is payable to Mynaric. After receipt of the payment of the exercise price to the account stated in the subscription declaration Mynaric will immediately credit the holder of the subscription rights with the number of shares corresponding to the exercised subscription rights. Mynaric is entitled to make a deviating arrangement with holders of subscription rights regarding individual exercise periods, in particular to provide for a later maturity of the exercise price and to credit the shares to the holder of subscription rights at a later date if this is necessary for objective reasons, in particular to avoid a different entitlement to profits of the delivered shares compared to the existing shares. In this case Mynaric will determine a correspondingly later maturity of the exercise price. The subscription declaration may stipulate that subscription rights lapse if payments are not made within a reasonable period of time after the end of the exercise period in which the subscription rights were exercised. A period of two weeks shall be deemed reasonable. The subscription declaration or the exercise declaration may contain a direct debit agreement for the payment of the exercise price as well as a debit order for direct debits.</w:t>
      </w:r>
    </w:p>
    <w:p>
      <w:pPr>
        <w:spacing w:after="0" w:line="80" w:lineRule="exact"/>
        <w:rPr>
          <w:sz w:val="20"/>
          <w:szCs w:val="20"/>
          <w:color w:val="auto"/>
        </w:rPr>
      </w:pPr>
    </w:p>
    <w:p>
      <w:pPr>
        <w:sectPr>
          <w:pgSz w:w="11900" w:h="16838" w:orient="portrait"/>
          <w:cols w:equalWidth="0" w:num="2">
            <w:col w:w="4560" w:space="340"/>
            <w:col w:w="4119"/>
          </w:cols>
          <w:pgMar w:left="1440" w:top="302" w:right="1440" w:bottom="1440" w:gutter="0" w:footer="0" w:header="0"/>
        </w:sectPr>
      </w:pPr>
    </w:p>
    <w:p>
      <w:pPr>
        <w:jc w:val="center"/>
        <w:spacing w:after="0"/>
        <w:rPr>
          <w:sz w:val="20"/>
          <w:szCs w:val="20"/>
          <w:color w:val="auto"/>
        </w:rPr>
      </w:pPr>
      <w:r>
        <w:rPr>
          <w:rFonts w:ascii="Arial" w:cs="Arial" w:eastAsia="Arial" w:hAnsi="Arial"/>
          <w:sz w:val="11"/>
          <w:szCs w:val="11"/>
          <w:color w:val="auto"/>
        </w:rPr>
        <w:t>10 / 26</w:t>
      </w:r>
    </w:p>
    <w:p>
      <w:pPr>
        <w:sectPr>
          <w:pgSz w:w="11900" w:h="16838" w:orient="portrait"/>
          <w:cols w:equalWidth="0" w:num="1">
            <w:col w:w="9019"/>
          </w:cols>
          <w:pgMar w:left="1440" w:top="302" w:right="1440" w:bottom="1440" w:gutter="0" w:footer="0" w:header="0"/>
          <w:type w:val="continuous"/>
        </w:sectPr>
      </w:pPr>
    </w:p>
    <w:bookmarkStart w:id="284" w:name="page285"/>
    <w:bookmarkEnd w:id="284"/>
    <w:p>
      <w:pPr>
        <w:ind w:left="1120" w:right="20" w:hanging="299"/>
        <w:spacing w:after="0" w:line="277" w:lineRule="auto"/>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5.5</w:t>
      </w:r>
      <w:r>
        <w:rPr>
          <w:sz w:val="20"/>
          <w:szCs w:val="20"/>
          <w:color w:val="auto"/>
        </w:rPr>
        <w:tab/>
      </w:r>
      <w:r>
        <w:rPr>
          <w:rFonts w:ascii="Arial" w:cs="Arial" w:eastAsia="Arial" w:hAnsi="Arial"/>
          <w:sz w:val="11"/>
          <w:szCs w:val="11"/>
          <w:color w:val="auto"/>
        </w:rPr>
        <w:t>Mynaric erfüllt ihre Verpflichtung zur Übereignung von Aktien mit neuen Aktien unter Inanspruchnahme des Bedingten Kapitals 2019. Ihr steht, soweit gesetzlich zulässig, die Befugnis zu, anstatt neuer Aktien ganz oder teilweise eigene Aktien zu liefern. Der Bezugsrechtsinhaber ist verpflichtet, die von der Mynaric angebotenen Aktien in Erfüllung seiner Bezugsrechte anzunehmen. Ferner ist die Gesellschaft berechtigt, ganz oder teilweise an Stelle der Lieferung von (neuen oder eigenen) Aktien den Wert der bei Ausübung von Bezugsrechten zu liefernden Aktien abzüglich des Ausübungspreises in bar auszuzahlen. Die Entscheidung, welche Alternative von der Gesellschaft im Einzelfall gewählt wird, trifft der Vorstand der Gesellschaft bzw., soweit Mitlieder des Vorstands der Gesellschaft betroffen sind, der Aufsichtsrat der Gesellschaft.</w:t>
      </w:r>
    </w:p>
    <w:p>
      <w:pPr>
        <w:spacing w:after="0" w:line="46" w:lineRule="exact"/>
        <w:rPr>
          <w:sz w:val="20"/>
          <w:szCs w:val="20"/>
          <w:color w:val="auto"/>
        </w:rPr>
      </w:pPr>
    </w:p>
    <w:p>
      <w:pPr>
        <w:ind w:left="1120" w:hanging="299"/>
        <w:spacing w:after="0" w:line="256" w:lineRule="auto"/>
        <w:tabs>
          <w:tab w:leader="none" w:pos="1100" w:val="left"/>
        </w:tabs>
        <w:rPr>
          <w:sz w:val="20"/>
          <w:szCs w:val="20"/>
          <w:color w:val="auto"/>
        </w:rPr>
      </w:pPr>
      <w:r>
        <w:rPr>
          <w:rFonts w:ascii="Arial" w:cs="Arial" w:eastAsia="Arial" w:hAnsi="Arial"/>
          <w:sz w:val="12"/>
          <w:szCs w:val="12"/>
          <w:color w:val="auto"/>
        </w:rPr>
        <w:t>5.6</w:t>
        <w:tab/>
        <w:t>Die neuen, auf den Inhaber oder den Namen lautenden Stückaktien nehmen vom Beginn des Geschäftsjahres an, für das zum Zeitpunkt der Ausübung des Bezugsrechts noch kein Beschluss der Hauptversammlung über die Verwendung des Bilanzgewinns gefasst worden ist, am Gewinn teil.</w:t>
      </w:r>
    </w:p>
    <w:p>
      <w:pPr>
        <w:spacing w:after="0" w:line="20" w:lineRule="exact"/>
        <w:rPr>
          <w:sz w:val="20"/>
          <w:szCs w:val="20"/>
          <w:color w:val="auto"/>
        </w:rPr>
      </w:pPr>
      <w:r>
        <w:rPr>
          <w:sz w:val="20"/>
          <w:szCs w:val="20"/>
          <w:color w:val="auto"/>
        </w:rPr>
        <w:br w:type="column"/>
      </w:r>
    </w:p>
    <w:p>
      <w:pPr>
        <w:ind w:left="20" w:right="859" w:hanging="299"/>
        <w:spacing w:after="0" w:line="307" w:lineRule="auto"/>
        <w:rPr>
          <w:sz w:val="20"/>
          <w:szCs w:val="20"/>
          <w:color w:val="auto"/>
        </w:rPr>
      </w:pPr>
      <w:r>
        <w:rPr>
          <w:rFonts w:ascii="Arial" w:cs="Arial" w:eastAsia="Arial" w:hAnsi="Arial"/>
          <w:sz w:val="12"/>
          <w:szCs w:val="12"/>
          <w:color w:val="auto"/>
        </w:rPr>
        <w:t>5.5</w:t>
      </w:r>
      <w:r>
        <w:rPr>
          <w:sz w:val="20"/>
          <w:szCs w:val="20"/>
          <w:color w:val="auto"/>
        </w:rPr>
        <w:t xml:space="preserve"> </w:t>
      </w:r>
      <w:r>
        <w:rPr>
          <w:rFonts w:ascii="Arial" w:cs="Arial" w:eastAsia="Arial" w:hAnsi="Arial"/>
          <w:sz w:val="10"/>
          <w:szCs w:val="10"/>
          <w:color w:val="auto"/>
        </w:rPr>
        <w:t>Mynaric fulfills ist obligation to transfer shares with new shares using the Conditional Capital 2019, and, to extend permitted by law, ist entitled to deliver own shares instead of new shares in whole or in part. The holder of subscription rights is obliged to accept the shares offered by Mynaric in fulfilment of his subscription rights. Furthermore, the company is entitled to pay out in cash, in whole or in part, instead of the delivery of (new or own) shares, the value of the shares to be delivered upon exercise of subscription rights minus the exercise price. The decision as to which alternative is chosen by the Company in each individual case shall be made by the Management Board of the Company or, insofar as members of the Management Board of the Company are affected, by the Supervisory Board of the Company.</w:t>
      </w:r>
    </w:p>
    <w:p>
      <w:pPr>
        <w:spacing w:after="0" w:line="179" w:lineRule="exact"/>
        <w:rPr>
          <w:sz w:val="20"/>
          <w:szCs w:val="20"/>
          <w:color w:val="auto"/>
        </w:rPr>
      </w:pPr>
    </w:p>
    <w:p>
      <w:pPr>
        <w:ind w:right="879" w:hanging="299"/>
        <w:spacing w:after="0" w:line="285" w:lineRule="auto"/>
        <w:rPr>
          <w:sz w:val="20"/>
          <w:szCs w:val="20"/>
          <w:color w:val="auto"/>
        </w:rPr>
      </w:pPr>
      <w:r>
        <w:rPr>
          <w:rFonts w:ascii="Arial" w:cs="Arial" w:eastAsia="Arial" w:hAnsi="Arial"/>
          <w:sz w:val="12"/>
          <w:szCs w:val="12"/>
          <w:color w:val="auto"/>
        </w:rPr>
        <w:t>5.6</w:t>
      </w:r>
      <w:r>
        <w:rPr>
          <w:sz w:val="20"/>
          <w:szCs w:val="20"/>
          <w:color w:val="auto"/>
        </w:rPr>
        <w:t xml:space="preserve"> </w:t>
      </w:r>
      <w:r>
        <w:rPr>
          <w:rFonts w:ascii="Arial" w:cs="Arial" w:eastAsia="Arial" w:hAnsi="Arial"/>
          <w:sz w:val="11"/>
          <w:szCs w:val="11"/>
          <w:color w:val="auto"/>
        </w:rPr>
        <w:t>The new bearer or registered no-par-value shares participate in the profit from the beginning of the financial year for which, at the time of exercising the subscription right, no resolution by the Annual General Meeting on the appropriation of the balance sheet profit has yet been adopted.</w:t>
      </w:r>
    </w:p>
    <w:p>
      <w:pPr>
        <w:spacing w:after="0" w:line="68" w:lineRule="exact"/>
        <w:rPr>
          <w:sz w:val="20"/>
          <w:szCs w:val="20"/>
          <w:color w:val="auto"/>
        </w:rPr>
      </w:pPr>
    </w:p>
    <w:p>
      <w:pPr>
        <w:sectPr>
          <w:pgSz w:w="11900" w:h="16838" w:orient="portrait"/>
          <w:cols w:equalWidth="0" w:num="2">
            <w:col w:w="4560" w:space="380"/>
            <w:col w:w="4079"/>
          </w:cols>
          <w:pgMar w:left="1440" w:top="302" w:right="1440" w:bottom="1440" w:gutter="0" w:footer="0" w:header="0"/>
        </w:sectPr>
      </w:pPr>
    </w:p>
    <w:p>
      <w:pPr>
        <w:jc w:val="center"/>
        <w:ind w:right="19"/>
        <w:spacing w:after="0"/>
        <w:rPr>
          <w:sz w:val="20"/>
          <w:szCs w:val="20"/>
          <w:color w:val="auto"/>
        </w:rPr>
      </w:pPr>
      <w:r>
        <w:rPr>
          <w:rFonts w:ascii="Arial" w:cs="Arial" w:eastAsia="Arial" w:hAnsi="Arial"/>
          <w:sz w:val="10"/>
          <w:szCs w:val="10"/>
          <w:color w:val="auto"/>
        </w:rPr>
        <w:t>11 / 26</w:t>
      </w:r>
    </w:p>
    <w:p>
      <w:pPr>
        <w:sectPr>
          <w:pgSz w:w="11900" w:h="16838" w:orient="portrait"/>
          <w:cols w:equalWidth="0" w:num="1">
            <w:col w:w="9019"/>
          </w:cols>
          <w:pgMar w:left="1440" w:top="302" w:right="1440" w:bottom="1440" w:gutter="0" w:footer="0" w:header="0"/>
          <w:type w:val="continuous"/>
        </w:sectPr>
      </w:pPr>
    </w:p>
    <w:bookmarkStart w:id="285" w:name="page286"/>
    <w:bookmarkEnd w:id="285"/>
    <w:p>
      <w:pPr>
        <w:ind w:left="2640"/>
        <w:spacing w:after="0"/>
        <w:tabs>
          <w:tab w:leader="none" w:pos="63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6</w:t>
      </w:r>
      <w:r>
        <w:rPr>
          <w:sz w:val="20"/>
          <w:szCs w:val="20"/>
          <w:color w:val="auto"/>
        </w:rPr>
        <w:tab/>
      </w:r>
      <w:r>
        <w:rPr>
          <w:rFonts w:ascii="Arial" w:cs="Arial" w:eastAsia="Arial" w:hAnsi="Arial"/>
          <w:sz w:val="11"/>
          <w:szCs w:val="11"/>
          <w:b w:val="1"/>
          <w:bCs w:val="1"/>
          <w:color w:val="auto"/>
        </w:rPr>
        <w:t>§ 6</w:t>
      </w:r>
    </w:p>
    <w:p>
      <w:pPr>
        <w:spacing w:after="0" w:line="19" w:lineRule="exact"/>
        <w:rPr>
          <w:sz w:val="20"/>
          <w:szCs w:val="20"/>
          <w:color w:val="auto"/>
        </w:rPr>
      </w:pPr>
    </w:p>
    <w:p>
      <w:pPr>
        <w:ind w:left="980"/>
        <w:spacing w:after="0"/>
        <w:tabs>
          <w:tab w:leader="none" w:pos="4660" w:val="left"/>
        </w:tabs>
        <w:rPr>
          <w:sz w:val="20"/>
          <w:szCs w:val="20"/>
          <w:color w:val="auto"/>
        </w:rPr>
      </w:pPr>
      <w:r>
        <w:rPr>
          <w:rFonts w:ascii="Arial" w:cs="Arial" w:eastAsia="Arial" w:hAnsi="Arial"/>
          <w:sz w:val="12"/>
          <w:szCs w:val="12"/>
          <w:b w:val="1"/>
          <w:bCs w:val="1"/>
          <w:color w:val="auto"/>
        </w:rPr>
        <w:t>Beendigung des Dienst- oder Arbeitsverhältnisses, Ausscheiden von</w:t>
      </w:r>
      <w:r>
        <w:rPr>
          <w:sz w:val="20"/>
          <w:szCs w:val="20"/>
          <w:color w:val="auto"/>
        </w:rPr>
        <w:tab/>
      </w:r>
      <w:r>
        <w:rPr>
          <w:rFonts w:ascii="Arial" w:cs="Arial" w:eastAsia="Arial" w:hAnsi="Arial"/>
          <w:sz w:val="10"/>
          <w:szCs w:val="10"/>
          <w:b w:val="1"/>
          <w:bCs w:val="1"/>
          <w:color w:val="auto"/>
        </w:rPr>
        <w:t>Termination of service or employment, Withdrawal of undertakings</w:t>
      </w:r>
    </w:p>
    <w:p>
      <w:pPr>
        <w:spacing w:after="0" w:line="6" w:lineRule="exact"/>
        <w:rPr>
          <w:sz w:val="20"/>
          <w:szCs w:val="20"/>
          <w:color w:val="auto"/>
        </w:rPr>
      </w:pPr>
    </w:p>
    <w:p>
      <w:pPr>
        <w:ind w:left="2460"/>
        <w:spacing w:after="0"/>
        <w:rPr>
          <w:sz w:val="20"/>
          <w:szCs w:val="20"/>
          <w:color w:val="auto"/>
        </w:rPr>
      </w:pPr>
      <w:r>
        <w:rPr>
          <w:rFonts w:ascii="Arial" w:cs="Arial" w:eastAsia="Arial" w:hAnsi="Arial"/>
          <w:sz w:val="12"/>
          <w:szCs w:val="12"/>
          <w:b w:val="1"/>
          <w:bCs w:val="1"/>
          <w:color w:val="auto"/>
        </w:rPr>
        <w:t>Betrieben</w:t>
      </w:r>
    </w:p>
    <w:p>
      <w:pPr>
        <w:sectPr>
          <w:pgSz w:w="11900" w:h="16838" w:orient="portrait"/>
          <w:cols w:equalWidth="0" w:num="1">
            <w:col w:w="9019"/>
          </w:cols>
          <w:pgMar w:left="1440" w:top="298" w:right="1440" w:bottom="1440" w:gutter="0" w:footer="0" w:header="0"/>
        </w:sectPr>
      </w:pPr>
    </w:p>
    <w:p>
      <w:pPr>
        <w:spacing w:after="0" w:line="69" w:lineRule="exact"/>
        <w:rPr>
          <w:sz w:val="20"/>
          <w:szCs w:val="20"/>
          <w:color w:val="auto"/>
        </w:rPr>
      </w:pPr>
    </w:p>
    <w:p>
      <w:pPr>
        <w:ind w:left="1120" w:hanging="299"/>
        <w:spacing w:after="0" w:line="280" w:lineRule="auto"/>
        <w:tabs>
          <w:tab w:leader="none" w:pos="1100" w:val="left"/>
        </w:tabs>
        <w:rPr>
          <w:sz w:val="20"/>
          <w:szCs w:val="20"/>
          <w:color w:val="auto"/>
        </w:rPr>
      </w:pPr>
      <w:r>
        <w:rPr>
          <w:rFonts w:ascii="Arial" w:cs="Arial" w:eastAsia="Arial" w:hAnsi="Arial"/>
          <w:sz w:val="12"/>
          <w:szCs w:val="12"/>
          <w:color w:val="auto"/>
        </w:rPr>
        <w:t>6.1</w:t>
      </w:r>
      <w:r>
        <w:rPr>
          <w:sz w:val="20"/>
          <w:szCs w:val="20"/>
          <w:color w:val="auto"/>
        </w:rPr>
        <w:tab/>
      </w:r>
      <w:r>
        <w:rPr>
          <w:rFonts w:ascii="Arial" w:cs="Arial" w:eastAsia="Arial" w:hAnsi="Arial"/>
          <w:sz w:val="11"/>
          <w:szCs w:val="11"/>
          <w:color w:val="auto"/>
        </w:rPr>
        <w:t>Vorbehaltlich nachfolgender Bestimmungen und § 7.2 dürfen Bezugsrechte nur vom Bezugsrechtsinhaber und nur dann ausgeübt werden, wenn der Bezugsrechtsinhaber zum Zeitpunkt der Ausübung in einem ungekündigten Dienst- oder Arbeitsverhältnis zu einem beteiligten Unternehmen steht oder das Dienst- oder Arbeitsverhältnis zu einem nach der Gewährung der Bezugsrechte liegenden Zeitpunkt aufgrund Ablaufs einer vorgesehenen Befristung, Eintritts in den Ruhestand oder einvernehmlich endet.</w:t>
      </w:r>
    </w:p>
    <w:p>
      <w:pPr>
        <w:spacing w:after="0" w:line="43" w:lineRule="exact"/>
        <w:rPr>
          <w:sz w:val="20"/>
          <w:szCs w:val="20"/>
          <w:color w:val="auto"/>
        </w:rPr>
      </w:pPr>
    </w:p>
    <w:p>
      <w:pPr>
        <w:ind w:left="1140" w:right="20" w:hanging="299"/>
        <w:spacing w:after="0" w:line="277" w:lineRule="auto"/>
        <w:rPr>
          <w:sz w:val="20"/>
          <w:szCs w:val="20"/>
          <w:color w:val="auto"/>
        </w:rPr>
      </w:pPr>
      <w:r>
        <w:rPr>
          <w:rFonts w:ascii="Arial" w:cs="Arial" w:eastAsia="Arial" w:hAnsi="Arial"/>
          <w:sz w:val="11"/>
          <w:szCs w:val="11"/>
          <w:color w:val="auto"/>
        </w:rPr>
        <w:t>6.1.1. Endet das Dienst- oder Arbeitsverhältnis des Bezugsberechtigten nach Ablauf der Wartezeit, aber vor Ausübung der Bezugsrechte und erfolgt diese Beendigung aus anderen Gründen als dem Ablauf einer vorgesehenen Befristung, dem Eintritt in den Ruhestand oder einer einvernehmlichen Beendigung, so verfallen die Bezugsrechte mit Ablauf des nächstfolgenden Ausübungszeitraumes ersatzlos, und zwar unabhängig davon, ob zu diesem Zeitpunkt die Voraussetzungen für die Ausübung vorlagen. Im Falle einer außerordentlichen Kündigung des Dienst- oder Arbeitsverhältnisses durch Mynaric bzw. das jeweilige Anstellungsunternehmen aus einem in der Person oder im Verhalten des Bezugsrechtsinhabers liegenden Grund verfallen die Bezugsrechte zum Zeitpunkt der Beendigung des Dienst- oder Arbeitsverhältnisses ersatzlos.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899" w:hanging="299"/>
        <w:spacing w:after="0" w:line="280" w:lineRule="auto"/>
        <w:rPr>
          <w:sz w:val="20"/>
          <w:szCs w:val="20"/>
          <w:color w:val="auto"/>
        </w:rPr>
      </w:pPr>
      <w:r>
        <w:rPr>
          <w:rFonts w:ascii="Arial" w:cs="Arial" w:eastAsia="Arial" w:hAnsi="Arial"/>
          <w:sz w:val="12"/>
          <w:szCs w:val="12"/>
          <w:color w:val="auto"/>
        </w:rPr>
        <w:t>6.1</w:t>
      </w:r>
      <w:r>
        <w:rPr>
          <w:sz w:val="20"/>
          <w:szCs w:val="20"/>
          <w:color w:val="auto"/>
        </w:rPr>
        <w:t xml:space="preserve"> </w:t>
      </w:r>
      <w:r>
        <w:rPr>
          <w:rFonts w:ascii="Arial" w:cs="Arial" w:eastAsia="Arial" w:hAnsi="Arial"/>
          <w:sz w:val="11"/>
          <w:szCs w:val="11"/>
          <w:color w:val="auto"/>
        </w:rPr>
        <w:t>Subject to the following provisions and § 7.2, subscription rights may only be exercised by the holder of the subscription rights and only if the holder of the subscription rights is in an ongoing service or employment relationship with one of the companies involved at the time of exercise or if the service or employment relationship ends at a point in time after the granting of the subscription rights due to the expiry of a specified time limit, retirement or amicable termination.</w:t>
      </w:r>
    </w:p>
    <w:p>
      <w:pPr>
        <w:spacing w:after="0" w:line="43" w:lineRule="exact"/>
        <w:rPr>
          <w:sz w:val="20"/>
          <w:szCs w:val="20"/>
          <w:color w:val="auto"/>
        </w:rPr>
      </w:pPr>
    </w:p>
    <w:p>
      <w:pPr>
        <w:ind w:right="859" w:hanging="299"/>
        <w:spacing w:after="0" w:line="277" w:lineRule="auto"/>
        <w:rPr>
          <w:sz w:val="20"/>
          <w:szCs w:val="20"/>
          <w:color w:val="auto"/>
        </w:rPr>
      </w:pPr>
      <w:r>
        <w:rPr>
          <w:rFonts w:ascii="Arial" w:cs="Arial" w:eastAsia="Arial" w:hAnsi="Arial"/>
          <w:sz w:val="11"/>
          <w:szCs w:val="11"/>
          <w:color w:val="auto"/>
        </w:rPr>
        <w:t>6.1.1. If the service or employment relationship of the beneficiary ends after expiry of the waiting period but before the subscription rights are exercised and if this termination is for reasons other than the expiry of a specified time limit, retirement or termination by mutual consent, the subscription rights shall lapse without replacement at the end of the next exercise period, irrespective of whether the conditions for exercise were met at that time. In the event of an extraordinary termination of the service or employment relationship by Mynaric or the respective employing company for a reason in the person or behaviour of the holder of the subscription rights, the subscription rights expire without replacement at the time of the termination of the service or employment relationship.</w:t>
      </w:r>
    </w:p>
    <w:p>
      <w:pPr>
        <w:spacing w:after="0" w:line="73" w:lineRule="exact"/>
        <w:rPr>
          <w:sz w:val="20"/>
          <w:szCs w:val="20"/>
          <w:color w:val="auto"/>
        </w:rPr>
      </w:pPr>
    </w:p>
    <w:p>
      <w:pPr>
        <w:sectPr>
          <w:pgSz w:w="11900" w:h="16838" w:orient="portrait"/>
          <w:cols w:equalWidth="0" w:num="2">
            <w:col w:w="4580" w:space="380"/>
            <w:col w:w="4059"/>
          </w:cols>
          <w:pgMar w:left="1440" w:top="298"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12 / 26</w:t>
      </w:r>
    </w:p>
    <w:p>
      <w:pPr>
        <w:sectPr>
          <w:pgSz w:w="11900" w:h="16838" w:orient="portrait"/>
          <w:cols w:equalWidth="0" w:num="1">
            <w:col w:w="9019"/>
          </w:cols>
          <w:pgMar w:left="1440" w:top="298" w:right="1440" w:bottom="1440" w:gutter="0" w:footer="0" w:header="0"/>
          <w:type w:val="continuous"/>
        </w:sectPr>
      </w:pPr>
    </w:p>
    <w:bookmarkStart w:id="286" w:name="page287"/>
    <w:bookmarkEnd w:id="286"/>
    <w:p>
      <w:pPr>
        <w:ind w:left="1140" w:right="20" w:hanging="299"/>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6.1.2. Endet das Dienst- oder Arbeitsverhältnis des Bezugsberechtigten vor Ablauf der Wartezeit und erfolgt diese Beendigung aus anderen Gründen als dem Ablauf einer vorgesehenen Befristung, dem Eintritt in den Ruhestand oder einer einvernehmlichen Beendigung, so verfallen die Bezugsrechte im Zeitpunkt des Wegfalls einer oder mehrerer der dort genannten Voraussetzungen, d. h. sie verfallen bereits mit Ausspruch der Kündigung.</w:t>
      </w:r>
    </w:p>
    <w:p>
      <w:pPr>
        <w:spacing w:after="0" w:line="43" w:lineRule="exact"/>
        <w:rPr>
          <w:sz w:val="20"/>
          <w:szCs w:val="20"/>
          <w:color w:val="auto"/>
        </w:rPr>
      </w:pPr>
    </w:p>
    <w:p>
      <w:pPr>
        <w:ind w:left="1140" w:right="80" w:hanging="299"/>
        <w:spacing w:after="0" w:line="375" w:lineRule="auto"/>
        <w:rPr>
          <w:sz w:val="20"/>
          <w:szCs w:val="20"/>
          <w:color w:val="auto"/>
        </w:rPr>
      </w:pPr>
      <w:r>
        <w:rPr>
          <w:rFonts w:ascii="Arial" w:cs="Arial" w:eastAsia="Arial" w:hAnsi="Arial"/>
          <w:sz w:val="10"/>
          <w:szCs w:val="10"/>
          <w:color w:val="auto"/>
        </w:rPr>
        <w:t>6.1.3. Das Recht zur Kündigung des Dienst- oder Arbeitsverhältnisses durch die Gesellschaft bleibt von den vorstehenden Vorschriften unberührt.</w:t>
      </w:r>
    </w:p>
    <w:p>
      <w:pPr>
        <w:spacing w:after="0" w:line="1" w:lineRule="exact"/>
        <w:rPr>
          <w:sz w:val="20"/>
          <w:szCs w:val="20"/>
          <w:color w:val="auto"/>
        </w:rPr>
      </w:pPr>
    </w:p>
    <w:p>
      <w:pPr>
        <w:ind w:left="1120" w:hanging="299"/>
        <w:spacing w:after="0" w:line="283" w:lineRule="auto"/>
        <w:tabs>
          <w:tab w:leader="none" w:pos="1100"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1"/>
          <w:szCs w:val="11"/>
          <w:color w:val="auto"/>
        </w:rPr>
        <w:t>Scheidet ein Betrieb oder ein Betriebsteil, mit dem der Bezugsrechtsinhaber in einem Dienst- oder Arbeitsverhältnis steht oder dem er zuzuordnen ist, aus dem Kreis der gemäß Beschluss der Hauptversammlung in das Aktienoptionsprogramm einbezogenen Unternehmen des Mynaric-Konzerns aus, so verfallen die Bezugsrechte mit Ablauf des nächstfolgenden Ausübungszeitraumes.</w:t>
      </w:r>
    </w:p>
    <w:p>
      <w:pPr>
        <w:spacing w:after="0" w:line="20" w:lineRule="exact"/>
        <w:rPr>
          <w:sz w:val="20"/>
          <w:szCs w:val="20"/>
          <w:color w:val="auto"/>
        </w:rPr>
      </w:pPr>
      <w:r>
        <w:rPr>
          <w:sz w:val="20"/>
          <w:szCs w:val="20"/>
          <w:color w:val="auto"/>
        </w:rPr>
        <w:br w:type="column"/>
      </w:r>
    </w:p>
    <w:p>
      <w:pPr>
        <w:ind w:left="300" w:right="859" w:hanging="299"/>
        <w:spacing w:after="0" w:line="254" w:lineRule="auto"/>
        <w:rPr>
          <w:sz w:val="20"/>
          <w:szCs w:val="20"/>
          <w:color w:val="auto"/>
        </w:rPr>
      </w:pPr>
      <w:r>
        <w:rPr>
          <w:rFonts w:ascii="Arial" w:cs="Arial" w:eastAsia="Arial" w:hAnsi="Arial"/>
          <w:sz w:val="12"/>
          <w:szCs w:val="12"/>
          <w:color w:val="auto"/>
        </w:rPr>
        <w:t>6.1.2. If the service or employment relationship of the beneficiary ends before the end of the waiting period and if this termination occurs for reasons other than the expiry of a specified time limit, retirement or termination by mutual consent, the subscription rights shall lapse at the time when one or more of the conditions specified therein cease to apply, i.e. they shall lapse upon notice of termination.</w:t>
      </w:r>
    </w:p>
    <w:p>
      <w:pPr>
        <w:spacing w:after="0" w:line="58" w:lineRule="exact"/>
        <w:rPr>
          <w:sz w:val="20"/>
          <w:szCs w:val="20"/>
          <w:color w:val="auto"/>
        </w:rPr>
      </w:pPr>
    </w:p>
    <w:p>
      <w:pPr>
        <w:jc w:val="center"/>
        <w:ind w:right="999"/>
        <w:spacing w:after="0"/>
        <w:rPr>
          <w:sz w:val="20"/>
          <w:szCs w:val="20"/>
          <w:color w:val="auto"/>
        </w:rPr>
      </w:pPr>
      <w:r>
        <w:rPr>
          <w:rFonts w:ascii="Arial" w:cs="Arial" w:eastAsia="Arial" w:hAnsi="Arial"/>
          <w:sz w:val="10"/>
          <w:szCs w:val="10"/>
          <w:color w:val="auto"/>
        </w:rPr>
        <w:t>6.1.3.The right to terminate the service or employment relationship by</w:t>
      </w:r>
    </w:p>
    <w:p>
      <w:pPr>
        <w:spacing w:after="0" w:line="38" w:lineRule="exact"/>
        <w:rPr>
          <w:sz w:val="20"/>
          <w:szCs w:val="20"/>
          <w:color w:val="auto"/>
        </w:rPr>
      </w:pPr>
    </w:p>
    <w:p>
      <w:pPr>
        <w:jc w:val="center"/>
        <w:ind w:right="979"/>
        <w:spacing w:after="0"/>
        <w:rPr>
          <w:sz w:val="20"/>
          <w:szCs w:val="20"/>
          <w:color w:val="auto"/>
        </w:rPr>
      </w:pPr>
      <w:r>
        <w:rPr>
          <w:rFonts w:ascii="Arial" w:cs="Arial" w:eastAsia="Arial" w:hAnsi="Arial"/>
          <w:sz w:val="12"/>
          <w:szCs w:val="12"/>
          <w:color w:val="auto"/>
        </w:rPr>
        <w:t>the Company remains unaffected by the above provisions.</w:t>
      </w:r>
    </w:p>
    <w:p>
      <w:pPr>
        <w:spacing w:after="0" w:line="69" w:lineRule="exact"/>
        <w:rPr>
          <w:sz w:val="20"/>
          <w:szCs w:val="20"/>
          <w:color w:val="auto"/>
        </w:rPr>
      </w:pPr>
    </w:p>
    <w:p>
      <w:pPr>
        <w:ind w:left="300" w:right="859" w:hanging="299"/>
        <w:spacing w:after="0" w:line="316" w:lineRule="auto"/>
        <w:tabs>
          <w:tab w:leader="none" w:pos="280"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0"/>
          <w:szCs w:val="10"/>
          <w:color w:val="auto"/>
        </w:rPr>
        <w:t>If a company or part of a company with which the holder of the subscription rights has a service or employment relationship or to which he is assigned leaves the group of companies of the Mynaric Group included in the stock option program in accordance with the resolution of the Annual General Meeting, the subscription rights expire at the end of the next exercise period.</w:t>
      </w:r>
    </w:p>
    <w:p>
      <w:pPr>
        <w:spacing w:after="0" w:line="55" w:lineRule="exact"/>
        <w:rPr>
          <w:sz w:val="20"/>
          <w:szCs w:val="20"/>
          <w:color w:val="auto"/>
        </w:rPr>
      </w:pPr>
    </w:p>
    <w:p>
      <w:pPr>
        <w:sectPr>
          <w:pgSz w:w="11900" w:h="16838" w:orient="portrait"/>
          <w:cols w:equalWidth="0" w:num="2">
            <w:col w:w="4580" w:space="80"/>
            <w:col w:w="4359"/>
          </w:cols>
          <w:pgMar w:left="1440" w:top="302" w:right="1440" w:bottom="1440" w:gutter="0" w:footer="0" w:header="0"/>
        </w:sectPr>
      </w:pPr>
    </w:p>
    <w:p>
      <w:pPr>
        <w:jc w:val="center"/>
        <w:spacing w:after="0"/>
        <w:rPr>
          <w:sz w:val="20"/>
          <w:szCs w:val="20"/>
          <w:color w:val="auto"/>
        </w:rPr>
      </w:pPr>
      <w:r>
        <w:rPr>
          <w:rFonts w:ascii="Arial" w:cs="Arial" w:eastAsia="Arial" w:hAnsi="Arial"/>
          <w:sz w:val="11"/>
          <w:szCs w:val="11"/>
          <w:color w:val="auto"/>
        </w:rPr>
        <w:t>13 / 26</w:t>
      </w:r>
    </w:p>
    <w:p>
      <w:pPr>
        <w:sectPr>
          <w:pgSz w:w="11900" w:h="16838" w:orient="portrait"/>
          <w:cols w:equalWidth="0" w:num="1">
            <w:col w:w="9019"/>
          </w:cols>
          <w:pgMar w:left="1440" w:top="302" w:right="1440" w:bottom="1440" w:gutter="0" w:footer="0" w:header="0"/>
          <w:type w:val="continuous"/>
        </w:sectPr>
      </w:pPr>
    </w:p>
    <w:bookmarkStart w:id="287" w:name="page288"/>
    <w:bookmarkEnd w:id="287"/>
    <w:p>
      <w:pPr>
        <w:ind w:left="1120" w:hanging="299"/>
        <w:spacing w:after="0" w:line="283" w:lineRule="auto"/>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6.3</w:t>
      </w:r>
      <w:r>
        <w:rPr>
          <w:sz w:val="20"/>
          <w:szCs w:val="20"/>
          <w:color w:val="auto"/>
        </w:rPr>
        <w:tab/>
      </w:r>
      <w:r>
        <w:rPr>
          <w:rFonts w:ascii="Arial" w:cs="Arial" w:eastAsia="Arial" w:hAnsi="Arial"/>
          <w:sz w:val="11"/>
          <w:szCs w:val="11"/>
          <w:color w:val="auto"/>
        </w:rPr>
        <w:t>Ausnahmen von den Regelungen in § 6.1 und § 6.2 können zugunsten der Bezugsrechtsinhaber im Einzelfall oder generell von Mynaric durch schriftliche Erklärung bestimmt werden. Wird eine solche Bestimmung getroffen, so kann Mynaric auch bestimmen, dass die Ausübung der Bezugsrechte zu den Bedingungen des letzten abgelaufenen Ausübungszeitraumes erfolgen kann.</w:t>
      </w:r>
    </w:p>
    <w:p>
      <w:pPr>
        <w:spacing w:after="0" w:line="20" w:lineRule="exact"/>
        <w:rPr>
          <w:sz w:val="20"/>
          <w:szCs w:val="20"/>
          <w:color w:val="auto"/>
        </w:rPr>
      </w:pPr>
      <w:r>
        <w:rPr>
          <w:sz w:val="20"/>
          <w:szCs w:val="20"/>
          <w:color w:val="auto"/>
        </w:rPr>
        <w:br w:type="column"/>
      </w:r>
    </w:p>
    <w:p>
      <w:pPr>
        <w:ind w:right="899" w:hanging="299"/>
        <w:spacing w:after="0" w:line="283" w:lineRule="auto"/>
        <w:rPr>
          <w:sz w:val="20"/>
          <w:szCs w:val="20"/>
          <w:color w:val="auto"/>
        </w:rPr>
      </w:pPr>
      <w:r>
        <w:rPr>
          <w:rFonts w:ascii="Arial" w:cs="Arial" w:eastAsia="Arial" w:hAnsi="Arial"/>
          <w:sz w:val="12"/>
          <w:szCs w:val="12"/>
          <w:color w:val="auto"/>
        </w:rPr>
        <w:t>6.3</w:t>
      </w:r>
      <w:r>
        <w:rPr>
          <w:sz w:val="20"/>
          <w:szCs w:val="20"/>
          <w:color w:val="auto"/>
        </w:rPr>
        <w:t xml:space="preserve"> </w:t>
      </w:r>
      <w:r>
        <w:rPr>
          <w:rFonts w:ascii="Arial" w:cs="Arial" w:eastAsia="Arial" w:hAnsi="Arial"/>
          <w:sz w:val="11"/>
          <w:szCs w:val="11"/>
          <w:color w:val="auto"/>
        </w:rPr>
        <w:t>Exceptions to the regulations in § 6.1 and § 6.2 can be determined in favour of the holders of subscription rights in individual cases or generally by Mynaric by written declaration. If such a determination is made, Mynaric can also determine that the exercise of subscription rights can take place under the conditions of the last expired exercise period.</w:t>
      </w:r>
    </w:p>
    <w:p>
      <w:pPr>
        <w:spacing w:after="0" w:line="37" w:lineRule="exact"/>
        <w:rPr>
          <w:sz w:val="20"/>
          <w:szCs w:val="20"/>
          <w:color w:val="auto"/>
        </w:rPr>
      </w:pPr>
    </w:p>
    <w:p>
      <w:pPr>
        <w:sectPr>
          <w:pgSz w:w="11900" w:h="16838" w:orient="portrait"/>
          <w:cols w:equalWidth="0" w:num="2">
            <w:col w:w="4580" w:space="380"/>
            <w:col w:w="4059"/>
          </w:cols>
          <w:pgMar w:left="1440" w:top="302" w:right="1440" w:bottom="1440" w:gutter="0" w:footer="0" w:header="0"/>
        </w:sectPr>
      </w:pPr>
    </w:p>
    <w:p>
      <w:pPr>
        <w:ind w:left="2640"/>
        <w:spacing w:after="0"/>
        <w:tabs>
          <w:tab w:leader="none" w:pos="6320" w:val="left"/>
        </w:tabs>
        <w:rPr>
          <w:sz w:val="20"/>
          <w:szCs w:val="20"/>
          <w:color w:val="auto"/>
        </w:rPr>
      </w:pPr>
      <w:r>
        <w:rPr>
          <w:rFonts w:ascii="Arial" w:cs="Arial" w:eastAsia="Arial" w:hAnsi="Arial"/>
          <w:sz w:val="12"/>
          <w:szCs w:val="12"/>
          <w:b w:val="1"/>
          <w:bCs w:val="1"/>
          <w:color w:val="auto"/>
        </w:rPr>
        <w:t>§ 7</w:t>
      </w:r>
      <w:r>
        <w:rPr>
          <w:sz w:val="20"/>
          <w:szCs w:val="20"/>
          <w:color w:val="auto"/>
        </w:rPr>
        <w:tab/>
      </w:r>
      <w:r>
        <w:rPr>
          <w:rFonts w:ascii="Arial" w:cs="Arial" w:eastAsia="Arial" w:hAnsi="Arial"/>
          <w:sz w:val="11"/>
          <w:szCs w:val="11"/>
          <w:b w:val="1"/>
          <w:bCs w:val="1"/>
          <w:color w:val="auto"/>
        </w:rPr>
        <w:t>§ 7</w:t>
      </w:r>
    </w:p>
    <w:p>
      <w:pPr>
        <w:spacing w:after="0" w:line="19" w:lineRule="exact"/>
        <w:rPr>
          <w:sz w:val="20"/>
          <w:szCs w:val="20"/>
          <w:color w:val="auto"/>
        </w:rPr>
      </w:pPr>
    </w:p>
    <w:p>
      <w:pPr>
        <w:ind w:left="1280"/>
        <w:spacing w:after="0"/>
        <w:tabs>
          <w:tab w:leader="none" w:pos="5160" w:val="left"/>
        </w:tabs>
        <w:rPr>
          <w:sz w:val="20"/>
          <w:szCs w:val="20"/>
          <w:color w:val="auto"/>
        </w:rPr>
      </w:pPr>
      <w:r>
        <w:rPr>
          <w:rFonts w:ascii="Arial" w:cs="Arial" w:eastAsia="Arial" w:hAnsi="Arial"/>
          <w:sz w:val="12"/>
          <w:szCs w:val="12"/>
          <w:b w:val="1"/>
          <w:bCs w:val="1"/>
          <w:color w:val="auto"/>
        </w:rPr>
        <w:t>Keine Übertragbarkeit der Bezugsrechte/Vererblichkeit</w:t>
      </w:r>
      <w:r>
        <w:rPr>
          <w:sz w:val="20"/>
          <w:szCs w:val="20"/>
          <w:color w:val="auto"/>
        </w:rPr>
        <w:tab/>
      </w:r>
      <w:r>
        <w:rPr>
          <w:rFonts w:ascii="Arial" w:cs="Arial" w:eastAsia="Arial" w:hAnsi="Arial"/>
          <w:sz w:val="10"/>
          <w:szCs w:val="10"/>
          <w:b w:val="1"/>
          <w:bCs w:val="1"/>
          <w:color w:val="auto"/>
        </w:rPr>
        <w:t>No transferability of subscription rights/heritage</w:t>
      </w:r>
    </w:p>
    <w:p>
      <w:pPr>
        <w:spacing w:after="0" w:line="69" w:lineRule="exact"/>
        <w:rPr>
          <w:sz w:val="20"/>
          <w:szCs w:val="20"/>
          <w:color w:val="auto"/>
        </w:rPr>
      </w:pPr>
    </w:p>
    <w:p>
      <w:pPr>
        <w:ind w:left="840"/>
        <w:spacing w:after="0"/>
        <w:tabs>
          <w:tab w:leader="none" w:pos="1100" w:val="left"/>
          <w:tab w:leader="none" w:pos="4640" w:val="left"/>
          <w:tab w:leader="none" w:pos="4940" w:val="left"/>
        </w:tabs>
        <w:rPr>
          <w:sz w:val="20"/>
          <w:szCs w:val="20"/>
          <w:color w:val="auto"/>
        </w:rPr>
      </w:pPr>
      <w:r>
        <w:rPr>
          <w:rFonts w:ascii="Arial" w:cs="Arial" w:eastAsia="Arial" w:hAnsi="Arial"/>
          <w:sz w:val="12"/>
          <w:szCs w:val="12"/>
          <w:color w:val="auto"/>
        </w:rPr>
        <w:t>7.1</w:t>
        <w:tab/>
        <w:t>Bezugsrechte sind rechtsgeschäftlich nicht übertragbar.</w:t>
      </w:r>
      <w:r>
        <w:rPr>
          <w:sz w:val="20"/>
          <w:szCs w:val="20"/>
          <w:color w:val="auto"/>
        </w:rPr>
        <w:tab/>
      </w:r>
      <w:r>
        <w:rPr>
          <w:rFonts w:ascii="Arial" w:cs="Arial" w:eastAsia="Arial" w:hAnsi="Arial"/>
          <w:sz w:val="12"/>
          <w:szCs w:val="12"/>
          <w:color w:val="auto"/>
        </w:rPr>
        <w:t>7.1</w:t>
      </w:r>
      <w:r>
        <w:rPr>
          <w:sz w:val="20"/>
          <w:szCs w:val="20"/>
          <w:color w:val="auto"/>
        </w:rPr>
        <w:tab/>
      </w:r>
      <w:r>
        <w:rPr>
          <w:rFonts w:ascii="Arial" w:cs="Arial" w:eastAsia="Arial" w:hAnsi="Arial"/>
          <w:sz w:val="10"/>
          <w:szCs w:val="10"/>
          <w:color w:val="auto"/>
        </w:rPr>
        <w:t>Subscription rights are not transferable by legal transaction.</w:t>
      </w:r>
    </w:p>
    <w:p>
      <w:pPr>
        <w:sectPr>
          <w:pgSz w:w="11900" w:h="16838" w:orient="portrait"/>
          <w:cols w:equalWidth="0" w:num="1">
            <w:col w:w="9019"/>
          </w:cols>
          <w:pgMar w:left="1440" w:top="302" w:right="1440" w:bottom="1440" w:gutter="0" w:footer="0" w:header="0"/>
          <w:type w:val="continuous"/>
        </w:sectPr>
      </w:pPr>
    </w:p>
    <w:p>
      <w:pPr>
        <w:spacing w:after="0" w:line="78" w:lineRule="exact"/>
        <w:rPr>
          <w:sz w:val="20"/>
          <w:szCs w:val="20"/>
          <w:color w:val="auto"/>
        </w:rPr>
      </w:pPr>
    </w:p>
    <w:p>
      <w:pPr>
        <w:ind w:left="1120" w:hanging="299"/>
        <w:spacing w:after="0" w:line="253" w:lineRule="auto"/>
        <w:tabs>
          <w:tab w:leader="none" w:pos="1100" w:val="left"/>
        </w:tabs>
        <w:rPr>
          <w:sz w:val="20"/>
          <w:szCs w:val="20"/>
          <w:color w:val="auto"/>
        </w:rPr>
      </w:pPr>
      <w:r>
        <w:rPr>
          <w:rFonts w:ascii="Arial" w:cs="Arial" w:eastAsia="Arial" w:hAnsi="Arial"/>
          <w:sz w:val="12"/>
          <w:szCs w:val="12"/>
          <w:color w:val="auto"/>
        </w:rPr>
        <w:t>7.2</w:t>
        <w:tab/>
        <w:t>Bezugsrechte sind jedoch vererblich. Ebenfalls ist eine Übertragung zur 7.2 Erfüllung von Vermächtnissen zulässig. Die Bezugsrechte können nur durch den jeweiligen Bezugsberechtigten selbst oder seine Erben oder Vermächtnisnehmer ausgeübt werden. Können Bezugsrechte nach Maßgabe der vorstehenden Regelung nicht mehr ausgeübt werden, so verfallen sie ersatz- und entschädigungslos. Die Bestimmung über die Ermächtigung zur erneuten Ausgabe von verfallenen Bezugsrechten an Bezugsberechtigte bleibt davon unberührt. Mynaric ist berechtigt, einen ausreichenden Nachweis für den Erbfall und die Rechtsnachfolge zu verlangen.</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839" w:hanging="5"/>
        <w:spacing w:after="0" w:line="279" w:lineRule="auto"/>
        <w:rPr>
          <w:sz w:val="20"/>
          <w:szCs w:val="20"/>
          <w:color w:val="auto"/>
        </w:rPr>
      </w:pPr>
      <w:r>
        <w:rPr>
          <w:rFonts w:ascii="Arial" w:cs="Arial" w:eastAsia="Arial" w:hAnsi="Arial"/>
          <w:sz w:val="11"/>
          <w:szCs w:val="11"/>
          <w:color w:val="auto"/>
        </w:rPr>
        <w:t>However, subscription rights are hereditary. A transfer for the purpose of fulfilling bequests is also permissible. The subscription rights may only be exercised by the respective beneficiary himself or by his heirs or legatees. If subscription rights can no longer be exercised in accordance with the above provision, they shall expire without replacement or compensation. The provision on the authorization to reissue expired subscription rights to beneficiaries remains unaffected. Mynaric is entitled to demand sufficient proof of inheritance and legal succession.</w:t>
      </w:r>
    </w:p>
    <w:p>
      <w:pPr>
        <w:spacing w:after="0" w:line="215" w:lineRule="exact"/>
        <w:rPr>
          <w:sz w:val="20"/>
          <w:szCs w:val="20"/>
          <w:color w:val="auto"/>
        </w:rPr>
      </w:pPr>
    </w:p>
    <w:p>
      <w:pPr>
        <w:sectPr>
          <w:pgSz w:w="11900" w:h="16838" w:orient="portrait"/>
          <w:cols w:equalWidth="0" w:num="2">
            <w:col w:w="4800" w:space="160"/>
            <w:col w:w="4059"/>
          </w:cols>
          <w:pgMar w:left="1440" w:top="302"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14 / 26</w:t>
      </w:r>
    </w:p>
    <w:p>
      <w:pPr>
        <w:sectPr>
          <w:pgSz w:w="11900" w:h="16838" w:orient="portrait"/>
          <w:cols w:equalWidth="0" w:num="1">
            <w:col w:w="9019"/>
          </w:cols>
          <w:pgMar w:left="1440" w:top="302" w:right="1440" w:bottom="1440" w:gutter="0" w:footer="0" w:header="0"/>
          <w:type w:val="continuous"/>
        </w:sectPr>
      </w:pPr>
    </w:p>
    <w:bookmarkStart w:id="288" w:name="page289"/>
    <w:bookmarkEnd w:id="288"/>
    <w:p>
      <w:pPr>
        <w:ind w:left="2640"/>
        <w:spacing w:after="0"/>
        <w:tabs>
          <w:tab w:leader="none" w:pos="63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8</w:t>
      </w:r>
      <w:r>
        <w:rPr>
          <w:sz w:val="20"/>
          <w:szCs w:val="20"/>
          <w:color w:val="auto"/>
        </w:rPr>
        <w:tab/>
      </w:r>
      <w:r>
        <w:rPr>
          <w:rFonts w:ascii="Arial" w:cs="Arial" w:eastAsia="Arial" w:hAnsi="Arial"/>
          <w:sz w:val="11"/>
          <w:szCs w:val="11"/>
          <w:b w:val="1"/>
          <w:bCs w:val="1"/>
          <w:color w:val="auto"/>
        </w:rPr>
        <w:t>§ 8</w:t>
      </w:r>
    </w:p>
    <w:p>
      <w:pPr>
        <w:spacing w:after="0" w:line="19" w:lineRule="exact"/>
        <w:rPr>
          <w:sz w:val="20"/>
          <w:szCs w:val="20"/>
          <w:color w:val="auto"/>
        </w:rPr>
      </w:pPr>
    </w:p>
    <w:p>
      <w:pPr>
        <w:ind w:left="1780"/>
        <w:spacing w:after="0"/>
        <w:tabs>
          <w:tab w:leader="none" w:pos="5760" w:val="left"/>
        </w:tabs>
        <w:rPr>
          <w:sz w:val="20"/>
          <w:szCs w:val="20"/>
          <w:color w:val="auto"/>
        </w:rPr>
      </w:pPr>
      <w:r>
        <w:rPr>
          <w:rFonts w:ascii="Arial" w:cs="Arial" w:eastAsia="Arial" w:hAnsi="Arial"/>
          <w:sz w:val="12"/>
          <w:szCs w:val="12"/>
          <w:b w:val="1"/>
          <w:bCs w:val="1"/>
          <w:color w:val="auto"/>
        </w:rPr>
        <w:t>Steuern und sonstige Aufwendungen</w:t>
      </w:r>
      <w:r>
        <w:rPr>
          <w:sz w:val="20"/>
          <w:szCs w:val="20"/>
          <w:color w:val="auto"/>
        </w:rPr>
        <w:tab/>
      </w:r>
      <w:r>
        <w:rPr>
          <w:rFonts w:ascii="Arial" w:cs="Arial" w:eastAsia="Arial" w:hAnsi="Arial"/>
          <w:sz w:val="10"/>
          <w:szCs w:val="10"/>
          <w:b w:val="1"/>
          <w:bCs w:val="1"/>
          <w:color w:val="auto"/>
        </w:rPr>
        <w:t>Taxes and other expenses</w:t>
      </w:r>
    </w:p>
    <w:p>
      <w:pPr>
        <w:sectPr>
          <w:pgSz w:w="11900" w:h="16838" w:orient="portrait"/>
          <w:cols w:equalWidth="0" w:num="1">
            <w:col w:w="9019"/>
          </w:cols>
          <w:pgMar w:left="1440" w:top="298" w:right="1440" w:bottom="1440" w:gutter="0" w:footer="0" w:header="0"/>
        </w:sectPr>
      </w:pPr>
    </w:p>
    <w:p>
      <w:pPr>
        <w:spacing w:after="0" w:line="69" w:lineRule="exact"/>
        <w:rPr>
          <w:sz w:val="20"/>
          <w:szCs w:val="20"/>
          <w:color w:val="auto"/>
        </w:rPr>
      </w:pPr>
    </w:p>
    <w:p>
      <w:pPr>
        <w:ind w:left="1120" w:hanging="299"/>
        <w:spacing w:after="0" w:line="259" w:lineRule="auto"/>
        <w:tabs>
          <w:tab w:leader="none" w:pos="1100" w:val="left"/>
        </w:tabs>
        <w:rPr>
          <w:sz w:val="20"/>
          <w:szCs w:val="20"/>
          <w:color w:val="auto"/>
        </w:rPr>
      </w:pPr>
      <w:r>
        <w:rPr>
          <w:rFonts w:ascii="Arial" w:cs="Arial" w:eastAsia="Arial" w:hAnsi="Arial"/>
          <w:sz w:val="12"/>
          <w:szCs w:val="12"/>
          <w:color w:val="auto"/>
        </w:rPr>
        <w:t>8.1</w:t>
        <w:tab/>
        <w:t>Etwaige Steuern oder sonstige Aufwendungen, die im Zusammenhang mit der Ausübung von Bezugsrechten, der Lieferung von Aktien oder Zahlungen beim Bezugsberechtigten anfallen, sind vom Bezugsberechtigten zu tragen.</w:t>
      </w:r>
    </w:p>
    <w:p>
      <w:pPr>
        <w:spacing w:after="0" w:line="52" w:lineRule="exact"/>
        <w:rPr>
          <w:sz w:val="20"/>
          <w:szCs w:val="20"/>
          <w:color w:val="auto"/>
        </w:rPr>
      </w:pPr>
    </w:p>
    <w:p>
      <w:pPr>
        <w:jc w:val="both"/>
        <w:ind w:left="1120" w:right="240" w:hanging="299"/>
        <w:spacing w:after="0" w:line="326" w:lineRule="auto"/>
        <w:tabs>
          <w:tab w:leader="none" w:pos="110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0"/>
          <w:szCs w:val="10"/>
          <w:color w:val="auto"/>
        </w:rPr>
        <w:t>Auf den geldwerten Vorteil der Bezugsberechtigten werden nach Ausübung der Bezugsrechte nach Maßgabe des im maßgeblichen Zeitpunkt geltenden Rechts Lohnsteuer sowie andere Steuern und Abgaben, einschließlich Sozialabgaben, einbehalten.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879" w:hanging="299"/>
        <w:spacing w:after="0" w:line="298" w:lineRule="auto"/>
        <w:rPr>
          <w:sz w:val="20"/>
          <w:szCs w:val="20"/>
          <w:color w:val="auto"/>
        </w:rPr>
      </w:pPr>
      <w:r>
        <w:rPr>
          <w:rFonts w:ascii="Arial" w:cs="Arial" w:eastAsia="Arial" w:hAnsi="Arial"/>
          <w:sz w:val="12"/>
          <w:szCs w:val="12"/>
          <w:color w:val="auto"/>
        </w:rPr>
        <w:t>8.1</w:t>
      </w:r>
      <w:r>
        <w:rPr>
          <w:sz w:val="20"/>
          <w:szCs w:val="20"/>
          <w:color w:val="auto"/>
        </w:rPr>
        <w:t xml:space="preserve"> </w:t>
      </w:r>
      <w:r>
        <w:rPr>
          <w:rFonts w:ascii="Arial" w:cs="Arial" w:eastAsia="Arial" w:hAnsi="Arial"/>
          <w:sz w:val="11"/>
          <w:szCs w:val="11"/>
          <w:color w:val="auto"/>
        </w:rPr>
        <w:t>Any taxes or other expenses incurred by the beneficiary in connection with the exercise of subscription rights, the delivery of shares or payments shall be borne by the beneficiary.</w:t>
      </w:r>
    </w:p>
    <w:p>
      <w:pPr>
        <w:spacing w:after="0" w:line="177" w:lineRule="exact"/>
        <w:rPr>
          <w:sz w:val="20"/>
          <w:szCs w:val="20"/>
          <w:color w:val="auto"/>
        </w:rPr>
      </w:pPr>
    </w:p>
    <w:p>
      <w:pPr>
        <w:ind w:right="959" w:hanging="299"/>
        <w:spacing w:after="0" w:line="289" w:lineRule="auto"/>
        <w:rPr>
          <w:sz w:val="20"/>
          <w:szCs w:val="20"/>
          <w:color w:val="auto"/>
        </w:rPr>
      </w:pPr>
      <w:r>
        <w:rPr>
          <w:rFonts w:ascii="Arial" w:cs="Arial" w:eastAsia="Arial" w:hAnsi="Arial"/>
          <w:sz w:val="12"/>
          <w:szCs w:val="12"/>
          <w:color w:val="auto"/>
        </w:rPr>
        <w:t>8.2</w:t>
      </w:r>
      <w:r>
        <w:rPr>
          <w:sz w:val="20"/>
          <w:szCs w:val="20"/>
          <w:color w:val="auto"/>
        </w:rPr>
        <w:t xml:space="preserve"> </w:t>
      </w:r>
      <w:r>
        <w:rPr>
          <w:rFonts w:ascii="Arial" w:cs="Arial" w:eastAsia="Arial" w:hAnsi="Arial"/>
          <w:sz w:val="11"/>
          <w:szCs w:val="11"/>
          <w:color w:val="auto"/>
        </w:rPr>
        <w:t>After exercising the subscription rights, wage tax and other taxes and duties, including social security contributions, will be withheld from the monetary advantage of the beneficiaries in accordance with the law applicable at the relevant time.</w:t>
      </w:r>
    </w:p>
    <w:p>
      <w:pPr>
        <w:spacing w:after="0" w:line="34" w:lineRule="exact"/>
        <w:rPr>
          <w:sz w:val="20"/>
          <w:szCs w:val="20"/>
          <w:color w:val="auto"/>
        </w:rPr>
      </w:pPr>
    </w:p>
    <w:p>
      <w:pPr>
        <w:sectPr>
          <w:pgSz w:w="11900" w:h="16838" w:orient="portrait"/>
          <w:cols w:equalWidth="0" w:num="2">
            <w:col w:w="4520" w:space="420"/>
            <w:col w:w="4079"/>
          </w:cols>
          <w:pgMar w:left="1440" w:top="298" w:right="1440" w:bottom="1440" w:gutter="0" w:footer="0" w:header="0"/>
          <w:type w:val="continuous"/>
        </w:sectPr>
      </w:pPr>
    </w:p>
    <w:tbl>
      <w:tblPr>
        <w:tblLayout w:type="fixed"/>
        <w:tblInd w:w="880" w:type="dxa"/>
        <w:tblCellMar>
          <w:top w:w="0" w:type="dxa"/>
          <w:left w:w="0" w:type="dxa"/>
          <w:bottom w:w="0" w:type="dxa"/>
          <w:right w:w="0" w:type="dxa"/>
        </w:tblCellMar>
      </w:tblPr>
      <w:tr>
        <w:trPr>
          <w:trHeight w:val="144"/>
        </w:trPr>
        <w:tc>
          <w:tcPr>
            <w:tcW w:w="3820" w:type="dxa"/>
            <w:vAlign w:val="bottom"/>
          </w:tcPr>
          <w:p>
            <w:pPr>
              <w:jc w:val="center"/>
              <w:ind w:right="100"/>
              <w:spacing w:after="0"/>
              <w:rPr>
                <w:sz w:val="20"/>
                <w:szCs w:val="20"/>
                <w:color w:val="auto"/>
              </w:rPr>
            </w:pPr>
            <w:r>
              <w:rPr>
                <w:rFonts w:ascii="Arial" w:cs="Arial" w:eastAsia="Arial" w:hAnsi="Arial"/>
                <w:sz w:val="12"/>
                <w:szCs w:val="12"/>
                <w:b w:val="1"/>
                <w:bCs w:val="1"/>
                <w:color w:val="auto"/>
                <w:w w:val="83"/>
              </w:rPr>
              <w:t>§ 9</w:t>
            </w:r>
          </w:p>
        </w:tc>
        <w:tc>
          <w:tcPr>
            <w:tcW w:w="3280" w:type="dxa"/>
            <w:vAlign w:val="bottom"/>
          </w:tcPr>
          <w:p>
            <w:pPr>
              <w:jc w:val="center"/>
              <w:ind w:left="100"/>
              <w:spacing w:after="0"/>
              <w:rPr>
                <w:sz w:val="20"/>
                <w:szCs w:val="20"/>
                <w:color w:val="auto"/>
              </w:rPr>
            </w:pPr>
            <w:r>
              <w:rPr>
                <w:rFonts w:ascii="Arial" w:cs="Arial" w:eastAsia="Arial" w:hAnsi="Arial"/>
                <w:sz w:val="12"/>
                <w:szCs w:val="12"/>
                <w:b w:val="1"/>
                <w:bCs w:val="1"/>
                <w:color w:val="auto"/>
                <w:w w:val="95"/>
              </w:rPr>
              <w:t>§ 9</w:t>
            </w:r>
          </w:p>
        </w:tc>
      </w:tr>
      <w:tr>
        <w:trPr>
          <w:trHeight w:val="144"/>
        </w:trPr>
        <w:tc>
          <w:tcPr>
            <w:tcW w:w="3820" w:type="dxa"/>
            <w:vAlign w:val="bottom"/>
          </w:tcPr>
          <w:p>
            <w:pPr>
              <w:jc w:val="center"/>
              <w:ind w:right="100"/>
              <w:spacing w:after="0"/>
              <w:rPr>
                <w:sz w:val="20"/>
                <w:szCs w:val="20"/>
                <w:color w:val="auto"/>
              </w:rPr>
            </w:pPr>
            <w:r>
              <w:rPr>
                <w:rFonts w:ascii="Arial" w:cs="Arial" w:eastAsia="Arial" w:hAnsi="Arial"/>
                <w:sz w:val="12"/>
                <w:szCs w:val="12"/>
                <w:b w:val="1"/>
                <w:bCs w:val="1"/>
                <w:color w:val="auto"/>
                <w:w w:val="90"/>
              </w:rPr>
              <w:t>Anpassungen aufgrund von Änderungen des Grundkapitals oder</w:t>
            </w:r>
          </w:p>
        </w:tc>
        <w:tc>
          <w:tcPr>
            <w:tcW w:w="3280" w:type="dxa"/>
            <w:vAlign w:val="bottom"/>
          </w:tcPr>
          <w:p>
            <w:pPr>
              <w:jc w:val="center"/>
              <w:ind w:left="80"/>
              <w:spacing w:after="0"/>
              <w:rPr>
                <w:sz w:val="20"/>
                <w:szCs w:val="20"/>
                <w:color w:val="auto"/>
              </w:rPr>
            </w:pPr>
            <w:r>
              <w:rPr>
                <w:rFonts w:ascii="Arial" w:cs="Arial" w:eastAsia="Arial" w:hAnsi="Arial"/>
                <w:sz w:val="12"/>
                <w:szCs w:val="12"/>
                <w:b w:val="1"/>
                <w:bCs w:val="1"/>
                <w:color w:val="auto"/>
                <w:w w:val="89"/>
              </w:rPr>
              <w:t>Adjustments due to changes in the share capital or Structural</w:t>
            </w:r>
          </w:p>
        </w:tc>
      </w:tr>
      <w:tr>
        <w:trPr>
          <w:trHeight w:val="157"/>
        </w:trPr>
        <w:tc>
          <w:tcPr>
            <w:tcW w:w="3820" w:type="dxa"/>
            <w:vAlign w:val="bottom"/>
          </w:tcPr>
          <w:p>
            <w:pPr>
              <w:jc w:val="center"/>
              <w:ind w:right="100"/>
              <w:spacing w:after="0"/>
              <w:rPr>
                <w:sz w:val="20"/>
                <w:szCs w:val="20"/>
                <w:color w:val="auto"/>
              </w:rPr>
            </w:pPr>
            <w:r>
              <w:rPr>
                <w:rFonts w:ascii="Arial" w:cs="Arial" w:eastAsia="Arial" w:hAnsi="Arial"/>
                <w:sz w:val="12"/>
                <w:szCs w:val="12"/>
                <w:b w:val="1"/>
                <w:bCs w:val="1"/>
                <w:color w:val="auto"/>
                <w:w w:val="90"/>
              </w:rPr>
              <w:t>Strukturmaßnahmen; Anspruch auf Barausgleich in bestimmten Fällen</w:t>
            </w:r>
          </w:p>
        </w:tc>
        <w:tc>
          <w:tcPr>
            <w:tcW w:w="3280" w:type="dxa"/>
            <w:vAlign w:val="bottom"/>
          </w:tcPr>
          <w:p>
            <w:pPr>
              <w:jc w:val="center"/>
              <w:ind w:left="80"/>
              <w:spacing w:after="0"/>
              <w:rPr>
                <w:sz w:val="20"/>
                <w:szCs w:val="20"/>
                <w:color w:val="auto"/>
              </w:rPr>
            </w:pPr>
            <w:r>
              <w:rPr>
                <w:rFonts w:ascii="Arial" w:cs="Arial" w:eastAsia="Arial" w:hAnsi="Arial"/>
                <w:sz w:val="12"/>
                <w:szCs w:val="12"/>
                <w:b w:val="1"/>
                <w:bCs w:val="1"/>
                <w:color w:val="auto"/>
                <w:w w:val="87"/>
              </w:rPr>
              <w:t>measures; entitlement to cash compensation in certain cases</w:t>
            </w:r>
          </w:p>
        </w:tc>
      </w:tr>
    </w:tbl>
    <w:p>
      <w:pPr>
        <w:spacing w:after="0" w:line="63" w:lineRule="exact"/>
        <w:rPr>
          <w:sz w:val="20"/>
          <w:szCs w:val="20"/>
          <w:color w:val="auto"/>
        </w:rPr>
      </w:pPr>
    </w:p>
    <w:p>
      <w:pPr>
        <w:sectPr>
          <w:pgSz w:w="11900" w:h="16838" w:orient="portrait"/>
          <w:cols w:equalWidth="0" w:num="1">
            <w:col w:w="9019"/>
          </w:cols>
          <w:pgMar w:left="1440" w:top="298" w:right="1440" w:bottom="1440" w:gutter="0" w:footer="0" w:header="0"/>
          <w:type w:val="continuous"/>
        </w:sectPr>
      </w:pPr>
    </w:p>
    <w:p>
      <w:pPr>
        <w:ind w:left="840"/>
        <w:spacing w:after="0" w:line="298" w:lineRule="auto"/>
        <w:rPr>
          <w:sz w:val="20"/>
          <w:szCs w:val="20"/>
          <w:color w:val="auto"/>
        </w:rPr>
      </w:pPr>
      <w:r>
        <w:rPr>
          <w:rFonts w:ascii="Arial" w:cs="Arial" w:eastAsia="Arial" w:hAnsi="Arial"/>
          <w:sz w:val="11"/>
          <w:szCs w:val="11"/>
          <w:color w:val="auto"/>
        </w:rPr>
        <w:t>Führt die Mynaric innerhalb der Laufzeit der Bezugsrechte Kapital- oder Strukturmaßnahmen durch oder erwerben Dritte eine wesentliche Beteiligung an der Mynaric, gelten die nachfolgenden Regelungen:</w:t>
      </w:r>
    </w:p>
    <w:p>
      <w:pPr>
        <w:spacing w:after="0" w:line="33" w:lineRule="exact"/>
        <w:rPr>
          <w:sz w:val="20"/>
          <w:szCs w:val="20"/>
          <w:color w:val="auto"/>
        </w:rPr>
      </w:pPr>
    </w:p>
    <w:p>
      <w:pPr>
        <w:ind w:left="1120" w:right="320" w:hanging="299"/>
        <w:spacing w:after="0" w:line="283" w:lineRule="auto"/>
        <w:tabs>
          <w:tab w:leader="none" w:pos="1100" w:val="left"/>
        </w:tabs>
        <w:rPr>
          <w:sz w:val="20"/>
          <w:szCs w:val="20"/>
          <w:color w:val="auto"/>
        </w:rPr>
      </w:pPr>
      <w:r>
        <w:rPr>
          <w:rFonts w:ascii="Arial" w:cs="Arial" w:eastAsia="Arial" w:hAnsi="Arial"/>
          <w:sz w:val="12"/>
          <w:szCs w:val="12"/>
          <w:color w:val="auto"/>
        </w:rPr>
        <w:t>9.1</w:t>
      </w:r>
      <w:r>
        <w:rPr>
          <w:sz w:val="20"/>
          <w:szCs w:val="20"/>
          <w:color w:val="auto"/>
        </w:rPr>
        <w:tab/>
      </w:r>
      <w:r>
        <w:rPr>
          <w:rFonts w:ascii="Arial" w:cs="Arial" w:eastAsia="Arial" w:hAnsi="Arial"/>
          <w:sz w:val="11"/>
          <w:szCs w:val="11"/>
          <w:color w:val="auto"/>
        </w:rPr>
        <w:t>Im Falle einer Kapitalerhöhung aus Gesellschaftsmitteln durch Ausgabe neuer Aktien wird – anstelle einer Ermäßigung des Ausübungspreises – das Bedingte Kapital gemäß § 218 AktG im gleichen Verhältnis wie das Grundkapital erhöht. Im gleichen Verhältnis erhöht sich die Anzahl der Aktien, die je Bezugsrecht bezogen werden können.</w:t>
      </w:r>
    </w:p>
    <w:p>
      <w:pPr>
        <w:spacing w:after="0" w:line="20" w:lineRule="exact"/>
        <w:rPr>
          <w:sz w:val="20"/>
          <w:szCs w:val="20"/>
          <w:color w:val="auto"/>
        </w:rPr>
      </w:pPr>
      <w:r>
        <w:rPr>
          <w:sz w:val="20"/>
          <w:szCs w:val="20"/>
          <w:color w:val="auto"/>
        </w:rPr>
        <w:br w:type="column"/>
      </w:r>
    </w:p>
    <w:p>
      <w:pPr>
        <w:ind w:right="979"/>
        <w:spacing w:after="0" w:line="263" w:lineRule="auto"/>
        <w:rPr>
          <w:sz w:val="20"/>
          <w:szCs w:val="20"/>
          <w:color w:val="auto"/>
        </w:rPr>
      </w:pPr>
      <w:r>
        <w:rPr>
          <w:rFonts w:ascii="Arial" w:cs="Arial" w:eastAsia="Arial" w:hAnsi="Arial"/>
          <w:sz w:val="12"/>
          <w:szCs w:val="12"/>
          <w:color w:val="auto"/>
        </w:rPr>
        <w:t>If Mynaric carries out capital or structural measures within the term of the subscription rights or if third parties acquire a significant share in Mynaric, the following regulations apply:</w:t>
      </w:r>
    </w:p>
    <w:p>
      <w:pPr>
        <w:spacing w:after="0" w:line="50" w:lineRule="exact"/>
        <w:rPr>
          <w:sz w:val="20"/>
          <w:szCs w:val="20"/>
          <w:color w:val="auto"/>
        </w:rPr>
      </w:pPr>
    </w:p>
    <w:p>
      <w:pPr>
        <w:ind w:left="300" w:right="899" w:hanging="299"/>
        <w:spacing w:after="0" w:line="255" w:lineRule="auto"/>
        <w:tabs>
          <w:tab w:leader="none" w:pos="280" w:val="left"/>
        </w:tabs>
        <w:rPr>
          <w:sz w:val="20"/>
          <w:szCs w:val="20"/>
          <w:color w:val="auto"/>
        </w:rPr>
      </w:pPr>
      <w:r>
        <w:rPr>
          <w:rFonts w:ascii="Arial" w:cs="Arial" w:eastAsia="Arial" w:hAnsi="Arial"/>
          <w:sz w:val="12"/>
          <w:szCs w:val="12"/>
          <w:color w:val="auto"/>
        </w:rPr>
        <w:t>9.1</w:t>
        <w:tab/>
        <w:t>In the event of a capital increase from company funds by issuing new shares, instead of a reduction of the exercise price, the conditional capital is increased in the same ratio as the share capital in accordance with Section 218 AktG. The number of shares that can be subscribed per subscription right is increased in the same ratio.</w:t>
      </w:r>
    </w:p>
    <w:p>
      <w:pPr>
        <w:spacing w:after="0" w:line="83" w:lineRule="exact"/>
        <w:rPr>
          <w:sz w:val="20"/>
          <w:szCs w:val="20"/>
          <w:color w:val="auto"/>
        </w:rPr>
      </w:pPr>
    </w:p>
    <w:p>
      <w:pPr>
        <w:sectPr>
          <w:pgSz w:w="11900" w:h="16838" w:orient="portrait"/>
          <w:cols w:equalWidth="0" w:num="2">
            <w:col w:w="4560" w:space="100"/>
            <w:col w:w="4359"/>
          </w:cols>
          <w:pgMar w:left="1440" w:top="298"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15 / 26</w:t>
      </w:r>
    </w:p>
    <w:p>
      <w:pPr>
        <w:sectPr>
          <w:pgSz w:w="11900" w:h="16838" w:orient="portrait"/>
          <w:cols w:equalWidth="0" w:num="1">
            <w:col w:w="9019"/>
          </w:cols>
          <w:pgMar w:left="1440" w:top="298" w:right="1440" w:bottom="1440" w:gutter="0" w:footer="0" w:header="0"/>
          <w:type w:val="continuous"/>
        </w:sectPr>
      </w:pPr>
    </w:p>
    <w:bookmarkStart w:id="289" w:name="page290"/>
    <w:bookmarkEnd w:id="289"/>
    <w:p>
      <w:pPr>
        <w:ind w:left="1120" w:hanging="299"/>
        <w:spacing w:after="0" w:line="277" w:lineRule="auto"/>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9.2</w:t>
      </w:r>
      <w:r>
        <w:rPr>
          <w:sz w:val="20"/>
          <w:szCs w:val="20"/>
          <w:color w:val="auto"/>
        </w:rPr>
        <w:tab/>
      </w:r>
      <w:r>
        <w:rPr>
          <w:rFonts w:ascii="Arial" w:cs="Arial" w:eastAsia="Arial" w:hAnsi="Arial"/>
          <w:sz w:val="11"/>
          <w:szCs w:val="11"/>
          <w:color w:val="auto"/>
        </w:rPr>
        <w:t>Im Fall einer Kapitalerhöhung gegen Einlagen oder einer Begebung von Wertpapieren mit Wandlungs- oder Optionsrechten ermäßigt sich der Ausübungspreis je Aktie um den Betrag, der sich aus dem arithmetischen Mittel der Bezugsrechtskurse der den Aktionären auf Grund der Kapitalerhöhung zustehenden Bezugsrechte, bezogen auf eine Aktie, an allen Tagen ihres Handels im Xetra-Handel an der Frankfurter Wertpapierbörse errechnet. Eine Ermäßigung des Ausübungspreises tritt nicht ein, wenn den Bezugsberechtigten auf Grund der Kapitalerhöhung ein mittelbares oder unmittelbares Bezugsrecht eingeräumt wird, das sie so stellt, als hätten sie ihre Bezugsrechte aus dem Aktienoptionsprogramm bereits ausgeübt. Findet kein Bezugsrechtshandel statt, gilt § 216 Abs. 3 AktG entsprechend, § 9 Abs. 1 AktG bleibt unberührt.</w:t>
      </w:r>
    </w:p>
    <w:p>
      <w:pPr>
        <w:spacing w:after="0" w:line="46" w:lineRule="exact"/>
        <w:rPr>
          <w:sz w:val="20"/>
          <w:szCs w:val="20"/>
          <w:color w:val="auto"/>
        </w:rPr>
      </w:pPr>
    </w:p>
    <w:p>
      <w:pPr>
        <w:ind w:left="1120" w:right="40" w:hanging="299"/>
        <w:spacing w:after="0" w:line="283" w:lineRule="auto"/>
        <w:tabs>
          <w:tab w:leader="none" w:pos="1100" w:val="left"/>
        </w:tabs>
        <w:rPr>
          <w:sz w:val="20"/>
          <w:szCs w:val="20"/>
          <w:color w:val="auto"/>
        </w:rPr>
      </w:pPr>
      <w:r>
        <w:rPr>
          <w:rFonts w:ascii="Arial" w:cs="Arial" w:eastAsia="Arial" w:hAnsi="Arial"/>
          <w:sz w:val="12"/>
          <w:szCs w:val="12"/>
          <w:color w:val="auto"/>
        </w:rPr>
        <w:t>9.3</w:t>
      </w:r>
      <w:r>
        <w:rPr>
          <w:sz w:val="20"/>
          <w:szCs w:val="20"/>
          <w:color w:val="auto"/>
        </w:rPr>
        <w:tab/>
      </w:r>
      <w:r>
        <w:rPr>
          <w:rFonts w:ascii="Arial" w:cs="Arial" w:eastAsia="Arial" w:hAnsi="Arial"/>
          <w:sz w:val="11"/>
          <w:szCs w:val="11"/>
          <w:color w:val="auto"/>
        </w:rPr>
        <w:t>Im Falle einer Kapitalherabsetzung bleibt der Ausübungspreis unverändert, wenn durch die Kapitalherabsetzung die Anzahl der Aktien unverändert bleibt oder die Kapitalherabsetzung mit einer Kapitalrückzahlung oder einem entgeltlichen Erwerb eigener Aktien verbunden ist. Im Falle einer Kapitalherabsetzung durch Zusammenlegung von Aktien ohne</w:t>
      </w:r>
    </w:p>
    <w:p>
      <w:pPr>
        <w:spacing w:after="0" w:line="20" w:lineRule="exact"/>
        <w:rPr>
          <w:sz w:val="20"/>
          <w:szCs w:val="20"/>
          <w:color w:val="auto"/>
        </w:rPr>
      </w:pPr>
      <w:r>
        <w:rPr>
          <w:sz w:val="20"/>
          <w:szCs w:val="20"/>
          <w:color w:val="auto"/>
        </w:rPr>
        <w:br w:type="column"/>
      </w:r>
    </w:p>
    <w:p>
      <w:pPr>
        <w:ind w:right="859" w:hanging="299"/>
        <w:spacing w:after="0" w:line="277" w:lineRule="auto"/>
        <w:rPr>
          <w:sz w:val="20"/>
          <w:szCs w:val="20"/>
          <w:color w:val="auto"/>
        </w:rPr>
      </w:pPr>
      <w:r>
        <w:rPr>
          <w:rFonts w:ascii="Arial" w:cs="Arial" w:eastAsia="Arial" w:hAnsi="Arial"/>
          <w:sz w:val="12"/>
          <w:szCs w:val="12"/>
          <w:color w:val="auto"/>
        </w:rPr>
        <w:t>9.2</w:t>
      </w:r>
      <w:r>
        <w:rPr>
          <w:sz w:val="20"/>
          <w:szCs w:val="20"/>
          <w:color w:val="auto"/>
        </w:rPr>
        <w:t xml:space="preserve"> </w:t>
      </w:r>
      <w:r>
        <w:rPr>
          <w:rFonts w:ascii="Arial" w:cs="Arial" w:eastAsia="Arial" w:hAnsi="Arial"/>
          <w:sz w:val="11"/>
          <w:szCs w:val="11"/>
          <w:color w:val="auto"/>
        </w:rPr>
        <w:t>In the event of a capital increase against contributions or an issue of securities with conversion or option rights, the exercise price per share is reduced by the amount calculated as the arithmetic mean of the subscription right prices of the subscription rights to which the shareholders are entitled on the basis of the capital increase, based on one share, on all days of trading in Xetra on the Frankfurt Stock Exchange. The exercise price is not reduced if the beneficiaries are granted a direct or indirect subscription right as a result of the capital increase, which places them in the same position as if they had already exercised their subscription rights from the stock option program. If no subscription rights are traded, Section 216 (3) AktG applies accordingly, Section 9 (1) AktG remains unaffected</w:t>
      </w:r>
    </w:p>
    <w:p>
      <w:pPr>
        <w:spacing w:after="0" w:line="46" w:lineRule="exact"/>
        <w:rPr>
          <w:sz w:val="20"/>
          <w:szCs w:val="20"/>
          <w:color w:val="auto"/>
        </w:rPr>
      </w:pPr>
    </w:p>
    <w:p>
      <w:pPr>
        <w:ind w:right="939" w:hanging="299"/>
        <w:spacing w:after="0" w:line="289" w:lineRule="auto"/>
        <w:rPr>
          <w:sz w:val="20"/>
          <w:szCs w:val="20"/>
          <w:color w:val="auto"/>
        </w:rPr>
      </w:pPr>
      <w:r>
        <w:rPr>
          <w:rFonts w:ascii="Arial" w:cs="Arial" w:eastAsia="Arial" w:hAnsi="Arial"/>
          <w:sz w:val="12"/>
          <w:szCs w:val="12"/>
          <w:color w:val="auto"/>
        </w:rPr>
        <w:t>9.3</w:t>
      </w:r>
      <w:r>
        <w:rPr>
          <w:sz w:val="20"/>
          <w:szCs w:val="20"/>
          <w:color w:val="auto"/>
        </w:rPr>
        <w:t xml:space="preserve"> </w:t>
      </w:r>
      <w:r>
        <w:rPr>
          <w:rFonts w:ascii="Arial" w:cs="Arial" w:eastAsia="Arial" w:hAnsi="Arial"/>
          <w:sz w:val="11"/>
          <w:szCs w:val="11"/>
          <w:color w:val="auto"/>
        </w:rPr>
        <w:t>In the event of a capital reduction, the exercise price remains unchanged if the number of shares remains unchanged as a result of the capital reduction or if the capital reduction is linked to a capital repayment or an acquisition of own shares</w:t>
      </w:r>
    </w:p>
    <w:p>
      <w:pPr>
        <w:spacing w:after="0" w:line="353" w:lineRule="exact"/>
        <w:rPr>
          <w:sz w:val="20"/>
          <w:szCs w:val="20"/>
          <w:color w:val="auto"/>
        </w:rPr>
      </w:pPr>
    </w:p>
    <w:p>
      <w:pPr>
        <w:sectPr>
          <w:pgSz w:w="11900" w:h="16838" w:orient="portrait"/>
          <w:cols w:equalWidth="0" w:num="2">
            <w:col w:w="4460" w:space="500"/>
            <w:col w:w="4059"/>
          </w:cols>
          <w:pgMar w:left="1440" w:top="302" w:right="1440" w:bottom="1440" w:gutter="0" w:footer="0" w:header="0"/>
        </w:sectPr>
      </w:pPr>
    </w:p>
    <w:p>
      <w:pPr>
        <w:jc w:val="center"/>
        <w:spacing w:after="0"/>
        <w:rPr>
          <w:sz w:val="20"/>
          <w:szCs w:val="20"/>
          <w:color w:val="auto"/>
        </w:rPr>
      </w:pPr>
      <w:r>
        <w:rPr>
          <w:rFonts w:ascii="Arial" w:cs="Arial" w:eastAsia="Arial" w:hAnsi="Arial"/>
          <w:sz w:val="11"/>
          <w:szCs w:val="11"/>
          <w:color w:val="auto"/>
        </w:rPr>
        <w:t>16 / 26</w:t>
      </w:r>
    </w:p>
    <w:p>
      <w:pPr>
        <w:sectPr>
          <w:pgSz w:w="11900" w:h="16838" w:orient="portrait"/>
          <w:cols w:equalWidth="0" w:num="1">
            <w:col w:w="9019"/>
          </w:cols>
          <w:pgMar w:left="1440" w:top="302" w:right="1440" w:bottom="1440" w:gutter="0" w:footer="0" w:header="0"/>
          <w:type w:val="continuous"/>
        </w:sectPr>
      </w:pPr>
    </w:p>
    <w:bookmarkStart w:id="290" w:name="page291"/>
    <w:bookmarkEnd w:id="290"/>
    <w:p>
      <w:pPr>
        <w:ind w:left="1140" w:right="40"/>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Kapitalrückzahlung oder entgeltlichem Erwerb eigener Aktien und im Falle einer Erhöhung der Aktien ohne Kapitalveränderung (Aktiensplitt) wird das Bezugsrecht so angepasst, dass die Anzahl der für ein Bezugsrecht zu gewährenden Aktien im Verhältnis der Kapitalherabsetzung oder des Aktiensplitts entsprechend verringert oder erhöht werden. Der Ausübungspreis bleibt hiervon unberührt.</w:t>
      </w:r>
    </w:p>
    <w:p>
      <w:pPr>
        <w:spacing w:after="0" w:line="185"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color w:val="auto"/>
        </w:rPr>
        <w:t>9.4</w:t>
      </w:r>
      <w:r>
        <w:rPr>
          <w:sz w:val="20"/>
          <w:szCs w:val="20"/>
          <w:color w:val="auto"/>
        </w:rPr>
        <w:tab/>
      </w:r>
      <w:r>
        <w:rPr>
          <w:rFonts w:ascii="Arial" w:cs="Arial" w:eastAsia="Arial" w:hAnsi="Arial"/>
          <w:sz w:val="10"/>
          <w:szCs w:val="10"/>
          <w:color w:val="auto"/>
        </w:rPr>
        <w:t>Im Falle eines Change of Control (Erwerb von mehr als 50 % der</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Aktien der Gesellschaft durch einen neuen Aktionär) gilt folgendes:</w:t>
      </w:r>
    </w:p>
    <w:p>
      <w:pPr>
        <w:spacing w:after="0" w:line="225" w:lineRule="exact"/>
        <w:rPr>
          <w:sz w:val="20"/>
          <w:szCs w:val="20"/>
          <w:color w:val="auto"/>
        </w:rPr>
      </w:pPr>
    </w:p>
    <w:p>
      <w:pPr>
        <w:ind w:left="1140" w:hanging="299"/>
        <w:spacing w:after="0" w:line="283" w:lineRule="auto"/>
        <w:rPr>
          <w:sz w:val="20"/>
          <w:szCs w:val="20"/>
          <w:color w:val="auto"/>
        </w:rPr>
      </w:pPr>
      <w:r>
        <w:rPr>
          <w:rFonts w:ascii="Arial" w:cs="Arial" w:eastAsia="Arial" w:hAnsi="Arial"/>
          <w:sz w:val="11"/>
          <w:szCs w:val="11"/>
          <w:color w:val="auto"/>
        </w:rPr>
        <w:t>9.4.1. Soweit zum Zeitpunkt des Wirksamwerden des Change of Controls die Wartezeit (§ 2.4) abgelaufen ist, können Optionsrechte innerhalb des nächsten Ausübungszeitraums ausgeübt werden. Liegen die Ausübungsvoraussetzungen nicht vor, können der Bezugsberechtigte und Mynaric nach Maßgabe des § 9.5.2 den Rücktritt erklären, in diesem Fall ist ein Wertausgleich gemäß § 9.5.2 zu zahlen.</w:t>
      </w:r>
    </w:p>
    <w:p>
      <w:pPr>
        <w:spacing w:after="0" w:line="41" w:lineRule="exact"/>
        <w:rPr>
          <w:sz w:val="20"/>
          <w:szCs w:val="20"/>
          <w:color w:val="auto"/>
        </w:rPr>
      </w:pPr>
    </w:p>
    <w:p>
      <w:pPr>
        <w:ind w:left="1140" w:right="100" w:hanging="299"/>
        <w:spacing w:after="0" w:line="256" w:lineRule="auto"/>
        <w:rPr>
          <w:sz w:val="20"/>
          <w:szCs w:val="20"/>
          <w:color w:val="auto"/>
        </w:rPr>
      </w:pPr>
      <w:r>
        <w:rPr>
          <w:rFonts w:ascii="Arial" w:cs="Arial" w:eastAsia="Arial" w:hAnsi="Arial"/>
          <w:sz w:val="12"/>
          <w:szCs w:val="12"/>
          <w:color w:val="auto"/>
        </w:rPr>
        <w:t>9.4.2. Ist die Wartezeit (§ 2.4) zum Zeitpunkt des Wirksamwerden des Change of Control noch nicht abgelaufen, steht dem Bezugsberechtigten das Recht zu, auf die ihm durch die gewährten Bezugsrechte eingeräumten Bezugsrechte durch einseitige Erklärung gegenüber der Mynaric</w:t>
      </w:r>
    </w:p>
    <w:p>
      <w:pPr>
        <w:spacing w:after="0" w:line="20" w:lineRule="exact"/>
        <w:rPr>
          <w:sz w:val="20"/>
          <w:szCs w:val="20"/>
          <w:color w:val="auto"/>
        </w:rPr>
      </w:pPr>
      <w:r>
        <w:rPr>
          <w:sz w:val="20"/>
          <w:szCs w:val="20"/>
          <w:color w:val="auto"/>
        </w:rPr>
        <w:br w:type="column"/>
      </w:r>
    </w:p>
    <w:p>
      <w:pPr>
        <w:ind w:right="919"/>
        <w:spacing w:after="0" w:line="313" w:lineRule="auto"/>
        <w:rPr>
          <w:sz w:val="20"/>
          <w:szCs w:val="20"/>
          <w:color w:val="auto"/>
        </w:rPr>
      </w:pPr>
      <w:r>
        <w:rPr>
          <w:rFonts w:ascii="Arial" w:cs="Arial" w:eastAsia="Arial" w:hAnsi="Arial"/>
          <w:sz w:val="10"/>
          <w:szCs w:val="10"/>
          <w:color w:val="auto"/>
        </w:rPr>
        <w:t>against payment. In the event of a capital reduction by combining shares without capital repayment or acquisition of own shares against payment and in the event of an increase in shares without capital change (share split), the subscription right is adjusted so that the number of shares to be granted for a subscription right is reduced or increased accordingly in proportion to the capital reduction or share split. The exercise price remains unaffected.</w:t>
      </w:r>
    </w:p>
    <w:p>
      <w:pPr>
        <w:spacing w:after="0" w:line="30" w:lineRule="exact"/>
        <w:rPr>
          <w:sz w:val="20"/>
          <w:szCs w:val="20"/>
          <w:color w:val="auto"/>
        </w:rPr>
      </w:pPr>
    </w:p>
    <w:p>
      <w:pPr>
        <w:ind w:right="859" w:hanging="299"/>
        <w:spacing w:after="0" w:line="263" w:lineRule="auto"/>
        <w:rPr>
          <w:sz w:val="20"/>
          <w:szCs w:val="20"/>
          <w:color w:val="auto"/>
        </w:rPr>
      </w:pPr>
      <w:r>
        <w:rPr>
          <w:rFonts w:ascii="Arial" w:cs="Arial" w:eastAsia="Arial" w:hAnsi="Arial"/>
          <w:sz w:val="12"/>
          <w:szCs w:val="12"/>
          <w:color w:val="auto"/>
        </w:rPr>
        <w:t>9.4</w:t>
      </w:r>
      <w:r>
        <w:rPr>
          <w:sz w:val="20"/>
          <w:szCs w:val="20"/>
          <w:color w:val="auto"/>
        </w:rPr>
        <w:t xml:space="preserve"> </w:t>
      </w:r>
      <w:r>
        <w:rPr>
          <w:rFonts w:ascii="Arial" w:cs="Arial" w:eastAsia="Arial" w:hAnsi="Arial"/>
          <w:sz w:val="12"/>
          <w:szCs w:val="12"/>
          <w:color w:val="auto"/>
        </w:rPr>
        <w:t>In the event of a change of control (acquisition of more than 50% of the shares of the Company by a new shareholder), the following applies:</w:t>
      </w:r>
    </w:p>
    <w:p>
      <w:pPr>
        <w:spacing w:after="0" w:line="50" w:lineRule="exact"/>
        <w:rPr>
          <w:sz w:val="20"/>
          <w:szCs w:val="20"/>
          <w:color w:val="auto"/>
        </w:rPr>
      </w:pPr>
    </w:p>
    <w:p>
      <w:pPr>
        <w:ind w:right="879" w:hanging="299"/>
        <w:spacing w:after="0" w:line="283" w:lineRule="auto"/>
        <w:rPr>
          <w:sz w:val="20"/>
          <w:szCs w:val="20"/>
          <w:color w:val="auto"/>
        </w:rPr>
      </w:pPr>
      <w:r>
        <w:rPr>
          <w:rFonts w:ascii="Arial" w:cs="Arial" w:eastAsia="Arial" w:hAnsi="Arial"/>
          <w:sz w:val="11"/>
          <w:szCs w:val="11"/>
          <w:color w:val="auto"/>
        </w:rPr>
        <w:t>9.4.1. If the waiting period (§ 2.4) has expired at the time the change of control takes effect, option rights can be exercised within the next exercise period. If the exercise conditions are not met, the beneficiary and Mynaric can declare their resignation in accordance with § 9.5.2, in which case a value adjustment must be paid in accordance with § 9.5.2.</w:t>
      </w:r>
    </w:p>
    <w:p>
      <w:pPr>
        <w:spacing w:after="0" w:line="37" w:lineRule="exact"/>
        <w:rPr>
          <w:sz w:val="20"/>
          <w:szCs w:val="20"/>
          <w:color w:val="auto"/>
        </w:rPr>
      </w:pPr>
    </w:p>
    <w:p>
      <w:pPr>
        <w:ind w:right="859" w:hanging="299"/>
        <w:spacing w:after="0" w:line="287" w:lineRule="auto"/>
        <w:rPr>
          <w:sz w:val="20"/>
          <w:szCs w:val="20"/>
          <w:color w:val="auto"/>
        </w:rPr>
      </w:pPr>
      <w:r>
        <w:rPr>
          <w:rFonts w:ascii="Arial" w:cs="Arial" w:eastAsia="Arial" w:hAnsi="Arial"/>
          <w:sz w:val="11"/>
          <w:szCs w:val="11"/>
          <w:color w:val="auto"/>
        </w:rPr>
        <w:t xml:space="preserve">9.4.2. If the </w:t>
      </w:r>
      <w:r>
        <w:rPr>
          <w:rFonts w:ascii="Arial" w:cs="Arial" w:eastAsia="Arial" w:hAnsi="Arial"/>
          <w:sz w:val="11"/>
          <w:szCs w:val="11"/>
          <w:b w:val="1"/>
          <w:bCs w:val="1"/>
          <w:color w:val="auto"/>
        </w:rPr>
        <w:t>waiting period (§ 2.4)</w:t>
      </w:r>
      <w:r>
        <w:rPr>
          <w:rFonts w:ascii="Arial" w:cs="Arial" w:eastAsia="Arial" w:hAnsi="Arial"/>
          <w:sz w:val="11"/>
          <w:szCs w:val="11"/>
          <w:color w:val="auto"/>
        </w:rPr>
        <w:t xml:space="preserve"> has </w:t>
      </w:r>
      <w:r>
        <w:rPr>
          <w:rFonts w:ascii="Arial" w:cs="Arial" w:eastAsia="Arial" w:hAnsi="Arial"/>
          <w:sz w:val="11"/>
          <w:szCs w:val="11"/>
          <w:b w:val="1"/>
          <w:bCs w:val="1"/>
          <w:color w:val="auto"/>
        </w:rPr>
        <w:t>not yet expired at the</w:t>
      </w:r>
      <w:r>
        <w:rPr>
          <w:rFonts w:ascii="Arial" w:cs="Arial" w:eastAsia="Arial" w:hAnsi="Arial"/>
          <w:sz w:val="11"/>
          <w:szCs w:val="11"/>
          <w:color w:val="auto"/>
        </w:rPr>
        <w:t xml:space="preserve"> time the Change of Control takes effect, the beneficiary is entitled to waive the subscription rights granted to him/her by the granted subscription rights by means of a unilateral declaration to Mynaric (withdrawal). Such declaration of withdrawal</w:t>
      </w:r>
    </w:p>
    <w:p>
      <w:pPr>
        <w:spacing w:after="0" w:line="67" w:lineRule="exact"/>
        <w:rPr>
          <w:sz w:val="20"/>
          <w:szCs w:val="20"/>
          <w:color w:val="auto"/>
        </w:rPr>
      </w:pPr>
    </w:p>
    <w:p>
      <w:pPr>
        <w:sectPr>
          <w:pgSz w:w="11900" w:h="16838" w:orient="portrait"/>
          <w:cols w:equalWidth="0" w:num="2">
            <w:col w:w="4540" w:space="420"/>
            <w:col w:w="4059"/>
          </w:cols>
          <w:pgMar w:left="1440" w:top="230" w:right="1440" w:bottom="1440" w:gutter="0" w:footer="0" w:header="0"/>
        </w:sectPr>
      </w:pPr>
    </w:p>
    <w:p>
      <w:pPr>
        <w:jc w:val="center"/>
        <w:spacing w:after="0"/>
        <w:rPr>
          <w:sz w:val="20"/>
          <w:szCs w:val="20"/>
          <w:color w:val="auto"/>
        </w:rPr>
      </w:pPr>
      <w:r>
        <w:rPr>
          <w:rFonts w:ascii="Arial" w:cs="Arial" w:eastAsia="Arial" w:hAnsi="Arial"/>
          <w:sz w:val="11"/>
          <w:szCs w:val="11"/>
          <w:color w:val="auto"/>
        </w:rPr>
        <w:t>17 / 26</w:t>
      </w:r>
    </w:p>
    <w:p>
      <w:pPr>
        <w:sectPr>
          <w:pgSz w:w="11900" w:h="16838" w:orient="portrait"/>
          <w:cols w:equalWidth="0" w:num="1">
            <w:col w:w="9019"/>
          </w:cols>
          <w:pgMar w:left="1440" w:top="230" w:right="1440" w:bottom="1440" w:gutter="0" w:footer="0" w:header="0"/>
          <w:type w:val="continuous"/>
        </w:sectPr>
      </w:pPr>
    </w:p>
    <w:bookmarkStart w:id="291" w:name="page292"/>
    <w:bookmarkEnd w:id="291"/>
    <w:p>
      <w:pPr>
        <w:ind w:left="1140" w:right="180"/>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zu verzichten (Rücktritt). Eine solche Rücktrittserklärung muss der Gesellschaft innerhalb einer Frist von zwei Wochen seit der Veröffentlichung des Change of Control zugehen. Sie bedarf der Schriftform, wobei eine Übersendung per Telefax innerhalb der Frist ausreicht, wenn das Original der Erklärung innerhalb einer Woche seit Zugang des Telefaxes folgt. Eine Erklärung per E-Mail ist ebenfalls fristwahrend zulässig, wenn sie das Original der unterzeichneten Bezugserklärung als Dateianhang (z. B. im pdf- oder tif-Format) enthält und das Original der Erklärung innerhalb einer Woche seit Zugang des E-Mails folgt.</w:t>
      </w:r>
    </w:p>
    <w:p>
      <w:pPr>
        <w:spacing w:after="0" w:line="47" w:lineRule="exact"/>
        <w:rPr>
          <w:sz w:val="20"/>
          <w:szCs w:val="20"/>
          <w:color w:val="auto"/>
        </w:rPr>
      </w:pPr>
    </w:p>
    <w:p>
      <w:pPr>
        <w:ind w:left="1140" w:right="100"/>
        <w:spacing w:after="0" w:line="280" w:lineRule="auto"/>
        <w:rPr>
          <w:sz w:val="20"/>
          <w:szCs w:val="20"/>
          <w:color w:val="auto"/>
        </w:rPr>
      </w:pPr>
      <w:r>
        <w:rPr>
          <w:rFonts w:ascii="Arial" w:cs="Arial" w:eastAsia="Arial" w:hAnsi="Arial"/>
          <w:sz w:val="11"/>
          <w:szCs w:val="11"/>
          <w:color w:val="auto"/>
        </w:rPr>
        <w:t>Tritt ein Bezugsrechtsinhaber nach Maßgabe dieser Bestimmung zurück, steht ihm ein Anspruch auf Zahlung eines vollen Wertausgleichs für jedes Bezugsrecht gegen die Mynaric zu. Dieser Anspruch berechnet sich wie folgt: Maßgeblich ist der bezahlte Kaufpreis für eine Stückaktie der Gesellschaft, abzüglich des vom Bezugsberechtigten zu zahlenden Ausübungspreises. Soweit der Käufer den Kaufpreis zu einem späteren Zeitpunkt erhöht, erhöht sich der Wertausgleich entsprechend.</w:t>
      </w:r>
    </w:p>
    <w:p>
      <w:pPr>
        <w:spacing w:after="0" w:line="43" w:lineRule="exact"/>
        <w:rPr>
          <w:sz w:val="20"/>
          <w:szCs w:val="20"/>
          <w:color w:val="auto"/>
        </w:rPr>
      </w:pPr>
    </w:p>
    <w:p>
      <w:pPr>
        <w:ind w:left="1140" w:right="100"/>
        <w:spacing w:after="0" w:line="379" w:lineRule="auto"/>
        <w:rPr>
          <w:sz w:val="20"/>
          <w:szCs w:val="20"/>
          <w:color w:val="auto"/>
        </w:rPr>
      </w:pPr>
      <w:r>
        <w:rPr>
          <w:rFonts w:ascii="Arial" w:cs="Arial" w:eastAsia="Arial" w:hAnsi="Arial"/>
          <w:sz w:val="10"/>
          <w:szCs w:val="10"/>
          <w:color w:val="auto"/>
        </w:rPr>
        <w:t>Es wird klargestellt, dass der Anspruch auf Zahlung des Wertausgleichs unabhängig von der Erfüllung der Erfolgsziele (§ 4) entstehen kann.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18 / 26</w:t>
      </w:r>
    </w:p>
    <w:p>
      <w:pPr>
        <w:spacing w:after="0" w:line="20" w:lineRule="exact"/>
        <w:rPr>
          <w:sz w:val="20"/>
          <w:szCs w:val="20"/>
          <w:color w:val="auto"/>
        </w:rPr>
      </w:pPr>
      <w:r>
        <w:rPr>
          <w:sz w:val="20"/>
          <w:szCs w:val="20"/>
          <w:color w:val="auto"/>
        </w:rPr>
        <w:br w:type="column"/>
      </w:r>
    </w:p>
    <w:p>
      <w:pPr>
        <w:ind w:right="839"/>
        <w:spacing w:after="0" w:line="253" w:lineRule="auto"/>
        <w:rPr>
          <w:sz w:val="20"/>
          <w:szCs w:val="20"/>
          <w:color w:val="auto"/>
        </w:rPr>
      </w:pPr>
      <w:r>
        <w:rPr>
          <w:rFonts w:ascii="Arial" w:cs="Arial" w:eastAsia="Arial" w:hAnsi="Arial"/>
          <w:sz w:val="12"/>
          <w:szCs w:val="12"/>
          <w:color w:val="auto"/>
        </w:rPr>
        <w:t>must be received by the company within a period of two weeks after the publication of the Change of Control. It must be in writing, whereby transmission by fax within the deadline is sufficient if the original of the declaration follows within one week of receipt of the fax. A declaration by e-mail is also permissible within the deadline if it contains the original of the signed reference declaration as a file attachment (e.g. in pdf or tif format) and the original follows the declaration within one week of receipt of the e-mail.</w:t>
      </w:r>
    </w:p>
    <w:p>
      <w:pPr>
        <w:spacing w:after="0" w:line="203" w:lineRule="exact"/>
        <w:rPr>
          <w:sz w:val="20"/>
          <w:szCs w:val="20"/>
          <w:color w:val="auto"/>
        </w:rPr>
      </w:pPr>
    </w:p>
    <w:p>
      <w:pPr>
        <w:ind w:right="899"/>
        <w:spacing w:after="0" w:line="313" w:lineRule="auto"/>
        <w:rPr>
          <w:sz w:val="20"/>
          <w:szCs w:val="20"/>
          <w:color w:val="auto"/>
        </w:rPr>
      </w:pPr>
      <w:r>
        <w:rPr>
          <w:rFonts w:ascii="Arial" w:cs="Arial" w:eastAsia="Arial" w:hAnsi="Arial"/>
          <w:sz w:val="10"/>
          <w:szCs w:val="10"/>
          <w:color w:val="auto"/>
        </w:rPr>
        <w:t>If a subscription right holder withdraws in accordance with this provision, he is entitled to payment of a full value compensation for each subscription right against Mynaric. This claim is calculated as follows: The purchase price paid for a no-par value share in the company is decisive, less the exercise price to be paid by the beneficiary. If the purchaser increases the purchase price at a later date, the value of the shares will be increased accordingly.</w:t>
      </w:r>
    </w:p>
    <w:p>
      <w:pPr>
        <w:spacing w:after="0" w:line="174" w:lineRule="exact"/>
        <w:rPr>
          <w:sz w:val="20"/>
          <w:szCs w:val="20"/>
          <w:color w:val="auto"/>
        </w:rPr>
      </w:pPr>
    </w:p>
    <w:p>
      <w:pPr>
        <w:jc w:val="both"/>
        <w:ind w:right="859"/>
        <w:spacing w:after="0" w:line="263" w:lineRule="auto"/>
        <w:rPr>
          <w:sz w:val="20"/>
          <w:szCs w:val="20"/>
          <w:color w:val="auto"/>
        </w:rPr>
      </w:pPr>
      <w:r>
        <w:rPr>
          <w:rFonts w:ascii="Arial" w:cs="Arial" w:eastAsia="Arial" w:hAnsi="Arial"/>
          <w:sz w:val="12"/>
          <w:szCs w:val="12"/>
          <w:color w:val="auto"/>
        </w:rPr>
        <w:t>It is clarified that the claim to payment of the value adjustment can arise independently of the fulfilment of the performance targets (§ 4).</w:t>
      </w:r>
    </w:p>
    <w:p>
      <w:pPr>
        <w:sectPr>
          <w:pgSz w:w="11900" w:h="16838" w:orient="portrait"/>
          <w:cols w:equalWidth="0" w:num="2">
            <w:col w:w="4680" w:space="280"/>
            <w:col w:w="4059"/>
          </w:cols>
          <w:pgMar w:left="1440" w:top="230" w:right="1440" w:bottom="1440" w:gutter="0" w:footer="0" w:header="0"/>
        </w:sectPr>
      </w:pPr>
    </w:p>
    <w:bookmarkStart w:id="292" w:name="page293"/>
    <w:bookmarkEnd w:id="292"/>
    <w:p>
      <w:pPr>
        <w:ind w:left="840"/>
        <w:spacing w:after="0"/>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9.5</w:t>
      </w:r>
      <w:r>
        <w:rPr>
          <w:sz w:val="20"/>
          <w:szCs w:val="20"/>
          <w:color w:val="auto"/>
        </w:rPr>
        <w:tab/>
      </w:r>
      <w:r>
        <w:rPr>
          <w:rFonts w:ascii="Arial" w:cs="Arial" w:eastAsia="Arial" w:hAnsi="Arial"/>
          <w:sz w:val="10"/>
          <w:szCs w:val="10"/>
          <w:color w:val="auto"/>
        </w:rPr>
        <w:t>Die Bestimmungen des vorstehenden § 9.5.2 gelten auch in folgenden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Fällen:</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9.5.1. Beschlussfassung der Hauptversammlung der Mynaric in folgenden</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2"/>
          <w:szCs w:val="12"/>
          <w:color w:val="auto"/>
        </w:rPr>
        <w:t>Fällen:</w:t>
      </w:r>
    </w:p>
    <w:p>
      <w:pPr>
        <w:spacing w:after="0" w:line="69" w:lineRule="exact"/>
        <w:rPr>
          <w:sz w:val="20"/>
          <w:szCs w:val="20"/>
          <w:color w:val="auto"/>
        </w:rPr>
      </w:pPr>
    </w:p>
    <w:p>
      <w:pPr>
        <w:ind w:left="1320" w:right="340" w:hanging="188"/>
        <w:spacing w:after="0" w:line="276" w:lineRule="auto"/>
        <w:tabs>
          <w:tab w:leader="none" w:pos="1309" w:val="left"/>
        </w:tabs>
        <w:numPr>
          <w:ilvl w:val="0"/>
          <w:numId w:val="229"/>
        </w:numPr>
        <w:rPr>
          <w:rFonts w:ascii="Arial" w:cs="Arial" w:eastAsia="Arial" w:hAnsi="Arial"/>
          <w:sz w:val="12"/>
          <w:szCs w:val="12"/>
          <w:color w:val="auto"/>
        </w:rPr>
      </w:pPr>
      <w:r>
        <w:rPr>
          <w:rFonts w:ascii="Arial" w:cs="Arial" w:eastAsia="Arial" w:hAnsi="Arial"/>
          <w:sz w:val="12"/>
          <w:szCs w:val="12"/>
          <w:color w:val="auto"/>
        </w:rPr>
        <w:t>Zustimmung zur Verschmelzung der Mynaric auf eine andere Gesellschaft;</w:t>
      </w:r>
    </w:p>
    <w:p>
      <w:pPr>
        <w:spacing w:after="0" w:line="42" w:lineRule="exact"/>
        <w:rPr>
          <w:rFonts w:ascii="Arial" w:cs="Arial" w:eastAsia="Arial" w:hAnsi="Arial"/>
          <w:sz w:val="12"/>
          <w:szCs w:val="12"/>
          <w:color w:val="auto"/>
        </w:rPr>
      </w:pPr>
    </w:p>
    <w:p>
      <w:pPr>
        <w:ind w:left="1320" w:right="60" w:hanging="188"/>
        <w:spacing w:after="0" w:line="276" w:lineRule="auto"/>
        <w:tabs>
          <w:tab w:leader="none" w:pos="1309" w:val="left"/>
        </w:tabs>
        <w:numPr>
          <w:ilvl w:val="0"/>
          <w:numId w:val="229"/>
        </w:numPr>
        <w:rPr>
          <w:rFonts w:ascii="Arial" w:cs="Arial" w:eastAsia="Arial" w:hAnsi="Arial"/>
          <w:sz w:val="12"/>
          <w:szCs w:val="12"/>
          <w:color w:val="auto"/>
        </w:rPr>
      </w:pPr>
      <w:r>
        <w:rPr>
          <w:rFonts w:ascii="Arial" w:cs="Arial" w:eastAsia="Arial" w:hAnsi="Arial"/>
          <w:sz w:val="12"/>
          <w:szCs w:val="12"/>
          <w:color w:val="auto"/>
        </w:rPr>
        <w:t>Zustimmung zur Übertragung des Vermögens der Mynaric auf eine andere Gesellschaft;</w:t>
      </w:r>
    </w:p>
    <w:p>
      <w:pPr>
        <w:spacing w:after="0" w:line="42" w:lineRule="exact"/>
        <w:rPr>
          <w:rFonts w:ascii="Arial" w:cs="Arial" w:eastAsia="Arial" w:hAnsi="Arial"/>
          <w:sz w:val="12"/>
          <w:szCs w:val="12"/>
          <w:color w:val="auto"/>
        </w:rPr>
      </w:pPr>
    </w:p>
    <w:p>
      <w:pPr>
        <w:ind w:left="1320" w:right="20" w:hanging="188"/>
        <w:spacing w:after="0" w:line="375" w:lineRule="auto"/>
        <w:tabs>
          <w:tab w:leader="none" w:pos="1309" w:val="left"/>
        </w:tabs>
        <w:numPr>
          <w:ilvl w:val="0"/>
          <w:numId w:val="229"/>
        </w:numPr>
        <w:rPr>
          <w:rFonts w:ascii="Arial" w:cs="Arial" w:eastAsia="Arial" w:hAnsi="Arial"/>
          <w:sz w:val="10"/>
          <w:szCs w:val="10"/>
          <w:color w:val="auto"/>
        </w:rPr>
      </w:pPr>
      <w:r>
        <w:rPr>
          <w:rFonts w:ascii="Arial" w:cs="Arial" w:eastAsia="Arial" w:hAnsi="Arial"/>
          <w:sz w:val="10"/>
          <w:szCs w:val="10"/>
          <w:color w:val="auto"/>
        </w:rPr>
        <w:t>Zustimmung zum Formwechsel der Mynaric in eine Gesellschaftsform, deren Anteile nicht an der Börse handelbar sind;</w:t>
      </w:r>
    </w:p>
    <w:p>
      <w:pPr>
        <w:ind w:left="1320" w:right="140" w:hanging="188"/>
        <w:spacing w:after="0" w:line="340" w:lineRule="auto"/>
        <w:tabs>
          <w:tab w:leader="none" w:pos="1309" w:val="left"/>
        </w:tabs>
        <w:numPr>
          <w:ilvl w:val="0"/>
          <w:numId w:val="229"/>
        </w:numPr>
        <w:rPr>
          <w:rFonts w:ascii="Arial" w:cs="Arial" w:eastAsia="Arial" w:hAnsi="Arial"/>
          <w:sz w:val="10"/>
          <w:szCs w:val="10"/>
          <w:color w:val="auto"/>
        </w:rPr>
      </w:pPr>
      <w:r>
        <w:rPr>
          <w:rFonts w:ascii="Arial" w:cs="Arial" w:eastAsia="Arial" w:hAnsi="Arial"/>
          <w:sz w:val="10"/>
          <w:szCs w:val="10"/>
          <w:color w:val="auto"/>
        </w:rPr>
        <w:t>Zustimmung zum Abschluss eines Unternehmensvertrages, insbesondere eines Gewinnabführungs- und/oder Beherrschungsvertrages durch die Mynaric als Untergesellschaft;</w:t>
      </w:r>
    </w:p>
    <w:p>
      <w:pPr>
        <w:spacing w:after="0" w:line="15" w:lineRule="exact"/>
        <w:rPr>
          <w:rFonts w:ascii="Arial" w:cs="Arial" w:eastAsia="Arial" w:hAnsi="Arial"/>
          <w:sz w:val="10"/>
          <w:szCs w:val="10"/>
          <w:color w:val="auto"/>
        </w:rPr>
      </w:pPr>
    </w:p>
    <w:p>
      <w:pPr>
        <w:ind w:left="1320" w:right="340" w:hanging="188"/>
        <w:spacing w:after="0" w:line="276" w:lineRule="auto"/>
        <w:tabs>
          <w:tab w:leader="none" w:pos="1309" w:val="left"/>
        </w:tabs>
        <w:numPr>
          <w:ilvl w:val="0"/>
          <w:numId w:val="229"/>
        </w:numPr>
        <w:rPr>
          <w:rFonts w:ascii="Arial" w:cs="Arial" w:eastAsia="Arial" w:hAnsi="Arial"/>
          <w:sz w:val="12"/>
          <w:szCs w:val="12"/>
          <w:color w:val="auto"/>
        </w:rPr>
      </w:pPr>
      <w:r>
        <w:rPr>
          <w:rFonts w:ascii="Arial" w:cs="Arial" w:eastAsia="Arial" w:hAnsi="Arial"/>
          <w:sz w:val="12"/>
          <w:szCs w:val="12"/>
          <w:color w:val="auto"/>
        </w:rPr>
        <w:t>Beschlussfassung über die Eingliederung der Mynaric in eine andere Gesellschaft gemäß §§ 319 ff. AktG</w:t>
      </w:r>
    </w:p>
    <w:p>
      <w:pPr>
        <w:spacing w:after="0" w:line="43" w:lineRule="exact"/>
        <w:rPr>
          <w:sz w:val="20"/>
          <w:szCs w:val="20"/>
          <w:color w:val="auto"/>
        </w:rPr>
      </w:pPr>
    </w:p>
    <w:p>
      <w:pPr>
        <w:ind w:left="1140"/>
        <w:spacing w:after="0" w:line="340" w:lineRule="auto"/>
        <w:rPr>
          <w:sz w:val="20"/>
          <w:szCs w:val="20"/>
          <w:color w:val="auto"/>
        </w:rPr>
      </w:pPr>
      <w:r>
        <w:rPr>
          <w:rFonts w:ascii="Arial" w:cs="Arial" w:eastAsia="Arial" w:hAnsi="Arial"/>
          <w:sz w:val="10"/>
          <w:szCs w:val="10"/>
          <w:color w:val="auto"/>
        </w:rPr>
        <w:t>Die 2-Wochen-Frist beginnt in diesem Fall an dem Tag der Beschlussfassung der Hauptversammlung. Eine spätere Aufhebung des Beschlusses ist ohne Einfluss auf ein bereits ausgeübtes Rücktrittsrecht.</w:t>
      </w:r>
    </w:p>
    <w:p>
      <w:pPr>
        <w:spacing w:after="0" w:line="20" w:lineRule="exact"/>
        <w:rPr>
          <w:sz w:val="20"/>
          <w:szCs w:val="20"/>
          <w:color w:val="auto"/>
        </w:rPr>
      </w:pPr>
      <w:r>
        <w:rPr>
          <w:sz w:val="20"/>
          <w:szCs w:val="20"/>
          <w:color w:val="auto"/>
        </w:rPr>
        <w:br w:type="column"/>
      </w:r>
    </w:p>
    <w:p>
      <w:pPr>
        <w:ind w:left="280" w:right="979" w:hanging="299"/>
        <w:spacing w:after="0" w:line="276" w:lineRule="auto"/>
        <w:tabs>
          <w:tab w:leader="none" w:pos="260" w:val="left"/>
        </w:tabs>
        <w:rPr>
          <w:sz w:val="20"/>
          <w:szCs w:val="20"/>
          <w:color w:val="auto"/>
        </w:rPr>
      </w:pPr>
      <w:r>
        <w:rPr>
          <w:rFonts w:ascii="Arial" w:cs="Arial" w:eastAsia="Arial" w:hAnsi="Arial"/>
          <w:sz w:val="12"/>
          <w:szCs w:val="12"/>
          <w:color w:val="auto"/>
        </w:rPr>
        <w:t>9.5</w:t>
        <w:tab/>
        <w:t>The provisions of § 9.5.2 above shall also apply in the following cases:</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color w:val="auto"/>
        </w:rPr>
        <w:t>9.5.1. Resolutions of the Mynaric general meeting in the following cases:</w:t>
      </w:r>
    </w:p>
    <w:p>
      <w:pPr>
        <w:spacing w:after="0" w:line="245" w:lineRule="exact"/>
        <w:rPr>
          <w:sz w:val="20"/>
          <w:szCs w:val="20"/>
          <w:color w:val="auto"/>
        </w:rPr>
      </w:pPr>
    </w:p>
    <w:p>
      <w:pPr>
        <w:ind w:left="460" w:hanging="163"/>
        <w:spacing w:after="0"/>
        <w:tabs>
          <w:tab w:leader="none" w:pos="46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Approval of the merger of Mynaric into another company;</w:t>
      </w:r>
    </w:p>
    <w:p>
      <w:pPr>
        <w:spacing w:after="0" w:line="222" w:lineRule="exact"/>
        <w:rPr>
          <w:rFonts w:ascii="Arial" w:cs="Arial" w:eastAsia="Arial" w:hAnsi="Arial"/>
          <w:sz w:val="12"/>
          <w:szCs w:val="12"/>
          <w:color w:val="auto"/>
        </w:rPr>
      </w:pPr>
    </w:p>
    <w:p>
      <w:pPr>
        <w:ind w:left="480" w:right="1659" w:hanging="183"/>
        <w:spacing w:after="0" w:line="276" w:lineRule="auto"/>
        <w:tabs>
          <w:tab w:leader="none" w:pos="463" w:val="left"/>
        </w:tabs>
        <w:numPr>
          <w:ilvl w:val="0"/>
          <w:numId w:val="230"/>
        </w:numPr>
        <w:rPr>
          <w:rFonts w:ascii="Arial" w:cs="Arial" w:eastAsia="Arial" w:hAnsi="Arial"/>
          <w:sz w:val="12"/>
          <w:szCs w:val="12"/>
          <w:color w:val="auto"/>
        </w:rPr>
      </w:pPr>
      <w:r>
        <w:rPr>
          <w:rFonts w:ascii="Arial" w:cs="Arial" w:eastAsia="Arial" w:hAnsi="Arial"/>
          <w:sz w:val="12"/>
          <w:szCs w:val="12"/>
          <w:color w:val="auto"/>
        </w:rPr>
        <w:t>Approval of the transfer of Mynaric’s assets to anothercompany;</w:t>
      </w:r>
    </w:p>
    <w:p>
      <w:pPr>
        <w:spacing w:after="0" w:line="42" w:lineRule="exact"/>
        <w:rPr>
          <w:rFonts w:ascii="Arial" w:cs="Arial" w:eastAsia="Arial" w:hAnsi="Arial"/>
          <w:sz w:val="12"/>
          <w:szCs w:val="12"/>
          <w:color w:val="auto"/>
        </w:rPr>
      </w:pPr>
    </w:p>
    <w:p>
      <w:pPr>
        <w:ind w:left="480" w:right="919" w:hanging="183"/>
        <w:spacing w:after="0" w:line="323" w:lineRule="auto"/>
        <w:tabs>
          <w:tab w:leader="none" w:pos="463" w:val="left"/>
        </w:tabs>
        <w:numPr>
          <w:ilvl w:val="0"/>
          <w:numId w:val="230"/>
        </w:numPr>
        <w:rPr>
          <w:rFonts w:ascii="Arial" w:cs="Arial" w:eastAsia="Arial" w:hAnsi="Arial"/>
          <w:sz w:val="11"/>
          <w:szCs w:val="11"/>
          <w:color w:val="auto"/>
        </w:rPr>
      </w:pPr>
      <w:r>
        <w:rPr>
          <w:rFonts w:ascii="Arial" w:cs="Arial" w:eastAsia="Arial" w:hAnsi="Arial"/>
          <w:sz w:val="11"/>
          <w:szCs w:val="11"/>
          <w:color w:val="auto"/>
        </w:rPr>
        <w:t>Approval of the change of Mynaric’s legal form to a company whose sharesare not tradable on the stock exchange;</w:t>
      </w:r>
    </w:p>
    <w:p>
      <w:pPr>
        <w:spacing w:after="0" w:line="19" w:lineRule="exact"/>
        <w:rPr>
          <w:rFonts w:ascii="Arial" w:cs="Arial" w:eastAsia="Arial" w:hAnsi="Arial"/>
          <w:sz w:val="11"/>
          <w:szCs w:val="11"/>
          <w:color w:val="auto"/>
        </w:rPr>
      </w:pPr>
    </w:p>
    <w:p>
      <w:pPr>
        <w:ind w:left="480" w:right="859" w:hanging="183"/>
        <w:spacing w:after="0" w:line="263" w:lineRule="auto"/>
        <w:tabs>
          <w:tab w:leader="none" w:pos="463" w:val="left"/>
        </w:tabs>
        <w:numPr>
          <w:ilvl w:val="0"/>
          <w:numId w:val="230"/>
        </w:numPr>
        <w:rPr>
          <w:rFonts w:ascii="Arial" w:cs="Arial" w:eastAsia="Arial" w:hAnsi="Arial"/>
          <w:sz w:val="12"/>
          <w:szCs w:val="12"/>
          <w:color w:val="auto"/>
        </w:rPr>
      </w:pPr>
      <w:r>
        <w:rPr>
          <w:rFonts w:ascii="Arial" w:cs="Arial" w:eastAsia="Arial" w:hAnsi="Arial"/>
          <w:sz w:val="12"/>
          <w:szCs w:val="12"/>
          <w:color w:val="auto"/>
        </w:rPr>
        <w:t>Approval of the conclusion of an inter-company agreement, in particular aprofit transfer and/or control agreement by Mynaric as a sub-company;</w:t>
      </w:r>
    </w:p>
    <w:p>
      <w:pPr>
        <w:spacing w:after="0" w:line="50" w:lineRule="exact"/>
        <w:rPr>
          <w:rFonts w:ascii="Arial" w:cs="Arial" w:eastAsia="Arial" w:hAnsi="Arial"/>
          <w:sz w:val="12"/>
          <w:szCs w:val="12"/>
          <w:color w:val="auto"/>
        </w:rPr>
      </w:pPr>
    </w:p>
    <w:p>
      <w:pPr>
        <w:ind w:left="480" w:right="859" w:hanging="183"/>
        <w:spacing w:after="0" w:line="276" w:lineRule="auto"/>
        <w:tabs>
          <w:tab w:leader="none" w:pos="469" w:val="left"/>
        </w:tabs>
        <w:numPr>
          <w:ilvl w:val="0"/>
          <w:numId w:val="230"/>
        </w:numPr>
        <w:rPr>
          <w:rFonts w:ascii="Arial" w:cs="Arial" w:eastAsia="Arial" w:hAnsi="Arial"/>
          <w:sz w:val="12"/>
          <w:szCs w:val="12"/>
          <w:color w:val="auto"/>
        </w:rPr>
      </w:pPr>
      <w:r>
        <w:rPr>
          <w:rFonts w:ascii="Arial" w:cs="Arial" w:eastAsia="Arial" w:hAnsi="Arial"/>
          <w:sz w:val="12"/>
          <w:szCs w:val="12"/>
          <w:color w:val="auto"/>
        </w:rPr>
        <w:t>Resolution on the integration of Mynaric into another company in accordancewith §§ 319 ff. AktG</w:t>
      </w:r>
    </w:p>
    <w:p>
      <w:pPr>
        <w:spacing w:after="0" w:line="43" w:lineRule="exact"/>
        <w:rPr>
          <w:sz w:val="20"/>
          <w:szCs w:val="20"/>
          <w:color w:val="auto"/>
        </w:rPr>
      </w:pPr>
    </w:p>
    <w:p>
      <w:pPr>
        <w:ind w:left="300" w:right="859"/>
        <w:spacing w:after="0" w:line="259" w:lineRule="auto"/>
        <w:rPr>
          <w:sz w:val="20"/>
          <w:szCs w:val="20"/>
          <w:color w:val="auto"/>
        </w:rPr>
      </w:pPr>
      <w:r>
        <w:rPr>
          <w:rFonts w:ascii="Arial" w:cs="Arial" w:eastAsia="Arial" w:hAnsi="Arial"/>
          <w:sz w:val="12"/>
          <w:szCs w:val="12"/>
          <w:color w:val="auto"/>
        </w:rPr>
        <w:t>In this case, the two-week period begins on the day of the resolution of the Annual General Meeting. A later cancellation of the resolution is without influence on a right of withdrawal already exercised.</w:t>
      </w:r>
    </w:p>
    <w:p>
      <w:pPr>
        <w:spacing w:after="0" w:line="79" w:lineRule="exact"/>
        <w:rPr>
          <w:sz w:val="20"/>
          <w:szCs w:val="20"/>
          <w:color w:val="auto"/>
        </w:rPr>
      </w:pPr>
    </w:p>
    <w:p>
      <w:pPr>
        <w:sectPr>
          <w:pgSz w:w="11900" w:h="16838" w:orient="portrait"/>
          <w:cols w:equalWidth="0" w:num="2">
            <w:col w:w="4580" w:space="80"/>
            <w:col w:w="4359"/>
          </w:cols>
          <w:pgMar w:left="1440" w:top="302" w:right="1440" w:bottom="1440" w:gutter="0" w:footer="0" w:header="0"/>
        </w:sectPr>
      </w:pPr>
    </w:p>
    <w:p>
      <w:pPr>
        <w:jc w:val="center"/>
        <w:spacing w:after="0"/>
        <w:rPr>
          <w:sz w:val="20"/>
          <w:szCs w:val="20"/>
          <w:color w:val="auto"/>
        </w:rPr>
      </w:pPr>
      <w:r>
        <w:rPr>
          <w:rFonts w:ascii="Arial" w:cs="Arial" w:eastAsia="Arial" w:hAnsi="Arial"/>
          <w:sz w:val="11"/>
          <w:szCs w:val="11"/>
          <w:color w:val="auto"/>
        </w:rPr>
        <w:t>19 / 26</w:t>
      </w:r>
    </w:p>
    <w:p>
      <w:pPr>
        <w:sectPr>
          <w:pgSz w:w="11900" w:h="16838" w:orient="portrait"/>
          <w:cols w:equalWidth="0" w:num="1">
            <w:col w:w="9019"/>
          </w:cols>
          <w:pgMar w:left="1440" w:top="302" w:right="1440" w:bottom="1440" w:gutter="0" w:footer="0" w:header="0"/>
          <w:type w:val="continuous"/>
        </w:sectPr>
      </w:pPr>
    </w:p>
    <w:bookmarkStart w:id="293" w:name="page294"/>
    <w:bookmarkEnd w:id="293"/>
    <w:p>
      <w:pPr>
        <w:ind w:left="1140" w:hanging="299"/>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9.5.2. Einstellung des Börsenhandels der Aktien der Mynaric (Delisting), wobei eine Einstellung des Börsenhandels der Aktien der Mynaric im Sinne dieser Vorschrift nicht vorliegt, sofern die Aktien der Mynaric oder solche vertretenden Rechte oder Zertifikate noch an einer anderen in- oder ausländischen Börse gehandelt werden. Es wird ferner klargestellt, dass ein Wechsel des Marktsegments kein Rücktrittsrecht im Sinne dieser Vorschrift begründet.</w:t>
      </w:r>
    </w:p>
    <w:p>
      <w:pPr>
        <w:spacing w:after="0" w:line="20" w:lineRule="exact"/>
        <w:rPr>
          <w:sz w:val="20"/>
          <w:szCs w:val="20"/>
          <w:color w:val="auto"/>
        </w:rPr>
      </w:pPr>
      <w:r>
        <w:rPr>
          <w:sz w:val="20"/>
          <w:szCs w:val="20"/>
          <w:color w:val="auto"/>
        </w:rPr>
        <w:br w:type="column"/>
      </w:r>
    </w:p>
    <w:p>
      <w:pPr>
        <w:ind w:right="959" w:hanging="299"/>
        <w:spacing w:after="0" w:line="281" w:lineRule="auto"/>
        <w:rPr>
          <w:sz w:val="20"/>
          <w:szCs w:val="20"/>
          <w:color w:val="auto"/>
        </w:rPr>
      </w:pPr>
      <w:r>
        <w:rPr>
          <w:rFonts w:ascii="Arial" w:cs="Arial" w:eastAsia="Arial" w:hAnsi="Arial"/>
          <w:sz w:val="11"/>
          <w:szCs w:val="11"/>
          <w:color w:val="auto"/>
        </w:rPr>
        <w:t>9.5.2. Discontinuation of stock exchange trading of the shares of Mynaric (delisting), whereby a discontinuation of trading is not constituted if the shares of Mynaric or rights or certificates representing such shares are still traded on any other domestic or foreign stock exchange. It is further clarified that a change of market segment does not constitute a right of withdrawal in the sense of this provision</w:t>
      </w:r>
    </w:p>
    <w:p>
      <w:pPr>
        <w:spacing w:after="0" w:line="43" w:lineRule="exact"/>
        <w:rPr>
          <w:sz w:val="20"/>
          <w:szCs w:val="20"/>
          <w:color w:val="auto"/>
        </w:rPr>
      </w:pPr>
    </w:p>
    <w:p>
      <w:pPr>
        <w:sectPr>
          <w:pgSz w:w="11900" w:h="16838" w:orient="portrait"/>
          <w:cols w:equalWidth="0" w:num="2">
            <w:col w:w="4540" w:space="420"/>
            <w:col w:w="4059"/>
          </w:cols>
          <w:pgMar w:left="1440" w:top="302" w:right="1440" w:bottom="1440" w:gutter="0" w:footer="0" w:header="0"/>
        </w:sectPr>
      </w:pPr>
    </w:p>
    <w:p>
      <w:pPr>
        <w:ind w:left="1120" w:hanging="299"/>
        <w:spacing w:after="0" w:line="263" w:lineRule="auto"/>
        <w:tabs>
          <w:tab w:leader="none" w:pos="1100" w:val="left"/>
        </w:tabs>
        <w:rPr>
          <w:sz w:val="20"/>
          <w:szCs w:val="20"/>
          <w:color w:val="auto"/>
        </w:rPr>
      </w:pPr>
      <w:r>
        <w:rPr>
          <w:rFonts w:ascii="Arial" w:cs="Arial" w:eastAsia="Arial" w:hAnsi="Arial"/>
          <w:sz w:val="12"/>
          <w:szCs w:val="12"/>
          <w:color w:val="auto"/>
        </w:rPr>
        <w:t>9.6</w:t>
        <w:tab/>
        <w:t>Im Falle eines Ausschlusses von Minderheitsaktionären der Mynaric durch einen Hauptaktionär (Squeeze-Out, §§ 327a ff. AktG) gilt folgendes:</w:t>
      </w:r>
    </w:p>
    <w:p>
      <w:pPr>
        <w:spacing w:after="0" w:line="20" w:lineRule="exact"/>
        <w:rPr>
          <w:sz w:val="20"/>
          <w:szCs w:val="20"/>
          <w:color w:val="auto"/>
        </w:rPr>
      </w:pPr>
      <w:r>
        <w:rPr>
          <w:sz w:val="20"/>
          <w:szCs w:val="20"/>
          <w:color w:val="auto"/>
        </w:rPr>
        <w:br w:type="column"/>
      </w:r>
    </w:p>
    <w:p>
      <w:pPr>
        <w:jc w:val="both"/>
        <w:ind w:right="959" w:hanging="299"/>
        <w:spacing w:after="0" w:line="263" w:lineRule="auto"/>
        <w:rPr>
          <w:sz w:val="20"/>
          <w:szCs w:val="20"/>
          <w:color w:val="auto"/>
        </w:rPr>
      </w:pPr>
      <w:r>
        <w:rPr>
          <w:rFonts w:ascii="Arial" w:cs="Arial" w:eastAsia="Arial" w:hAnsi="Arial"/>
          <w:sz w:val="12"/>
          <w:szCs w:val="12"/>
          <w:color w:val="auto"/>
        </w:rPr>
        <w:t>9.6</w:t>
      </w:r>
      <w:r>
        <w:rPr>
          <w:sz w:val="20"/>
          <w:szCs w:val="20"/>
          <w:color w:val="auto"/>
        </w:rPr>
        <w:t xml:space="preserve"> </w:t>
      </w:r>
      <w:r>
        <w:rPr>
          <w:rFonts w:ascii="Arial" w:cs="Arial" w:eastAsia="Arial" w:hAnsi="Arial"/>
          <w:sz w:val="12"/>
          <w:szCs w:val="12"/>
          <w:color w:val="auto"/>
        </w:rPr>
        <w:t>In the event of an exclusion of minority shareholders of Mynaric by a major shareholder (squeeze-out, §§ 327a et seq. AktG) the following applies:</w:t>
      </w:r>
    </w:p>
    <w:p>
      <w:pPr>
        <w:spacing w:after="0" w:line="50" w:lineRule="exact"/>
        <w:rPr>
          <w:sz w:val="20"/>
          <w:szCs w:val="20"/>
          <w:color w:val="auto"/>
        </w:rPr>
      </w:pPr>
    </w:p>
    <w:p>
      <w:pPr>
        <w:sectPr>
          <w:pgSz w:w="11900" w:h="16838" w:orient="portrait"/>
          <w:cols w:equalWidth="0" w:num="2">
            <w:col w:w="4420" w:space="540"/>
            <w:col w:w="4059"/>
          </w:cols>
          <w:pgMar w:left="1440" w:top="302" w:right="1440" w:bottom="1440" w:gutter="0" w:footer="0" w:header="0"/>
          <w:type w:val="continuous"/>
        </w:sectPr>
      </w:pPr>
    </w:p>
    <w:p>
      <w:pPr>
        <w:ind w:left="1140" w:hanging="299"/>
        <w:spacing w:after="0" w:line="280" w:lineRule="auto"/>
        <w:rPr>
          <w:sz w:val="20"/>
          <w:szCs w:val="20"/>
          <w:color w:val="auto"/>
        </w:rPr>
      </w:pPr>
      <w:r>
        <w:rPr>
          <w:rFonts w:ascii="Arial" w:cs="Arial" w:eastAsia="Arial" w:hAnsi="Arial"/>
          <w:sz w:val="11"/>
          <w:szCs w:val="11"/>
          <w:color w:val="auto"/>
        </w:rPr>
        <w:t>9.6.1. Soweit zum Zeitpunkt der Eintragung des Übertragungsbeschlusses durch die Hauptversammlung in das Handelsregister der Mynaric die Wartezeit (§ 2.4) abgelaufen ist, gelten die Bezugsrechte mit der Eintragung des Übertragungsbeschlusses als ausgeübt. Statt eines Anspruchs auf Lieferung von Aktien steht dem Bezugsrechtsinhaber ausschließlich ein Anspruch auf Zahlung eines Barausgleichs gegen den Hauptaktionär zu. Der Barausgleich berechnet sich nach folgender Formel:</w:t>
      </w:r>
    </w:p>
    <w:p>
      <w:pPr>
        <w:spacing w:after="0" w:line="20" w:lineRule="exact"/>
        <w:rPr>
          <w:sz w:val="20"/>
          <w:szCs w:val="20"/>
          <w:color w:val="auto"/>
        </w:rPr>
      </w:pPr>
      <w:r>
        <w:rPr>
          <w:sz w:val="20"/>
          <w:szCs w:val="20"/>
          <w:color w:val="auto"/>
        </w:rPr>
        <w:br w:type="column"/>
      </w:r>
    </w:p>
    <w:p>
      <w:pPr>
        <w:ind w:right="839" w:hanging="299"/>
        <w:spacing w:after="0" w:line="280" w:lineRule="auto"/>
        <w:rPr>
          <w:sz w:val="20"/>
          <w:szCs w:val="20"/>
          <w:color w:val="auto"/>
        </w:rPr>
      </w:pPr>
      <w:r>
        <w:rPr>
          <w:rFonts w:ascii="Arial" w:cs="Arial" w:eastAsia="Arial" w:hAnsi="Arial"/>
          <w:sz w:val="11"/>
          <w:szCs w:val="11"/>
          <w:color w:val="auto"/>
        </w:rPr>
        <w:t>9.6.1. To the extent that the waiting period (§ 2.4) has expired at the time of the entry of the transfer resolution by the general meeting of shareholders in the commercial register of Mynaric, the subscription rights are deemed to have been exercised upon the entry of the transfer resolution. Instead of a claim to the delivery of shares, the holder of subscription rights is only entitled to a cash settlement against the main shareholder. The cash settlement is calculated according to the following formula:</w:t>
      </w:r>
    </w:p>
    <w:p>
      <w:pPr>
        <w:spacing w:after="0" w:line="43" w:lineRule="exact"/>
        <w:rPr>
          <w:sz w:val="20"/>
          <w:szCs w:val="20"/>
          <w:color w:val="auto"/>
        </w:rPr>
      </w:pPr>
    </w:p>
    <w:p>
      <w:pPr>
        <w:sectPr>
          <w:pgSz w:w="11900" w:h="16838" w:orient="portrait"/>
          <w:cols w:equalWidth="0" w:num="2">
            <w:col w:w="4520" w:space="440"/>
            <w:col w:w="4059"/>
          </w:cols>
          <w:pgMar w:left="1440" w:top="302" w:right="1440" w:bottom="1440" w:gutter="0" w:footer="0" w:header="0"/>
          <w:type w:val="continuous"/>
        </w:sectPr>
      </w:pPr>
    </w:p>
    <w:p>
      <w:pPr>
        <w:ind w:left="1140"/>
        <w:spacing w:after="0"/>
        <w:rPr>
          <w:sz w:val="20"/>
          <w:szCs w:val="20"/>
          <w:color w:val="auto"/>
        </w:rPr>
      </w:pPr>
      <w:r>
        <w:rPr>
          <w:rFonts w:ascii="Arial" w:cs="Arial" w:eastAsia="Arial" w:hAnsi="Arial"/>
          <w:sz w:val="10"/>
          <w:szCs w:val="10"/>
          <w:color w:val="auto"/>
        </w:rPr>
        <w:t>Barabfindung je Stückaktie der Myanric ./. Ausübungspreis.</w:t>
      </w:r>
    </w:p>
    <w:p>
      <w:pPr>
        <w:spacing w:after="0" w:line="20" w:lineRule="exact"/>
        <w:rPr>
          <w:sz w:val="20"/>
          <w:szCs w:val="20"/>
          <w:color w:val="auto"/>
        </w:rPr>
      </w:pPr>
      <w:r>
        <w:rPr>
          <w:sz w:val="20"/>
          <w:szCs w:val="20"/>
          <w:color w:val="auto"/>
        </w:rPr>
        <w:br w:type="column"/>
      </w:r>
    </w:p>
    <w:p>
      <w:pPr>
        <w:jc w:val="center"/>
        <w:ind w:right="1039"/>
        <w:spacing w:after="0"/>
        <w:rPr>
          <w:sz w:val="20"/>
          <w:szCs w:val="20"/>
          <w:color w:val="auto"/>
        </w:rPr>
      </w:pPr>
      <w:r>
        <w:rPr>
          <w:rFonts w:ascii="Arial" w:cs="Arial" w:eastAsia="Arial" w:hAnsi="Arial"/>
          <w:sz w:val="10"/>
          <w:szCs w:val="10"/>
          <w:color w:val="auto"/>
        </w:rPr>
        <w:t>Cash compensation per unit share of Myanric ./. exercise price.</w:t>
      </w:r>
    </w:p>
    <w:p>
      <w:pPr>
        <w:spacing w:after="0" w:line="128" w:lineRule="exact"/>
        <w:rPr>
          <w:sz w:val="20"/>
          <w:szCs w:val="20"/>
          <w:color w:val="auto"/>
        </w:rPr>
      </w:pPr>
    </w:p>
    <w:p>
      <w:pPr>
        <w:sectPr>
          <w:pgSz w:w="11900" w:h="16838" w:orient="portrait"/>
          <w:cols w:equalWidth="0" w:num="2">
            <w:col w:w="4240" w:space="720"/>
            <w:col w:w="4059"/>
          </w:cols>
          <w:pgMar w:left="1440" w:top="302"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20 / 26</w:t>
      </w:r>
    </w:p>
    <w:p>
      <w:pPr>
        <w:sectPr>
          <w:pgSz w:w="11900" w:h="16838" w:orient="portrait"/>
          <w:cols w:equalWidth="0" w:num="1">
            <w:col w:w="9019"/>
          </w:cols>
          <w:pgMar w:left="1440" w:top="302" w:right="1440" w:bottom="1440" w:gutter="0" w:footer="0" w:header="0"/>
          <w:type w:val="continuous"/>
        </w:sectPr>
      </w:pPr>
    </w:p>
    <w:bookmarkStart w:id="294" w:name="page295"/>
    <w:bookmarkEnd w:id="294"/>
    <w:p>
      <w:pPr>
        <w:ind w:left="1140"/>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Der Anspruch auf Zahlung des Barausgleichs wird fällig zum Zeitpunkt der Eintragung des Übertragungsbeschlusses in das Handelsregister der Mynaric. Die Mynaric erklärt gegenüber dem Bezugsberechtigten bereits jetzt verbindlich, für die Zahlung des vorstehenden Barausgleichs durch den Hauptaktionär wie für eine eigene Schuld einzustehen (Schuldbeitritt). Soweit sich die Barabfindung für die übertragenen Aktien erhöht (z. B. aufgrund eines Spruchverfahrens), gilt diese Erhöhung auch für die Bezugsrechte.</w:t>
      </w:r>
    </w:p>
    <w:p>
      <w:pPr>
        <w:spacing w:after="0" w:line="43" w:lineRule="exact"/>
        <w:rPr>
          <w:sz w:val="20"/>
          <w:szCs w:val="20"/>
          <w:color w:val="auto"/>
        </w:rPr>
      </w:pPr>
    </w:p>
    <w:p>
      <w:pPr>
        <w:ind w:left="1140" w:right="20" w:hanging="299"/>
        <w:spacing w:after="0" w:line="311" w:lineRule="auto"/>
        <w:rPr>
          <w:sz w:val="20"/>
          <w:szCs w:val="20"/>
          <w:color w:val="auto"/>
        </w:rPr>
      </w:pPr>
      <w:r>
        <w:rPr>
          <w:rFonts w:ascii="Arial" w:cs="Arial" w:eastAsia="Arial" w:hAnsi="Arial"/>
          <w:sz w:val="10"/>
          <w:szCs w:val="10"/>
          <w:color w:val="auto"/>
        </w:rPr>
        <w:t>9.6.2. Ist die Wartezeit (§ 2.4) zum Zeitpunkt der Eintragung des Übertragungsbeschlusses in das Handelsregister der Mynaric noch nicht abgelaufen, gilt die vorstehende Vorschrift mit der Maßgabe, dass die Bezugsrechte mit Eintragung des Übertragungsbeschlusses in das Handelsregister der Mynaric verfallen, d. h. dem Bezugsberechtigten steht auch in diesem Fall ein Anspruch auf Zahlung eines Barausgleichs gegen die Mynaric zu. Der Wert der Bezugsrechte berechnet sich in diesem Fall ebenfalls nach vorstehendem § 9.7.1.</w:t>
      </w:r>
    </w:p>
    <w:p>
      <w:pPr>
        <w:spacing w:after="0" w:line="20" w:lineRule="exact"/>
        <w:rPr>
          <w:sz w:val="20"/>
          <w:szCs w:val="20"/>
          <w:color w:val="auto"/>
        </w:rPr>
      </w:pPr>
      <w:r>
        <w:rPr>
          <w:sz w:val="20"/>
          <w:szCs w:val="20"/>
          <w:color w:val="auto"/>
        </w:rPr>
        <w:br w:type="column"/>
      </w:r>
    </w:p>
    <w:p>
      <w:pPr>
        <w:ind w:right="859"/>
        <w:spacing w:after="0" w:line="280" w:lineRule="auto"/>
        <w:rPr>
          <w:sz w:val="20"/>
          <w:szCs w:val="20"/>
          <w:color w:val="auto"/>
        </w:rPr>
      </w:pPr>
      <w:r>
        <w:rPr>
          <w:rFonts w:ascii="Arial" w:cs="Arial" w:eastAsia="Arial" w:hAnsi="Arial"/>
          <w:sz w:val="11"/>
          <w:szCs w:val="11"/>
          <w:color w:val="auto"/>
        </w:rPr>
        <w:t>The claim for payment of the cash settlement is due at the time of registration of the transfer resolution in the commercial register of Mynaric. Mynaric already now declares to the beneficiary in a binding manner that it will be liable for the payment of the above cash settlement by the main shareholder as if it were its own debt (joining of debt). If the cash settlement for the transferred shares is increased (e.g. due to a judicial appraisal procedure), this increase also applies to the subscription rights.</w:t>
      </w:r>
    </w:p>
    <w:p>
      <w:pPr>
        <w:spacing w:after="0" w:line="43" w:lineRule="exact"/>
        <w:rPr>
          <w:sz w:val="20"/>
          <w:szCs w:val="20"/>
          <w:color w:val="auto"/>
        </w:rPr>
      </w:pPr>
    </w:p>
    <w:p>
      <w:pPr>
        <w:ind w:right="959" w:hanging="299"/>
        <w:spacing w:after="0" w:line="280" w:lineRule="auto"/>
        <w:rPr>
          <w:sz w:val="20"/>
          <w:szCs w:val="20"/>
          <w:color w:val="auto"/>
        </w:rPr>
      </w:pPr>
      <w:r>
        <w:rPr>
          <w:rFonts w:ascii="Arial" w:cs="Arial" w:eastAsia="Arial" w:hAnsi="Arial"/>
          <w:sz w:val="11"/>
          <w:szCs w:val="11"/>
          <w:color w:val="auto"/>
        </w:rPr>
        <w:t>9.6.2. If the waiting period (§ 2.4) has not yet expired at the time of the entry of the transfer resolution in the commercial register of Mynaric, the above provision applies with the proviso that the subscription rights expire upon entry of the transfer resolution in the commercial register of Mynaric, i.e. the person entitled to subscription rights is also entitled to a cash settlement against Mynaric in this case. In this case the value of the subscription rights is also calculated according to the above § 9.7.1.</w:t>
      </w:r>
    </w:p>
    <w:p>
      <w:pPr>
        <w:spacing w:after="0" w:line="39" w:lineRule="exact"/>
        <w:rPr>
          <w:sz w:val="20"/>
          <w:szCs w:val="20"/>
          <w:color w:val="auto"/>
        </w:rPr>
      </w:pPr>
    </w:p>
    <w:p>
      <w:pPr>
        <w:sectPr>
          <w:pgSz w:w="11900" w:h="16838" w:orient="portrait"/>
          <w:cols w:equalWidth="0" w:num="2">
            <w:col w:w="4580" w:space="380"/>
            <w:col w:w="4059"/>
          </w:cols>
          <w:pgMar w:left="1440" w:top="230" w:right="1440" w:bottom="1440" w:gutter="0" w:footer="0" w:header="0"/>
        </w:sectPr>
      </w:pPr>
    </w:p>
    <w:p>
      <w:pPr>
        <w:ind w:left="2600"/>
        <w:spacing w:after="0"/>
        <w:tabs>
          <w:tab w:leader="none" w:pos="6300" w:val="left"/>
        </w:tabs>
        <w:rPr>
          <w:sz w:val="20"/>
          <w:szCs w:val="20"/>
          <w:color w:val="auto"/>
        </w:rPr>
      </w:pPr>
      <w:r>
        <w:rPr>
          <w:rFonts w:ascii="Arial" w:cs="Arial" w:eastAsia="Arial" w:hAnsi="Arial"/>
          <w:sz w:val="12"/>
          <w:szCs w:val="12"/>
          <w:b w:val="1"/>
          <w:bCs w:val="1"/>
          <w:color w:val="auto"/>
        </w:rPr>
        <w:t>§ 10</w:t>
      </w:r>
      <w:r>
        <w:rPr>
          <w:sz w:val="20"/>
          <w:szCs w:val="20"/>
          <w:color w:val="auto"/>
        </w:rPr>
        <w:tab/>
      </w:r>
      <w:r>
        <w:rPr>
          <w:rFonts w:ascii="Arial" w:cs="Arial" w:eastAsia="Arial" w:hAnsi="Arial"/>
          <w:sz w:val="10"/>
          <w:szCs w:val="10"/>
          <w:b w:val="1"/>
          <w:bCs w:val="1"/>
          <w:color w:val="auto"/>
        </w:rPr>
        <w:t>§ 10</w:t>
      </w:r>
    </w:p>
    <w:p>
      <w:pPr>
        <w:spacing w:after="0" w:line="19" w:lineRule="exact"/>
        <w:rPr>
          <w:sz w:val="20"/>
          <w:szCs w:val="20"/>
          <w:color w:val="auto"/>
        </w:rPr>
      </w:pPr>
    </w:p>
    <w:p>
      <w:pPr>
        <w:ind w:left="2040"/>
        <w:spacing w:after="0"/>
        <w:tabs>
          <w:tab w:leader="none" w:pos="5840" w:val="left"/>
        </w:tabs>
        <w:rPr>
          <w:sz w:val="20"/>
          <w:szCs w:val="20"/>
          <w:color w:val="auto"/>
        </w:rPr>
      </w:pPr>
      <w:r>
        <w:rPr>
          <w:rFonts w:ascii="Arial" w:cs="Arial" w:eastAsia="Arial" w:hAnsi="Arial"/>
          <w:sz w:val="11"/>
          <w:szCs w:val="11"/>
          <w:b w:val="1"/>
          <w:bCs w:val="1"/>
          <w:color w:val="auto"/>
        </w:rPr>
        <w:t>Haftungsbeschränkungen</w:t>
      </w:r>
      <w:r>
        <w:rPr>
          <w:sz w:val="20"/>
          <w:szCs w:val="20"/>
          <w:color w:val="auto"/>
        </w:rPr>
        <w:tab/>
      </w:r>
      <w:r>
        <w:rPr>
          <w:rFonts w:ascii="Arial" w:cs="Arial" w:eastAsia="Arial" w:hAnsi="Arial"/>
          <w:sz w:val="11"/>
          <w:szCs w:val="11"/>
          <w:b w:val="1"/>
          <w:bCs w:val="1"/>
          <w:color w:val="auto"/>
        </w:rPr>
        <w:t>Limitation of liability</w:t>
      </w:r>
    </w:p>
    <w:p>
      <w:pPr>
        <w:sectPr>
          <w:pgSz w:w="11900" w:h="16838" w:orient="portrait"/>
          <w:cols w:equalWidth="0" w:num="1">
            <w:col w:w="9019"/>
          </w:cols>
          <w:pgMar w:left="1440" w:top="230" w:right="1440" w:bottom="1440" w:gutter="0" w:footer="0" w:header="0"/>
          <w:type w:val="continuous"/>
        </w:sectPr>
      </w:pPr>
    </w:p>
    <w:p>
      <w:pPr>
        <w:spacing w:after="0" w:line="81" w:lineRule="exact"/>
        <w:rPr>
          <w:sz w:val="20"/>
          <w:szCs w:val="20"/>
          <w:color w:val="auto"/>
        </w:rPr>
      </w:pPr>
    </w:p>
    <w:p>
      <w:pPr>
        <w:ind w:left="840"/>
        <w:spacing w:after="0" w:line="326" w:lineRule="auto"/>
        <w:rPr>
          <w:sz w:val="20"/>
          <w:szCs w:val="20"/>
          <w:color w:val="auto"/>
        </w:rPr>
      </w:pPr>
      <w:r>
        <w:rPr>
          <w:rFonts w:ascii="Arial" w:cs="Arial" w:eastAsia="Arial" w:hAnsi="Arial"/>
          <w:sz w:val="10"/>
          <w:szCs w:val="10"/>
          <w:color w:val="auto"/>
        </w:rPr>
        <w:t>Die Haftung von Mynaric oder den zum Mynaric-Konzern gehörenden Unternehmen, ihren gesetzlichen Vertretern, Arbeitnehmern und Erfüllungsgehilfen ist auf Vorsatz und grobe Fahrlässigkeit beschränkt. Die Haftung für Folgeschäden und entgangenen Gewinn ist ausgeschlossen.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59"/>
        <w:spacing w:after="0" w:line="259" w:lineRule="auto"/>
        <w:rPr>
          <w:sz w:val="20"/>
          <w:szCs w:val="20"/>
          <w:color w:val="auto"/>
        </w:rPr>
      </w:pPr>
      <w:r>
        <w:rPr>
          <w:rFonts w:ascii="Arial" w:cs="Arial" w:eastAsia="Arial" w:hAnsi="Arial"/>
          <w:sz w:val="12"/>
          <w:szCs w:val="12"/>
          <w:color w:val="auto"/>
        </w:rPr>
        <w:t>The liability of Mynaric or the companies belonging to the Mynaric group, their legal representatives, employees and assistants is limited to intent and gross negligence. Liability for consequential damages and loss of profit is excluded.</w:t>
      </w:r>
    </w:p>
    <w:p>
      <w:pPr>
        <w:spacing w:after="0" w:line="79" w:lineRule="exact"/>
        <w:rPr>
          <w:sz w:val="20"/>
          <w:szCs w:val="20"/>
          <w:color w:val="auto"/>
        </w:rPr>
      </w:pPr>
    </w:p>
    <w:p>
      <w:pPr>
        <w:sectPr>
          <w:pgSz w:w="11900" w:h="16838" w:orient="portrait"/>
          <w:cols w:equalWidth="0" w:num="2">
            <w:col w:w="4440" w:space="220"/>
            <w:col w:w="4359"/>
          </w:cols>
          <w:pgMar w:left="1440" w:top="230"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21 / 26</w:t>
      </w:r>
    </w:p>
    <w:p>
      <w:pPr>
        <w:sectPr>
          <w:pgSz w:w="11900" w:h="16838" w:orient="portrait"/>
          <w:cols w:equalWidth="0" w:num="1">
            <w:col w:w="9019"/>
          </w:cols>
          <w:pgMar w:left="1440" w:top="230" w:right="1440" w:bottom="1440" w:gutter="0" w:footer="0" w:header="0"/>
          <w:type w:val="continuous"/>
        </w:sectPr>
      </w:pPr>
    </w:p>
    <w:bookmarkStart w:id="295" w:name="page296"/>
    <w:bookmarkEnd w:id="295"/>
    <w:p>
      <w:pPr>
        <w:ind w:left="2600"/>
        <w:spacing w:after="0"/>
        <w:tabs>
          <w:tab w:leader="none" w:pos="63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11</w:t>
      </w:r>
      <w:r>
        <w:rPr>
          <w:sz w:val="20"/>
          <w:szCs w:val="20"/>
          <w:color w:val="auto"/>
        </w:rPr>
        <w:tab/>
      </w:r>
      <w:r>
        <w:rPr>
          <w:rFonts w:ascii="Arial" w:cs="Arial" w:eastAsia="Arial" w:hAnsi="Arial"/>
          <w:sz w:val="10"/>
          <w:szCs w:val="10"/>
          <w:b w:val="1"/>
          <w:bCs w:val="1"/>
          <w:color w:val="auto"/>
        </w:rPr>
        <w:t>§ 11</w:t>
      </w:r>
    </w:p>
    <w:p>
      <w:pPr>
        <w:spacing w:after="0" w:line="19" w:lineRule="exact"/>
        <w:rPr>
          <w:sz w:val="20"/>
          <w:szCs w:val="20"/>
          <w:color w:val="auto"/>
        </w:rPr>
      </w:pPr>
    </w:p>
    <w:p>
      <w:pPr>
        <w:ind w:left="1880"/>
        <w:spacing w:after="0"/>
        <w:tabs>
          <w:tab w:leader="none" w:pos="5640" w:val="left"/>
        </w:tabs>
        <w:rPr>
          <w:sz w:val="20"/>
          <w:szCs w:val="20"/>
          <w:color w:val="auto"/>
        </w:rPr>
      </w:pPr>
      <w:r>
        <w:rPr>
          <w:rFonts w:ascii="Arial" w:cs="Arial" w:eastAsia="Arial" w:hAnsi="Arial"/>
          <w:sz w:val="12"/>
          <w:szCs w:val="12"/>
          <w:b w:val="1"/>
          <w:bCs w:val="1"/>
          <w:color w:val="auto"/>
        </w:rPr>
        <w:t>Kursrisiken, Steuerliche Risiken</w:t>
      </w:r>
      <w:r>
        <w:rPr>
          <w:sz w:val="20"/>
          <w:szCs w:val="20"/>
          <w:color w:val="auto"/>
        </w:rPr>
        <w:tab/>
      </w:r>
      <w:r>
        <w:rPr>
          <w:rFonts w:ascii="Arial" w:cs="Arial" w:eastAsia="Arial" w:hAnsi="Arial"/>
          <w:sz w:val="10"/>
          <w:szCs w:val="10"/>
          <w:b w:val="1"/>
          <w:bCs w:val="1"/>
          <w:color w:val="auto"/>
        </w:rPr>
        <w:t>Exchange rate risks, tax risks</w:t>
      </w:r>
    </w:p>
    <w:p>
      <w:pPr>
        <w:sectPr>
          <w:pgSz w:w="11900" w:h="16838" w:orient="portrait"/>
          <w:cols w:equalWidth="0" w:num="1">
            <w:col w:w="9019"/>
          </w:cols>
          <w:pgMar w:left="1440" w:top="298" w:right="1440" w:bottom="1440" w:gutter="0" w:footer="0" w:header="0"/>
        </w:sectPr>
      </w:pPr>
    </w:p>
    <w:p>
      <w:pPr>
        <w:spacing w:after="0" w:line="69" w:lineRule="exact"/>
        <w:rPr>
          <w:sz w:val="20"/>
          <w:szCs w:val="20"/>
          <w:color w:val="auto"/>
        </w:rPr>
      </w:pPr>
    </w:p>
    <w:p>
      <w:pPr>
        <w:ind w:left="1140" w:hanging="299"/>
        <w:spacing w:after="0" w:line="278" w:lineRule="auto"/>
        <w:rPr>
          <w:sz w:val="20"/>
          <w:szCs w:val="20"/>
          <w:color w:val="auto"/>
        </w:rPr>
      </w:pPr>
      <w:r>
        <w:rPr>
          <w:rFonts w:ascii="Arial" w:cs="Arial" w:eastAsia="Arial" w:hAnsi="Arial"/>
          <w:sz w:val="11"/>
          <w:szCs w:val="11"/>
          <w:color w:val="auto"/>
        </w:rPr>
        <w:t>11.1 Mynaric und/oder die beteiligten Unternehmen übernehmen keinerlei Gewähr für die allgemeine Marktentwicklung und die Kursentwicklung der Aktie der Gesellschaft nach der Ausgabe von Bezugsrechten oder der Ausübung von Bezugsrechten oder für irgend einen anderen Zeitpunkt oder Zeitraum. Es besteht daher insbesondere keine Gewähr, dass Bezugsberechtigte, die Bezugsrechte ausüben, einen wirtschaftlichen Vorteil in Höhe der Differenz zwischen Ausübungspreis und aktuellem Börsenkurs erhalten oder in der Lage sind, die bezogenen Aktien mit Gewinn zu veräußern. Die Annahme und die Ausübung von Bezugsrechten erfolgt daher allein auf Risiko des jeweiligen Bezugsberechtigten.</w:t>
      </w:r>
    </w:p>
    <w:p>
      <w:pPr>
        <w:spacing w:after="0" w:line="44" w:lineRule="exact"/>
        <w:rPr>
          <w:sz w:val="20"/>
          <w:szCs w:val="20"/>
          <w:color w:val="auto"/>
        </w:rPr>
      </w:pPr>
    </w:p>
    <w:p>
      <w:pPr>
        <w:ind w:left="1140" w:right="20" w:hanging="299"/>
        <w:spacing w:after="0" w:line="311" w:lineRule="auto"/>
        <w:rPr>
          <w:sz w:val="20"/>
          <w:szCs w:val="20"/>
          <w:color w:val="auto"/>
        </w:rPr>
      </w:pPr>
      <w:r>
        <w:rPr>
          <w:rFonts w:ascii="Arial" w:cs="Arial" w:eastAsia="Arial" w:hAnsi="Arial"/>
          <w:sz w:val="10"/>
          <w:szCs w:val="10"/>
          <w:color w:val="auto"/>
        </w:rPr>
        <w:t>11.2 Mynaric und/oder die beteiligten Unternehmen übernehmen keinerlei Gewähr dafür, dass gemäß § 8 einzubehaltende Steuern und Abgaben oder vom Bezugsberechtigten zu zahlende Steuern und Abgaben nur auf den Differenzbetrag zwischen Ausübungspreis und aktuellem Börsenkurs bei Ausübung der Bezugsrechte oder bei Lieferung der Aktien, auf einen durch Veräußerung tatsächlich erzielten Gewinn oder auf einen anderen bestimmten Betrag, erhoben werden. Die Bezugsberechtigten sind aufgefordert, sich steuerlich beraten zu lassen.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859" w:hanging="299"/>
        <w:spacing w:after="0" w:line="278" w:lineRule="auto"/>
        <w:rPr>
          <w:sz w:val="20"/>
          <w:szCs w:val="20"/>
          <w:color w:val="auto"/>
        </w:rPr>
      </w:pPr>
      <w:r>
        <w:rPr>
          <w:rFonts w:ascii="Arial" w:cs="Arial" w:eastAsia="Arial" w:hAnsi="Arial"/>
          <w:sz w:val="11"/>
          <w:szCs w:val="11"/>
          <w:color w:val="auto"/>
        </w:rPr>
        <w:t>11.1 Mynaric and/or the companies involved do not assume any guarantee for the general market development and the price development of the company’s share after the issue of subscription rights or the exercise of subscription rights or for any other point in time or period. In particular, there is no guarantee that beneficiaries who exercise subscription rights will receive an economic advantage in the amount of the difference between the exercise price and the current market price or that they will be able to sell the subscribed shares at a profit. The acceptance and exercise of subscription rights is therefore solely at the risk of the respective beneficiary.</w:t>
      </w:r>
    </w:p>
    <w:p>
      <w:pPr>
        <w:spacing w:after="0" w:line="44" w:lineRule="exact"/>
        <w:rPr>
          <w:sz w:val="20"/>
          <w:szCs w:val="20"/>
          <w:color w:val="auto"/>
        </w:rPr>
      </w:pPr>
    </w:p>
    <w:p>
      <w:pPr>
        <w:ind w:right="839" w:hanging="299"/>
        <w:spacing w:after="0" w:line="254" w:lineRule="auto"/>
        <w:rPr>
          <w:sz w:val="20"/>
          <w:szCs w:val="20"/>
          <w:color w:val="auto"/>
        </w:rPr>
      </w:pPr>
      <w:r>
        <w:rPr>
          <w:rFonts w:ascii="Arial" w:cs="Arial" w:eastAsia="Arial" w:hAnsi="Arial"/>
          <w:sz w:val="12"/>
          <w:szCs w:val="12"/>
          <w:color w:val="auto"/>
        </w:rPr>
        <w:t>11.2 Mynaric and/or the companies involved do not guarantee that taxes and duties to be withheld according to § 8 or taxes and duties to be paid by the beneficiary will only be levied on the difference between the exercise price and the current stock exchange price when exercising the subscription rights or when delivering the shares, on a profit actually achieved through sale or on another specific amount. The beneficiaries are requested to seek tax advice.</w:t>
      </w:r>
    </w:p>
    <w:p>
      <w:pPr>
        <w:spacing w:after="0" w:line="82" w:lineRule="exact"/>
        <w:rPr>
          <w:sz w:val="20"/>
          <w:szCs w:val="20"/>
          <w:color w:val="auto"/>
        </w:rPr>
      </w:pPr>
    </w:p>
    <w:p>
      <w:pPr>
        <w:sectPr>
          <w:pgSz w:w="11900" w:h="16838" w:orient="portrait"/>
          <w:cols w:equalWidth="0" w:num="2">
            <w:col w:w="4580" w:space="380"/>
            <w:col w:w="4059"/>
          </w:cols>
          <w:pgMar w:left="1440" w:top="298"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22 / 26</w:t>
      </w:r>
    </w:p>
    <w:p>
      <w:pPr>
        <w:sectPr>
          <w:pgSz w:w="11900" w:h="16838" w:orient="portrait"/>
          <w:cols w:equalWidth="0" w:num="1">
            <w:col w:w="9019"/>
          </w:cols>
          <w:pgMar w:left="1440" w:top="298" w:right="1440" w:bottom="1440" w:gutter="0" w:footer="0" w:header="0"/>
          <w:type w:val="continuous"/>
        </w:sectPr>
      </w:pPr>
    </w:p>
    <w:bookmarkStart w:id="296" w:name="page297"/>
    <w:bookmarkEnd w:id="296"/>
    <w:p>
      <w:pPr>
        <w:ind w:left="2600"/>
        <w:spacing w:after="0"/>
        <w:tabs>
          <w:tab w:leader="none" w:pos="63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12</w:t>
      </w:r>
      <w:r>
        <w:rPr>
          <w:sz w:val="20"/>
          <w:szCs w:val="20"/>
          <w:color w:val="auto"/>
        </w:rPr>
        <w:tab/>
      </w:r>
      <w:r>
        <w:rPr>
          <w:rFonts w:ascii="Arial" w:cs="Arial" w:eastAsia="Arial" w:hAnsi="Arial"/>
          <w:sz w:val="10"/>
          <w:szCs w:val="10"/>
          <w:b w:val="1"/>
          <w:bCs w:val="1"/>
          <w:color w:val="auto"/>
        </w:rPr>
        <w:t>§ 12</w:t>
      </w:r>
    </w:p>
    <w:p>
      <w:pPr>
        <w:spacing w:after="0" w:line="19" w:lineRule="exact"/>
        <w:rPr>
          <w:sz w:val="20"/>
          <w:szCs w:val="20"/>
          <w:color w:val="auto"/>
        </w:rPr>
      </w:pPr>
    </w:p>
    <w:p>
      <w:pPr>
        <w:ind w:left="2160"/>
        <w:spacing w:after="0"/>
        <w:tabs>
          <w:tab w:leader="none" w:pos="5820" w:val="left"/>
        </w:tabs>
        <w:rPr>
          <w:sz w:val="20"/>
          <w:szCs w:val="20"/>
          <w:color w:val="auto"/>
        </w:rPr>
      </w:pPr>
      <w:r>
        <w:rPr>
          <w:rFonts w:ascii="Arial" w:cs="Arial" w:eastAsia="Arial" w:hAnsi="Arial"/>
          <w:sz w:val="10"/>
          <w:szCs w:val="10"/>
          <w:b w:val="1"/>
          <w:bCs w:val="1"/>
          <w:color w:val="auto"/>
        </w:rPr>
        <w:t>Insiderhandelsverbot</w:t>
      </w:r>
      <w:r>
        <w:rPr>
          <w:sz w:val="20"/>
          <w:szCs w:val="20"/>
          <w:color w:val="auto"/>
        </w:rPr>
        <w:tab/>
      </w:r>
      <w:r>
        <w:rPr>
          <w:rFonts w:ascii="Arial" w:cs="Arial" w:eastAsia="Arial" w:hAnsi="Arial"/>
          <w:sz w:val="10"/>
          <w:szCs w:val="10"/>
          <w:b w:val="1"/>
          <w:bCs w:val="1"/>
          <w:color w:val="auto"/>
        </w:rPr>
        <w:t>Ban on insider trading</w:t>
      </w:r>
    </w:p>
    <w:p>
      <w:pPr>
        <w:sectPr>
          <w:pgSz w:w="11900" w:h="16838" w:orient="portrait"/>
          <w:cols w:equalWidth="0" w:num="1">
            <w:col w:w="9019"/>
          </w:cols>
          <w:pgMar w:left="1440" w:top="298" w:right="1440" w:bottom="1440" w:gutter="0" w:footer="0" w:header="0"/>
        </w:sectPr>
      </w:pPr>
    </w:p>
    <w:p>
      <w:pPr>
        <w:spacing w:after="0" w:line="92" w:lineRule="exact"/>
        <w:rPr>
          <w:sz w:val="20"/>
          <w:szCs w:val="20"/>
          <w:color w:val="auto"/>
        </w:rPr>
      </w:pPr>
    </w:p>
    <w:p>
      <w:pPr>
        <w:ind w:left="1140" w:hanging="299"/>
        <w:spacing w:after="0" w:line="278" w:lineRule="auto"/>
        <w:rPr>
          <w:sz w:val="20"/>
          <w:szCs w:val="20"/>
          <w:color w:val="auto"/>
        </w:rPr>
      </w:pPr>
      <w:r>
        <w:rPr>
          <w:rFonts w:ascii="Arial" w:cs="Arial" w:eastAsia="Arial" w:hAnsi="Arial"/>
          <w:sz w:val="11"/>
          <w:szCs w:val="11"/>
          <w:color w:val="auto"/>
        </w:rPr>
        <w:t>12.1 Gemäß Artikel 7 Marktmissbrauchsverordnung gelten Teile der Bezugsberechtigten aufgrund ihrer Funktion als Mitglied des Vorstandes der Mynaric oder auf Grund der bestimmungsgemäßen Kenntnis von nicht öffentlich bekannten Insider-Informationen durch ihre Tätigkeit oder Aufgabe als Insider. Insidern ist es unter anderem verboten, unter Ausnutzung ihrer Kenntnis von Insider-Informationen, Aktien der Mynaric zu erwerben oder zu veräußern. Dies gilt auch noch nach dem Ausscheiden der Bezugsrechtsinhaber aus dem Anstellungsverhältnis, soweit sie gleich aus welchen Gründen über Insider-Informationen verfügen.</w:t>
      </w:r>
    </w:p>
    <w:p>
      <w:pPr>
        <w:spacing w:after="0" w:line="47" w:lineRule="exact"/>
        <w:rPr>
          <w:sz w:val="20"/>
          <w:szCs w:val="20"/>
          <w:color w:val="auto"/>
        </w:rPr>
      </w:pPr>
    </w:p>
    <w:p>
      <w:pPr>
        <w:ind w:left="1140" w:hanging="299"/>
        <w:spacing w:after="0" w:line="281" w:lineRule="auto"/>
        <w:rPr>
          <w:sz w:val="20"/>
          <w:szCs w:val="20"/>
          <w:color w:val="auto"/>
        </w:rPr>
      </w:pPr>
      <w:r>
        <w:rPr>
          <w:rFonts w:ascii="Arial" w:cs="Arial" w:eastAsia="Arial" w:hAnsi="Arial"/>
          <w:sz w:val="11"/>
          <w:szCs w:val="11"/>
          <w:color w:val="auto"/>
        </w:rPr>
        <w:t>12.2 Jeder Bezugsrechtsinhaber ist persönlich verantwortlich dafür, dass er Aktien der Mynaric, die er aufgrund der Ausübung von Bezugsrechten erwirbt, nicht unter Verstoß gegen Insiderhandelsverbote veräußert. Die Festlegung von Ausübungszeiträumen gemäß § 2.3 stellt keine Gewähr dafür dar, dass eine Veräußerung von Aktien der Mynaric innerhalb der Ausübungszeiträume oder im Anschluss hieran nicht gegen Insiderhandelsverbote verstößt.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879" w:hanging="299"/>
        <w:spacing w:after="0" w:line="253" w:lineRule="auto"/>
        <w:rPr>
          <w:sz w:val="20"/>
          <w:szCs w:val="20"/>
          <w:color w:val="auto"/>
        </w:rPr>
      </w:pPr>
      <w:r>
        <w:rPr>
          <w:rFonts w:ascii="Arial" w:cs="Arial" w:eastAsia="Arial" w:hAnsi="Arial"/>
          <w:sz w:val="12"/>
          <w:szCs w:val="12"/>
          <w:color w:val="auto"/>
        </w:rPr>
        <w:t>12.1 In accordance with Article 7 of the Market Abuse Ordinance, some of the beneficiaries are considered to be insiders by virtue of their function as a member of the Executive Board of Mynaric or on the basis of the intended knowledge of non-publicly known insider information through their activity or task. Among other things, insiders are prohibited from acquiring or selling shares in Mynaric using their knowledge of insider information. This applies even after the holders of subscription rights have left the employment relationship, provided they have inside information for whatever reason.</w:t>
      </w:r>
    </w:p>
    <w:p>
      <w:pPr>
        <w:spacing w:after="0" w:line="57" w:lineRule="exact"/>
        <w:rPr>
          <w:sz w:val="20"/>
          <w:szCs w:val="20"/>
          <w:color w:val="auto"/>
        </w:rPr>
      </w:pPr>
    </w:p>
    <w:p>
      <w:pPr>
        <w:ind w:right="879" w:hanging="299"/>
        <w:spacing w:after="0" w:line="313" w:lineRule="auto"/>
        <w:rPr>
          <w:sz w:val="20"/>
          <w:szCs w:val="20"/>
          <w:color w:val="auto"/>
        </w:rPr>
      </w:pPr>
      <w:r>
        <w:rPr>
          <w:rFonts w:ascii="Arial" w:cs="Arial" w:eastAsia="Arial" w:hAnsi="Arial"/>
          <w:sz w:val="10"/>
          <w:szCs w:val="10"/>
          <w:color w:val="auto"/>
        </w:rPr>
        <w:t>12.2 Each holder of subscription rights is personally responsible for ensuring that he/she does not sell shares in Mynaric which he/she acquires as a result of exercising subscription rights in violation of insider trading prohibitions. The determination of exercise periods in accordance with § 2.3 does not represent a guarantee that a sale of Mynaric shares within the exercise periods or subsequently does not violate insider trading prohibitions.</w:t>
      </w:r>
    </w:p>
    <w:p>
      <w:pPr>
        <w:spacing w:after="0" w:line="57" w:lineRule="exact"/>
        <w:rPr>
          <w:sz w:val="20"/>
          <w:szCs w:val="20"/>
          <w:color w:val="auto"/>
        </w:rPr>
      </w:pPr>
    </w:p>
    <w:p>
      <w:pPr>
        <w:sectPr>
          <w:pgSz w:w="11900" w:h="16838" w:orient="portrait"/>
          <w:cols w:equalWidth="0" w:num="2">
            <w:col w:w="4580" w:space="380"/>
            <w:col w:w="4059"/>
          </w:cols>
          <w:pgMar w:left="1440" w:top="298"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23 / 26</w:t>
      </w:r>
    </w:p>
    <w:p>
      <w:pPr>
        <w:sectPr>
          <w:pgSz w:w="11900" w:h="16838" w:orient="portrait"/>
          <w:cols w:equalWidth="0" w:num="1">
            <w:col w:w="9019"/>
          </w:cols>
          <w:pgMar w:left="1440" w:top="298" w:right="1440" w:bottom="1440" w:gutter="0" w:footer="0" w:header="0"/>
          <w:type w:val="continuous"/>
        </w:sectPr>
      </w:pPr>
    </w:p>
    <w:bookmarkStart w:id="297" w:name="page298"/>
    <w:bookmarkEnd w:id="297"/>
    <w:p>
      <w:pPr>
        <w:ind w:left="1140" w:hanging="29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12.3 Jeder Bezugsrechtsinhaber ist verpflichtet, sich vor der Ausübung von Bezugsrechten oder der Veräußerung von Aktien über die jeweilige Rechtslage betreffend Insiderhandelsverbote nach deutschem Recht sowie über Insiderhandelsverbote nach anderen als den deutschen Rechtsnormen, die den Bezugsrechtsinhaber betreffen könnten, zu informieren.</w:t>
      </w:r>
    </w:p>
    <w:p>
      <w:pPr>
        <w:spacing w:after="0" w:line="37" w:lineRule="exact"/>
        <w:rPr>
          <w:sz w:val="20"/>
          <w:szCs w:val="20"/>
          <w:color w:val="auto"/>
        </w:rPr>
      </w:pPr>
    </w:p>
    <w:p>
      <w:pPr>
        <w:jc w:val="center"/>
        <w:ind w:left="920"/>
        <w:spacing w:after="0"/>
        <w:rPr>
          <w:sz w:val="20"/>
          <w:szCs w:val="20"/>
          <w:color w:val="auto"/>
        </w:rPr>
      </w:pPr>
      <w:r>
        <w:rPr>
          <w:rFonts w:ascii="Arial" w:cs="Arial" w:eastAsia="Arial" w:hAnsi="Arial"/>
          <w:sz w:val="12"/>
          <w:szCs w:val="12"/>
          <w:b w:val="1"/>
          <w:bCs w:val="1"/>
          <w:color w:val="auto"/>
        </w:rPr>
        <w:t>§ 13</w:t>
      </w:r>
    </w:p>
    <w:p>
      <w:pPr>
        <w:spacing w:after="0" w:line="19" w:lineRule="exact"/>
        <w:rPr>
          <w:sz w:val="20"/>
          <w:szCs w:val="20"/>
          <w:color w:val="auto"/>
        </w:rPr>
      </w:pPr>
    </w:p>
    <w:p>
      <w:pPr>
        <w:jc w:val="center"/>
        <w:ind w:left="920"/>
        <w:spacing w:after="0"/>
        <w:rPr>
          <w:sz w:val="20"/>
          <w:szCs w:val="20"/>
          <w:color w:val="auto"/>
        </w:rPr>
      </w:pPr>
      <w:r>
        <w:rPr>
          <w:rFonts w:ascii="Arial" w:cs="Arial" w:eastAsia="Arial" w:hAnsi="Arial"/>
          <w:sz w:val="10"/>
          <w:szCs w:val="10"/>
          <w:b w:val="1"/>
          <w:bCs w:val="1"/>
          <w:color w:val="auto"/>
        </w:rPr>
        <w:t>Keine betriebliche Übung oder Anspruch auf wiederholte Gewährung</w:t>
      </w:r>
    </w:p>
    <w:p>
      <w:pPr>
        <w:spacing w:after="0" w:line="20" w:lineRule="exact"/>
        <w:rPr>
          <w:sz w:val="20"/>
          <w:szCs w:val="20"/>
          <w:color w:val="auto"/>
        </w:rPr>
      </w:pPr>
      <w:r>
        <w:rPr>
          <w:sz w:val="20"/>
          <w:szCs w:val="20"/>
          <w:color w:val="auto"/>
        </w:rPr>
        <w:br w:type="column"/>
      </w:r>
    </w:p>
    <w:p>
      <w:pPr>
        <w:ind w:left="280" w:right="879" w:hanging="299"/>
        <w:spacing w:after="0" w:line="255" w:lineRule="auto"/>
        <w:rPr>
          <w:sz w:val="20"/>
          <w:szCs w:val="20"/>
          <w:color w:val="auto"/>
        </w:rPr>
      </w:pPr>
      <w:r>
        <w:rPr>
          <w:rFonts w:ascii="Arial" w:cs="Arial" w:eastAsia="Arial" w:hAnsi="Arial"/>
          <w:sz w:val="12"/>
          <w:szCs w:val="12"/>
          <w:color w:val="auto"/>
        </w:rPr>
        <w:t>12.3 Before exercising subscription rights or selling shares, each holder of subscription rights is obliged to inform himself about the respective legal situation regarding insider trading prohibitions under German law as well as insider trading prohibitions under other than German legal norms that could affect the holder of subscription rights.</w:t>
      </w:r>
    </w:p>
    <w:p>
      <w:pPr>
        <w:spacing w:after="0" w:line="52"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 13</w:t>
      </w:r>
    </w:p>
    <w:p>
      <w:pPr>
        <w:spacing w:after="0" w:line="19"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No company practice or entitlement to repeated grant</w:t>
      </w:r>
    </w:p>
    <w:p>
      <w:pPr>
        <w:spacing w:after="0" w:line="69" w:lineRule="exact"/>
        <w:rPr>
          <w:sz w:val="20"/>
          <w:szCs w:val="20"/>
          <w:color w:val="auto"/>
        </w:rPr>
      </w:pPr>
    </w:p>
    <w:p>
      <w:pPr>
        <w:sectPr>
          <w:pgSz w:w="11900" w:h="16838" w:orient="portrait"/>
          <w:cols w:equalWidth="0" w:num="2">
            <w:col w:w="4500" w:space="180"/>
            <w:col w:w="4339"/>
          </w:cols>
          <w:pgMar w:left="1440" w:top="302" w:right="1440" w:bottom="1440" w:gutter="0" w:footer="0" w:header="0"/>
        </w:sectPr>
      </w:pPr>
    </w:p>
    <w:p>
      <w:pPr>
        <w:ind w:left="840"/>
        <w:spacing w:after="0" w:line="280" w:lineRule="auto"/>
        <w:rPr>
          <w:sz w:val="20"/>
          <w:szCs w:val="20"/>
          <w:color w:val="auto"/>
        </w:rPr>
      </w:pPr>
      <w:r>
        <w:rPr>
          <w:rFonts w:ascii="Arial" w:cs="Arial" w:eastAsia="Arial" w:hAnsi="Arial"/>
          <w:sz w:val="11"/>
          <w:szCs w:val="11"/>
          <w:color w:val="auto"/>
        </w:rPr>
        <w:t>Die Gewährung der Bezugsrechte erfolgt als freiwillige Leistung des jeweiligen beteiligten Unternehmens in Zusammenarbeit mit der Mynaric. Auch bei wiederholter Gewährung von Bezugsrechten (selbst ohne Freiwilligkeitsvorbehalt) entstehen daher keinerlei Ansprüche gegen das beteiligte Unternehmen oder die Mynaric auf die erneute Gewährung von Bezugsrechten oder auf ähnliche oder gleichwertige Leistungen. Dies gilt auch dann, wenn Bezugsrechte gleich aus welchen Gründen verfallen sind, ohne dass sie ausgeübt wurden.</w:t>
      </w:r>
    </w:p>
    <w:p>
      <w:pPr>
        <w:spacing w:after="0" w:line="20" w:lineRule="exact"/>
        <w:rPr>
          <w:sz w:val="20"/>
          <w:szCs w:val="20"/>
          <w:color w:val="auto"/>
        </w:rPr>
      </w:pPr>
      <w:r>
        <w:rPr>
          <w:sz w:val="20"/>
          <w:szCs w:val="20"/>
          <w:color w:val="auto"/>
        </w:rPr>
        <w:br w:type="column"/>
      </w:r>
    </w:p>
    <w:p>
      <w:pPr>
        <w:ind w:right="959"/>
        <w:spacing w:after="0" w:line="280" w:lineRule="auto"/>
        <w:rPr>
          <w:sz w:val="20"/>
          <w:szCs w:val="20"/>
          <w:color w:val="auto"/>
        </w:rPr>
      </w:pPr>
      <w:r>
        <w:rPr>
          <w:rFonts w:ascii="Arial" w:cs="Arial" w:eastAsia="Arial" w:hAnsi="Arial"/>
          <w:sz w:val="11"/>
          <w:szCs w:val="11"/>
          <w:color w:val="auto"/>
        </w:rPr>
        <w:t>The subscription rights are granted as a voluntary benefit by the respective participating company in cooperation with Mynaric. Therefore, even in the case of repeated granting of subscription rights (even without a voluntary reservation) no claims whatsoever will arise against the participating company or Mynaric for the renewed granting of subscription rights or for similar or equivalent services. This also applies if subscription rights have expired for whatever reason without having been exercised.</w:t>
      </w:r>
    </w:p>
    <w:p>
      <w:pPr>
        <w:spacing w:after="0" w:line="70" w:lineRule="exact"/>
        <w:rPr>
          <w:sz w:val="20"/>
          <w:szCs w:val="20"/>
          <w:color w:val="auto"/>
        </w:rPr>
      </w:pPr>
    </w:p>
    <w:p>
      <w:pPr>
        <w:sectPr>
          <w:pgSz w:w="11900" w:h="16838" w:orient="portrait"/>
          <w:cols w:equalWidth="0" w:num="2">
            <w:col w:w="4420" w:space="240"/>
            <w:col w:w="4359"/>
          </w:cols>
          <w:pgMar w:left="1440" w:top="302"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24 / 26</w:t>
      </w:r>
    </w:p>
    <w:p>
      <w:pPr>
        <w:sectPr>
          <w:pgSz w:w="11900" w:h="16838" w:orient="portrait"/>
          <w:cols w:equalWidth="0" w:num="1">
            <w:col w:w="9019"/>
          </w:cols>
          <w:pgMar w:left="1440" w:top="302" w:right="1440" w:bottom="1440" w:gutter="0" w:footer="0" w:header="0"/>
          <w:type w:val="continuous"/>
        </w:sectPr>
      </w:pPr>
    </w:p>
    <w:bookmarkStart w:id="298" w:name="page299"/>
    <w:bookmarkEnd w:id="298"/>
    <w:p>
      <w:pPr>
        <w:ind w:left="2600"/>
        <w:spacing w:after="0"/>
        <w:tabs>
          <w:tab w:leader="none" w:pos="63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14</w:t>
      </w:r>
      <w:r>
        <w:rPr>
          <w:sz w:val="20"/>
          <w:szCs w:val="20"/>
          <w:color w:val="auto"/>
        </w:rPr>
        <w:tab/>
      </w:r>
      <w:r>
        <w:rPr>
          <w:rFonts w:ascii="Arial" w:cs="Arial" w:eastAsia="Arial" w:hAnsi="Arial"/>
          <w:sz w:val="10"/>
          <w:szCs w:val="10"/>
          <w:b w:val="1"/>
          <w:bCs w:val="1"/>
          <w:color w:val="auto"/>
        </w:rPr>
        <w:t>§ 14</w:t>
      </w:r>
    </w:p>
    <w:p>
      <w:pPr>
        <w:spacing w:after="0" w:line="19" w:lineRule="exact"/>
        <w:rPr>
          <w:sz w:val="20"/>
          <w:szCs w:val="20"/>
          <w:color w:val="auto"/>
        </w:rPr>
      </w:pPr>
    </w:p>
    <w:p>
      <w:pPr>
        <w:ind w:left="1320"/>
        <w:spacing w:after="0"/>
        <w:tabs>
          <w:tab w:leader="none" w:pos="5020" w:val="left"/>
        </w:tabs>
        <w:rPr>
          <w:sz w:val="20"/>
          <w:szCs w:val="20"/>
          <w:color w:val="auto"/>
        </w:rPr>
      </w:pPr>
      <w:r>
        <w:rPr>
          <w:rFonts w:ascii="Arial" w:cs="Arial" w:eastAsia="Arial" w:hAnsi="Arial"/>
          <w:sz w:val="12"/>
          <w:szCs w:val="12"/>
          <w:b w:val="1"/>
          <w:bCs w:val="1"/>
          <w:color w:val="auto"/>
        </w:rPr>
        <w:t>Anwendbares Recht, Erfüllungsort und Gerichtsstand</w:t>
      </w:r>
      <w:r>
        <w:rPr>
          <w:sz w:val="20"/>
          <w:szCs w:val="20"/>
          <w:color w:val="auto"/>
        </w:rPr>
        <w:tab/>
      </w:r>
      <w:r>
        <w:rPr>
          <w:rFonts w:ascii="Arial" w:cs="Arial" w:eastAsia="Arial" w:hAnsi="Arial"/>
          <w:sz w:val="10"/>
          <w:szCs w:val="10"/>
          <w:b w:val="1"/>
          <w:bCs w:val="1"/>
          <w:color w:val="auto"/>
        </w:rPr>
        <w:t>Applicable law, place of performance and jurisdiction</w:t>
      </w:r>
    </w:p>
    <w:p>
      <w:pPr>
        <w:sectPr>
          <w:pgSz w:w="11900" w:h="16838" w:orient="portrait"/>
          <w:cols w:equalWidth="0" w:num="1">
            <w:col w:w="9019"/>
          </w:cols>
          <w:pgMar w:left="1440" w:top="298" w:right="1440" w:bottom="1440" w:gutter="0" w:footer="0" w:header="0"/>
        </w:sectPr>
      </w:pPr>
    </w:p>
    <w:p>
      <w:pPr>
        <w:spacing w:after="0" w:line="69" w:lineRule="exact"/>
        <w:rPr>
          <w:sz w:val="20"/>
          <w:szCs w:val="20"/>
          <w:color w:val="auto"/>
        </w:rPr>
      </w:pPr>
    </w:p>
    <w:p>
      <w:pPr>
        <w:ind w:left="1140" w:right="40" w:hanging="299"/>
        <w:spacing w:after="0" w:line="316" w:lineRule="auto"/>
        <w:rPr>
          <w:sz w:val="20"/>
          <w:szCs w:val="20"/>
          <w:color w:val="auto"/>
        </w:rPr>
      </w:pPr>
      <w:r>
        <w:rPr>
          <w:rFonts w:ascii="Arial" w:cs="Arial" w:eastAsia="Arial" w:hAnsi="Arial"/>
          <w:sz w:val="10"/>
          <w:szCs w:val="10"/>
          <w:color w:val="auto"/>
        </w:rPr>
        <w:t>14.1 Form und Inhalt der Bezugsrechte, der Optionsbedingungen und der Individualvereinbarung sowie alle sich daraus ergebenden Rechte und Pflichten der Bezugsrechtsinhaber, der beteiligten Unternehmen oder der Mynaric bestimmen sich in jeder Hinsicht nach dem Recht der Bundesrepublik Deutschland unter Ausschluss der Regelungen des internationalen Privatrechts und des einheitlichen UN-Kaufrechts.</w:t>
      </w:r>
    </w:p>
    <w:p>
      <w:pPr>
        <w:spacing w:after="0" w:line="316" w:lineRule="exact"/>
        <w:rPr>
          <w:sz w:val="20"/>
          <w:szCs w:val="20"/>
          <w:color w:val="auto"/>
        </w:rPr>
      </w:pPr>
    </w:p>
    <w:p>
      <w:pPr>
        <w:ind w:left="1140" w:hanging="299"/>
        <w:spacing w:after="0" w:line="259" w:lineRule="auto"/>
        <w:rPr>
          <w:sz w:val="20"/>
          <w:szCs w:val="20"/>
          <w:color w:val="auto"/>
        </w:rPr>
      </w:pPr>
      <w:r>
        <w:rPr>
          <w:rFonts w:ascii="Arial" w:cs="Arial" w:eastAsia="Arial" w:hAnsi="Arial"/>
          <w:sz w:val="12"/>
          <w:szCs w:val="12"/>
          <w:color w:val="auto"/>
        </w:rPr>
        <w:t>14.2 Erfüllungsort sowie nicht ausschließlicher Gerichtsstand für alle Rechtsstreitigkeiten aus oder im Zusammenhang mit den Bezugsrechte und den in diesen Optionsbedingungen geregelten Angelegenheiten ist München.</w:t>
      </w:r>
    </w:p>
    <w:p>
      <w:pPr>
        <w:spacing w:after="0" w:line="48" w:lineRule="exact"/>
        <w:rPr>
          <w:sz w:val="20"/>
          <w:szCs w:val="20"/>
          <w:color w:val="auto"/>
        </w:rPr>
      </w:pPr>
    </w:p>
    <w:p>
      <w:pPr>
        <w:ind w:left="2700" w:hanging="96"/>
        <w:spacing w:after="0"/>
        <w:tabs>
          <w:tab w:leader="none" w:pos="2700" w:val="left"/>
        </w:tabs>
        <w:numPr>
          <w:ilvl w:val="0"/>
          <w:numId w:val="231"/>
        </w:numPr>
        <w:rPr>
          <w:rFonts w:ascii="Arial" w:cs="Arial" w:eastAsia="Arial" w:hAnsi="Arial"/>
          <w:sz w:val="12"/>
          <w:szCs w:val="12"/>
          <w:b w:val="1"/>
          <w:bCs w:val="1"/>
          <w:color w:val="auto"/>
        </w:rPr>
      </w:pPr>
      <w:r>
        <w:rPr>
          <w:rFonts w:ascii="Arial" w:cs="Arial" w:eastAsia="Arial" w:hAnsi="Arial"/>
          <w:sz w:val="12"/>
          <w:szCs w:val="12"/>
          <w:b w:val="1"/>
          <w:bCs w:val="1"/>
          <w:color w:val="auto"/>
        </w:rPr>
        <w:t>15</w:t>
      </w:r>
    </w:p>
    <w:p>
      <w:pPr>
        <w:spacing w:after="0" w:line="18" w:lineRule="exact"/>
        <w:rPr>
          <w:rFonts w:ascii="Arial" w:cs="Arial" w:eastAsia="Arial" w:hAnsi="Arial"/>
          <w:sz w:val="12"/>
          <w:szCs w:val="12"/>
          <w:b w:val="1"/>
          <w:bCs w:val="1"/>
          <w:color w:val="auto"/>
        </w:rPr>
      </w:pPr>
    </w:p>
    <w:p>
      <w:pPr>
        <w:ind w:left="248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Sonstiges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00" w:right="879" w:hanging="299"/>
        <w:spacing w:after="0" w:line="254" w:lineRule="auto"/>
        <w:rPr>
          <w:sz w:val="20"/>
          <w:szCs w:val="20"/>
          <w:color w:val="auto"/>
        </w:rPr>
      </w:pPr>
      <w:r>
        <w:rPr>
          <w:rFonts w:ascii="Arial" w:cs="Arial" w:eastAsia="Arial" w:hAnsi="Arial"/>
          <w:sz w:val="12"/>
          <w:szCs w:val="12"/>
          <w:color w:val="auto"/>
        </w:rPr>
        <w:t>14.1 The form and content of the subscription rights, the option conditions and the individual agreement as well as all rights and obligations of the holders of subscription rights, the participating companies or Mynaric resulting from it are determined in every respect according to the law of the Federal Republic of Germany, excluding the regulations of international private law and the uniform UN Convention on Contracts for the International Sale of Goods</w:t>
      </w:r>
    </w:p>
    <w:p>
      <w:pPr>
        <w:spacing w:after="0" w:line="56" w:lineRule="exact"/>
        <w:rPr>
          <w:sz w:val="20"/>
          <w:szCs w:val="20"/>
          <w:color w:val="auto"/>
        </w:rPr>
      </w:pPr>
    </w:p>
    <w:p>
      <w:pPr>
        <w:jc w:val="center"/>
        <w:ind w:right="939"/>
        <w:spacing w:after="0"/>
        <w:rPr>
          <w:sz w:val="20"/>
          <w:szCs w:val="20"/>
          <w:color w:val="auto"/>
        </w:rPr>
      </w:pPr>
      <w:r>
        <w:rPr>
          <w:rFonts w:ascii="Arial" w:cs="Arial" w:eastAsia="Arial" w:hAnsi="Arial"/>
          <w:sz w:val="11"/>
          <w:szCs w:val="11"/>
          <w:color w:val="auto"/>
        </w:rPr>
        <w:t>14.2  The place of performance and non-exclusive place of jurisdiction</w:t>
      </w:r>
    </w:p>
    <w:p>
      <w:pPr>
        <w:spacing w:after="0" w:line="26" w:lineRule="exact"/>
        <w:rPr>
          <w:sz w:val="20"/>
          <w:szCs w:val="20"/>
          <w:color w:val="auto"/>
        </w:rPr>
      </w:pPr>
    </w:p>
    <w:p>
      <w:pPr>
        <w:ind w:left="300" w:right="899"/>
        <w:spacing w:after="0" w:line="255" w:lineRule="auto"/>
        <w:rPr>
          <w:sz w:val="20"/>
          <w:szCs w:val="20"/>
          <w:color w:val="auto"/>
        </w:rPr>
      </w:pPr>
      <w:r>
        <w:rPr>
          <w:rFonts w:ascii="Arial" w:cs="Arial" w:eastAsia="Arial" w:hAnsi="Arial"/>
          <w:sz w:val="12"/>
          <w:szCs w:val="12"/>
          <w:color w:val="auto"/>
        </w:rPr>
        <w:t>for all legal disputes arising from or in connection with the subscription rights and the matters regulated in these option terms and conditions is Munich.</w:t>
      </w:r>
    </w:p>
    <w:p>
      <w:pPr>
        <w:spacing w:after="0" w:line="51" w:lineRule="exact"/>
        <w:rPr>
          <w:sz w:val="20"/>
          <w:szCs w:val="20"/>
          <w:color w:val="auto"/>
        </w:rPr>
      </w:pPr>
    </w:p>
    <w:p>
      <w:pPr>
        <w:ind w:left="1740" w:hanging="88"/>
        <w:spacing w:after="0"/>
        <w:tabs>
          <w:tab w:leader="none" w:pos="1740" w:val="left"/>
        </w:tabs>
        <w:numPr>
          <w:ilvl w:val="0"/>
          <w:numId w:val="232"/>
        </w:numPr>
        <w:rPr>
          <w:rFonts w:ascii="Arial" w:cs="Arial" w:eastAsia="Arial" w:hAnsi="Arial"/>
          <w:sz w:val="12"/>
          <w:szCs w:val="12"/>
          <w:b w:val="1"/>
          <w:bCs w:val="1"/>
          <w:color w:val="auto"/>
        </w:rPr>
      </w:pPr>
      <w:r>
        <w:rPr>
          <w:rFonts w:ascii="Arial" w:cs="Arial" w:eastAsia="Arial" w:hAnsi="Arial"/>
          <w:sz w:val="12"/>
          <w:szCs w:val="12"/>
          <w:b w:val="1"/>
          <w:bCs w:val="1"/>
          <w:color w:val="auto"/>
        </w:rPr>
        <w:t>15</w:t>
      </w:r>
    </w:p>
    <w:p>
      <w:pPr>
        <w:spacing w:after="0" w:line="18" w:lineRule="exact"/>
        <w:rPr>
          <w:rFonts w:ascii="Arial" w:cs="Arial" w:eastAsia="Arial" w:hAnsi="Arial"/>
          <w:sz w:val="12"/>
          <w:szCs w:val="12"/>
          <w:b w:val="1"/>
          <w:bCs w:val="1"/>
          <w:color w:val="auto"/>
        </w:rPr>
      </w:pPr>
    </w:p>
    <w:p>
      <w:pPr>
        <w:ind w:left="140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Miscellaneous</w:t>
      </w:r>
    </w:p>
    <w:p>
      <w:pPr>
        <w:spacing w:after="0" w:line="69" w:lineRule="exact"/>
        <w:rPr>
          <w:sz w:val="20"/>
          <w:szCs w:val="20"/>
          <w:color w:val="auto"/>
        </w:rPr>
      </w:pPr>
    </w:p>
    <w:p>
      <w:pPr>
        <w:sectPr>
          <w:pgSz w:w="11900" w:h="16838" w:orient="portrait"/>
          <w:cols w:equalWidth="0" w:num="2">
            <w:col w:w="4540" w:space="120"/>
            <w:col w:w="4359"/>
          </w:cols>
          <w:pgMar w:left="1440" w:top="298" w:right="1440" w:bottom="1440" w:gutter="0" w:footer="0" w:header="0"/>
          <w:type w:val="continuous"/>
        </w:sectPr>
      </w:pPr>
    </w:p>
    <w:p>
      <w:pPr>
        <w:jc w:val="right"/>
        <w:ind w:left="840" w:right="120"/>
        <w:spacing w:after="0" w:line="323" w:lineRule="auto"/>
        <w:rPr>
          <w:sz w:val="20"/>
          <w:szCs w:val="20"/>
          <w:color w:val="auto"/>
        </w:rPr>
      </w:pPr>
      <w:r>
        <w:rPr>
          <w:rFonts w:ascii="Arial" w:cs="Arial" w:eastAsia="Arial" w:hAnsi="Arial"/>
          <w:sz w:val="11"/>
          <w:szCs w:val="11"/>
          <w:color w:val="auto"/>
        </w:rPr>
        <w:t>15.1  Die Bezugsrechte werden nicht verbrieft. Die Übertragung der Bezugsrechte auf ein Depot bei einer Bank ist ausgeschlossen.</w:t>
      </w:r>
    </w:p>
    <w:p>
      <w:pPr>
        <w:spacing w:after="0" w:line="20" w:lineRule="exact"/>
        <w:rPr>
          <w:sz w:val="20"/>
          <w:szCs w:val="20"/>
          <w:color w:val="auto"/>
        </w:rPr>
      </w:pPr>
      <w:r>
        <w:rPr>
          <w:sz w:val="20"/>
          <w:szCs w:val="20"/>
          <w:color w:val="auto"/>
        </w:rPr>
        <w:br w:type="column"/>
      </w:r>
    </w:p>
    <w:p>
      <w:pPr>
        <w:ind w:right="1019" w:hanging="299"/>
        <w:spacing w:after="0" w:line="379" w:lineRule="auto"/>
        <w:rPr>
          <w:sz w:val="20"/>
          <w:szCs w:val="20"/>
          <w:color w:val="auto"/>
        </w:rPr>
      </w:pPr>
      <w:r>
        <w:rPr>
          <w:rFonts w:ascii="Arial" w:cs="Arial" w:eastAsia="Arial" w:hAnsi="Arial"/>
          <w:sz w:val="10"/>
          <w:szCs w:val="10"/>
          <w:color w:val="auto"/>
        </w:rPr>
        <w:t>15.1 The subscription rights are not securitised. The transfer of the subscription rights to a securities account at a bank is excluded.</w:t>
      </w:r>
    </w:p>
    <w:p>
      <w:pPr>
        <w:spacing w:after="0" w:line="24" w:lineRule="exact"/>
        <w:rPr>
          <w:sz w:val="20"/>
          <w:szCs w:val="20"/>
          <w:color w:val="auto"/>
        </w:rPr>
      </w:pPr>
    </w:p>
    <w:p>
      <w:pPr>
        <w:sectPr>
          <w:pgSz w:w="11900" w:h="16838" w:orient="portrait"/>
          <w:cols w:equalWidth="0" w:num="2">
            <w:col w:w="4240" w:space="720"/>
            <w:col w:w="4059"/>
          </w:cols>
          <w:pgMar w:left="1440" w:top="298"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25 / 26</w:t>
      </w:r>
    </w:p>
    <w:p>
      <w:pPr>
        <w:sectPr>
          <w:pgSz w:w="11900" w:h="16838" w:orient="portrait"/>
          <w:cols w:equalWidth="0" w:num="1">
            <w:col w:w="9019"/>
          </w:cols>
          <w:pgMar w:left="1440" w:top="298" w:right="1440" w:bottom="1440" w:gutter="0" w:footer="0" w:header="0"/>
          <w:type w:val="continuous"/>
        </w:sectPr>
      </w:pPr>
    </w:p>
    <w:bookmarkStart w:id="299" w:name="page300"/>
    <w:bookmarkEnd w:id="299"/>
    <w:tbl>
      <w:tblPr>
        <w:tblLayout w:type="fixed"/>
        <w:tblInd w:w="840" w:type="dxa"/>
        <w:tblCellMar>
          <w:top w:w="0" w:type="dxa"/>
          <w:left w:w="0" w:type="dxa"/>
          <w:bottom w:w="0" w:type="dxa"/>
          <w:right w:w="0" w:type="dxa"/>
        </w:tblCellMar>
      </w:tblPr>
      <w:tr>
        <w:trPr>
          <w:trHeight w:val="144"/>
        </w:trPr>
        <w:tc>
          <w:tcPr>
            <w:tcW w:w="3780" w:type="dxa"/>
            <w:vAlign w:val="bottom"/>
            <w:gridSpan w:val="3"/>
          </w:tcPr>
          <w:p>
            <w:pPr>
              <w:spacing w:after="0"/>
              <w:rPr>
                <w:sz w:val="20"/>
                <w:szCs w:val="20"/>
                <w:color w:val="auto"/>
              </w:rPr>
            </w:pPr>
            <w:r>
              <w:rPr>
                <w:rFonts w:ascii="Arial" w:cs="Arial" w:eastAsia="Arial" w:hAnsi="Arial"/>
                <w:sz w:val="12"/>
                <w:szCs w:val="12"/>
                <w:color w:val="auto"/>
                <w:w w:val="93"/>
              </w:rPr>
              <w:t>15.2  Kommt es während der Laufzeit der Bezugsrechte zu Änderungen der</w:t>
            </w:r>
          </w:p>
        </w:tc>
        <w:tc>
          <w:tcPr>
            <w:tcW w:w="280" w:type="dxa"/>
            <w:vAlign w:val="bottom"/>
          </w:tcPr>
          <w:p>
            <w:pPr>
              <w:jc w:val="right"/>
              <w:spacing w:after="0"/>
              <w:rPr>
                <w:sz w:val="20"/>
                <w:szCs w:val="20"/>
                <w:color w:val="auto"/>
              </w:rPr>
            </w:pPr>
            <w:r>
              <w:rPr>
                <w:rFonts w:ascii="Arial" w:cs="Arial" w:eastAsia="Arial" w:hAnsi="Arial"/>
                <w:sz w:val="12"/>
                <w:szCs w:val="12"/>
                <w:color w:val="auto"/>
                <w:w w:val="93"/>
              </w:rPr>
              <w:t>15.2</w:t>
            </w:r>
          </w:p>
        </w:tc>
        <w:tc>
          <w:tcPr>
            <w:tcW w:w="3280" w:type="dxa"/>
            <w:vAlign w:val="bottom"/>
          </w:tcPr>
          <w:p>
            <w:pPr>
              <w:ind w:left="60"/>
              <w:spacing w:after="0"/>
              <w:rPr>
                <w:sz w:val="20"/>
                <w:szCs w:val="20"/>
                <w:color w:val="auto"/>
              </w:rPr>
            </w:pPr>
            <w:r>
              <w:rPr>
                <w:rFonts w:ascii="Arial" w:cs="Arial" w:eastAsia="Arial" w:hAnsi="Arial"/>
                <w:sz w:val="12"/>
                <w:szCs w:val="12"/>
                <w:color w:val="auto"/>
                <w:w w:val="94"/>
              </w:rPr>
              <w:t>If during the term of the subscription rights there are changes in</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1"/>
              </w:rPr>
              <w:t>Börsenusancen, die eine Durchführung dieser Ausübungsbedingungen</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4"/>
              </w:rPr>
              <w:t>stock market practices which make the implementation of these</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3"/>
              </w:rPr>
              <w:t>oder einzelner Bestimmungen wesentlich erschweren oder unmöglich</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9"/>
              </w:rPr>
              <w:t>exercise conditions or individual provisions significantly more</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8"/>
              </w:rPr>
              <w:t>machen, so ist Mynaric berechtigt, eine angemessene Anpassung</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3"/>
              </w:rPr>
              <w:t>difficult or impossible, Mynaric is entitled to make an appropriate</w:t>
            </w:r>
          </w:p>
        </w:tc>
      </w:tr>
      <w:tr>
        <w:trPr>
          <w:trHeight w:val="153"/>
        </w:trPr>
        <w:tc>
          <w:tcPr>
            <w:tcW w:w="1540" w:type="dxa"/>
            <w:vAlign w:val="bottom"/>
            <w:gridSpan w:val="2"/>
          </w:tcPr>
          <w:p>
            <w:pPr>
              <w:ind w:left="300"/>
              <w:spacing w:after="0"/>
              <w:rPr>
                <w:sz w:val="20"/>
                <w:szCs w:val="20"/>
                <w:color w:val="auto"/>
              </w:rPr>
            </w:pPr>
            <w:r>
              <w:rPr>
                <w:rFonts w:ascii="Arial" w:cs="Arial" w:eastAsia="Arial" w:hAnsi="Arial"/>
                <w:sz w:val="12"/>
                <w:szCs w:val="12"/>
                <w:color w:val="auto"/>
              </w:rPr>
              <w:t>vorzunehmen.</w:t>
            </w: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rPr>
              <w:t>adjustment.</w:t>
            </w:r>
          </w:p>
        </w:tc>
      </w:tr>
      <w:tr>
        <w:trPr>
          <w:trHeight w:val="207"/>
        </w:trPr>
        <w:tc>
          <w:tcPr>
            <w:tcW w:w="3780" w:type="dxa"/>
            <w:vAlign w:val="bottom"/>
            <w:gridSpan w:val="3"/>
          </w:tcPr>
          <w:p>
            <w:pPr>
              <w:spacing w:after="0"/>
              <w:rPr>
                <w:sz w:val="20"/>
                <w:szCs w:val="20"/>
                <w:color w:val="auto"/>
              </w:rPr>
            </w:pPr>
            <w:r>
              <w:rPr>
                <w:rFonts w:ascii="Arial" w:cs="Arial" w:eastAsia="Arial" w:hAnsi="Arial"/>
                <w:sz w:val="12"/>
                <w:szCs w:val="12"/>
                <w:color w:val="auto"/>
                <w:w w:val="93"/>
              </w:rPr>
              <w:t>15.3  Sollte eine der Bestimmungen dieser Optionsbedingungen unwirksam</w:t>
            </w:r>
          </w:p>
        </w:tc>
        <w:tc>
          <w:tcPr>
            <w:tcW w:w="280" w:type="dxa"/>
            <w:vAlign w:val="bottom"/>
          </w:tcPr>
          <w:p>
            <w:pPr>
              <w:jc w:val="right"/>
              <w:spacing w:after="0"/>
              <w:rPr>
                <w:sz w:val="20"/>
                <w:szCs w:val="20"/>
                <w:color w:val="auto"/>
              </w:rPr>
            </w:pPr>
            <w:r>
              <w:rPr>
                <w:rFonts w:ascii="Arial" w:cs="Arial" w:eastAsia="Arial" w:hAnsi="Arial"/>
                <w:sz w:val="12"/>
                <w:szCs w:val="12"/>
                <w:color w:val="auto"/>
                <w:w w:val="93"/>
              </w:rPr>
              <w:t>15.3</w:t>
            </w:r>
          </w:p>
        </w:tc>
        <w:tc>
          <w:tcPr>
            <w:tcW w:w="3280" w:type="dxa"/>
            <w:vAlign w:val="bottom"/>
          </w:tcPr>
          <w:p>
            <w:pPr>
              <w:ind w:left="60"/>
              <w:spacing w:after="0"/>
              <w:rPr>
                <w:sz w:val="20"/>
                <w:szCs w:val="20"/>
                <w:color w:val="auto"/>
              </w:rPr>
            </w:pPr>
            <w:r>
              <w:rPr>
                <w:rFonts w:ascii="Arial" w:cs="Arial" w:eastAsia="Arial" w:hAnsi="Arial"/>
                <w:sz w:val="12"/>
                <w:szCs w:val="12"/>
                <w:color w:val="auto"/>
                <w:w w:val="99"/>
              </w:rPr>
              <w:t>Should one of the provisions of these option conditions be or</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3"/>
              </w:rPr>
              <w:t>oder undurchführbar sein oder werden, so bleibt die Wirksamkeit oder</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7"/>
              </w:rPr>
              <w:t>become invalid or impracticable, the validity or practicability of</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1"/>
              </w:rPr>
              <w:t>die Durchführbarkeit der übrigen Bestimmungen davon unberührt. Eine</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2"/>
              </w:rPr>
              <w:t>the remaining provisions shall remain unaffected. A gap resulting</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5"/>
              </w:rPr>
              <w:t>durch die Unwirksamkeit oder Undurchführbarkeit einer Bestimmung</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3"/>
              </w:rPr>
              <w:t>from the invalidity or impracticability of a provision as well as any</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7"/>
              </w:rPr>
              <w:t>entstehende Lücke sowie etwaige andere Lücken werden im Wege</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rPr>
              <w:t>other gaps shall be filled in by way of supplementary</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1"/>
              </w:rPr>
              <w:t>ergänzender Vertragsauslegung unter Berücksichtigung der Interessen</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4"/>
              </w:rPr>
              <w:t>interpretation of the contract, taking into account the interests of</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5"/>
              </w:rPr>
              <w:t>der Beteiligten sinngemäß ausgefüllt. Dies gilt auch, soweit das Maß</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3"/>
              </w:rPr>
              <w:t>the parties involved. This shall also apply insofar as the measure</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2"/>
              </w:rPr>
              <w:t>einer Leistung oder Zeit (Frist, Termine) betroffen ist; es tritt in solchen</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8"/>
              </w:rPr>
              <w:t>of a performance or time (deadline, dates) is affected; in such</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rPr>
              <w:t>Fällen ein dem Gewollten möglichst nahe kommendes rechtlich</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9"/>
              </w:rPr>
              <w:t>cases, a legally permissible measure of performance or time</w:t>
            </w:r>
          </w:p>
        </w:tc>
      </w:tr>
      <w:tr>
        <w:trPr>
          <w:trHeight w:val="144"/>
        </w:trPr>
        <w:tc>
          <w:tcPr>
            <w:tcW w:w="3780" w:type="dxa"/>
            <w:vAlign w:val="bottom"/>
            <w:gridSpan w:val="3"/>
          </w:tcPr>
          <w:p>
            <w:pPr>
              <w:ind w:left="300"/>
              <w:spacing w:after="0"/>
              <w:rPr>
                <w:sz w:val="20"/>
                <w:szCs w:val="20"/>
                <w:color w:val="auto"/>
              </w:rPr>
            </w:pPr>
            <w:r>
              <w:rPr>
                <w:rFonts w:ascii="Arial" w:cs="Arial" w:eastAsia="Arial" w:hAnsi="Arial"/>
                <w:sz w:val="12"/>
                <w:szCs w:val="12"/>
                <w:color w:val="auto"/>
                <w:w w:val="92"/>
              </w:rPr>
              <w:t>zulässiges Maß der Leistung oder Zeit (Frist, Termin) an die Stelle des</w:t>
            </w:r>
          </w:p>
        </w:tc>
        <w:tc>
          <w:tcPr>
            <w:tcW w:w="280" w:type="dxa"/>
            <w:vAlign w:val="bottom"/>
          </w:tcPr>
          <w:p>
            <w:pPr>
              <w:spacing w:after="0"/>
              <w:rPr>
                <w:sz w:val="12"/>
                <w:szCs w:val="12"/>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w w:val="91"/>
              </w:rPr>
              <w:t>(deadline, date) which comes as close as possible to the intended</w:t>
            </w:r>
          </w:p>
        </w:tc>
      </w:tr>
      <w:tr>
        <w:trPr>
          <w:trHeight w:val="153"/>
        </w:trPr>
        <w:tc>
          <w:tcPr>
            <w:tcW w:w="1540" w:type="dxa"/>
            <w:vAlign w:val="bottom"/>
            <w:gridSpan w:val="2"/>
          </w:tcPr>
          <w:p>
            <w:pPr>
              <w:ind w:left="300"/>
              <w:spacing w:after="0"/>
              <w:rPr>
                <w:sz w:val="20"/>
                <w:szCs w:val="20"/>
                <w:color w:val="auto"/>
              </w:rPr>
            </w:pPr>
            <w:r>
              <w:rPr>
                <w:rFonts w:ascii="Arial" w:cs="Arial" w:eastAsia="Arial" w:hAnsi="Arial"/>
                <w:sz w:val="12"/>
                <w:szCs w:val="12"/>
                <w:color w:val="auto"/>
                <w:w w:val="98"/>
              </w:rPr>
              <w:t>zunächst Vereinbarten.</w:t>
            </w: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rPr>
              <w:t>measure shall replace the measure initially agreed.</w:t>
            </w:r>
          </w:p>
        </w:tc>
      </w:tr>
      <w:tr>
        <w:trPr>
          <w:trHeight w:val="207"/>
        </w:trPr>
        <w:tc>
          <w:tcPr>
            <w:tcW w:w="3780" w:type="dxa"/>
            <w:vAlign w:val="bottom"/>
            <w:gridSpan w:val="3"/>
          </w:tcPr>
          <w:p>
            <w:pPr>
              <w:spacing w:after="0"/>
              <w:rPr>
                <w:sz w:val="20"/>
                <w:szCs w:val="20"/>
                <w:color w:val="auto"/>
              </w:rPr>
            </w:pPr>
            <w:r>
              <w:rPr>
                <w:rFonts w:ascii="Arial" w:cs="Arial" w:eastAsia="Arial" w:hAnsi="Arial"/>
                <w:sz w:val="12"/>
                <w:szCs w:val="12"/>
                <w:color w:val="auto"/>
              </w:rPr>
              <w:t>15.4  Überschriften dienen lediglich der Orientierung und sind bei der</w:t>
            </w:r>
          </w:p>
        </w:tc>
        <w:tc>
          <w:tcPr>
            <w:tcW w:w="280" w:type="dxa"/>
            <w:vAlign w:val="bottom"/>
          </w:tcPr>
          <w:p>
            <w:pPr>
              <w:jc w:val="right"/>
              <w:spacing w:after="0"/>
              <w:rPr>
                <w:sz w:val="20"/>
                <w:szCs w:val="20"/>
                <w:color w:val="auto"/>
              </w:rPr>
            </w:pPr>
            <w:r>
              <w:rPr>
                <w:rFonts w:ascii="Arial" w:cs="Arial" w:eastAsia="Arial" w:hAnsi="Arial"/>
                <w:sz w:val="12"/>
                <w:szCs w:val="12"/>
                <w:color w:val="auto"/>
                <w:w w:val="93"/>
              </w:rPr>
              <w:t>15.4</w:t>
            </w:r>
          </w:p>
        </w:tc>
        <w:tc>
          <w:tcPr>
            <w:tcW w:w="3280" w:type="dxa"/>
            <w:vAlign w:val="bottom"/>
          </w:tcPr>
          <w:p>
            <w:pPr>
              <w:ind w:left="60"/>
              <w:spacing w:after="0"/>
              <w:rPr>
                <w:sz w:val="20"/>
                <w:szCs w:val="20"/>
                <w:color w:val="auto"/>
              </w:rPr>
            </w:pPr>
            <w:r>
              <w:rPr>
                <w:rFonts w:ascii="Arial" w:cs="Arial" w:eastAsia="Arial" w:hAnsi="Arial"/>
                <w:sz w:val="12"/>
                <w:szCs w:val="12"/>
                <w:color w:val="auto"/>
                <w:w w:val="97"/>
              </w:rPr>
              <w:t>Headings are for guidance only and should not be used in the</w:t>
            </w:r>
          </w:p>
        </w:tc>
      </w:tr>
      <w:tr>
        <w:trPr>
          <w:trHeight w:val="153"/>
        </w:trPr>
        <w:tc>
          <w:tcPr>
            <w:tcW w:w="3780" w:type="dxa"/>
            <w:vAlign w:val="bottom"/>
            <w:gridSpan w:val="3"/>
          </w:tcPr>
          <w:p>
            <w:pPr>
              <w:ind w:left="300"/>
              <w:spacing w:after="0"/>
              <w:rPr>
                <w:sz w:val="20"/>
                <w:szCs w:val="20"/>
                <w:color w:val="auto"/>
              </w:rPr>
            </w:pPr>
            <w:r>
              <w:rPr>
                <w:rFonts w:ascii="Arial" w:cs="Arial" w:eastAsia="Arial" w:hAnsi="Arial"/>
                <w:sz w:val="12"/>
                <w:szCs w:val="12"/>
                <w:color w:val="auto"/>
              </w:rPr>
              <w:t>Auslegung nicht heranzuziehen.</w:t>
            </w:r>
          </w:p>
        </w:tc>
        <w:tc>
          <w:tcPr>
            <w:tcW w:w="280" w:type="dxa"/>
            <w:vAlign w:val="bottom"/>
          </w:tcPr>
          <w:p>
            <w:pPr>
              <w:spacing w:after="0"/>
              <w:rPr>
                <w:sz w:val="13"/>
                <w:szCs w:val="13"/>
                <w:color w:val="auto"/>
              </w:rPr>
            </w:pPr>
          </w:p>
        </w:tc>
        <w:tc>
          <w:tcPr>
            <w:tcW w:w="3280" w:type="dxa"/>
            <w:vAlign w:val="bottom"/>
          </w:tcPr>
          <w:p>
            <w:pPr>
              <w:ind w:left="60"/>
              <w:spacing w:after="0"/>
              <w:rPr>
                <w:sz w:val="20"/>
                <w:szCs w:val="20"/>
                <w:color w:val="auto"/>
              </w:rPr>
            </w:pPr>
            <w:r>
              <w:rPr>
                <w:rFonts w:ascii="Arial" w:cs="Arial" w:eastAsia="Arial" w:hAnsi="Arial"/>
                <w:sz w:val="12"/>
                <w:szCs w:val="12"/>
                <w:color w:val="auto"/>
              </w:rPr>
              <w:t>interpretation.</w:t>
            </w:r>
          </w:p>
        </w:tc>
      </w:tr>
      <w:tr>
        <w:trPr>
          <w:trHeight w:val="288"/>
        </w:trPr>
        <w:tc>
          <w:tcPr>
            <w:tcW w:w="1540" w:type="dxa"/>
            <w:vAlign w:val="bottom"/>
            <w:gridSpan w:val="2"/>
          </w:tcPr>
          <w:p>
            <w:pPr>
              <w:spacing w:after="0"/>
              <w:rPr>
                <w:sz w:val="20"/>
                <w:szCs w:val="20"/>
                <w:color w:val="auto"/>
              </w:rPr>
            </w:pPr>
            <w:r>
              <w:rPr>
                <w:rFonts w:ascii="Arial" w:cs="Arial" w:eastAsia="Arial" w:hAnsi="Arial"/>
                <w:sz w:val="12"/>
                <w:szCs w:val="12"/>
                <w:color w:val="auto"/>
              </w:rPr>
              <w:t>Gilching, September 2021</w:t>
            </w: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88"/>
        </w:trPr>
        <w:tc>
          <w:tcPr>
            <w:tcW w:w="1540" w:type="dxa"/>
            <w:vAlign w:val="bottom"/>
            <w:gridSpan w:val="2"/>
          </w:tcPr>
          <w:p>
            <w:pPr>
              <w:spacing w:after="0"/>
              <w:rPr>
                <w:sz w:val="20"/>
                <w:szCs w:val="20"/>
                <w:color w:val="auto"/>
              </w:rPr>
            </w:pPr>
            <w:r>
              <w:rPr>
                <w:rFonts w:ascii="Arial" w:cs="Arial" w:eastAsia="Arial" w:hAnsi="Arial"/>
                <w:sz w:val="12"/>
                <w:szCs w:val="12"/>
                <w:color w:val="auto"/>
              </w:rPr>
              <w:t>Management Board</w:t>
            </w: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71"/>
        </w:trPr>
        <w:tc>
          <w:tcPr>
            <w:tcW w:w="9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r>
      <w:tr>
        <w:trPr>
          <w:trHeight w:val="160"/>
        </w:trPr>
        <w:tc>
          <w:tcPr>
            <w:tcW w:w="1540" w:type="dxa"/>
            <w:vAlign w:val="bottom"/>
            <w:gridSpan w:val="2"/>
          </w:tcPr>
          <w:p>
            <w:pPr>
              <w:spacing w:after="0"/>
              <w:rPr>
                <w:sz w:val="20"/>
                <w:szCs w:val="20"/>
                <w:color w:val="auto"/>
              </w:rPr>
            </w:pPr>
            <w:r>
              <w:rPr>
                <w:rFonts w:ascii="Arial" w:cs="Arial" w:eastAsia="Arial" w:hAnsi="Arial"/>
                <w:sz w:val="12"/>
                <w:szCs w:val="12"/>
                <w:color w:val="auto"/>
              </w:rPr>
              <w:t>Bulent Altan</w:t>
            </w:r>
          </w:p>
        </w:tc>
        <w:tc>
          <w:tcPr>
            <w:tcW w:w="2240" w:type="dxa"/>
            <w:vAlign w:val="bottom"/>
          </w:tcPr>
          <w:p>
            <w:pPr>
              <w:spacing w:after="0"/>
              <w:rPr>
                <w:sz w:val="20"/>
                <w:szCs w:val="20"/>
                <w:color w:val="auto"/>
              </w:rPr>
            </w:pPr>
            <w:r>
              <w:rPr>
                <w:rFonts w:ascii="Arial" w:cs="Arial" w:eastAsia="Arial" w:hAnsi="Arial"/>
                <w:sz w:val="12"/>
                <w:szCs w:val="12"/>
                <w:color w:val="auto"/>
              </w:rPr>
              <w:t>Stefan Berndt-von Bülow</w:t>
            </w:r>
          </w:p>
        </w:tc>
        <w:tc>
          <w:tcPr>
            <w:tcW w:w="28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252"/>
        </w:trPr>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520" w:type="dxa"/>
            <w:vAlign w:val="bottom"/>
            <w:gridSpan w:val="2"/>
          </w:tcPr>
          <w:p>
            <w:pPr>
              <w:jc w:val="right"/>
              <w:ind w:right="160"/>
              <w:spacing w:after="0"/>
              <w:rPr>
                <w:sz w:val="20"/>
                <w:szCs w:val="20"/>
                <w:color w:val="auto"/>
              </w:rPr>
            </w:pPr>
            <w:r>
              <w:rPr>
                <w:rFonts w:ascii="Arial" w:cs="Arial" w:eastAsia="Arial" w:hAnsi="Arial"/>
                <w:sz w:val="12"/>
                <w:szCs w:val="12"/>
                <w:color w:val="auto"/>
              </w:rPr>
              <w:t>26 / 26</w:t>
            </w:r>
          </w:p>
        </w:tc>
        <w:tc>
          <w:tcPr>
            <w:tcW w:w="328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9019"/>
          </w:cols>
          <w:pgMar w:left="1440" w:top="302"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300" w:name="page301"/>
    <w:bookmarkEnd w:id="300"/>
    <w:p>
      <w:pPr>
        <w:jc w:val="right"/>
        <w:ind w:right="839"/>
        <w:spacing w:after="0"/>
        <w:rPr>
          <w:sz w:val="20"/>
          <w:szCs w:val="20"/>
          <w:color w:val="auto"/>
        </w:rPr>
      </w:pPr>
      <w:r>
        <w:rPr>
          <w:rFonts w:ascii="Arial" w:cs="Arial" w:eastAsia="Arial" w:hAnsi="Arial"/>
          <w:sz w:val="12"/>
          <w:szCs w:val="1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114935</wp:posOffset>
            </wp:positionV>
            <wp:extent cx="1285875" cy="3714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 xml:space="preserve">Mynaric AG </w:t>
      </w:r>
      <w:r>
        <w:rPr>
          <w:rFonts w:ascii="Arial" w:cs="Arial" w:eastAsia="Arial" w:hAnsi="Arial"/>
          <w:sz w:val="12"/>
          <w:szCs w:val="12"/>
          <w:color w:val="auto"/>
        </w:rPr>
        <w:t>• Dornierstr. 19 • 82205 Gilching • Germany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Mynaric AG</w:t>
      </w:r>
    </w:p>
    <w:p>
      <w:pPr>
        <w:sectPr>
          <w:pgSz w:w="11900" w:h="16838" w:orient="portrait"/>
          <w:cols w:equalWidth="0" w:num="1">
            <w:col w:w="9019"/>
          </w:cols>
          <w:pgMar w:left="1440" w:top="127" w:right="1440" w:bottom="1440" w:gutter="0" w:footer="0" w:header="0"/>
        </w:sectPr>
      </w:pPr>
    </w:p>
    <w:p>
      <w:pPr>
        <w:spacing w:after="0" w:line="16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Stock option program 2020</w:t>
      </w:r>
    </w:p>
    <w:p>
      <w:pPr>
        <w:spacing w:after="0" w:line="78" w:lineRule="exact"/>
        <w:rPr>
          <w:sz w:val="20"/>
          <w:szCs w:val="20"/>
          <w:color w:val="auto"/>
        </w:rPr>
      </w:pPr>
    </w:p>
    <w:p>
      <w:pPr>
        <w:ind w:left="840" w:right="60"/>
        <w:spacing w:after="0" w:line="283" w:lineRule="auto"/>
        <w:rPr>
          <w:sz w:val="20"/>
          <w:szCs w:val="20"/>
          <w:color w:val="auto"/>
        </w:rPr>
      </w:pPr>
      <w:r>
        <w:rPr>
          <w:rFonts w:ascii="Arial" w:cs="Arial" w:eastAsia="Arial" w:hAnsi="Arial"/>
          <w:sz w:val="12"/>
          <w:szCs w:val="12"/>
          <w:b w:val="1"/>
          <w:bCs w:val="1"/>
          <w:color w:val="auto"/>
        </w:rPr>
        <w:t>Option conditions for subscription rights from the stock option program 2020</w:t>
      </w:r>
    </w:p>
    <w:p>
      <w:pPr>
        <w:spacing w:after="0" w:line="39" w:lineRule="exact"/>
        <w:rPr>
          <w:sz w:val="20"/>
          <w:szCs w:val="20"/>
          <w:color w:val="auto"/>
        </w:rPr>
      </w:pPr>
    </w:p>
    <w:p>
      <w:pPr>
        <w:ind w:left="840"/>
        <w:spacing w:after="0" w:line="279" w:lineRule="auto"/>
        <w:rPr>
          <w:sz w:val="20"/>
          <w:szCs w:val="20"/>
          <w:color w:val="auto"/>
        </w:rPr>
      </w:pPr>
      <w:r>
        <w:rPr>
          <w:rFonts w:ascii="Arial" w:cs="Arial" w:eastAsia="Arial" w:hAnsi="Arial"/>
          <w:sz w:val="11"/>
          <w:szCs w:val="11"/>
          <w:color w:val="auto"/>
        </w:rPr>
        <w:t>On June 12, 2020, the Annual General Meeting of Mynaric AG, Gilching/Munich County, (hereinafter also referred to as “</w:t>
      </w:r>
      <w:r>
        <w:rPr>
          <w:rFonts w:ascii="Arial" w:cs="Arial" w:eastAsia="Arial" w:hAnsi="Arial"/>
          <w:sz w:val="11"/>
          <w:szCs w:val="11"/>
          <w:b w:val="1"/>
          <w:bCs w:val="1"/>
          <w:color w:val="auto"/>
        </w:rPr>
        <w:t>Mynaric</w:t>
      </w:r>
      <w:r>
        <w:rPr>
          <w:rFonts w:ascii="Arial" w:cs="Arial" w:eastAsia="Arial" w:hAnsi="Arial"/>
          <w:sz w:val="11"/>
          <w:szCs w:val="11"/>
          <w:color w:val="auto"/>
        </w:rPr>
        <w:t>” or the “</w:t>
      </w:r>
      <w:r>
        <w:rPr>
          <w:rFonts w:ascii="Arial" w:cs="Arial" w:eastAsia="Arial" w:hAnsi="Arial"/>
          <w:sz w:val="11"/>
          <w:szCs w:val="11"/>
          <w:b w:val="1"/>
          <w:bCs w:val="1"/>
          <w:color w:val="auto"/>
        </w:rPr>
        <w:t>Company</w:t>
      </w:r>
      <w:r>
        <w:rPr>
          <w:rFonts w:ascii="Arial" w:cs="Arial" w:eastAsia="Arial" w:hAnsi="Arial"/>
          <w:sz w:val="11"/>
          <w:szCs w:val="11"/>
          <w:color w:val="auto"/>
        </w:rPr>
        <w:t>”) resolved a stock option program 2020, on the basis of which members of the Management Board of the Company or managing directors of companies affiliated with the Company (“</w:t>
      </w:r>
      <w:r>
        <w:rPr>
          <w:rFonts w:ascii="Arial" w:cs="Arial" w:eastAsia="Arial" w:hAnsi="Arial"/>
          <w:sz w:val="11"/>
          <w:szCs w:val="11"/>
          <w:b w:val="1"/>
          <w:bCs w:val="1"/>
          <w:color w:val="auto"/>
        </w:rPr>
        <w:t>Group 1</w:t>
      </w:r>
      <w:r>
        <w:rPr>
          <w:rFonts w:ascii="Arial" w:cs="Arial" w:eastAsia="Arial" w:hAnsi="Arial"/>
          <w:sz w:val="11"/>
          <w:szCs w:val="11"/>
          <w:color w:val="auto"/>
        </w:rPr>
        <w:t>”) as well as employees of the Company or of companies affiliated with the Company in Germany and abroad (“</w:t>
      </w:r>
      <w:r>
        <w:rPr>
          <w:rFonts w:ascii="Arial" w:cs="Arial" w:eastAsia="Arial" w:hAnsi="Arial"/>
          <w:sz w:val="11"/>
          <w:szCs w:val="11"/>
          <w:b w:val="1"/>
          <w:bCs w:val="1"/>
          <w:color w:val="auto"/>
        </w:rPr>
        <w:t>Group 2</w:t>
      </w:r>
      <w:r>
        <w:rPr>
          <w:rFonts w:ascii="Arial" w:cs="Arial" w:eastAsia="Arial" w:hAnsi="Arial"/>
          <w:sz w:val="11"/>
          <w:szCs w:val="11"/>
          <w:color w:val="auto"/>
        </w:rPr>
        <w:t>”) (Group 1 and Group 2 together also referred to as “</w:t>
      </w:r>
      <w:r>
        <w:rPr>
          <w:rFonts w:ascii="Arial" w:cs="Arial" w:eastAsia="Arial" w:hAnsi="Arial"/>
          <w:sz w:val="11"/>
          <w:szCs w:val="11"/>
          <w:b w:val="1"/>
          <w:bCs w:val="1"/>
          <w:color w:val="auto"/>
        </w:rPr>
        <w:t>beneficiaries</w:t>
      </w:r>
      <w:r>
        <w:rPr>
          <w:rFonts w:ascii="Arial" w:cs="Arial" w:eastAsia="Arial" w:hAnsi="Arial"/>
          <w:sz w:val="11"/>
          <w:szCs w:val="11"/>
          <w:color w:val="auto"/>
        </w:rPr>
        <w:t>”) may be granted subscription rights to new bearer or registered shares of the Company (the “</w:t>
      </w:r>
      <w:r>
        <w:rPr>
          <w:rFonts w:ascii="Arial" w:cs="Arial" w:eastAsia="Arial" w:hAnsi="Arial"/>
          <w:sz w:val="11"/>
          <w:szCs w:val="11"/>
          <w:b w:val="1"/>
          <w:bCs w:val="1"/>
          <w:color w:val="auto"/>
        </w:rPr>
        <w:t>subscription rights</w:t>
      </w:r>
      <w:r>
        <w:rPr>
          <w:rFonts w:ascii="Arial" w:cs="Arial" w:eastAsia="Arial" w:hAnsi="Arial"/>
          <w:sz w:val="11"/>
          <w:szCs w:val="11"/>
          <w:color w:val="auto"/>
        </w:rPr>
        <w:t>”).</w:t>
      </w:r>
    </w:p>
    <w:p>
      <w:pPr>
        <w:spacing w:after="0" w:line="333" w:lineRule="exact"/>
        <w:rPr>
          <w:sz w:val="20"/>
          <w:szCs w:val="20"/>
          <w:color w:val="auto"/>
        </w:rPr>
      </w:pPr>
    </w:p>
    <w:p>
      <w:pPr>
        <w:ind w:left="840"/>
        <w:spacing w:after="0" w:line="259" w:lineRule="auto"/>
        <w:rPr>
          <w:sz w:val="20"/>
          <w:szCs w:val="20"/>
          <w:color w:val="auto"/>
        </w:rPr>
      </w:pPr>
      <w:r>
        <w:rPr>
          <w:rFonts w:ascii="Arial" w:cs="Arial" w:eastAsia="Arial" w:hAnsi="Arial"/>
          <w:sz w:val="12"/>
          <w:szCs w:val="12"/>
          <w:color w:val="auto"/>
        </w:rPr>
        <w:t>The Supervisory Board and the Management Board have decided to make use of this authorization. These option conditions apply to the subscription rights of the stock option program 2020. They form an integral part of the subscription rights with the beneficiaries.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Aktienoptionsprogramm 2020</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Optionsbedingungen für Bezugsrechte aus dem</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Aktienoptionsprogramm 2020</w:t>
      </w:r>
    </w:p>
    <w:p>
      <w:pPr>
        <w:spacing w:after="0" w:line="69" w:lineRule="exact"/>
        <w:rPr>
          <w:sz w:val="20"/>
          <w:szCs w:val="20"/>
          <w:color w:val="auto"/>
        </w:rPr>
      </w:pPr>
    </w:p>
    <w:p>
      <w:pPr>
        <w:ind w:right="879"/>
        <w:spacing w:after="0" w:line="275" w:lineRule="auto"/>
        <w:rPr>
          <w:sz w:val="20"/>
          <w:szCs w:val="20"/>
          <w:color w:val="auto"/>
        </w:rPr>
      </w:pPr>
      <w:r>
        <w:rPr>
          <w:rFonts w:ascii="Arial" w:cs="Arial" w:eastAsia="Arial" w:hAnsi="Arial"/>
          <w:sz w:val="11"/>
          <w:szCs w:val="11"/>
          <w:color w:val="auto"/>
        </w:rPr>
        <w:t>Die Hauptversammlung der Mynaric AG, Gilching/Landkreis München, (nachfolgend auch “</w:t>
      </w:r>
      <w:r>
        <w:rPr>
          <w:rFonts w:ascii="Arial" w:cs="Arial" w:eastAsia="Arial" w:hAnsi="Arial"/>
          <w:sz w:val="11"/>
          <w:szCs w:val="11"/>
          <w:b w:val="1"/>
          <w:bCs w:val="1"/>
          <w:color w:val="auto"/>
        </w:rPr>
        <w:t>Mynaric</w:t>
      </w:r>
      <w:r>
        <w:rPr>
          <w:rFonts w:ascii="Arial" w:cs="Arial" w:eastAsia="Arial" w:hAnsi="Arial"/>
          <w:sz w:val="11"/>
          <w:szCs w:val="11"/>
          <w:color w:val="auto"/>
        </w:rPr>
        <w:t>” oder die “</w:t>
      </w:r>
      <w:r>
        <w:rPr>
          <w:rFonts w:ascii="Arial" w:cs="Arial" w:eastAsia="Arial" w:hAnsi="Arial"/>
          <w:sz w:val="11"/>
          <w:szCs w:val="11"/>
          <w:b w:val="1"/>
          <w:bCs w:val="1"/>
          <w:color w:val="auto"/>
        </w:rPr>
        <w:t>Gesellschaft</w:t>
      </w:r>
      <w:r>
        <w:rPr>
          <w:rFonts w:ascii="Arial" w:cs="Arial" w:eastAsia="Arial" w:hAnsi="Arial"/>
          <w:sz w:val="11"/>
          <w:szCs w:val="11"/>
          <w:color w:val="auto"/>
        </w:rPr>
        <w:t>”) hat am 12. Juni 2020 ein Aktienoptionsprogramm 2020 beschlossen, auf dessen Grundlage Mitgliedern des Vorstandes der Gesellschaft oder Geschäftsführern von mit der Gesellschaft verbundenen Unternehmen (“</w:t>
      </w:r>
      <w:r>
        <w:rPr>
          <w:rFonts w:ascii="Arial" w:cs="Arial" w:eastAsia="Arial" w:hAnsi="Arial"/>
          <w:sz w:val="11"/>
          <w:szCs w:val="11"/>
          <w:b w:val="1"/>
          <w:bCs w:val="1"/>
          <w:color w:val="auto"/>
        </w:rPr>
        <w:t>Gruppe 1</w:t>
      </w:r>
      <w:r>
        <w:rPr>
          <w:rFonts w:ascii="Arial" w:cs="Arial" w:eastAsia="Arial" w:hAnsi="Arial"/>
          <w:sz w:val="11"/>
          <w:szCs w:val="11"/>
          <w:color w:val="auto"/>
        </w:rPr>
        <w:t>”) sowie Arbeitnehmern der Gesellschaft oder von mit der Gesellschaft verbundenen Unternehmen im In- und Ausland (“</w:t>
      </w:r>
      <w:r>
        <w:rPr>
          <w:rFonts w:ascii="Arial" w:cs="Arial" w:eastAsia="Arial" w:hAnsi="Arial"/>
          <w:sz w:val="11"/>
          <w:szCs w:val="11"/>
          <w:b w:val="1"/>
          <w:bCs w:val="1"/>
          <w:color w:val="auto"/>
        </w:rPr>
        <w:t>Gruppe</w:t>
      </w:r>
    </w:p>
    <w:p>
      <w:pPr>
        <w:spacing w:after="0" w:line="2" w:lineRule="exact"/>
        <w:rPr>
          <w:sz w:val="20"/>
          <w:szCs w:val="20"/>
          <w:color w:val="auto"/>
        </w:rPr>
      </w:pPr>
    </w:p>
    <w:p>
      <w:pPr>
        <w:ind w:right="899"/>
        <w:spacing w:after="0" w:line="284" w:lineRule="auto"/>
        <w:rPr>
          <w:sz w:val="20"/>
          <w:szCs w:val="20"/>
          <w:color w:val="auto"/>
        </w:rPr>
      </w:pPr>
      <w:r>
        <w:rPr>
          <w:rFonts w:ascii="Arial" w:cs="Arial" w:eastAsia="Arial" w:hAnsi="Arial"/>
          <w:sz w:val="11"/>
          <w:szCs w:val="11"/>
          <w:b w:val="1"/>
          <w:bCs w:val="1"/>
          <w:color w:val="auto"/>
        </w:rPr>
        <w:t>2</w:t>
      </w:r>
      <w:r>
        <w:rPr>
          <w:rFonts w:ascii="Arial" w:cs="Arial" w:eastAsia="Arial" w:hAnsi="Arial"/>
          <w:sz w:val="11"/>
          <w:szCs w:val="11"/>
          <w:color w:val="auto"/>
        </w:rPr>
        <w:t>”) (Gruppe 1 und Gruppe 2 gemeinsam auch “</w:t>
      </w:r>
      <w:r>
        <w:rPr>
          <w:rFonts w:ascii="Arial" w:cs="Arial" w:eastAsia="Arial" w:hAnsi="Arial"/>
          <w:sz w:val="11"/>
          <w:szCs w:val="11"/>
          <w:b w:val="1"/>
          <w:bCs w:val="1"/>
          <w:color w:val="auto"/>
        </w:rPr>
        <w:t>Bezugsberechtigte</w:t>
      </w:r>
      <w:r>
        <w:rPr>
          <w:rFonts w:ascii="Arial" w:cs="Arial" w:eastAsia="Arial" w:hAnsi="Arial"/>
          <w:sz w:val="11"/>
          <w:szCs w:val="11"/>
          <w:color w:val="auto"/>
        </w:rPr>
        <w:t>”) in</w:t>
      </w:r>
      <w:r>
        <w:rPr>
          <w:rFonts w:ascii="Arial" w:cs="Arial" w:eastAsia="Arial" w:hAnsi="Arial"/>
          <w:sz w:val="11"/>
          <w:szCs w:val="11"/>
          <w:b w:val="1"/>
          <w:bCs w:val="1"/>
          <w:color w:val="auto"/>
        </w:rPr>
        <w:t xml:space="preserve"> </w:t>
      </w:r>
      <w:r>
        <w:rPr>
          <w:rFonts w:ascii="Arial" w:cs="Arial" w:eastAsia="Arial" w:hAnsi="Arial"/>
          <w:sz w:val="11"/>
          <w:szCs w:val="11"/>
          <w:color w:val="auto"/>
        </w:rPr>
        <w:t>einer oder mehreren Tranchen Bezugsrechte auf neue, auf den Inhaber oder den Namen lautende Aktien der Gesellschaft (die “</w:t>
      </w:r>
      <w:r>
        <w:rPr>
          <w:rFonts w:ascii="Arial" w:cs="Arial" w:eastAsia="Arial" w:hAnsi="Arial"/>
          <w:sz w:val="11"/>
          <w:szCs w:val="11"/>
          <w:b w:val="1"/>
          <w:bCs w:val="1"/>
          <w:color w:val="auto"/>
        </w:rPr>
        <w:t>Bezugsrechte</w:t>
      </w:r>
      <w:r>
        <w:rPr>
          <w:rFonts w:ascii="Arial" w:cs="Arial" w:eastAsia="Arial" w:hAnsi="Arial"/>
          <w:sz w:val="11"/>
          <w:szCs w:val="11"/>
          <w:color w:val="auto"/>
        </w:rPr>
        <w:t>”) gewährt werden können.</w:t>
      </w:r>
    </w:p>
    <w:p>
      <w:pPr>
        <w:spacing w:after="0" w:line="40" w:lineRule="exact"/>
        <w:rPr>
          <w:sz w:val="20"/>
          <w:szCs w:val="20"/>
          <w:color w:val="auto"/>
        </w:rPr>
      </w:pPr>
    </w:p>
    <w:p>
      <w:pPr>
        <w:ind w:right="1019"/>
        <w:spacing w:after="0" w:line="256" w:lineRule="auto"/>
        <w:rPr>
          <w:sz w:val="20"/>
          <w:szCs w:val="20"/>
          <w:color w:val="auto"/>
        </w:rPr>
      </w:pPr>
      <w:r>
        <w:rPr>
          <w:rFonts w:ascii="Arial" w:cs="Arial" w:eastAsia="Arial" w:hAnsi="Arial"/>
          <w:sz w:val="12"/>
          <w:szCs w:val="12"/>
          <w:color w:val="auto"/>
        </w:rPr>
        <w:t>Der Aufsichtsrat und der Vorstand haben beschlossen, von dieser Ermächtigung Gebrauch zu machen. Für die Bezugsrechte des Aktienoptionsprogramms 2020 gelten diese Optionsbedingungen. Sie bilden einen integralen Bestandteil der Bezugsrechte mit den Bezugsberechtigten.</w:t>
      </w:r>
    </w:p>
    <w:p>
      <w:pPr>
        <w:spacing w:after="0" w:line="63" w:lineRule="exact"/>
        <w:rPr>
          <w:sz w:val="20"/>
          <w:szCs w:val="20"/>
          <w:color w:val="auto"/>
        </w:rPr>
      </w:pPr>
    </w:p>
    <w:p>
      <w:pPr>
        <w:sectPr>
          <w:pgSz w:w="11900" w:h="16838" w:orient="portrait"/>
          <w:cols w:equalWidth="0" w:num="2">
            <w:col w:w="4580" w:space="80"/>
            <w:col w:w="4359"/>
          </w:cols>
          <w:pgMar w:left="1440" w:top="127" w:right="1440" w:bottom="1440" w:gutter="0" w:footer="0" w:header="0"/>
          <w:type w:val="continuous"/>
        </w:sectPr>
      </w:pPr>
    </w:p>
    <w:tbl>
      <w:tblPr>
        <w:tblLayout w:type="fixed"/>
        <w:tblInd w:w="840" w:type="dxa"/>
        <w:tblCellMar>
          <w:top w:w="0" w:type="dxa"/>
          <w:left w:w="0" w:type="dxa"/>
          <w:bottom w:w="0" w:type="dxa"/>
          <w:right w:w="0" w:type="dxa"/>
        </w:tblCellMar>
      </w:tblPr>
      <w:tr>
        <w:trPr>
          <w:trHeight w:val="115"/>
        </w:trPr>
        <w:tc>
          <w:tcPr>
            <w:tcW w:w="2800" w:type="dxa"/>
            <w:vAlign w:val="bottom"/>
          </w:tcPr>
          <w:p>
            <w:pPr>
              <w:spacing w:after="0"/>
              <w:rPr>
                <w:sz w:val="20"/>
                <w:szCs w:val="20"/>
                <w:color w:val="auto"/>
              </w:rPr>
            </w:pPr>
            <w:r>
              <w:rPr>
                <w:rFonts w:ascii="Arial" w:cs="Arial" w:eastAsia="Arial" w:hAnsi="Arial"/>
                <w:sz w:val="10"/>
                <w:szCs w:val="10"/>
                <w:b w:val="1"/>
                <w:bCs w:val="1"/>
                <w:color w:val="auto"/>
              </w:rPr>
              <w:t>Mynaric AG</w:t>
            </w:r>
          </w:p>
        </w:tc>
        <w:tc>
          <w:tcPr>
            <w:tcW w:w="4380" w:type="dxa"/>
            <w:vAlign w:val="bottom"/>
            <w:vMerge w:val="restart"/>
          </w:tcPr>
          <w:p>
            <w:pPr>
              <w:ind w:left="1020"/>
              <w:spacing w:after="0"/>
              <w:rPr>
                <w:sz w:val="20"/>
                <w:szCs w:val="20"/>
                <w:color w:val="auto"/>
              </w:rPr>
            </w:pPr>
            <w:r>
              <w:rPr>
                <w:rFonts w:ascii="Arial" w:cs="Arial" w:eastAsia="Arial" w:hAnsi="Arial"/>
                <w:sz w:val="10"/>
                <w:szCs w:val="10"/>
                <w:b w:val="1"/>
                <w:bCs w:val="1"/>
                <w:color w:val="auto"/>
              </w:rPr>
              <w:t xml:space="preserve">Executive Board: </w:t>
            </w:r>
            <w:r>
              <w:rPr>
                <w:rFonts w:ascii="Arial" w:cs="Arial" w:eastAsia="Arial" w:hAnsi="Arial"/>
                <w:sz w:val="10"/>
                <w:szCs w:val="10"/>
                <w:color w:val="auto"/>
              </w:rPr>
              <w:t>Bulent Altan (CEO); Stefan Berndt-von Bülow (CFO)</w:t>
            </w:r>
          </w:p>
        </w:tc>
        <w:tc>
          <w:tcPr>
            <w:tcW w:w="0" w:type="dxa"/>
            <w:vAlign w:val="bottom"/>
          </w:tcPr>
          <w:p>
            <w:pPr>
              <w:spacing w:after="0"/>
              <w:rPr>
                <w:sz w:val="1"/>
                <w:szCs w:val="1"/>
                <w:color w:val="auto"/>
              </w:rPr>
            </w:pPr>
          </w:p>
        </w:tc>
      </w:tr>
      <w:tr>
        <w:trPr>
          <w:trHeight w:val="97"/>
        </w:trPr>
        <w:tc>
          <w:tcPr>
            <w:tcW w:w="2800" w:type="dxa"/>
            <w:vAlign w:val="bottom"/>
          </w:tcPr>
          <w:p>
            <w:pPr>
              <w:spacing w:after="0" w:line="97" w:lineRule="exact"/>
              <w:rPr>
                <w:sz w:val="20"/>
                <w:szCs w:val="20"/>
                <w:color w:val="auto"/>
              </w:rPr>
            </w:pPr>
            <w:r>
              <w:rPr>
                <w:rFonts w:ascii="Arial" w:cs="Arial" w:eastAsia="Arial" w:hAnsi="Arial"/>
                <w:sz w:val="10"/>
                <w:szCs w:val="10"/>
                <w:color w:val="auto"/>
              </w:rPr>
              <w:t>Dornierst. 19, 82205 Gilching, Germany</w:t>
            </w:r>
          </w:p>
        </w:tc>
        <w:tc>
          <w:tcPr>
            <w:tcW w:w="4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00" w:type="dxa"/>
            <w:vAlign w:val="bottom"/>
          </w:tcPr>
          <w:p>
            <w:pPr>
              <w:spacing w:after="0" w:line="99" w:lineRule="exact"/>
              <w:rPr>
                <w:sz w:val="20"/>
                <w:szCs w:val="20"/>
                <w:color w:val="auto"/>
              </w:rPr>
            </w:pPr>
            <w:r>
              <w:rPr>
                <w:rFonts w:ascii="Arial" w:cs="Arial" w:eastAsia="Arial" w:hAnsi="Arial"/>
                <w:sz w:val="10"/>
                <w:szCs w:val="10"/>
                <w:color w:val="auto"/>
              </w:rPr>
              <w:t>T + 49 (8105) 7999 0, F + 49 (8105) 7999 950</w:t>
            </w:r>
          </w:p>
        </w:tc>
        <w:tc>
          <w:tcPr>
            <w:tcW w:w="4380" w:type="dxa"/>
            <w:vAlign w:val="bottom"/>
          </w:tcPr>
          <w:p>
            <w:pPr>
              <w:ind w:left="1020"/>
              <w:spacing w:after="0" w:line="99" w:lineRule="exact"/>
              <w:rPr>
                <w:sz w:val="20"/>
                <w:szCs w:val="20"/>
                <w:color w:val="auto"/>
              </w:rPr>
            </w:pPr>
            <w:r>
              <w:rPr>
                <w:rFonts w:ascii="Arial" w:cs="Arial" w:eastAsia="Arial" w:hAnsi="Arial"/>
                <w:sz w:val="10"/>
                <w:szCs w:val="10"/>
                <w:b w:val="1"/>
                <w:bCs w:val="1"/>
                <w:color w:val="auto"/>
              </w:rPr>
              <w:t xml:space="preserve">Chairman of Supervisory Board: </w:t>
            </w:r>
            <w:r>
              <w:rPr>
                <w:rFonts w:ascii="Arial" w:cs="Arial" w:eastAsia="Arial" w:hAnsi="Arial"/>
                <w:sz w:val="10"/>
                <w:szCs w:val="10"/>
                <w:color w:val="auto"/>
              </w:rPr>
              <w:t>Dr. Manfred Krischke</w:t>
            </w:r>
          </w:p>
        </w:tc>
        <w:tc>
          <w:tcPr>
            <w:tcW w:w="0" w:type="dxa"/>
            <w:vAlign w:val="bottom"/>
          </w:tcPr>
          <w:p>
            <w:pPr>
              <w:spacing w:after="0"/>
              <w:rPr>
                <w:sz w:val="1"/>
                <w:szCs w:val="1"/>
                <w:color w:val="auto"/>
              </w:rPr>
            </w:pPr>
          </w:p>
        </w:tc>
      </w:tr>
      <w:tr>
        <w:trPr>
          <w:trHeight w:val="99"/>
        </w:trPr>
        <w:tc>
          <w:tcPr>
            <w:tcW w:w="2800" w:type="dxa"/>
            <w:vAlign w:val="bottom"/>
          </w:tcPr>
          <w:p>
            <w:pPr>
              <w:spacing w:after="0" w:line="99" w:lineRule="exact"/>
              <w:rPr>
                <w:sz w:val="20"/>
                <w:szCs w:val="20"/>
                <w:color w:val="auto"/>
              </w:rPr>
            </w:pPr>
            <w:r>
              <w:rPr>
                <w:rFonts w:ascii="Arial" w:cs="Arial" w:eastAsia="Arial" w:hAnsi="Arial"/>
                <w:sz w:val="10"/>
                <w:szCs w:val="10"/>
                <w:color w:val="auto"/>
              </w:rPr>
              <w:t>info@mynaric.com</w:t>
            </w:r>
          </w:p>
        </w:tc>
        <w:tc>
          <w:tcPr>
            <w:tcW w:w="4380" w:type="dxa"/>
            <w:vAlign w:val="bottom"/>
          </w:tcPr>
          <w:p>
            <w:pPr>
              <w:ind w:left="1020"/>
              <w:spacing w:after="0" w:line="99" w:lineRule="exact"/>
              <w:rPr>
                <w:sz w:val="20"/>
                <w:szCs w:val="20"/>
                <w:color w:val="auto"/>
              </w:rPr>
            </w:pPr>
            <w:r>
              <w:rPr>
                <w:rFonts w:ascii="Arial" w:cs="Arial" w:eastAsia="Arial" w:hAnsi="Arial"/>
                <w:sz w:val="10"/>
                <w:szCs w:val="10"/>
                <w:b w:val="1"/>
                <w:bCs w:val="1"/>
                <w:color w:val="auto"/>
              </w:rPr>
              <w:t xml:space="preserve">Legal: </w:t>
            </w:r>
            <w:r>
              <w:rPr>
                <w:rFonts w:ascii="Arial" w:cs="Arial" w:eastAsia="Arial" w:hAnsi="Arial"/>
                <w:sz w:val="10"/>
                <w:szCs w:val="10"/>
                <w:color w:val="auto"/>
              </w:rPr>
              <w:t>HRB 232763 (Local Court of Munich), VAT reg. no. DE313465945</w:t>
            </w:r>
          </w:p>
        </w:tc>
        <w:tc>
          <w:tcPr>
            <w:tcW w:w="0" w:type="dxa"/>
            <w:vAlign w:val="bottom"/>
          </w:tcPr>
          <w:p>
            <w:pPr>
              <w:spacing w:after="0"/>
              <w:rPr>
                <w:sz w:val="1"/>
                <w:szCs w:val="1"/>
                <w:color w:val="auto"/>
              </w:rPr>
            </w:pPr>
          </w:p>
        </w:tc>
      </w:tr>
      <w:tr>
        <w:trPr>
          <w:trHeight w:val="123"/>
        </w:trPr>
        <w:tc>
          <w:tcPr>
            <w:tcW w:w="2800" w:type="dxa"/>
            <w:vAlign w:val="bottom"/>
            <w:vMerge w:val="restart"/>
          </w:tcPr>
          <w:p>
            <w:pPr>
              <w:spacing w:after="0"/>
              <w:rPr>
                <w:sz w:val="20"/>
                <w:szCs w:val="20"/>
                <w:color w:val="auto"/>
              </w:rPr>
            </w:pPr>
            <w:r>
              <w:rPr>
                <w:rFonts w:ascii="Arial" w:cs="Arial" w:eastAsia="Arial" w:hAnsi="Arial"/>
                <w:sz w:val="10"/>
                <w:szCs w:val="10"/>
                <w:color w:val="auto"/>
              </w:rPr>
              <w:t>www.mynaric.com</w:t>
            </w:r>
          </w:p>
        </w:tc>
        <w:tc>
          <w:tcPr>
            <w:tcW w:w="4380" w:type="dxa"/>
            <w:vAlign w:val="bottom"/>
          </w:tcPr>
          <w:p>
            <w:pPr>
              <w:ind w:left="1020"/>
              <w:spacing w:after="0"/>
              <w:rPr>
                <w:sz w:val="20"/>
                <w:szCs w:val="20"/>
                <w:color w:val="auto"/>
              </w:rPr>
            </w:pPr>
            <w:r>
              <w:rPr>
                <w:rFonts w:ascii="Arial" w:cs="Arial" w:eastAsia="Arial" w:hAnsi="Arial"/>
                <w:sz w:val="10"/>
                <w:szCs w:val="10"/>
                <w:b w:val="1"/>
                <w:bCs w:val="1"/>
                <w:color w:val="auto"/>
                <w:w w:val="89"/>
              </w:rPr>
              <w:t xml:space="preserve">Bank: </w:t>
            </w:r>
            <w:r>
              <w:rPr>
                <w:rFonts w:ascii="Arial" w:cs="Arial" w:eastAsia="Arial" w:hAnsi="Arial"/>
                <w:sz w:val="10"/>
                <w:szCs w:val="10"/>
                <w:color w:val="auto"/>
                <w:w w:val="89"/>
              </w:rPr>
              <w:t>IBAN DE52 7007 0010 0014 6936 00, BIC DEUTDEMMXXX, Deutsche Bank</w:t>
            </w:r>
          </w:p>
        </w:tc>
        <w:tc>
          <w:tcPr>
            <w:tcW w:w="0" w:type="dxa"/>
            <w:vAlign w:val="bottom"/>
          </w:tcPr>
          <w:p>
            <w:pPr>
              <w:spacing w:after="0"/>
              <w:rPr>
                <w:sz w:val="1"/>
                <w:szCs w:val="1"/>
                <w:color w:val="auto"/>
              </w:rPr>
            </w:pPr>
          </w:p>
        </w:tc>
      </w:tr>
      <w:tr>
        <w:trPr>
          <w:trHeight w:val="108"/>
        </w:trPr>
        <w:tc>
          <w:tcPr>
            <w:tcW w:w="2800" w:type="dxa"/>
            <w:vAlign w:val="bottom"/>
            <w:vMerge w:val="continue"/>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7" w:right="1440" w:bottom="1440" w:gutter="0" w:footer="0" w:header="0"/>
          <w:type w:val="continuous"/>
        </w:sectPr>
      </w:pPr>
    </w:p>
    <w:bookmarkStart w:id="301" w:name="page302"/>
    <w:bookmarkEnd w:id="301"/>
    <w:p>
      <w:pPr>
        <w:ind w:left="1120" w:hanging="288"/>
        <w:spacing w:after="0"/>
        <w:tabs>
          <w:tab w:leader="none" w:pos="1120" w:val="left"/>
        </w:tabs>
        <w:numPr>
          <w:ilvl w:val="0"/>
          <w:numId w:val="233"/>
        </w:numPr>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Content of subscription rights, total volume and its distribution</w:t>
      </w:r>
    </w:p>
    <w:p>
      <w:pPr>
        <w:spacing w:after="0" w:line="234" w:lineRule="exact"/>
        <w:rPr>
          <w:sz w:val="20"/>
          <w:szCs w:val="20"/>
          <w:color w:val="auto"/>
        </w:rPr>
      </w:pPr>
    </w:p>
    <w:p>
      <w:pPr>
        <w:ind w:left="1120" w:right="6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Each subscription right entitles the beneficiary to purchase one new bearer share in Mynaric at the exercise price in accordance with these option conditions.</w:t>
      </w:r>
    </w:p>
    <w:p>
      <w:pPr>
        <w:spacing w:after="0" w:line="194" w:lineRule="exact"/>
        <w:rPr>
          <w:sz w:val="20"/>
          <w:szCs w:val="20"/>
          <w:color w:val="auto"/>
        </w:rPr>
      </w:pPr>
    </w:p>
    <w:p>
      <w:pPr>
        <w:ind w:left="1120" w:right="4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2"/>
          <w:szCs w:val="12"/>
          <w:color w:val="auto"/>
        </w:rPr>
        <w:t>Under this stock option program, up to 34,473 subscription rights may be issued once or several times up to 31 December 2025. The total volume is broken down as follows:</w:t>
      </w:r>
    </w:p>
    <w:p>
      <w:pPr>
        <w:spacing w:after="0" w:line="54" w:lineRule="exact"/>
        <w:rPr>
          <w:sz w:val="20"/>
          <w:szCs w:val="20"/>
          <w:color w:val="auto"/>
        </w:rPr>
      </w:pPr>
    </w:p>
    <w:p>
      <w:pPr>
        <w:ind w:left="1320" w:right="180" w:hanging="188"/>
        <w:spacing w:after="0" w:line="276" w:lineRule="auto"/>
        <w:tabs>
          <w:tab w:leader="none" w:pos="1307" w:val="left"/>
        </w:tabs>
        <w:numPr>
          <w:ilvl w:val="1"/>
          <w:numId w:val="234"/>
        </w:numPr>
        <w:rPr>
          <w:rFonts w:ascii="Arial" w:cs="Arial" w:eastAsia="Arial" w:hAnsi="Arial"/>
          <w:sz w:val="12"/>
          <w:szCs w:val="12"/>
          <w:color w:val="auto"/>
        </w:rPr>
      </w:pPr>
      <w:r>
        <w:rPr>
          <w:rFonts w:ascii="Arial" w:cs="Arial" w:eastAsia="Arial" w:hAnsi="Arial"/>
          <w:sz w:val="12"/>
          <w:szCs w:val="12"/>
          <w:color w:val="auto"/>
        </w:rPr>
        <w:t>The beneficiaries of Group 1 will receive a maximum of 14,473 subscription rights in total,</w:t>
      </w:r>
    </w:p>
    <w:p>
      <w:pPr>
        <w:spacing w:after="0" w:line="51" w:lineRule="exact"/>
        <w:rPr>
          <w:rFonts w:ascii="Arial" w:cs="Arial" w:eastAsia="Arial" w:hAnsi="Arial"/>
          <w:sz w:val="12"/>
          <w:szCs w:val="12"/>
          <w:color w:val="auto"/>
        </w:rPr>
      </w:pPr>
    </w:p>
    <w:p>
      <w:pPr>
        <w:ind w:left="1320" w:right="460" w:hanging="188"/>
        <w:spacing w:after="0" w:line="276" w:lineRule="auto"/>
        <w:tabs>
          <w:tab w:leader="none" w:pos="1309" w:val="left"/>
        </w:tabs>
        <w:numPr>
          <w:ilvl w:val="1"/>
          <w:numId w:val="234"/>
        </w:numPr>
        <w:rPr>
          <w:rFonts w:ascii="Arial" w:cs="Arial" w:eastAsia="Arial" w:hAnsi="Arial"/>
          <w:sz w:val="12"/>
          <w:szCs w:val="12"/>
          <w:color w:val="auto"/>
        </w:rPr>
      </w:pPr>
      <w:r>
        <w:rPr>
          <w:rFonts w:ascii="Arial" w:cs="Arial" w:eastAsia="Arial" w:hAnsi="Arial"/>
          <w:sz w:val="12"/>
          <w:szCs w:val="12"/>
          <w:color w:val="auto"/>
        </w:rPr>
        <w:t>the beneficiaries of group 2 receive a maximum of 20,000 subscription rights in total.</w:t>
      </w:r>
    </w:p>
    <w:p>
      <w:pPr>
        <w:spacing w:after="0" w:line="47" w:lineRule="exact"/>
        <w:rPr>
          <w:rFonts w:ascii="Arial" w:cs="Arial" w:eastAsia="Arial" w:hAnsi="Arial"/>
          <w:sz w:val="12"/>
          <w:szCs w:val="12"/>
          <w:color w:val="auto"/>
        </w:rPr>
      </w:pPr>
    </w:p>
    <w:p>
      <w:pPr>
        <w:ind w:left="1140" w:right="520" w:hanging="308"/>
        <w:spacing w:after="0" w:line="283" w:lineRule="auto"/>
        <w:tabs>
          <w:tab w:leader="none" w:pos="1134" w:val="left"/>
        </w:tabs>
        <w:numPr>
          <w:ilvl w:val="0"/>
          <w:numId w:val="234"/>
        </w:numPr>
        <w:rPr>
          <w:rFonts w:ascii="Arial" w:cs="Arial" w:eastAsia="Arial" w:hAnsi="Arial"/>
          <w:sz w:val="12"/>
          <w:szCs w:val="12"/>
          <w:b w:val="1"/>
          <w:bCs w:val="1"/>
          <w:color w:val="auto"/>
        </w:rPr>
      </w:pPr>
      <w:r>
        <w:rPr>
          <w:rFonts w:ascii="Arial" w:cs="Arial" w:eastAsia="Arial" w:hAnsi="Arial"/>
          <w:sz w:val="12"/>
          <w:szCs w:val="12"/>
          <w:b w:val="1"/>
          <w:bCs w:val="1"/>
          <w:color w:val="auto"/>
        </w:rPr>
        <w:t>Issue period, exercise periods, waiting period, limitation, exercisability</w:t>
      </w:r>
    </w:p>
    <w:p>
      <w:pPr>
        <w:spacing w:after="0" w:line="35" w:lineRule="exact"/>
        <w:rPr>
          <w:sz w:val="20"/>
          <w:szCs w:val="20"/>
          <w:color w:val="auto"/>
        </w:rPr>
      </w:pPr>
    </w:p>
    <w:p>
      <w:pPr>
        <w:ind w:left="1120" w:right="12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2"/>
          <w:szCs w:val="12"/>
          <w:color w:val="auto"/>
        </w:rPr>
        <w:t>The subscription rights are issued by concluding an individual agreement between the Company and the respective beneficiary (the “</w:t>
      </w:r>
      <w:r>
        <w:rPr>
          <w:rFonts w:ascii="Arial" w:cs="Arial" w:eastAsia="Arial" w:hAnsi="Arial"/>
          <w:sz w:val="12"/>
          <w:szCs w:val="12"/>
          <w:b w:val="1"/>
          <w:bCs w:val="1"/>
          <w:color w:val="auto"/>
        </w:rPr>
        <w:t>Individual Agreement</w:t>
      </w:r>
      <w:r>
        <w:rPr>
          <w:rFonts w:ascii="Arial" w:cs="Arial" w:eastAsia="Arial" w:hAnsi="Arial"/>
          <w:sz w:val="12"/>
          <w:szCs w:val="12"/>
          <w:color w:val="auto"/>
        </w:rPr>
        <w:t>”).</w:t>
      </w:r>
    </w:p>
    <w:p>
      <w:pPr>
        <w:spacing w:after="0" w:line="50" w:lineRule="exact"/>
        <w:rPr>
          <w:sz w:val="20"/>
          <w:szCs w:val="20"/>
          <w:color w:val="auto"/>
        </w:rPr>
      </w:pPr>
    </w:p>
    <w:p>
      <w:pPr>
        <w:ind w:left="1120" w:right="40" w:hanging="299"/>
        <w:spacing w:after="0" w:line="313" w:lineRule="auto"/>
        <w:tabs>
          <w:tab w:leader="none" w:pos="1100"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0"/>
          <w:szCs w:val="10"/>
          <w:color w:val="auto"/>
        </w:rPr>
        <w:t>Subscription rights may be issued up to four times within the authorization period in accordance with a programme that may be issued once or repeatedly within a fiscal year, in each case within the last five trading days of a quarter (the “</w:t>
      </w:r>
      <w:r>
        <w:rPr>
          <w:rFonts w:ascii="Arial" w:cs="Arial" w:eastAsia="Arial" w:hAnsi="Arial"/>
          <w:sz w:val="10"/>
          <w:szCs w:val="10"/>
          <w:b w:val="1"/>
          <w:bCs w:val="1"/>
          <w:color w:val="auto"/>
        </w:rPr>
        <w:t>issue period</w:t>
      </w:r>
      <w:r>
        <w:rPr>
          <w:rFonts w:ascii="Arial" w:cs="Arial" w:eastAsia="Arial" w:hAnsi="Arial"/>
          <w:sz w:val="10"/>
          <w:szCs w:val="10"/>
          <w:color w:val="auto"/>
        </w:rPr>
        <w:t xml:space="preserve">”). The </w:t>
      </w:r>
      <w:r>
        <w:rPr>
          <w:rFonts w:ascii="Arial" w:cs="Arial" w:eastAsia="Arial" w:hAnsi="Arial"/>
          <w:sz w:val="10"/>
          <w:szCs w:val="10"/>
          <w:b w:val="1"/>
          <w:bCs w:val="1"/>
          <w:color w:val="auto"/>
        </w:rPr>
        <w:t>issue date</w:t>
      </w:r>
      <w:r>
        <w:rPr>
          <w:rFonts w:ascii="Arial" w:cs="Arial" w:eastAsia="Arial" w:hAnsi="Arial"/>
          <w:sz w:val="10"/>
          <w:szCs w:val="10"/>
          <w:color w:val="auto"/>
        </w:rPr>
        <w:t xml:space="preserve"> shall be the date on which the offer to grant subscription rights is received by the beneficiaries, irrespective of the date of acceptance of the offer. The offer may specify a later date as the issue date.</w:t>
      </w:r>
    </w:p>
    <w:p>
      <w:pPr>
        <w:spacing w:after="0" w:line="318" w:lineRule="exact"/>
        <w:rPr>
          <w:sz w:val="20"/>
          <w:szCs w:val="20"/>
          <w:color w:val="auto"/>
        </w:rPr>
      </w:pPr>
    </w:p>
    <w:p>
      <w:pPr>
        <w:ind w:left="1120" w:hanging="299"/>
        <w:spacing w:after="0" w:line="289" w:lineRule="auto"/>
        <w:tabs>
          <w:tab w:leader="none" w:pos="1100"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1"/>
          <w:szCs w:val="11"/>
          <w:color w:val="auto"/>
        </w:rPr>
        <w:t>The subscription rights may be exercised by the beneficiaries within three years of the date on which the waiting period expires. Within this period, subscription rights may be exercised within four weeks of the announcement of the results of the annual or semi-annual financial</w:t>
      </w:r>
    </w:p>
    <w:p>
      <w:pPr>
        <w:spacing w:after="0" w:line="214" w:lineRule="exact"/>
        <w:rPr>
          <w:sz w:val="20"/>
          <w:szCs w:val="20"/>
          <w:color w:val="auto"/>
        </w:rPr>
      </w:pPr>
    </w:p>
    <w:p>
      <w:pPr>
        <w:ind w:left="448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ind w:left="303" w:right="1359" w:hanging="303"/>
        <w:spacing w:after="0" w:line="283" w:lineRule="auto"/>
        <w:tabs>
          <w:tab w:leader="none" w:pos="297" w:val="left"/>
        </w:tabs>
        <w:numPr>
          <w:ilvl w:val="0"/>
          <w:numId w:val="235"/>
        </w:numPr>
        <w:rPr>
          <w:rFonts w:ascii="Arial" w:cs="Arial" w:eastAsia="Arial" w:hAnsi="Arial"/>
          <w:sz w:val="12"/>
          <w:szCs w:val="12"/>
          <w:b w:val="1"/>
          <w:bCs w:val="1"/>
          <w:color w:val="auto"/>
        </w:rPr>
      </w:pPr>
      <w:r>
        <w:rPr>
          <w:rFonts w:ascii="Arial" w:cs="Arial" w:eastAsia="Arial" w:hAnsi="Arial"/>
          <w:sz w:val="12"/>
          <w:szCs w:val="12"/>
          <w:b w:val="1"/>
          <w:bCs w:val="1"/>
          <w:color w:val="auto"/>
        </w:rPr>
        <w:t>Inhalt der Bezugsrechte, Gesamtvolumen und dessen Aufteilung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-632460</wp:posOffset>
            </wp:positionV>
            <wp:extent cx="1285875" cy="3714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5" w:lineRule="exact"/>
        <w:rPr>
          <w:sz w:val="20"/>
          <w:szCs w:val="20"/>
          <w:color w:val="auto"/>
        </w:rPr>
      </w:pPr>
    </w:p>
    <w:p>
      <w:pPr>
        <w:ind w:left="283" w:right="959" w:hanging="299"/>
        <w:spacing w:after="0" w:line="259" w:lineRule="auto"/>
        <w:tabs>
          <w:tab w:leader="none" w:pos="262"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Jedes Bezugsrecht berechtigt den Bezugsberechtigten nach Maßgabe dieser Optionsbedingungen zum Bezug je einer neuen, auf den Inhaber lautenden Aktie der Mynaric zum Ausübungspreis.</w:t>
      </w:r>
    </w:p>
    <w:p>
      <w:pPr>
        <w:spacing w:after="0" w:line="52" w:lineRule="exact"/>
        <w:rPr>
          <w:sz w:val="20"/>
          <w:szCs w:val="20"/>
          <w:color w:val="auto"/>
        </w:rPr>
      </w:pPr>
    </w:p>
    <w:p>
      <w:pPr>
        <w:ind w:left="283" w:right="839" w:hanging="299"/>
        <w:spacing w:after="0" w:line="340" w:lineRule="auto"/>
        <w:tabs>
          <w:tab w:leader="none" w:pos="262"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0"/>
          <w:szCs w:val="10"/>
          <w:color w:val="auto"/>
        </w:rPr>
        <w:t>Unter diesem Aktienoptionsprogramm können bis zum 31. Dezember 2025 einmal oder mehrmals bis zu 34.473 Bezugsrechte ausgegeben werden. Das Gesamtvolumen teilt sich wie folgt auf:</w:t>
      </w:r>
    </w:p>
    <w:p>
      <w:pPr>
        <w:spacing w:after="0" w:line="19" w:lineRule="exact"/>
        <w:rPr>
          <w:sz w:val="20"/>
          <w:szCs w:val="20"/>
          <w:color w:val="auto"/>
        </w:rPr>
      </w:pPr>
    </w:p>
    <w:p>
      <w:pPr>
        <w:ind w:left="483" w:right="1119" w:hanging="183"/>
        <w:spacing w:after="0" w:line="276" w:lineRule="auto"/>
        <w:tabs>
          <w:tab w:leader="none" w:pos="472" w:val="left"/>
        </w:tabs>
        <w:numPr>
          <w:ilvl w:val="1"/>
          <w:numId w:val="236"/>
        </w:numPr>
        <w:rPr>
          <w:rFonts w:ascii="Arial" w:cs="Arial" w:eastAsia="Arial" w:hAnsi="Arial"/>
          <w:sz w:val="12"/>
          <w:szCs w:val="12"/>
          <w:color w:val="auto"/>
        </w:rPr>
      </w:pPr>
      <w:r>
        <w:rPr>
          <w:rFonts w:ascii="Arial" w:cs="Arial" w:eastAsia="Arial" w:hAnsi="Arial"/>
          <w:sz w:val="12"/>
          <w:szCs w:val="12"/>
          <w:color w:val="auto"/>
        </w:rPr>
        <w:t>Die Bezugsberechtigten der Gruppe 1 erhalten zusammen höchstens 14.473 Bezugsrechte,</w:t>
      </w:r>
    </w:p>
    <w:p>
      <w:pPr>
        <w:spacing w:after="0" w:line="51" w:lineRule="exact"/>
        <w:rPr>
          <w:rFonts w:ascii="Arial" w:cs="Arial" w:eastAsia="Arial" w:hAnsi="Arial"/>
          <w:sz w:val="12"/>
          <w:szCs w:val="12"/>
          <w:color w:val="auto"/>
        </w:rPr>
      </w:pPr>
    </w:p>
    <w:p>
      <w:pPr>
        <w:ind w:left="483" w:right="1139" w:hanging="183"/>
        <w:spacing w:after="0" w:line="276" w:lineRule="auto"/>
        <w:tabs>
          <w:tab w:leader="none" w:pos="472" w:val="left"/>
        </w:tabs>
        <w:numPr>
          <w:ilvl w:val="1"/>
          <w:numId w:val="236"/>
        </w:numPr>
        <w:rPr>
          <w:rFonts w:ascii="Arial" w:cs="Arial" w:eastAsia="Arial" w:hAnsi="Arial"/>
          <w:sz w:val="12"/>
          <w:szCs w:val="12"/>
          <w:color w:val="auto"/>
        </w:rPr>
      </w:pPr>
      <w:r>
        <w:rPr>
          <w:rFonts w:ascii="Arial" w:cs="Arial" w:eastAsia="Arial" w:hAnsi="Arial"/>
          <w:sz w:val="12"/>
          <w:szCs w:val="12"/>
          <w:color w:val="auto"/>
        </w:rPr>
        <w:t>die Bezugsberechtigten der Gruppe 2 erhalten zusammen höchstens 20.000 Bezugsrechte.</w:t>
      </w:r>
    </w:p>
    <w:p>
      <w:pPr>
        <w:spacing w:after="0" w:line="47" w:lineRule="exact"/>
        <w:rPr>
          <w:rFonts w:ascii="Arial" w:cs="Arial" w:eastAsia="Arial" w:hAnsi="Arial"/>
          <w:sz w:val="12"/>
          <w:szCs w:val="12"/>
          <w:color w:val="auto"/>
        </w:rPr>
      </w:pPr>
    </w:p>
    <w:p>
      <w:pPr>
        <w:ind w:left="303" w:right="1439" w:hanging="303"/>
        <w:spacing w:after="0" w:line="283" w:lineRule="auto"/>
        <w:tabs>
          <w:tab w:leader="none" w:pos="290" w:val="left"/>
        </w:tabs>
        <w:numPr>
          <w:ilvl w:val="0"/>
          <w:numId w:val="236"/>
        </w:numPr>
        <w:rPr>
          <w:rFonts w:ascii="Arial" w:cs="Arial" w:eastAsia="Arial" w:hAnsi="Arial"/>
          <w:sz w:val="12"/>
          <w:szCs w:val="12"/>
          <w:b w:val="1"/>
          <w:bCs w:val="1"/>
          <w:color w:val="auto"/>
        </w:rPr>
      </w:pPr>
      <w:r>
        <w:rPr>
          <w:rFonts w:ascii="Arial" w:cs="Arial" w:eastAsia="Arial" w:hAnsi="Arial"/>
          <w:sz w:val="12"/>
          <w:szCs w:val="12"/>
          <w:b w:val="1"/>
          <w:bCs w:val="1"/>
          <w:color w:val="auto"/>
        </w:rPr>
        <w:t>Ausgabezeitraum, Ausübungszeiträume, Wartezeit, Begrenzung, Ausübbarkeit</w:t>
      </w:r>
    </w:p>
    <w:p>
      <w:pPr>
        <w:spacing w:after="0" w:line="35" w:lineRule="exact"/>
        <w:rPr>
          <w:sz w:val="20"/>
          <w:szCs w:val="20"/>
          <w:color w:val="auto"/>
        </w:rPr>
      </w:pPr>
    </w:p>
    <w:p>
      <w:pPr>
        <w:ind w:left="303" w:right="939" w:hanging="299"/>
        <w:spacing w:after="0" w:line="298" w:lineRule="auto"/>
        <w:tabs>
          <w:tab w:leader="none" w:pos="282"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1"/>
          <w:szCs w:val="11"/>
          <w:color w:val="auto"/>
        </w:rPr>
        <w:t>Die Begebung der Bezugsrechte erfolgt durch Abschluss einer Individualvereinbarung zwischen der Gesellschaft und dem jeweiligen Bezugsberechtigten (die “</w:t>
      </w:r>
      <w:r>
        <w:rPr>
          <w:rFonts w:ascii="Arial" w:cs="Arial" w:eastAsia="Arial" w:hAnsi="Arial"/>
          <w:sz w:val="11"/>
          <w:szCs w:val="11"/>
          <w:b w:val="1"/>
          <w:bCs w:val="1"/>
          <w:color w:val="auto"/>
        </w:rPr>
        <w:t>Individualvereinbarung</w:t>
      </w:r>
      <w:r>
        <w:rPr>
          <w:rFonts w:ascii="Arial" w:cs="Arial" w:eastAsia="Arial" w:hAnsi="Arial"/>
          <w:sz w:val="11"/>
          <w:szCs w:val="11"/>
          <w:color w:val="auto"/>
        </w:rPr>
        <w:t>”).</w:t>
      </w:r>
    </w:p>
    <w:p>
      <w:pPr>
        <w:spacing w:after="0" w:line="33" w:lineRule="exact"/>
        <w:rPr>
          <w:sz w:val="20"/>
          <w:szCs w:val="20"/>
          <w:color w:val="auto"/>
        </w:rPr>
      </w:pPr>
    </w:p>
    <w:p>
      <w:pPr>
        <w:ind w:left="303" w:right="879" w:hanging="299"/>
        <w:spacing w:after="0" w:line="279" w:lineRule="auto"/>
        <w:tabs>
          <w:tab w:leader="none" w:pos="282"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1"/>
          <w:szCs w:val="11"/>
          <w:color w:val="auto"/>
        </w:rPr>
        <w:t>Bezugsrechte können innerhalb des Ermächtigungszeitraums nach einem einmal oder wiederholt aufzulegenden Programm bis zu vier Mal innerhalb eines Geschäftsjahres begeben werden und zwar jeweils innerhalb der letzten fünf Börsentage eins Quartals (jeweils der „</w:t>
      </w:r>
      <w:r>
        <w:rPr>
          <w:rFonts w:ascii="Arial" w:cs="Arial" w:eastAsia="Arial" w:hAnsi="Arial"/>
          <w:sz w:val="11"/>
          <w:szCs w:val="11"/>
          <w:b w:val="1"/>
          <w:bCs w:val="1"/>
          <w:color w:val="auto"/>
        </w:rPr>
        <w:t>Ausgabezeitraum</w:t>
      </w:r>
      <w:r>
        <w:rPr>
          <w:rFonts w:ascii="Arial" w:cs="Arial" w:eastAsia="Arial" w:hAnsi="Arial"/>
          <w:sz w:val="11"/>
          <w:szCs w:val="11"/>
          <w:color w:val="auto"/>
        </w:rPr>
        <w:t xml:space="preserve">“). Als </w:t>
      </w:r>
      <w:r>
        <w:rPr>
          <w:rFonts w:ascii="Arial" w:cs="Arial" w:eastAsia="Arial" w:hAnsi="Arial"/>
          <w:sz w:val="11"/>
          <w:szCs w:val="11"/>
          <w:b w:val="1"/>
          <w:bCs w:val="1"/>
          <w:color w:val="auto"/>
        </w:rPr>
        <w:t>Ausgabetag</w:t>
      </w:r>
      <w:r>
        <w:rPr>
          <w:rFonts w:ascii="Arial" w:cs="Arial" w:eastAsia="Arial" w:hAnsi="Arial"/>
          <w:sz w:val="11"/>
          <w:szCs w:val="11"/>
          <w:color w:val="auto"/>
        </w:rPr>
        <w:t xml:space="preserve"> gilt der Zeitpunkt, zu dem den Bezugsberechtigten das Angebot zur Gewährung von Bezugsrechten zugeht, ungeachtet des Zeitpunkts der Annahme des Angebots. Im Angebot kann ein späterer Zeitpunkt als Ausgabetag bestimmt werden.</w:t>
      </w:r>
    </w:p>
    <w:p>
      <w:pPr>
        <w:spacing w:after="0" w:line="45" w:lineRule="exact"/>
        <w:rPr>
          <w:sz w:val="20"/>
          <w:szCs w:val="20"/>
          <w:color w:val="auto"/>
        </w:rPr>
      </w:pPr>
    </w:p>
    <w:p>
      <w:pPr>
        <w:ind w:left="303" w:right="899" w:hanging="299"/>
        <w:spacing w:after="0" w:line="320" w:lineRule="auto"/>
        <w:tabs>
          <w:tab w:leader="none" w:pos="282"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0"/>
          <w:szCs w:val="10"/>
          <w:color w:val="auto"/>
        </w:rPr>
        <w:t>Die Bezugsrechte können von den Bezugsberechtigten innerhalb von drei Jahren nach dem Zeitpunkt ausgeübt werden, zu dem die Wartezeit abgelaufen ist. Innerhalb dieses Zeitraums können Bezugsrechte innerhalb von vier Wochen nach Bekanntgabe der Ergebnisse des Jahres- oder Halbjahresabschlusses</w:t>
      </w:r>
    </w:p>
    <w:p>
      <w:pPr>
        <w:sectPr>
          <w:pgSz w:w="11900" w:h="16838" w:orient="portrait"/>
          <w:cols w:equalWidth="0" w:num="2">
            <w:col w:w="4540" w:space="117"/>
            <w:col w:w="4362"/>
          </w:cols>
          <w:pgMar w:left="1440" w:top="910" w:right="1440" w:bottom="1440" w:gutter="0" w:footer="0" w:header="0"/>
        </w:sectPr>
      </w:pPr>
    </w:p>
    <w:bookmarkStart w:id="302" w:name="page303"/>
    <w:bookmarkEnd w:id="302"/>
    <w:p>
      <w:pPr>
        <w:ind w:left="1140" w:hanging="5"/>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statements for a fiscal year (“</w:t>
      </w:r>
      <w:r>
        <w:rPr>
          <w:rFonts w:ascii="Arial" w:cs="Arial" w:eastAsia="Arial" w:hAnsi="Arial"/>
          <w:sz w:val="11"/>
          <w:szCs w:val="11"/>
          <w:b w:val="1"/>
          <w:bCs w:val="1"/>
          <w:color w:val="auto"/>
        </w:rPr>
        <w:t>exercise period</w:t>
      </w:r>
      <w:r>
        <w:rPr>
          <w:rFonts w:ascii="Arial" w:cs="Arial" w:eastAsia="Arial" w:hAnsi="Arial"/>
          <w:sz w:val="11"/>
          <w:szCs w:val="11"/>
          <w:color w:val="auto"/>
        </w:rPr>
        <w:t>”). The exercise period may be reasonably extended by the Management Board of the Company or, insofar as members of the Management Board of the Company are affected, by the Supervisory Board of the Company, if the exercise is not possible at the end of the original exercise period due to statutory provisions. The term of the subscription rights ends at the end of the respective (possibly extended) exercise period. Subscription rights that have not been exercised by the end of the respective exercise period expire without compensation.</w:t>
      </w:r>
    </w:p>
    <w:p>
      <w:pPr>
        <w:spacing w:after="0" w:line="20" w:lineRule="exact"/>
        <w:rPr>
          <w:sz w:val="20"/>
          <w:szCs w:val="20"/>
          <w:color w:val="auto"/>
        </w:rPr>
      </w:pPr>
      <w:r>
        <w:rPr>
          <w:sz w:val="20"/>
          <w:szCs w:val="20"/>
          <w:color w:val="auto"/>
        </w:rPr>
        <w:br w:type="column"/>
      </w:r>
    </w:p>
    <w:p>
      <w:pPr>
        <w:ind w:right="839" w:hanging="5"/>
        <w:spacing w:after="0" w:line="310" w:lineRule="auto"/>
        <w:rPr>
          <w:sz w:val="20"/>
          <w:szCs w:val="20"/>
          <w:color w:val="auto"/>
        </w:rPr>
      </w:pPr>
      <w:r>
        <w:rPr>
          <w:rFonts w:ascii="Arial" w:cs="Arial" w:eastAsia="Arial" w:hAnsi="Arial"/>
          <w:sz w:val="10"/>
          <w:szCs w:val="10"/>
          <w:color w:val="auto"/>
        </w:rPr>
        <w:t>eines Geschäftsjahres ausgeübt werden („</w:t>
      </w:r>
      <w:r>
        <w:rPr>
          <w:rFonts w:ascii="Arial" w:cs="Arial" w:eastAsia="Arial" w:hAnsi="Arial"/>
          <w:sz w:val="10"/>
          <w:szCs w:val="10"/>
          <w:b w:val="1"/>
          <w:bCs w:val="1"/>
          <w:color w:val="auto"/>
        </w:rPr>
        <w:t>Ausübungszeitraum</w:t>
      </w:r>
      <w:r>
        <w:rPr>
          <w:rFonts w:ascii="Arial" w:cs="Arial" w:eastAsia="Arial" w:hAnsi="Arial"/>
          <w:sz w:val="10"/>
          <w:szCs w:val="10"/>
          <w:color w:val="auto"/>
        </w:rPr>
        <w:t>“). Der Ausübungszeitraum kann vom Vorstand der Gesellschaft bzw., soweit Mitglieder des Vorstands der Gesellschaft betroffen sind, vom Aufsichtsrat der Gesellschaft angemessen verlängert werden, sofern aufgrund gesetzlicher Vorschriften die Ausübung zum Ablauf des ursprünglichen Ausübungszeitraums nicht möglich ist. Die Laufzeit der Bezugsrechte endet nach Ablauf des jeweiligen (ggf. verlängerten) Ausübungszeitraums. Bezugsrechte, die bis zum Ablauf des jeweiligen Ausübungszeitraums nicht ausgeübt worden sind, verfallen entschädigungslos.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-1368425</wp:posOffset>
            </wp:positionV>
            <wp:extent cx="1285875" cy="3714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580" w:space="380"/>
            <w:col w:w="4059"/>
          </w:cols>
          <w:pgMar w:left="1440" w:top="910" w:right="1440" w:bottom="1440" w:gutter="0" w:footer="0" w:header="0"/>
        </w:sectPr>
      </w:pPr>
    </w:p>
    <w:p>
      <w:pPr>
        <w:ind w:left="1120" w:right="60" w:hanging="299"/>
        <w:spacing w:after="0" w:line="289" w:lineRule="auto"/>
        <w:tabs>
          <w:tab w:leader="none" w:pos="1100" w:val="left"/>
        </w:tabs>
        <w:rPr>
          <w:sz w:val="20"/>
          <w:szCs w:val="20"/>
          <w:color w:val="auto"/>
        </w:rPr>
      </w:pPr>
      <w:r>
        <w:rPr>
          <w:rFonts w:ascii="Arial" w:cs="Arial" w:eastAsia="Arial" w:hAnsi="Arial"/>
          <w:sz w:val="12"/>
          <w:szCs w:val="12"/>
          <w:b w:val="1"/>
          <w:bCs w:val="1"/>
          <w:color w:val="auto"/>
        </w:rPr>
        <w:t>2.4</w:t>
      </w:r>
      <w:r>
        <w:rPr>
          <w:sz w:val="20"/>
          <w:szCs w:val="20"/>
          <w:color w:val="auto"/>
        </w:rPr>
        <w:tab/>
      </w:r>
      <w:r>
        <w:rPr>
          <w:rFonts w:ascii="Arial" w:cs="Arial" w:eastAsia="Arial" w:hAnsi="Arial"/>
          <w:sz w:val="11"/>
          <w:szCs w:val="11"/>
          <w:color w:val="auto"/>
        </w:rPr>
        <w:t>Subscription rights can only be exercised after the end of the waiting period. The waiting period of a tranche of subscription rights begins in each case on the specified issue date and ends at the earliest at the end of the fourth anniversary of the issue date (“</w:t>
      </w:r>
      <w:r>
        <w:rPr>
          <w:rFonts w:ascii="Arial" w:cs="Arial" w:eastAsia="Arial" w:hAnsi="Arial"/>
          <w:sz w:val="11"/>
          <w:szCs w:val="11"/>
          <w:b w:val="1"/>
          <w:bCs w:val="1"/>
          <w:color w:val="auto"/>
        </w:rPr>
        <w:t>waiting period</w:t>
      </w:r>
      <w:r>
        <w:rPr>
          <w:rFonts w:ascii="Arial" w:cs="Arial" w:eastAsia="Arial" w:hAnsi="Arial"/>
          <w:sz w:val="11"/>
          <w:szCs w:val="11"/>
          <w:color w:val="auto"/>
        </w:rPr>
        <w:t>”).</w:t>
      </w:r>
    </w:p>
    <w:p>
      <w:pPr>
        <w:spacing w:after="0" w:line="183" w:lineRule="exact"/>
        <w:rPr>
          <w:sz w:val="20"/>
          <w:szCs w:val="20"/>
          <w:color w:val="auto"/>
        </w:rPr>
      </w:pPr>
    </w:p>
    <w:p>
      <w:pPr>
        <w:ind w:left="1120" w:hanging="299"/>
        <w:spacing w:after="0" w:line="276" w:lineRule="auto"/>
        <w:tabs>
          <w:tab w:leader="none" w:pos="110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1"/>
          <w:szCs w:val="11"/>
          <w:color w:val="auto"/>
        </w:rPr>
        <w:t>The company is entitled to limit the number of subscription rights to be exercised in an exercise period to a maximum total number at its reasonable discretion (§ 315 BGB), if this appears to be necessary for objective reasons (e.g. securing Mynaric’s share price, securing the usability of the new shares). If in this case the total number of subscription rights exercised by the beneficiaries exceeds the maximum limit set by the company, the subscription rights are deemed to be exercised in a number that - with reference to the maximum</w:t>
      </w:r>
    </w:p>
    <w:p>
      <w:pPr>
        <w:spacing w:after="0" w:line="1" w:lineRule="exact"/>
        <w:rPr>
          <w:sz w:val="20"/>
          <w:szCs w:val="20"/>
          <w:color w:val="auto"/>
        </w:rPr>
      </w:pPr>
    </w:p>
    <w:p>
      <w:pPr>
        <w:ind w:left="1140" w:right="20"/>
        <w:spacing w:after="0" w:line="320" w:lineRule="auto"/>
        <w:rPr>
          <w:sz w:val="20"/>
          <w:szCs w:val="20"/>
          <w:color w:val="auto"/>
        </w:rPr>
      </w:pPr>
      <w:r>
        <w:rPr>
          <w:rFonts w:ascii="Arial" w:cs="Arial" w:eastAsia="Arial" w:hAnsi="Arial"/>
          <w:sz w:val="10"/>
          <w:szCs w:val="10"/>
          <w:color w:val="auto"/>
        </w:rPr>
        <w:t>limit - corresponds to the ratio of the subscription rights actually exercised by the holder of the subscription rights to the total number of subscription rights exercised in this exercise period, i.e. the number of subscription rights exercised is reduced accordingly on a pro rata basis.</w:t>
      </w:r>
    </w:p>
    <w:p>
      <w:pPr>
        <w:spacing w:after="0" w:line="310" w:lineRule="exact"/>
        <w:rPr>
          <w:sz w:val="20"/>
          <w:szCs w:val="20"/>
          <w:color w:val="auto"/>
        </w:rPr>
      </w:pPr>
    </w:p>
    <w:p>
      <w:pPr>
        <w:ind w:left="1120" w:right="60" w:hanging="299"/>
        <w:spacing w:after="0" w:line="326" w:lineRule="auto"/>
        <w:tabs>
          <w:tab w:leader="none" w:pos="1100" w:val="left"/>
        </w:tabs>
        <w:rPr>
          <w:sz w:val="20"/>
          <w:szCs w:val="20"/>
          <w:color w:val="auto"/>
        </w:rPr>
      </w:pPr>
      <w:r>
        <w:rPr>
          <w:rFonts w:ascii="Arial" w:cs="Arial" w:eastAsia="Arial" w:hAnsi="Arial"/>
          <w:sz w:val="12"/>
          <w:szCs w:val="12"/>
          <w:b w:val="1"/>
          <w:bCs w:val="1"/>
          <w:color w:val="auto"/>
        </w:rPr>
        <w:t>2.6</w:t>
      </w:r>
      <w:r>
        <w:rPr>
          <w:sz w:val="20"/>
          <w:szCs w:val="20"/>
          <w:color w:val="auto"/>
        </w:rPr>
        <w:tab/>
      </w:r>
      <w:r>
        <w:rPr>
          <w:rFonts w:ascii="Arial" w:cs="Arial" w:eastAsia="Arial" w:hAnsi="Arial"/>
          <w:sz w:val="10"/>
          <w:szCs w:val="10"/>
          <w:color w:val="auto"/>
        </w:rPr>
        <w:t>Subscription rights may only be exercised if the waiting period has expired and if the performance target has been achieved. The subscription rights are serviced in shares of the company, whereby one subscription right entitles the holder to subscribe to one share each.</w:t>
      </w:r>
    </w:p>
    <w:p>
      <w:pPr>
        <w:spacing w:after="0" w:line="54"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ind w:right="859" w:hanging="299"/>
        <w:spacing w:after="0" w:line="256" w:lineRule="auto"/>
        <w:rPr>
          <w:sz w:val="20"/>
          <w:szCs w:val="20"/>
          <w:color w:val="auto"/>
        </w:rPr>
      </w:pPr>
      <w:r>
        <w:rPr>
          <w:rFonts w:ascii="Arial" w:cs="Arial" w:eastAsia="Arial" w:hAnsi="Arial"/>
          <w:sz w:val="12"/>
          <w:szCs w:val="12"/>
          <w:b w:val="1"/>
          <w:bCs w:val="1"/>
          <w:color w:val="auto"/>
        </w:rPr>
        <w:t>2.4</w:t>
      </w:r>
      <w:r>
        <w:rPr>
          <w:sz w:val="20"/>
          <w:szCs w:val="20"/>
          <w:color w:val="auto"/>
        </w:rPr>
        <w:t xml:space="preserve"> </w:t>
      </w:r>
      <w:r>
        <w:rPr>
          <w:rFonts w:ascii="Arial" w:cs="Arial" w:eastAsia="Arial" w:hAnsi="Arial"/>
          <w:sz w:val="12"/>
          <w:szCs w:val="12"/>
          <w:color w:val="auto"/>
        </w:rPr>
        <w:t>Bezugsrechte können erstmals nach Ablauf der Wartezeit ausgeübt werden. Die Wartezeit einer Tranche von Bezugsrechten beginnt jeweils mit dem festgelegten Ausgabetag und endet frühestens mit dem Ablauf des vierten Jahrestags nach dem Ausgabetag (“</w:t>
      </w:r>
      <w:r>
        <w:rPr>
          <w:rFonts w:ascii="Arial" w:cs="Arial" w:eastAsia="Arial" w:hAnsi="Arial"/>
          <w:sz w:val="12"/>
          <w:szCs w:val="12"/>
          <w:b w:val="1"/>
          <w:bCs w:val="1"/>
          <w:color w:val="auto"/>
        </w:rPr>
        <w:t>Wartezeit</w:t>
      </w:r>
      <w:r>
        <w:rPr>
          <w:rFonts w:ascii="Arial" w:cs="Arial" w:eastAsia="Arial" w:hAnsi="Arial"/>
          <w:sz w:val="12"/>
          <w:szCs w:val="12"/>
          <w:color w:val="auto"/>
        </w:rPr>
        <w:t>”).</w:t>
      </w:r>
    </w:p>
    <w:p>
      <w:pPr>
        <w:spacing w:after="0" w:line="56" w:lineRule="exact"/>
        <w:rPr>
          <w:sz w:val="20"/>
          <w:szCs w:val="20"/>
          <w:color w:val="auto"/>
        </w:rPr>
      </w:pPr>
    </w:p>
    <w:p>
      <w:pPr>
        <w:ind w:right="879" w:hanging="299"/>
        <w:spacing w:after="0" w:line="277" w:lineRule="auto"/>
        <w:rPr>
          <w:sz w:val="20"/>
          <w:szCs w:val="20"/>
          <w:color w:val="auto"/>
        </w:rPr>
      </w:pPr>
      <w:r>
        <w:rPr>
          <w:rFonts w:ascii="Arial" w:cs="Arial" w:eastAsia="Arial" w:hAnsi="Arial"/>
          <w:sz w:val="12"/>
          <w:szCs w:val="12"/>
          <w:b w:val="1"/>
          <w:bCs w:val="1"/>
          <w:color w:val="auto"/>
        </w:rPr>
        <w:t>2.5</w:t>
      </w:r>
      <w:r>
        <w:rPr>
          <w:sz w:val="20"/>
          <w:szCs w:val="20"/>
          <w:color w:val="auto"/>
        </w:rPr>
        <w:t xml:space="preserve"> </w:t>
      </w:r>
      <w:r>
        <w:rPr>
          <w:rFonts w:ascii="Arial" w:cs="Arial" w:eastAsia="Arial" w:hAnsi="Arial"/>
          <w:sz w:val="11"/>
          <w:szCs w:val="11"/>
          <w:color w:val="auto"/>
        </w:rPr>
        <w:t>Die Gesellschaft ist berechtigt, die Anzahl der in einem Ausübungszeitraum maximal insgesamt auszuübenden Bezugsrechte nach billigem Ermessen (§ 315 BGB) zu begrenzen, wenn dies aus sachlichen Gründen (z. B. Sicherung des Aktienkurses der Mynaric, Sicherung der Verwertbarkeit der jungen Aktien) geboten erscheint. Soweit in diesem Fall die Gesamtzahl der von den Bezugsberechtigten ausgeübten Bezugsrechte die von der Gesellschaft festgesetzte Höchstgrenze übersteigt, gelten die Bezugsrechte in einer Anzahl als ausgeübt, die – bezogen auf die Höchstgrenze – dem Verhältnis der vom Bezugsrechtsinhaber tatsächlich ausgeübten Bezugsrechte zur Gesamtzahl der in diesem Ausübungszeitraum ausgeübten Bezugsrechte entspricht, d. h. die Anzahl der ausgeübten Bezugsrechte reduziert sich entsprechend pro rata.</w:t>
      </w:r>
    </w:p>
    <w:p>
      <w:pPr>
        <w:spacing w:after="0" w:line="44" w:lineRule="exact"/>
        <w:rPr>
          <w:sz w:val="20"/>
          <w:szCs w:val="20"/>
          <w:color w:val="auto"/>
        </w:rPr>
      </w:pPr>
    </w:p>
    <w:p>
      <w:pPr>
        <w:ind w:right="859" w:hanging="299"/>
        <w:spacing w:after="0" w:line="276" w:lineRule="auto"/>
        <w:rPr>
          <w:sz w:val="20"/>
          <w:szCs w:val="20"/>
          <w:color w:val="auto"/>
        </w:rPr>
      </w:pPr>
      <w:r>
        <w:rPr>
          <w:rFonts w:ascii="Arial" w:cs="Arial" w:eastAsia="Arial" w:hAnsi="Arial"/>
          <w:sz w:val="12"/>
          <w:szCs w:val="12"/>
          <w:b w:val="1"/>
          <w:bCs w:val="1"/>
          <w:color w:val="auto"/>
        </w:rPr>
        <w:t>2.6</w:t>
      </w:r>
      <w:r>
        <w:rPr>
          <w:sz w:val="20"/>
          <w:szCs w:val="20"/>
          <w:color w:val="auto"/>
        </w:rPr>
        <w:t xml:space="preserve"> </w:t>
      </w:r>
      <w:r>
        <w:rPr>
          <w:rFonts w:ascii="Arial" w:cs="Arial" w:eastAsia="Arial" w:hAnsi="Arial"/>
          <w:sz w:val="12"/>
          <w:szCs w:val="12"/>
          <w:color w:val="auto"/>
        </w:rPr>
        <w:t>Bezugsrechte sind nur ausübbar, wenn die Wartezeit abgelaufen ist und wenn das Erfolgsziel erreicht wurde.</w:t>
      </w:r>
    </w:p>
    <w:p>
      <w:pPr>
        <w:sectPr>
          <w:pgSz w:w="11900" w:h="16838" w:orient="portrait"/>
          <w:cols w:equalWidth="0" w:num="2">
            <w:col w:w="4580" w:space="380"/>
            <w:col w:w="4059"/>
          </w:cols>
          <w:pgMar w:left="1440" w:top="910" w:right="1440" w:bottom="1440" w:gutter="0" w:footer="0" w:header="0"/>
          <w:type w:val="continuous"/>
        </w:sectPr>
      </w:pPr>
    </w:p>
    <w:bookmarkStart w:id="303" w:name="page304"/>
    <w:bookmarkEnd w:id="303"/>
    <w:p>
      <w:pPr>
        <w:ind w:left="1120" w:hanging="288"/>
        <w:spacing w:after="0"/>
        <w:tabs>
          <w:tab w:leader="none" w:pos="1120" w:val="left"/>
        </w:tabs>
        <w:numPr>
          <w:ilvl w:val="0"/>
          <w:numId w:val="237"/>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Exercise price</w:t>
      </w:r>
    </w:p>
    <w:p>
      <w:pPr>
        <w:spacing w:after="0" w:line="78" w:lineRule="exact"/>
        <w:rPr>
          <w:sz w:val="20"/>
          <w:szCs w:val="20"/>
          <w:color w:val="auto"/>
        </w:rPr>
      </w:pPr>
    </w:p>
    <w:p>
      <w:pPr>
        <w:ind w:left="1120" w:hanging="299"/>
        <w:spacing w:after="0" w:line="305" w:lineRule="auto"/>
        <w:tabs>
          <w:tab w:leader="none" w:pos="110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0"/>
          <w:szCs w:val="10"/>
          <w:color w:val="auto"/>
        </w:rPr>
        <w:t>When the subscription rights are exercised, the exercise price is payable for each share to be subscribed. The “</w:t>
      </w:r>
      <w:r>
        <w:rPr>
          <w:rFonts w:ascii="Arial" w:cs="Arial" w:eastAsia="Arial" w:hAnsi="Arial"/>
          <w:sz w:val="10"/>
          <w:szCs w:val="10"/>
          <w:b w:val="1"/>
          <w:bCs w:val="1"/>
          <w:color w:val="auto"/>
        </w:rPr>
        <w:t>exercise price</w:t>
      </w:r>
      <w:r>
        <w:rPr>
          <w:rFonts w:ascii="Arial" w:cs="Arial" w:eastAsia="Arial" w:hAnsi="Arial"/>
          <w:sz w:val="10"/>
          <w:szCs w:val="10"/>
          <w:color w:val="auto"/>
        </w:rPr>
        <w:t>” per share corresponds to the volume-weighted 6-months average price of the share or the volume-weighted 6-month average price, to be converted into amounts per share, of the right or certificate representing the share in the trading system with the highest total trading volume in shares of the Company or in rights or certificates representing such shares on the ten days preceding the day before the issue period on which this trading system has been open for general stock exchange trading. For periods in which the trading system with the highest total trading volume in shares of the Company or in rights or certificates representing such shares on the ten days preceding the day before the issue period on which this trading system has been open for general stock exchange trading is the Frankfurt Stock Exchange, the exercise price per share shall correspond to the volume-weighted 6-months average price of the share in Xetra trading (or a comparable successor system) on the Frankfurt Stock Exchange on the day before the issue period. The minimum exercise price shall be at least equal to the lowest issue price within the meaning of Section 9 (1) AktG.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color w:val="auto"/>
        </w:rPr>
        <w:t>The exercise price is payable when the subscription right is exercised.</w:t>
      </w:r>
    </w:p>
    <w:p>
      <w:pPr>
        <w:spacing w:after="0" w:line="78" w:lineRule="exact"/>
        <w:rPr>
          <w:sz w:val="20"/>
          <w:szCs w:val="20"/>
          <w:color w:val="auto"/>
        </w:rPr>
      </w:pPr>
    </w:p>
    <w:p>
      <w:pPr>
        <w:ind w:left="1120" w:hanging="288"/>
        <w:spacing w:after="0"/>
        <w:tabs>
          <w:tab w:leader="none" w:pos="1120" w:val="left"/>
        </w:tabs>
        <w:numPr>
          <w:ilvl w:val="0"/>
          <w:numId w:val="238"/>
        </w:numPr>
        <w:rPr>
          <w:rFonts w:ascii="Arial" w:cs="Arial" w:eastAsia="Arial" w:hAnsi="Arial"/>
          <w:sz w:val="12"/>
          <w:szCs w:val="12"/>
          <w:b w:val="1"/>
          <w:bCs w:val="1"/>
          <w:color w:val="auto"/>
        </w:rPr>
      </w:pPr>
      <w:r>
        <w:rPr>
          <w:rFonts w:ascii="Arial" w:cs="Arial" w:eastAsia="Arial" w:hAnsi="Arial"/>
          <w:sz w:val="12"/>
          <w:szCs w:val="12"/>
          <w:b w:val="1"/>
          <w:bCs w:val="1"/>
          <w:color w:val="auto"/>
        </w:rPr>
        <w:t>Performance target</w:t>
      </w:r>
    </w:p>
    <w:p>
      <w:pPr>
        <w:spacing w:after="0" w:line="78" w:lineRule="exact"/>
        <w:rPr>
          <w:sz w:val="20"/>
          <w:szCs w:val="20"/>
          <w:color w:val="auto"/>
        </w:rPr>
      </w:pPr>
    </w:p>
    <w:p>
      <w:pPr>
        <w:ind w:left="1120" w:right="120" w:hanging="299"/>
        <w:spacing w:after="0" w:line="323" w:lineRule="auto"/>
        <w:tabs>
          <w:tab w:leader="none" w:pos="110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1"/>
          <w:szCs w:val="11"/>
          <w:color w:val="auto"/>
        </w:rPr>
        <w:t>Subscription rights may only be exercised if and to the extent that the performance target has been achieved as described below:</w:t>
      </w:r>
    </w:p>
    <w:p>
      <w:pPr>
        <w:spacing w:after="0" w:line="24" w:lineRule="exact"/>
        <w:rPr>
          <w:sz w:val="20"/>
          <w:szCs w:val="20"/>
          <w:color w:val="auto"/>
        </w:rPr>
      </w:pPr>
    </w:p>
    <w:p>
      <w:pPr>
        <w:ind w:left="1140" w:right="60"/>
        <w:spacing w:after="0" w:line="259" w:lineRule="auto"/>
        <w:rPr>
          <w:sz w:val="20"/>
          <w:szCs w:val="20"/>
          <w:color w:val="auto"/>
        </w:rPr>
      </w:pPr>
      <w:r>
        <w:rPr>
          <w:rFonts w:ascii="Arial" w:cs="Arial" w:eastAsia="Arial" w:hAnsi="Arial"/>
          <w:sz w:val="12"/>
          <w:szCs w:val="12"/>
          <w:color w:val="auto"/>
        </w:rPr>
        <w:t>The performance target is linked to the absolute performance of the company’s share price during the waiting period. The subscription rights may be exercised if the 6-month volume-weighted average price of the</w:t>
      </w:r>
    </w:p>
    <w:p>
      <w:pPr>
        <w:spacing w:after="0" w:line="79"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ind w:left="283" w:hanging="283"/>
        <w:spacing w:after="0"/>
        <w:tabs>
          <w:tab w:leader="none" w:pos="283" w:val="left"/>
        </w:tabs>
        <w:numPr>
          <w:ilvl w:val="0"/>
          <w:numId w:val="239"/>
        </w:numPr>
        <w:rPr>
          <w:rFonts w:ascii="Arial" w:cs="Arial" w:eastAsia="Arial" w:hAnsi="Arial"/>
          <w:sz w:val="12"/>
          <w:szCs w:val="12"/>
          <w:b w:val="1"/>
          <w:bCs w:val="1"/>
          <w:color w:val="auto"/>
        </w:rPr>
      </w:pPr>
      <w:r>
        <w:rPr>
          <w:rFonts w:ascii="Arial" w:cs="Arial" w:eastAsia="Arial" w:hAnsi="Arial"/>
          <w:sz w:val="12"/>
          <w:szCs w:val="12"/>
          <w:b w:val="1"/>
          <w:bCs w:val="1"/>
          <w:color w:val="auto"/>
        </w:rPr>
        <w:t>Ausübungspreis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-513080</wp:posOffset>
            </wp:positionV>
            <wp:extent cx="1285875" cy="3714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58" w:lineRule="exact"/>
        <w:rPr>
          <w:sz w:val="20"/>
          <w:szCs w:val="20"/>
          <w:color w:val="auto"/>
        </w:rPr>
      </w:pPr>
    </w:p>
    <w:p>
      <w:pPr>
        <w:ind w:left="303" w:right="899" w:hanging="299"/>
        <w:spacing w:after="0" w:line="278" w:lineRule="auto"/>
        <w:tabs>
          <w:tab w:leader="none" w:pos="282"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1"/>
          <w:szCs w:val="11"/>
          <w:color w:val="auto"/>
        </w:rPr>
        <w:t>Bei Ausübung der Bezugsrechte ist für jede zu beziehende Aktie der Ausübungspreis zu zahlen. Der „</w:t>
      </w:r>
      <w:r>
        <w:rPr>
          <w:rFonts w:ascii="Arial" w:cs="Arial" w:eastAsia="Arial" w:hAnsi="Arial"/>
          <w:sz w:val="11"/>
          <w:szCs w:val="11"/>
          <w:b w:val="1"/>
          <w:bCs w:val="1"/>
          <w:color w:val="auto"/>
        </w:rPr>
        <w:t>Ausübungspreis</w:t>
      </w:r>
      <w:r>
        <w:rPr>
          <w:rFonts w:ascii="Arial" w:cs="Arial" w:eastAsia="Arial" w:hAnsi="Arial"/>
          <w:sz w:val="11"/>
          <w:szCs w:val="11"/>
          <w:color w:val="auto"/>
        </w:rPr>
        <w:t>“ je Aktie entspricht dem volumengewichteten 6-Monats- Durchschnittskurs der Aktie der Gesellschaft oder dem in Beträge je Aktie umzurechnenden volumengewichteten</w:t>
      </w:r>
    </w:p>
    <w:p>
      <w:pPr>
        <w:ind w:left="303" w:right="879"/>
        <w:spacing w:after="0" w:line="304" w:lineRule="auto"/>
        <w:rPr>
          <w:sz w:val="20"/>
          <w:szCs w:val="20"/>
          <w:color w:val="auto"/>
        </w:rPr>
      </w:pPr>
      <w:r>
        <w:rPr>
          <w:rFonts w:ascii="Arial" w:cs="Arial" w:eastAsia="Arial" w:hAnsi="Arial"/>
          <w:sz w:val="10"/>
          <w:szCs w:val="10"/>
          <w:color w:val="auto"/>
        </w:rPr>
        <w:t>6-Monats-Durchschnittskurs des die Aktie vertretenden Rechts oder Zertifikats im Handelssystem mit dem höchsten gesamten Handelsumsatz an Aktien der Gesellschaft oder an solche vertretenden Rechten oder Zertifikaten an den zehn dem Tag vor dem Ausgabezeitraum vorangehenden Tagen, an denen dieses Handelssystem für den allgemeinen Börsenhandel geöffnet gewesen ist. Für Zeiträume, in denen das Handelssystem mit dem höchsten gesamten Handelsumsatz an Aktien der Gesellschaft oder an solche vertretenden Rechten oder Zertifikaten an den zehn dem Tag vor dem Ausgabezeitraum vorangehenden Tagen, an denen dieses Handelssystem für den allgemeinen Börsenhandel geöffnet gewesen ist, die Frankfurter Wertpapierbörse ist, entspricht der Ausübungspreis je Aktie dem volumengewichteten 6-Monats-Durchschnittskurs der Aktie im Xetra- Handel (oder einem vergleichbaren Nachfolgesystem) an der Frankfurter Wertpapierbörse am Tag vor dem Ausgabezeitraum. Der Mindestausübungspreis entspricht mindestens dem geringsten Ausgabebetrag im Sinne von § 9 Abs. 1 AktG.</w:t>
      </w:r>
    </w:p>
    <w:p>
      <w:pPr>
        <w:spacing w:after="0" w:line="175" w:lineRule="exact"/>
        <w:rPr>
          <w:sz w:val="20"/>
          <w:szCs w:val="20"/>
          <w:color w:val="auto"/>
        </w:rPr>
      </w:pPr>
    </w:p>
    <w:p>
      <w:pPr>
        <w:ind w:left="3"/>
        <w:spacing w:after="0"/>
        <w:tabs>
          <w:tab w:leader="none" w:pos="282"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color w:val="auto"/>
        </w:rPr>
        <w:t>Der Ausübungspreis ist mit Ausübung des Bezugsrechts zahlbar.</w:t>
      </w:r>
    </w:p>
    <w:p>
      <w:pPr>
        <w:spacing w:after="0" w:line="78" w:lineRule="exact"/>
        <w:rPr>
          <w:sz w:val="20"/>
          <w:szCs w:val="20"/>
          <w:color w:val="auto"/>
        </w:rPr>
      </w:pPr>
    </w:p>
    <w:p>
      <w:pPr>
        <w:ind w:left="303" w:hanging="303"/>
        <w:spacing w:after="0"/>
        <w:tabs>
          <w:tab w:leader="none" w:pos="303" w:val="left"/>
        </w:tabs>
        <w:numPr>
          <w:ilvl w:val="0"/>
          <w:numId w:val="240"/>
        </w:numPr>
        <w:rPr>
          <w:rFonts w:ascii="Arial" w:cs="Arial" w:eastAsia="Arial" w:hAnsi="Arial"/>
          <w:sz w:val="12"/>
          <w:szCs w:val="12"/>
          <w:b w:val="1"/>
          <w:bCs w:val="1"/>
          <w:color w:val="auto"/>
        </w:rPr>
      </w:pPr>
      <w:r>
        <w:rPr>
          <w:rFonts w:ascii="Arial" w:cs="Arial" w:eastAsia="Arial" w:hAnsi="Arial"/>
          <w:sz w:val="12"/>
          <w:szCs w:val="12"/>
          <w:b w:val="1"/>
          <w:bCs w:val="1"/>
          <w:color w:val="auto"/>
        </w:rPr>
        <w:t>Erfolgsziel</w:t>
      </w:r>
    </w:p>
    <w:p>
      <w:pPr>
        <w:spacing w:after="0" w:line="78" w:lineRule="exact"/>
        <w:rPr>
          <w:sz w:val="20"/>
          <w:szCs w:val="20"/>
          <w:color w:val="auto"/>
        </w:rPr>
      </w:pPr>
    </w:p>
    <w:p>
      <w:pPr>
        <w:ind w:left="3"/>
        <w:spacing w:after="0"/>
        <w:tabs>
          <w:tab w:leader="none" w:pos="262"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0"/>
          <w:szCs w:val="10"/>
          <w:color w:val="auto"/>
        </w:rPr>
        <w:t>Bezugsrechte können nur ausgeübt werden, wenn und soweit das</w:t>
      </w:r>
    </w:p>
    <w:p>
      <w:pPr>
        <w:spacing w:after="0" w:line="19" w:lineRule="exact"/>
        <w:rPr>
          <w:sz w:val="20"/>
          <w:szCs w:val="20"/>
          <w:color w:val="auto"/>
        </w:rPr>
      </w:pPr>
    </w:p>
    <w:p>
      <w:pPr>
        <w:ind w:left="303"/>
        <w:spacing w:after="0"/>
        <w:rPr>
          <w:sz w:val="20"/>
          <w:szCs w:val="20"/>
          <w:color w:val="auto"/>
        </w:rPr>
      </w:pPr>
      <w:r>
        <w:rPr>
          <w:rFonts w:ascii="Arial" w:cs="Arial" w:eastAsia="Arial" w:hAnsi="Arial"/>
          <w:sz w:val="12"/>
          <w:szCs w:val="12"/>
          <w:color w:val="auto"/>
        </w:rPr>
        <w:t>Erfolgsziel wie nachfolgend beschrieben erreicht wurde:</w:t>
      </w:r>
    </w:p>
    <w:p>
      <w:pPr>
        <w:spacing w:after="0" w:line="69" w:lineRule="exact"/>
        <w:rPr>
          <w:sz w:val="20"/>
          <w:szCs w:val="20"/>
          <w:color w:val="auto"/>
        </w:rPr>
      </w:pPr>
    </w:p>
    <w:p>
      <w:pPr>
        <w:ind w:left="303" w:right="859"/>
        <w:spacing w:after="0" w:line="289" w:lineRule="auto"/>
        <w:rPr>
          <w:sz w:val="20"/>
          <w:szCs w:val="20"/>
          <w:color w:val="auto"/>
        </w:rPr>
      </w:pPr>
      <w:r>
        <w:rPr>
          <w:rFonts w:ascii="Arial" w:cs="Arial" w:eastAsia="Arial" w:hAnsi="Arial"/>
          <w:sz w:val="11"/>
          <w:szCs w:val="11"/>
          <w:color w:val="auto"/>
        </w:rPr>
        <w:t>Das Erfolgsziel ist an die absolute Kursentwicklung der Aktie der Gesellschaft während der Wartezeit gekoppelt. Die Bezugsrechte können ausgeübt werden, wenn der volumengewichtete 6-Monats-Durchschnittskurs der Aktie der</w:t>
      </w:r>
    </w:p>
    <w:p>
      <w:pPr>
        <w:sectPr>
          <w:pgSz w:w="11900" w:h="16838" w:orient="portrait"/>
          <w:cols w:equalWidth="0" w:num="2">
            <w:col w:w="4580" w:space="77"/>
            <w:col w:w="4362"/>
          </w:cols>
          <w:pgMar w:left="1440" w:top="910" w:right="1440" w:bottom="1440" w:gutter="0" w:footer="0" w:header="0"/>
        </w:sectPr>
      </w:pPr>
    </w:p>
    <w:bookmarkStart w:id="304" w:name="page305"/>
    <w:bookmarkEnd w:id="304"/>
    <w:p>
      <w:pPr>
        <w:ind w:left="1140"/>
        <w:spacing w:after="0" w:line="30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Company’s share or the 6-month volume-weighted average price, to be converted into amounts per share, of the right or certificate representing the share in the trading system with the highest total trading volume in shares of the Company or in rights or certificates representing such shares on the ten last days prior to the expiry date of the waiting period on which this trading system has been open for general stock exchange trading is at least 20% above the exercise price at the end of the waiting period. For periods in which the trading system with the highest total trading volume in shares of the Company or in rights or certificates representing such shares on the ten last days prior to the expiry date of the waiting period on which this trading system has been open for general stock exchange trading is the Frankfurt Stock Exchange, the stock options may be exercised if the volume-weighted 6-month average price of the Company’s shares in Xetra trading (or a comparable successor system) on the Frankfurt Stock Exchange at the expiry of the waiting period is at least 20% above the exercise price.</w:t>
      </w:r>
    </w:p>
    <w:p>
      <w:pPr>
        <w:spacing w:after="0" w:line="20" w:lineRule="exact"/>
        <w:rPr>
          <w:sz w:val="20"/>
          <w:szCs w:val="20"/>
          <w:color w:val="auto"/>
        </w:rPr>
      </w:pPr>
      <w:r>
        <w:rPr>
          <w:sz w:val="20"/>
          <w:szCs w:val="20"/>
          <w:color w:val="auto"/>
        </w:rPr>
        <w:br w:type="column"/>
      </w:r>
    </w:p>
    <w:p>
      <w:pPr>
        <w:ind w:right="839"/>
        <w:spacing w:after="0" w:line="305" w:lineRule="auto"/>
        <w:rPr>
          <w:sz w:val="20"/>
          <w:szCs w:val="20"/>
          <w:color w:val="auto"/>
        </w:rPr>
      </w:pPr>
      <w:r>
        <w:rPr>
          <w:rFonts w:ascii="Arial" w:cs="Arial" w:eastAsia="Arial" w:hAnsi="Arial"/>
          <w:sz w:val="10"/>
          <w:szCs w:val="10"/>
          <w:color w:val="auto"/>
        </w:rPr>
        <w:t>Gesellschaft oder der in Beträge je Aktie umzurechnende volumengewichtete 6- Monats-Durchschnittskurs des die Aktie vertretenden Rechts oder Zertifikats in dem Handelssystem mit dem höchsten gesamten Handelsumsatz an Aktien der Gesellschaft oder an solche vertretenden Rechten oder Zertifikaten an den zehn letzten Tagen vor dem Tag des Ablaufs der Wartezeit, an denen dieses Handelssystem für den allgemeinen Börsenhandel geöffnet gewesen ist, bei Ablauf der Wartezeit mindestens 20 % über dem Ausübungspreis liegt. Für Zeiträume, in denen das Handelssystem mit dem höchsten gesamten Handelsumsatz an Aktien der Gesellschaft oder an solche vertretenden Rechten oder Zertifikaten an den zehn letzten Tagen vor dem Tag des Ablaufs der Wartezeit, an denen dieses Handelssystem für den allgemeinen Börsenhandel geöffnet gewesen ist, die Frankfurter Wertpapierbörse ist, können die Aktienoptionen ausgeübt werden, wenn der volumengewichtete 6-Monats- Durchschnittskurs der Aktie der Gesellschaft im Xetra-Handel (oder einem vergleichbaren Nachfolgesystem) an der Frankfurter Wertpapierbörse bei Ablauf der Wartezeit mindestens 20 % über dem Ausübungspreis liegt.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-2098675</wp:posOffset>
            </wp:positionV>
            <wp:extent cx="1285875" cy="3714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4580" w:space="380"/>
            <w:col w:w="4059"/>
          </w:cols>
          <w:pgMar w:left="1440" w:top="914" w:right="1440" w:bottom="1440" w:gutter="0" w:footer="0" w:header="0"/>
        </w:sectPr>
      </w:pPr>
    </w:p>
    <w:p>
      <w:pPr>
        <w:ind w:left="1120" w:right="40" w:hanging="299"/>
        <w:spacing w:after="0" w:line="256" w:lineRule="auto"/>
        <w:tabs>
          <w:tab w:leader="none" w:pos="110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2"/>
          <w:szCs w:val="12"/>
          <w:color w:val="auto"/>
        </w:rPr>
        <w:t>In the event of a change in stock exchange practices, the provisions of these option conditions must be interpreted in such a way that they come as close as possible to the original intention. If the Xetra trading system is replaced by a successor system, this successor system must be taken into account.</w:t>
      </w:r>
    </w:p>
    <w:p>
      <w:pPr>
        <w:spacing w:after="0" w:line="56" w:lineRule="exact"/>
        <w:rPr>
          <w:sz w:val="20"/>
          <w:szCs w:val="20"/>
          <w:color w:val="auto"/>
        </w:rPr>
      </w:pPr>
    </w:p>
    <w:p>
      <w:pPr>
        <w:ind w:left="1120" w:hanging="288"/>
        <w:spacing w:after="0"/>
        <w:tabs>
          <w:tab w:leader="none" w:pos="1120" w:val="left"/>
        </w:tabs>
        <w:numPr>
          <w:ilvl w:val="0"/>
          <w:numId w:val="241"/>
        </w:numPr>
        <w:rPr>
          <w:rFonts w:ascii="Arial" w:cs="Arial" w:eastAsia="Arial" w:hAnsi="Arial"/>
          <w:sz w:val="12"/>
          <w:szCs w:val="12"/>
          <w:b w:val="1"/>
          <w:bCs w:val="1"/>
          <w:color w:val="auto"/>
        </w:rPr>
      </w:pPr>
      <w:r>
        <w:rPr>
          <w:rFonts w:ascii="Arial" w:cs="Arial" w:eastAsia="Arial" w:hAnsi="Arial"/>
          <w:sz w:val="12"/>
          <w:szCs w:val="12"/>
          <w:b w:val="1"/>
          <w:bCs w:val="1"/>
          <w:color w:val="auto"/>
        </w:rPr>
        <w:t>Exercise of subscription rights</w:t>
      </w:r>
    </w:p>
    <w:p>
      <w:pPr>
        <w:spacing w:after="0" w:line="78" w:lineRule="exact"/>
        <w:rPr>
          <w:sz w:val="20"/>
          <w:szCs w:val="20"/>
          <w:color w:val="auto"/>
        </w:rPr>
      </w:pPr>
    </w:p>
    <w:p>
      <w:pPr>
        <w:ind w:left="1120" w:right="20" w:hanging="299"/>
        <w:spacing w:after="0" w:line="256" w:lineRule="auto"/>
        <w:tabs>
          <w:tab w:leader="none" w:pos="110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2"/>
          <w:szCs w:val="12"/>
          <w:color w:val="auto"/>
        </w:rPr>
        <w:t>The subscription rights are exercised by means of a written, personally signed declaration to the Company (“</w:t>
      </w:r>
      <w:r>
        <w:rPr>
          <w:rFonts w:ascii="Arial" w:cs="Arial" w:eastAsia="Arial" w:hAnsi="Arial"/>
          <w:sz w:val="12"/>
          <w:szCs w:val="12"/>
          <w:b w:val="1"/>
          <w:bCs w:val="1"/>
          <w:color w:val="auto"/>
        </w:rPr>
        <w:t>subscription declaration</w:t>
      </w:r>
      <w:r>
        <w:rPr>
          <w:rFonts w:ascii="Arial" w:cs="Arial" w:eastAsia="Arial" w:hAnsi="Arial"/>
          <w:sz w:val="12"/>
          <w:szCs w:val="12"/>
          <w:color w:val="auto"/>
        </w:rPr>
        <w:t>”), which must be received by the Company in duplicate within an exercise period. The form available from the Company must be used for the subscription declaration.</w:t>
      </w:r>
    </w:p>
    <w:p>
      <w:pPr>
        <w:spacing w:after="0" w:line="200" w:lineRule="exact"/>
        <w:rPr>
          <w:sz w:val="20"/>
          <w:szCs w:val="20"/>
          <w:color w:val="auto"/>
        </w:rPr>
      </w:pPr>
    </w:p>
    <w:p>
      <w:pPr>
        <w:ind w:left="1120" w:right="2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2"/>
          <w:szCs w:val="12"/>
          <w:color w:val="auto"/>
        </w:rPr>
        <w:t>In addition to the information required by § 198 German Stock Corporation Act, the subscription declaration must contain the number of subscription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ind w:left="283" w:right="959" w:hanging="299"/>
        <w:spacing w:after="0" w:line="285" w:lineRule="auto"/>
        <w:tabs>
          <w:tab w:leader="none" w:pos="262"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1"/>
          <w:szCs w:val="11"/>
          <w:color w:val="auto"/>
        </w:rPr>
        <w:t>Bei einer Änderung der Börsenusancen sind die Bestimmungen dieser Optionsbedingungen so auszulegen, dass sie dem ursprünglich Gewollten möglichst nahe kommen. Bei einer Ablösung des Xetra-Handelssystems durch ein Nachfolgesystem ist auf dieses Nachfolgesystem abzustellen.</w:t>
      </w:r>
    </w:p>
    <w:p>
      <w:pPr>
        <w:spacing w:after="0" w:line="41" w:lineRule="exact"/>
        <w:rPr>
          <w:sz w:val="20"/>
          <w:szCs w:val="20"/>
          <w:color w:val="auto"/>
        </w:rPr>
      </w:pPr>
    </w:p>
    <w:p>
      <w:pPr>
        <w:ind w:left="283" w:hanging="283"/>
        <w:spacing w:after="0"/>
        <w:tabs>
          <w:tab w:leader="none" w:pos="283" w:val="left"/>
        </w:tabs>
        <w:numPr>
          <w:ilvl w:val="0"/>
          <w:numId w:val="242"/>
        </w:numPr>
        <w:rPr>
          <w:rFonts w:ascii="Arial" w:cs="Arial" w:eastAsia="Arial" w:hAnsi="Arial"/>
          <w:sz w:val="12"/>
          <w:szCs w:val="12"/>
          <w:b w:val="1"/>
          <w:bCs w:val="1"/>
          <w:color w:val="auto"/>
        </w:rPr>
      </w:pPr>
      <w:r>
        <w:rPr>
          <w:rFonts w:ascii="Arial" w:cs="Arial" w:eastAsia="Arial" w:hAnsi="Arial"/>
          <w:sz w:val="12"/>
          <w:szCs w:val="12"/>
          <w:b w:val="1"/>
          <w:bCs w:val="1"/>
          <w:color w:val="auto"/>
        </w:rPr>
        <w:t>Ausübung der Bezugsrechte</w:t>
      </w:r>
    </w:p>
    <w:p>
      <w:pPr>
        <w:spacing w:after="0" w:line="78" w:lineRule="exact"/>
        <w:rPr>
          <w:sz w:val="20"/>
          <w:szCs w:val="20"/>
          <w:color w:val="auto"/>
        </w:rPr>
      </w:pPr>
    </w:p>
    <w:p>
      <w:pPr>
        <w:ind w:left="303" w:right="859" w:hanging="299"/>
        <w:spacing w:after="0" w:line="255" w:lineRule="auto"/>
        <w:tabs>
          <w:tab w:leader="none" w:pos="282"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2"/>
          <w:szCs w:val="12"/>
          <w:color w:val="auto"/>
        </w:rPr>
        <w:t>Die Ausübung der Bezugsrechte erfolgt durch schriftliche, eigenhändig unterschriebene Erklärung gegenüber der Gesellschaft („</w:t>
      </w:r>
      <w:r>
        <w:rPr>
          <w:rFonts w:ascii="Arial" w:cs="Arial" w:eastAsia="Arial" w:hAnsi="Arial"/>
          <w:sz w:val="12"/>
          <w:szCs w:val="12"/>
          <w:b w:val="1"/>
          <w:bCs w:val="1"/>
          <w:color w:val="auto"/>
        </w:rPr>
        <w:t>Bezugserklärung</w:t>
      </w:r>
      <w:r>
        <w:rPr>
          <w:rFonts w:ascii="Arial" w:cs="Arial" w:eastAsia="Arial" w:hAnsi="Arial"/>
          <w:sz w:val="12"/>
          <w:szCs w:val="12"/>
          <w:color w:val="auto"/>
        </w:rPr>
        <w:t>“), die dieser innerhalb eines Ausübungszeitraums in doppelter Ausfertigung zugehen muss. Für die Bezugserklärung ist der bei der Gesellschaft erhältliche Vordruck zu verwenden.</w:t>
      </w:r>
    </w:p>
    <w:p>
      <w:pPr>
        <w:spacing w:after="0" w:line="56" w:lineRule="exact"/>
        <w:rPr>
          <w:sz w:val="20"/>
          <w:szCs w:val="20"/>
          <w:color w:val="auto"/>
        </w:rPr>
      </w:pPr>
    </w:p>
    <w:p>
      <w:pPr>
        <w:ind w:left="303" w:right="1259" w:hanging="299"/>
        <w:spacing w:after="0" w:line="259" w:lineRule="auto"/>
        <w:tabs>
          <w:tab w:leader="none" w:pos="282"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2"/>
          <w:szCs w:val="12"/>
          <w:color w:val="auto"/>
        </w:rPr>
        <w:t>Über die Angaben nach § 198 AktG hinaus hat die Bezugserklärung die Anzahl der Bezugsrechte, welche der Bezugsrechtsinhaber ausüben möchte, sowie die Angabe eines</w:t>
      </w:r>
    </w:p>
    <w:p>
      <w:pPr>
        <w:sectPr>
          <w:pgSz w:w="11900" w:h="16838" w:orient="portrait"/>
          <w:cols w:equalWidth="0" w:num="2">
            <w:col w:w="4540" w:space="117"/>
            <w:col w:w="4362"/>
          </w:cols>
          <w:pgMar w:left="1440" w:top="914" w:right="1440" w:bottom="1440" w:gutter="0" w:footer="0" w:header="0"/>
          <w:type w:val="continuous"/>
        </w:sectPr>
      </w:pPr>
    </w:p>
    <w:bookmarkStart w:id="305" w:name="page306"/>
    <w:bookmarkEnd w:id="305"/>
    <w:p>
      <w:pPr>
        <w:ind w:left="1140"/>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rights that the holder of subscription rights wishes to exercise and the details of a securities account of the holder of subscription rights for the registration of the shares of Mynaric. The number of subscription rights exercised must be divisible by 100, unless a subscription right holder exercises all subscription rights to which he is entitled.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Wertpapierdepots des Bezugsrechtsinhabers zur Einbuchung 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-501015</wp:posOffset>
            </wp:positionV>
            <wp:extent cx="1285875" cy="3714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Aktien der Mynaric zu enthalten. Die Anzahl der ausgeübten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Bezugsrechte muss durch 100 teilbar sein, es sei denn, ein</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Bezugsrechtsinhaber übt alle ihm zustehenden Bezugsrechte aus.</w:t>
      </w:r>
    </w:p>
    <w:p>
      <w:pPr>
        <w:spacing w:after="0" w:line="236" w:lineRule="exact"/>
        <w:rPr>
          <w:sz w:val="20"/>
          <w:szCs w:val="20"/>
          <w:color w:val="auto"/>
        </w:rPr>
      </w:pPr>
    </w:p>
    <w:p>
      <w:pPr>
        <w:sectPr>
          <w:pgSz w:w="11900" w:h="16838" w:orient="portrait"/>
          <w:cols w:equalWidth="0" w:num="2">
            <w:col w:w="4580" w:space="380"/>
            <w:col w:w="4059"/>
          </w:cols>
          <w:pgMar w:left="1440" w:top="914" w:right="1440" w:bottom="1440" w:gutter="0" w:footer="0" w:header="0"/>
        </w:sectPr>
      </w:pPr>
    </w:p>
    <w:p>
      <w:pPr>
        <w:ind w:left="1140" w:right="40"/>
        <w:spacing w:after="0" w:line="309" w:lineRule="auto"/>
        <w:rPr>
          <w:sz w:val="20"/>
          <w:szCs w:val="20"/>
          <w:color w:val="auto"/>
        </w:rPr>
      </w:pPr>
      <w:r>
        <w:rPr>
          <w:rFonts w:ascii="Arial" w:cs="Arial" w:eastAsia="Arial" w:hAnsi="Arial"/>
          <w:sz w:val="10"/>
          <w:szCs w:val="10"/>
          <w:color w:val="auto"/>
        </w:rPr>
        <w:t>If the number of exercisable subscription rights is reduced due to the fact that the maximum number of subscription rights determined for an exercise period (item 2.5 of the option conditions) has been exceeded, Mynaric will inform the holder of subscription rights of this fact and inform the holder of the maximum number of subscription rights that can be exercised in this exercise period. In this case, the beneficiary shall immediately issue a new subscription declaration within the meaning of this provision. This new subscription declaration may not relate to more than the maximum number of subscription rights which the beneficiary has been notified of and which he may exercise.</w:t>
      </w:r>
    </w:p>
    <w:p>
      <w:pPr>
        <w:spacing w:after="0" w:line="27" w:lineRule="exact"/>
        <w:rPr>
          <w:sz w:val="20"/>
          <w:szCs w:val="20"/>
          <w:color w:val="auto"/>
        </w:rPr>
      </w:pPr>
    </w:p>
    <w:p>
      <w:pPr>
        <w:ind w:left="1120" w:right="40" w:hanging="299"/>
        <w:spacing w:after="0" w:line="277" w:lineRule="auto"/>
        <w:tabs>
          <w:tab w:leader="none" w:pos="110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1"/>
          <w:szCs w:val="11"/>
          <w:color w:val="auto"/>
        </w:rPr>
        <w:t>The subscription declaration can only be submitted within the respective exercise period, and in the case of a notified excess of the maximum limit within one week of receipt of the notification from Mynaric. In order to be effective, it must be received by Mynaric at the latest on the last day of the exercise period. A subscription declaration sent by fax in due time is considered to have been received in time if the original is received at the latest on the third stock exchange trading day following receipt of the fax. A declaration by e-mail is permissible if it contains the original of the signed subscription declaration as a file attachment (e.g. in pdf or tif format) and the original is received no later than on the third stock exchange trading day following receipt of the e-mail.</w:t>
      </w:r>
    </w:p>
    <w:p>
      <w:pPr>
        <w:spacing w:after="0" w:line="192" w:lineRule="exact"/>
        <w:rPr>
          <w:sz w:val="20"/>
          <w:szCs w:val="20"/>
          <w:color w:val="auto"/>
        </w:rPr>
      </w:pPr>
    </w:p>
    <w:p>
      <w:pPr>
        <w:jc w:val="center"/>
        <w:ind w:left="840"/>
        <w:spacing w:after="0"/>
        <w:tabs>
          <w:tab w:leader="none" w:pos="12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0"/>
          <w:szCs w:val="10"/>
          <w:color w:val="auto"/>
        </w:rPr>
        <w:t>Upon exercise of the subscription rights, the exercise price is payable to</w:t>
      </w:r>
    </w:p>
    <w:p>
      <w:pPr>
        <w:spacing w:after="0" w:line="19" w:lineRule="exact"/>
        <w:rPr>
          <w:sz w:val="20"/>
          <w:szCs w:val="20"/>
          <w:color w:val="auto"/>
        </w:rPr>
      </w:pPr>
    </w:p>
    <w:p>
      <w:pPr>
        <w:ind w:left="1140" w:right="40"/>
        <w:spacing w:after="0" w:line="253" w:lineRule="auto"/>
        <w:rPr>
          <w:sz w:val="20"/>
          <w:szCs w:val="20"/>
          <w:color w:val="auto"/>
        </w:rPr>
      </w:pPr>
      <w:r>
        <w:rPr>
          <w:rFonts w:ascii="Arial" w:cs="Arial" w:eastAsia="Arial" w:hAnsi="Arial"/>
          <w:sz w:val="12"/>
          <w:szCs w:val="12"/>
          <w:color w:val="auto"/>
        </w:rPr>
        <w:t>Mynaric. Upon receipt of the payment of the exercise price to the account specified in the subscription declaration, Mynaric will immediately credit the holder of subscription rights with the number of shares corresponding to the exercised</w:t>
      </w:r>
    </w:p>
    <w:p>
      <w:pPr>
        <w:spacing w:after="0" w:line="228"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br w:type="column"/>
      </w:r>
    </w:p>
    <w:p>
      <w:pPr>
        <w:ind w:left="20" w:right="859"/>
        <w:spacing w:after="0" w:line="309" w:lineRule="auto"/>
        <w:rPr>
          <w:sz w:val="20"/>
          <w:szCs w:val="20"/>
          <w:color w:val="auto"/>
        </w:rPr>
      </w:pPr>
      <w:r>
        <w:rPr>
          <w:rFonts w:ascii="Arial" w:cs="Arial" w:eastAsia="Arial" w:hAnsi="Arial"/>
          <w:sz w:val="10"/>
          <w:szCs w:val="10"/>
          <w:color w:val="auto"/>
        </w:rPr>
        <w:t>Soweit sich die Anzahl der ausübbaren Bezugsrechte wegen einer Überschreitung der für einen Ausübungszeitraum festgelegten Höchstgrenze (Ziffer 2.5 der Optionsbedingungen) reduziert, wird Mynaric den Bezugsberechtigten hierauf hinweisen und ihm die Höchstzahl der von ihm in diesem Ausübungszeitraum ausübbaren Bezugsrechte mitteilen. In diesem Fall hat der Bezugsberechtigte unverzüglich eine neue Bezugserklärung im Sinne dieser Vorschrift auszufertigen. Diese neue Bezugserklärung darf sich höchstens auf die dem Bezugsberechtigten mitgeteilten Höchstanzahl der von ihm ausübbaren Bezugsrechte beziehen.</w:t>
      </w:r>
    </w:p>
    <w:p>
      <w:pPr>
        <w:spacing w:after="0" w:line="27" w:lineRule="exact"/>
        <w:rPr>
          <w:sz w:val="20"/>
          <w:szCs w:val="20"/>
          <w:color w:val="auto"/>
        </w:rPr>
      </w:pPr>
    </w:p>
    <w:p>
      <w:pPr>
        <w:ind w:left="20" w:right="879" w:hanging="299"/>
        <w:spacing w:after="0" w:line="307" w:lineRule="auto"/>
        <w:rPr>
          <w:sz w:val="20"/>
          <w:szCs w:val="20"/>
          <w:color w:val="auto"/>
        </w:rPr>
      </w:pPr>
      <w:r>
        <w:rPr>
          <w:rFonts w:ascii="Arial" w:cs="Arial" w:eastAsia="Arial" w:hAnsi="Arial"/>
          <w:sz w:val="12"/>
          <w:szCs w:val="12"/>
          <w:b w:val="1"/>
          <w:bCs w:val="1"/>
          <w:color w:val="auto"/>
        </w:rPr>
        <w:t>5.3</w:t>
      </w:r>
      <w:r>
        <w:rPr>
          <w:sz w:val="20"/>
          <w:szCs w:val="20"/>
          <w:color w:val="auto"/>
        </w:rPr>
        <w:t xml:space="preserve"> </w:t>
      </w:r>
      <w:r>
        <w:rPr>
          <w:rFonts w:ascii="Arial" w:cs="Arial" w:eastAsia="Arial" w:hAnsi="Arial"/>
          <w:sz w:val="10"/>
          <w:szCs w:val="10"/>
          <w:color w:val="auto"/>
        </w:rPr>
        <w:t>Die Abgabe der Bezugserklärung kann nur innerhalb des jeweiligen Ausübungszeitraums erfolgen, im Falle einer mitgeteilten Überschreitung der Höchstgrenze innerhalb von einer Woche seit Zugang der Mitteilung der Mynaric. Sie muss zu ihrer Wirksamkeit der Mynaric spätestens am letzten Tag des Ausübungszeitraums zugegangen sein. Eine mittels Telefax fristgerecht übermittelte Bezugserklärung gilt als rechtzeitig zugegangen, wenn das Original spätestens am dritten auf den Zugang des Telefaxes folgenden Börsenhandelstag zugeht. Eine Erklärung per E-Mail ist zulässig, wenn sie das Original der unterzeichneten Bezugserklärung als Dateianhang (z. B. im pdf-oder tif-Format) enthält und das Original spätestens am dritten auf den Zugang des E-Mails folgenden Börsenhandelstag zugeht.</w:t>
      </w:r>
    </w:p>
    <w:p>
      <w:pPr>
        <w:spacing w:after="0" w:line="32" w:lineRule="exact"/>
        <w:rPr>
          <w:sz w:val="20"/>
          <w:szCs w:val="20"/>
          <w:color w:val="auto"/>
        </w:rPr>
      </w:pPr>
    </w:p>
    <w:p>
      <w:pPr>
        <w:ind w:right="979" w:hanging="299"/>
        <w:spacing w:after="0" w:line="316" w:lineRule="auto"/>
        <w:rPr>
          <w:sz w:val="20"/>
          <w:szCs w:val="20"/>
          <w:color w:val="auto"/>
        </w:rPr>
      </w:pPr>
      <w:r>
        <w:rPr>
          <w:rFonts w:ascii="Arial" w:cs="Arial" w:eastAsia="Arial" w:hAnsi="Arial"/>
          <w:sz w:val="12"/>
          <w:szCs w:val="12"/>
          <w:b w:val="1"/>
          <w:bCs w:val="1"/>
          <w:color w:val="auto"/>
        </w:rPr>
        <w:t>5.4.</w:t>
      </w:r>
      <w:r>
        <w:rPr>
          <w:sz w:val="20"/>
          <w:szCs w:val="20"/>
          <w:color w:val="auto"/>
        </w:rPr>
        <w:t xml:space="preserve"> </w:t>
      </w:r>
      <w:r>
        <w:rPr>
          <w:rFonts w:ascii="Arial" w:cs="Arial" w:eastAsia="Arial" w:hAnsi="Arial"/>
          <w:sz w:val="10"/>
          <w:szCs w:val="10"/>
          <w:color w:val="auto"/>
        </w:rPr>
        <w:t>Mit Ausübung der Bezugsrechte ist der Ausübungspreis an die Mynaric zu zahlen. Nach Eingang der Zahlung des Ausübungspreises auf das in der Bezugserklärung angegebene Konto wird Mynaric dem Bezugsrechtsinhaber unverzüglich die den ausgeübten Bezugsrechten entsprechende Anzahl an Aktien gutschreiben. Mynaric ist berechtigt, mit Bezugsrechtsinhabern</w:t>
      </w:r>
    </w:p>
    <w:p>
      <w:pPr>
        <w:sectPr>
          <w:pgSz w:w="11900" w:h="16838" w:orient="portrait"/>
          <w:cols w:equalWidth="0" w:num="2">
            <w:col w:w="4580" w:space="360"/>
            <w:col w:w="4079"/>
          </w:cols>
          <w:pgMar w:left="1440" w:top="914" w:right="1440" w:bottom="1440" w:gutter="0" w:footer="0" w:header="0"/>
          <w:type w:val="continuous"/>
        </w:sectPr>
      </w:pPr>
    </w:p>
    <w:bookmarkStart w:id="306" w:name="page307"/>
    <w:bookmarkEnd w:id="306"/>
    <w:p>
      <w:pPr>
        <w:ind w:left="1140"/>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subscription rights. Mynaric is entitled to make a different arrangement with holders of subscription rights with regard to individual exercise periods, in particular to provide for a later maturity of the exercise price and to credit the shares to the holder of subscription rights at a later date if this is necessary for objective reasons, in particular to avoid a profit entitlement of the delivered shares differing from the existing shares. In this case Mynaric will determine a correspondingly later maturity of the exercise price.</w:t>
      </w:r>
    </w:p>
    <w:p>
      <w:pPr>
        <w:spacing w:after="0" w:line="20" w:lineRule="exact"/>
        <w:rPr>
          <w:sz w:val="20"/>
          <w:szCs w:val="20"/>
          <w:color w:val="auto"/>
        </w:rPr>
      </w:pPr>
      <w:r>
        <w:rPr>
          <w:sz w:val="20"/>
          <w:szCs w:val="20"/>
          <w:color w:val="auto"/>
        </w:rPr>
        <w:br w:type="column"/>
      </w:r>
    </w:p>
    <w:p>
      <w:pPr>
        <w:ind w:right="859"/>
        <w:spacing w:after="0" w:line="279" w:lineRule="auto"/>
        <w:rPr>
          <w:sz w:val="20"/>
          <w:szCs w:val="20"/>
          <w:color w:val="auto"/>
        </w:rPr>
      </w:pPr>
      <w:r>
        <w:rPr>
          <w:rFonts w:ascii="Arial" w:cs="Arial" w:eastAsia="Arial" w:hAnsi="Arial"/>
          <w:sz w:val="11"/>
          <w:szCs w:val="11"/>
          <w:color w:val="auto"/>
        </w:rPr>
        <w:t>hinsichtlich einzelner Ausübungszeiträume eine hiervon abweichende Regelung zu treffen, insbesondere eine spätere Fälligkeit des Ausübungspreises vorzusehen und die Aktien zu einem späteren Zeitpunkt dem Bezugsrechtsinhaber gutzuschreiben, wenn dies aus sachlichen Gründen geboten ist, insbesondere, um eine zu den bestehenden Aktien unterschiedliche Gewinnberechtigung der gelieferten Aktien zu vermeiden. In diesem Fall wird Mynaric eine entsprechend spätere Fälligkeit des Ausübungspreises festlegen.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-1268730</wp:posOffset>
            </wp:positionV>
            <wp:extent cx="1285875" cy="3714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4580" w:space="380"/>
            <w:col w:w="4059"/>
          </w:cols>
          <w:pgMar w:left="1440" w:top="914" w:right="1440" w:bottom="1440" w:gutter="0" w:footer="0" w:header="0"/>
        </w:sectPr>
      </w:pPr>
    </w:p>
    <w:p>
      <w:pPr>
        <w:ind w:left="1140"/>
        <w:spacing w:after="0" w:line="281" w:lineRule="auto"/>
        <w:rPr>
          <w:sz w:val="20"/>
          <w:szCs w:val="20"/>
          <w:color w:val="auto"/>
        </w:rPr>
      </w:pPr>
      <w:r>
        <w:rPr>
          <w:rFonts w:ascii="Arial" w:cs="Arial" w:eastAsia="Arial" w:hAnsi="Arial"/>
          <w:sz w:val="11"/>
          <w:szCs w:val="11"/>
          <w:color w:val="auto"/>
        </w:rPr>
        <w:t>The subscription declaration can determine that subscription rights expire if payments have not been made within a reasonable period of time after the end of the exercise period in which the subscription rights were exercised. A period of two weeks shall be deemed reasonable. The subscription declaration or the exercise declaration may contain a direct debit agreement for the payment of the exercise price as well as a debit order for direct debits.</w:t>
      </w:r>
    </w:p>
    <w:p>
      <w:pPr>
        <w:spacing w:after="0" w:line="20" w:lineRule="exact"/>
        <w:rPr>
          <w:sz w:val="20"/>
          <w:szCs w:val="20"/>
          <w:color w:val="auto"/>
        </w:rPr>
      </w:pPr>
      <w:r>
        <w:rPr>
          <w:sz w:val="20"/>
          <w:szCs w:val="20"/>
          <w:color w:val="auto"/>
        </w:rPr>
        <w:br w:type="column"/>
      </w:r>
    </w:p>
    <w:p>
      <w:pPr>
        <w:ind w:right="859"/>
        <w:spacing w:after="0" w:line="280" w:lineRule="auto"/>
        <w:rPr>
          <w:sz w:val="20"/>
          <w:szCs w:val="20"/>
          <w:color w:val="auto"/>
        </w:rPr>
      </w:pPr>
      <w:r>
        <w:rPr>
          <w:rFonts w:ascii="Arial" w:cs="Arial" w:eastAsia="Arial" w:hAnsi="Arial"/>
          <w:sz w:val="11"/>
          <w:szCs w:val="11"/>
          <w:color w:val="auto"/>
        </w:rPr>
        <w:t>Die Bezugserklärung kann bestimmen, dass Bezugsrechte verfallen, soweit Zahlungen nicht binnen einer angemessenen Frist nach Ablauf des Ausübungszeitraumes, in dem die Bezugsrechte ausgeübt wurden, erfolgt sind. Eine Frist von zwei Wochen gilt als angemessen. Die Bezugserklärung oder die Ausübungserklärung können für die Zahlung des Ausübungspreises eine Lastschriftvereinbarung sowie einen Abbuchungsauftrag für Lastschriften enthalten.</w:t>
      </w:r>
    </w:p>
    <w:p>
      <w:pPr>
        <w:spacing w:after="0" w:line="39" w:lineRule="exact"/>
        <w:rPr>
          <w:sz w:val="20"/>
          <w:szCs w:val="20"/>
          <w:color w:val="auto"/>
        </w:rPr>
      </w:pPr>
    </w:p>
    <w:p>
      <w:pPr>
        <w:sectPr>
          <w:pgSz w:w="11900" w:h="16838" w:orient="portrait"/>
          <w:cols w:equalWidth="0" w:num="2">
            <w:col w:w="4580" w:space="380"/>
            <w:col w:w="4059"/>
          </w:cols>
          <w:pgMar w:left="1440" w:top="914" w:right="1440" w:bottom="1440" w:gutter="0" w:footer="0" w:header="0"/>
          <w:type w:val="continuous"/>
        </w:sectPr>
      </w:pPr>
    </w:p>
    <w:p>
      <w:pPr>
        <w:ind w:left="1120" w:hanging="299"/>
        <w:spacing w:after="0" w:line="277" w:lineRule="auto"/>
        <w:tabs>
          <w:tab w:leader="none" w:pos="110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1"/>
          <w:szCs w:val="11"/>
          <w:color w:val="auto"/>
        </w:rPr>
        <w:t>Mynaric fulfils its obligation to transfer shares with new shares using the Contingent Capital 2020 and, to the extent permitted by law, has the power to deliver own shares instead of new shares in whole or in part. The holder of subscription rights is obliged to accept the shares offered by Mynaric in fulfilment of his subscription rights. Furthermore, the company is entitled to pay out in cash, in whole or in part, instead of delivering (new or own) shares, the value of the shares to be delivered upon exercise of subscription rights minus the exercise price. The decision as to which alternative is chosen by the Company in each individual case is made by the Management Board of the Company or, insofar as members of the Management Board of the Company are affected, by the Supervisory Board of the Company.</w:t>
      </w:r>
    </w:p>
    <w:p>
      <w:pPr>
        <w:spacing w:after="0" w:line="336" w:lineRule="exact"/>
        <w:rPr>
          <w:sz w:val="20"/>
          <w:szCs w:val="20"/>
          <w:color w:val="auto"/>
        </w:rPr>
      </w:pPr>
    </w:p>
    <w:p>
      <w:pPr>
        <w:ind w:left="1120" w:right="20" w:hanging="299"/>
        <w:spacing w:after="0" w:line="326" w:lineRule="auto"/>
        <w:tabs>
          <w:tab w:leader="none" w:pos="110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0"/>
          <w:szCs w:val="10"/>
          <w:color w:val="auto"/>
        </w:rPr>
        <w:t>The new no-par-value bearer or registered shares are eligible for dividends from the beginning of the fiscal year for which, at the time the subscription right is exercised, no resolution by the Annual General Meeting on the appropriation of net income has yet been passed.</w:t>
      </w:r>
    </w:p>
    <w:p>
      <w:pPr>
        <w:spacing w:after="0" w:line="198"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ind w:right="859" w:hanging="299"/>
        <w:spacing w:after="0" w:line="277" w:lineRule="auto"/>
        <w:rPr>
          <w:sz w:val="20"/>
          <w:szCs w:val="20"/>
          <w:color w:val="auto"/>
        </w:rPr>
      </w:pPr>
      <w:r>
        <w:rPr>
          <w:rFonts w:ascii="Arial" w:cs="Arial" w:eastAsia="Arial" w:hAnsi="Arial"/>
          <w:sz w:val="12"/>
          <w:szCs w:val="12"/>
          <w:b w:val="1"/>
          <w:bCs w:val="1"/>
          <w:color w:val="auto"/>
        </w:rPr>
        <w:t>5.5</w:t>
      </w:r>
      <w:r>
        <w:rPr>
          <w:sz w:val="20"/>
          <w:szCs w:val="20"/>
          <w:color w:val="auto"/>
        </w:rPr>
        <w:t xml:space="preserve"> </w:t>
      </w:r>
      <w:r>
        <w:rPr>
          <w:rFonts w:ascii="Arial" w:cs="Arial" w:eastAsia="Arial" w:hAnsi="Arial"/>
          <w:sz w:val="11"/>
          <w:szCs w:val="11"/>
          <w:color w:val="auto"/>
        </w:rPr>
        <w:t>Mynaric erfüllt ihre Verpflichtung zur Übereignung von Aktien mit neuen Aktien unter Inanspruchnahme des Bedingten Kapitals 2020. Ihr steht, soweit gesetzlich zulässig, die Befugnis zu, anstatt neuer Aktien ganz oder teilweise eigene Aktien zu liefern. Der Bezugsrechtsinhaber ist verpflichtet, die von der Mynaric angebotenen Aktien in Erfüllung seiner Bezugsrechte anzunehmen. Ferner ist die Gesellschaft berechtigt, ganz oder teilweise an Stelle der Lieferung von (neuen oder eigenen) Aktien den Wert der bei Ausübung von Bezugsrechten zu liefernden Aktien abzüglich des Ausübungspreises in bar auszuzahlen. Die Entscheidung, welche Alternative von der Gesellschaft im Einzelfall gewählt wird, trifft der Vorstand der Gesellschaft bzw., soweit Mitlieder des Vorstands der Gesellschaft betroffen sind, der Aufsichtsrat der Gesellschaft.</w:t>
      </w:r>
    </w:p>
    <w:p>
      <w:pPr>
        <w:spacing w:after="0" w:line="44" w:lineRule="exact"/>
        <w:rPr>
          <w:sz w:val="20"/>
          <w:szCs w:val="20"/>
          <w:color w:val="auto"/>
        </w:rPr>
      </w:pPr>
    </w:p>
    <w:p>
      <w:pPr>
        <w:ind w:right="859" w:hanging="299"/>
        <w:spacing w:after="0" w:line="285" w:lineRule="auto"/>
        <w:rPr>
          <w:sz w:val="20"/>
          <w:szCs w:val="20"/>
          <w:color w:val="auto"/>
        </w:rPr>
      </w:pPr>
      <w:r>
        <w:rPr>
          <w:rFonts w:ascii="Arial" w:cs="Arial" w:eastAsia="Arial" w:hAnsi="Arial"/>
          <w:sz w:val="12"/>
          <w:szCs w:val="12"/>
          <w:b w:val="1"/>
          <w:bCs w:val="1"/>
          <w:color w:val="auto"/>
        </w:rPr>
        <w:t>5.6</w:t>
      </w:r>
      <w:r>
        <w:rPr>
          <w:sz w:val="20"/>
          <w:szCs w:val="20"/>
          <w:color w:val="auto"/>
        </w:rPr>
        <w:t xml:space="preserve"> </w:t>
      </w:r>
      <w:r>
        <w:rPr>
          <w:rFonts w:ascii="Arial" w:cs="Arial" w:eastAsia="Arial" w:hAnsi="Arial"/>
          <w:sz w:val="11"/>
          <w:szCs w:val="11"/>
          <w:color w:val="auto"/>
        </w:rPr>
        <w:t>Die neuen, auf den Inhaber oder den Namen lautenden Stückaktien nehmen vom Beginn des Geschäftsjahres an, für das zum Zeitpunkt der Ausübung des Bezugsrechts noch kein Beschluss der Hauptversammlung über die Verwendung des Bilanzgewinns gefasst worden ist, am Gewinn teil.</w:t>
      </w:r>
    </w:p>
    <w:p>
      <w:pPr>
        <w:sectPr>
          <w:pgSz w:w="11900" w:h="16838" w:orient="portrait"/>
          <w:cols w:equalWidth="0" w:num="2">
            <w:col w:w="4580" w:space="380"/>
            <w:col w:w="4059"/>
          </w:cols>
          <w:pgMar w:left="1440" w:top="914" w:right="1440" w:bottom="1440" w:gutter="0" w:footer="0" w:header="0"/>
          <w:type w:val="continuous"/>
        </w:sectPr>
      </w:pPr>
    </w:p>
    <w:bookmarkStart w:id="307" w:name="page308"/>
    <w:bookmarkEnd w:id="307"/>
    <w:tbl>
      <w:tblPr>
        <w:tblLayout w:type="fixed"/>
        <w:tblInd w:w="840" w:type="dxa"/>
        <w:tblCellMar>
          <w:top w:w="0" w:type="dxa"/>
          <w:left w:w="0" w:type="dxa"/>
          <w:bottom w:w="0" w:type="dxa"/>
          <w:right w:w="0" w:type="dxa"/>
        </w:tblCellMar>
      </w:tblPr>
      <w:tr>
        <w:trPr>
          <w:trHeight w:val="144"/>
        </w:trPr>
        <w:tc>
          <w:tcPr>
            <w:tcW w:w="180" w:type="dxa"/>
            <w:vAlign w:val="bottom"/>
          </w:tcPr>
          <w:p>
            <w:pPr>
              <w:jc w:val="right"/>
              <w:ind w:right="52"/>
              <w:spacing w:after="0"/>
              <w:rPr>
                <w:sz w:val="20"/>
                <w:szCs w:val="20"/>
                <w:color w:val="auto"/>
              </w:rPr>
            </w:pPr>
            <w:r>
              <w:rPr>
                <w:rFonts w:ascii="Arial" w:cs="Arial" w:eastAsia="Arial" w:hAnsi="Arial"/>
                <w:sz w:val="10"/>
                <w:szCs w:val="10"/>
                <w:b w:val="1"/>
                <w:bCs w:val="1"/>
                <w:color w:val="auto"/>
                <w:w w:val="71"/>
              </w:rPr>
              <w:t>6.</w:t>
            </w:r>
          </w:p>
        </w:tc>
        <w:tc>
          <w:tcPr>
            <w:tcW w:w="3500" w:type="dxa"/>
            <w:vAlign w:val="bottom"/>
          </w:tcPr>
          <w:p>
            <w:pPr>
              <w:ind w:left="100"/>
              <w:spacing w:after="0"/>
              <w:rPr>
                <w:sz w:val="20"/>
                <w:szCs w:val="20"/>
                <w:color w:val="auto"/>
              </w:rPr>
            </w:pPr>
            <w:r>
              <w:rPr>
                <w:rFonts w:ascii="Arial" w:cs="Arial" w:eastAsia="Arial" w:hAnsi="Arial"/>
                <w:sz w:val="12"/>
                <w:szCs w:val="12"/>
                <w:b w:val="1"/>
                <w:bCs w:val="1"/>
                <w:color w:val="auto"/>
                <w:w w:val="93"/>
              </w:rPr>
              <w:t>Termination of service or employment relationship, Leaving the</w:t>
            </w:r>
          </w:p>
        </w:tc>
        <w:tc>
          <w:tcPr>
            <w:tcW w:w="320" w:type="dxa"/>
            <w:vAlign w:val="bottom"/>
          </w:tcPr>
          <w:p>
            <w:pPr>
              <w:jc w:val="right"/>
              <w:ind w:right="40"/>
              <w:spacing w:after="0"/>
              <w:rPr>
                <w:sz w:val="20"/>
                <w:szCs w:val="20"/>
                <w:color w:val="auto"/>
              </w:rPr>
            </w:pPr>
            <w:r>
              <w:rPr>
                <w:rFonts w:ascii="Arial" w:cs="Arial" w:eastAsia="Arial" w:hAnsi="Arial"/>
                <w:sz w:val="12"/>
                <w:szCs w:val="12"/>
                <w:b w:val="1"/>
                <w:bCs w:val="1"/>
                <w:color w:val="auto"/>
              </w:rPr>
              <w:t>6.</w:t>
            </w:r>
          </w:p>
        </w:tc>
        <w:tc>
          <w:tcPr>
            <w:tcW w:w="2680" w:type="dxa"/>
            <w:vAlign w:val="bottom"/>
          </w:tcPr>
          <w:p>
            <w:pPr>
              <w:ind w:left="120"/>
              <w:spacing w:after="0"/>
              <w:rPr>
                <w:sz w:val="20"/>
                <w:szCs w:val="20"/>
                <w:color w:val="auto"/>
              </w:rPr>
            </w:pPr>
            <w:r>
              <w:rPr>
                <w:rFonts w:ascii="Arial" w:cs="Arial" w:eastAsia="Arial" w:hAnsi="Arial"/>
                <w:sz w:val="12"/>
                <w:szCs w:val="12"/>
                <w:b w:val="1"/>
                <w:bCs w:val="1"/>
                <w:color w:val="auto"/>
                <w:w w:val="87"/>
              </w:rPr>
              <w:t>Beendigung des Dienst- oder Arbeitsverhältnisses,</w:t>
            </w:r>
          </w:p>
        </w:tc>
      </w:tr>
      <w:tr>
        <w:trPr>
          <w:trHeight w:val="157"/>
        </w:trPr>
        <w:tc>
          <w:tcPr>
            <w:tcW w:w="180" w:type="dxa"/>
            <w:vAlign w:val="bottom"/>
          </w:tcPr>
          <w:p>
            <w:pPr>
              <w:spacing w:after="0"/>
              <w:rPr>
                <w:sz w:val="13"/>
                <w:szCs w:val="13"/>
                <w:color w:val="auto"/>
              </w:rPr>
            </w:pPr>
          </w:p>
        </w:tc>
        <w:tc>
          <w:tcPr>
            <w:tcW w:w="3500" w:type="dxa"/>
            <w:vAlign w:val="bottom"/>
          </w:tcPr>
          <w:p>
            <w:pPr>
              <w:ind w:left="120"/>
              <w:spacing w:after="0"/>
              <w:rPr>
                <w:sz w:val="20"/>
                <w:szCs w:val="20"/>
                <w:color w:val="auto"/>
              </w:rPr>
            </w:pPr>
            <w:r>
              <w:rPr>
                <w:rFonts w:ascii="Arial" w:cs="Arial" w:eastAsia="Arial" w:hAnsi="Arial"/>
                <w:sz w:val="12"/>
                <w:szCs w:val="12"/>
                <w:b w:val="1"/>
                <w:bCs w:val="1"/>
                <w:color w:val="auto"/>
              </w:rPr>
              <w:t>company</w:t>
            </w:r>
          </w:p>
        </w:tc>
        <w:tc>
          <w:tcPr>
            <w:tcW w:w="320" w:type="dxa"/>
            <w:vAlign w:val="bottom"/>
          </w:tcPr>
          <w:p>
            <w:pPr>
              <w:spacing w:after="0"/>
              <w:rPr>
                <w:sz w:val="13"/>
                <w:szCs w:val="13"/>
                <w:color w:val="auto"/>
              </w:rPr>
            </w:pPr>
          </w:p>
        </w:tc>
        <w:tc>
          <w:tcPr>
            <w:tcW w:w="2680" w:type="dxa"/>
            <w:vAlign w:val="bottom"/>
          </w:tcPr>
          <w:p>
            <w:pPr>
              <w:ind w:left="120"/>
              <w:spacing w:after="0"/>
              <w:rPr>
                <w:sz w:val="20"/>
                <w:szCs w:val="20"/>
                <w:color w:val="auto"/>
              </w:rPr>
            </w:pPr>
            <w:r>
              <w:rPr>
                <w:rFonts w:ascii="Arial" w:cs="Arial" w:eastAsia="Arial" w:hAnsi="Arial"/>
                <w:sz w:val="12"/>
                <w:szCs w:val="12"/>
                <w:b w:val="1"/>
                <w:bCs w:val="1"/>
                <w:color w:val="auto"/>
              </w:rPr>
              <w:t>Ausscheiden von Betrieben</w:t>
            </w:r>
          </w:p>
        </w:tc>
      </w:tr>
    </w:tbl>
    <w:p>
      <w:pPr>
        <w:ind w:left="120"/>
        <w:spacing w:after="0"/>
        <w:rPr>
          <w:sz w:val="20"/>
          <w:szCs w:val="20"/>
          <w:color w:val="auto"/>
        </w:rPr>
        <w:sectPr>
          <w:pgSz w:w="11900" w:h="16838" w:orient="portrait"/>
          <w:cols w:equalWidth="0" w:num="1">
            <w:col w:w="9019"/>
          </w:cols>
          <w:pgMar w:left="1440" w:top="910"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343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14870" cy="434340"/>
                    </a:xfrm>
                    <a:prstGeom prst="rect">
                      <a:avLst/>
                    </a:prstGeom>
                    <a:noFill/>
                  </pic:spPr>
                </pic:pic>
              </a:graphicData>
            </a:graphic>
          </wp:anchor>
        </w:drawing>
      </w:r>
    </w:p>
    <w:p>
      <w:pPr>
        <w:spacing w:after="0" w:line="59" w:lineRule="exact"/>
        <w:rPr>
          <w:sz w:val="20"/>
          <w:szCs w:val="20"/>
          <w:color w:val="auto"/>
        </w:rPr>
      </w:pPr>
    </w:p>
    <w:p>
      <w:pPr>
        <w:ind w:left="1120" w:right="40" w:hanging="299"/>
        <w:spacing w:after="0" w:line="281" w:lineRule="auto"/>
        <w:tabs>
          <w:tab w:leader="none" w:pos="110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1"/>
          <w:szCs w:val="11"/>
          <w:color w:val="auto"/>
        </w:rPr>
        <w:t>Subject to the following provisions and Section 7.2, subscription rights may only be exercised by the holder of subscription rights and only if the holder of subscription rights is in an ongoing service or employment relationship with a participating company at the time of exercise or if the service or employment relationship ends at a point in time after the granting of the subscription rights due to the expiry of a specified time limit, retirement or amicable termination.</w:t>
      </w:r>
    </w:p>
    <w:p>
      <w:pPr>
        <w:spacing w:after="0" w:line="331" w:lineRule="exact"/>
        <w:rPr>
          <w:sz w:val="20"/>
          <w:szCs w:val="20"/>
          <w:color w:val="auto"/>
        </w:rPr>
      </w:pPr>
    </w:p>
    <w:p>
      <w:pPr>
        <w:ind w:left="1140" w:right="60" w:hanging="299"/>
        <w:spacing w:after="0" w:line="278" w:lineRule="auto"/>
        <w:rPr>
          <w:sz w:val="20"/>
          <w:szCs w:val="20"/>
          <w:color w:val="auto"/>
        </w:rPr>
      </w:pPr>
      <w:r>
        <w:rPr>
          <w:rFonts w:ascii="Arial" w:cs="Arial" w:eastAsia="Arial" w:hAnsi="Arial"/>
          <w:sz w:val="11"/>
          <w:szCs w:val="11"/>
          <w:b w:val="1"/>
          <w:bCs w:val="1"/>
          <w:color w:val="auto"/>
        </w:rPr>
        <w:t xml:space="preserve">6.1.1 </w:t>
      </w:r>
      <w:r>
        <w:rPr>
          <w:rFonts w:ascii="Arial" w:cs="Arial" w:eastAsia="Arial" w:hAnsi="Arial"/>
          <w:sz w:val="11"/>
          <w:szCs w:val="11"/>
          <w:color w:val="auto"/>
        </w:rPr>
        <w:t>If the service or employment relationship of the beneficiary ends</w:t>
      </w:r>
      <w:r>
        <w:rPr>
          <w:rFonts w:ascii="Arial" w:cs="Arial" w:eastAsia="Arial" w:hAnsi="Arial"/>
          <w:sz w:val="11"/>
          <w:szCs w:val="11"/>
          <w:b w:val="1"/>
          <w:bCs w:val="1"/>
          <w:color w:val="auto"/>
        </w:rPr>
        <w:t xml:space="preserve"> after the end of the waiting period </w:t>
      </w:r>
      <w:r>
        <w:rPr>
          <w:rFonts w:ascii="Arial" w:cs="Arial" w:eastAsia="Arial" w:hAnsi="Arial"/>
          <w:sz w:val="11"/>
          <w:szCs w:val="11"/>
          <w:color w:val="auto"/>
        </w:rPr>
        <w:t>but before the subscription rights are</w:t>
      </w:r>
      <w:r>
        <w:rPr>
          <w:rFonts w:ascii="Arial" w:cs="Arial" w:eastAsia="Arial" w:hAnsi="Arial"/>
          <w:sz w:val="11"/>
          <w:szCs w:val="11"/>
          <w:b w:val="1"/>
          <w:bCs w:val="1"/>
          <w:color w:val="auto"/>
        </w:rPr>
        <w:t xml:space="preserve"> </w:t>
      </w:r>
      <w:r>
        <w:rPr>
          <w:rFonts w:ascii="Arial" w:cs="Arial" w:eastAsia="Arial" w:hAnsi="Arial"/>
          <w:sz w:val="11"/>
          <w:szCs w:val="11"/>
          <w:color w:val="auto"/>
        </w:rPr>
        <w:t>exercised and if this termination is for reasons other than the expiry of a specified time limit, retirement or termination by mutual consent, the subscription rights lapse without replacement at the end of the next exercise period, irrespective of whether the conditions for exercise were met at that time. In the event of an extraordinary termination of the service or employment relationship by Mynaric or the respective employing company for a reason in the person or behaviour of the holder of the subscription rights, the subscription rights expire at the time of the termination of the service or employment relationship without replacement or compensation.</w:t>
      </w:r>
    </w:p>
    <w:p>
      <w:pPr>
        <w:spacing w:after="0" w:line="330" w:lineRule="exact"/>
        <w:rPr>
          <w:sz w:val="20"/>
          <w:szCs w:val="20"/>
          <w:color w:val="auto"/>
        </w:rPr>
      </w:pPr>
    </w:p>
    <w:p>
      <w:pPr>
        <w:ind w:left="1140" w:hanging="299"/>
        <w:spacing w:after="0" w:line="282" w:lineRule="auto"/>
        <w:rPr>
          <w:sz w:val="20"/>
          <w:szCs w:val="20"/>
          <w:color w:val="auto"/>
        </w:rPr>
      </w:pPr>
      <w:r>
        <w:rPr>
          <w:rFonts w:ascii="Arial" w:cs="Arial" w:eastAsia="Arial" w:hAnsi="Arial"/>
          <w:sz w:val="11"/>
          <w:szCs w:val="11"/>
          <w:b w:val="1"/>
          <w:bCs w:val="1"/>
          <w:color w:val="auto"/>
        </w:rPr>
        <w:t xml:space="preserve">6.1.2 </w:t>
      </w:r>
      <w:r>
        <w:rPr>
          <w:rFonts w:ascii="Arial" w:cs="Arial" w:eastAsia="Arial" w:hAnsi="Arial"/>
          <w:sz w:val="11"/>
          <w:szCs w:val="11"/>
          <w:color w:val="auto"/>
        </w:rPr>
        <w:t>If the beneficiary’s service or employment relationship ends</w:t>
      </w:r>
      <w:r>
        <w:rPr>
          <w:rFonts w:ascii="Arial" w:cs="Arial" w:eastAsia="Arial" w:hAnsi="Arial"/>
          <w:sz w:val="11"/>
          <w:szCs w:val="11"/>
          <w:b w:val="1"/>
          <w:bCs w:val="1"/>
          <w:color w:val="auto"/>
        </w:rPr>
        <w:t xml:space="preserve"> before the end of the waiting period </w:t>
      </w:r>
      <w:r>
        <w:rPr>
          <w:rFonts w:ascii="Arial" w:cs="Arial" w:eastAsia="Arial" w:hAnsi="Arial"/>
          <w:sz w:val="11"/>
          <w:szCs w:val="11"/>
          <w:color w:val="auto"/>
        </w:rPr>
        <w:t>and if this termination occurs for reasons</w:t>
      </w:r>
      <w:r>
        <w:rPr>
          <w:rFonts w:ascii="Arial" w:cs="Arial" w:eastAsia="Arial" w:hAnsi="Arial"/>
          <w:sz w:val="11"/>
          <w:szCs w:val="11"/>
          <w:b w:val="1"/>
          <w:bCs w:val="1"/>
          <w:color w:val="auto"/>
        </w:rPr>
        <w:t xml:space="preserve"> </w:t>
      </w:r>
      <w:r>
        <w:rPr>
          <w:rFonts w:ascii="Arial" w:cs="Arial" w:eastAsia="Arial" w:hAnsi="Arial"/>
          <w:sz w:val="11"/>
          <w:szCs w:val="11"/>
          <w:color w:val="auto"/>
        </w:rPr>
        <w:t>other than the expiry of a specified time limit, retirement or termination by mutual consent, the subscription rights lapse at the time when one or more of the conditions specified therein cease to apply, i.e. they lapse without replacement or compensation as soon as notice of termination is given.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859" w:hanging="299"/>
        <w:spacing w:after="0" w:line="253" w:lineRule="auto"/>
        <w:rPr>
          <w:sz w:val="20"/>
          <w:szCs w:val="20"/>
          <w:color w:val="auto"/>
        </w:rPr>
      </w:pPr>
      <w:r>
        <w:rPr>
          <w:rFonts w:ascii="Arial" w:cs="Arial" w:eastAsia="Arial" w:hAnsi="Arial"/>
          <w:sz w:val="12"/>
          <w:szCs w:val="12"/>
          <w:b w:val="1"/>
          <w:bCs w:val="1"/>
          <w:color w:val="auto"/>
        </w:rPr>
        <w:t>6.1</w:t>
      </w:r>
      <w:r>
        <w:rPr>
          <w:sz w:val="20"/>
          <w:szCs w:val="20"/>
          <w:color w:val="auto"/>
        </w:rPr>
        <w:t xml:space="preserve"> </w:t>
      </w:r>
      <w:r>
        <w:rPr>
          <w:rFonts w:ascii="Arial" w:cs="Arial" w:eastAsia="Arial" w:hAnsi="Arial"/>
          <w:sz w:val="12"/>
          <w:szCs w:val="12"/>
          <w:color w:val="auto"/>
        </w:rPr>
        <w:t xml:space="preserve">Vorbehaltlich nachfolgender Bestimmungen und Ziffer 7.2 dürfen Bezugsrechte nur vom Bezugsrechtsinhaber und nur dann ausgeübt werden, wenn der Bezugsrechtsinhaber zum Zeitpunkt der Ausübung in einem ungekündigten Dienst- oder Arbeitsverhältnis zu einem beteiligten Unternehmen steht </w:t>
      </w:r>
      <w:r>
        <w:rPr>
          <w:rFonts w:ascii="Arial" w:cs="Arial" w:eastAsia="Arial" w:hAnsi="Arial"/>
          <w:sz w:val="12"/>
          <w:szCs w:val="12"/>
          <w:u w:val="single" w:color="auto"/>
          <w:color w:val="auto"/>
        </w:rPr>
        <w:t>oder</w:t>
      </w:r>
      <w:r>
        <w:rPr>
          <w:rFonts w:ascii="Arial" w:cs="Arial" w:eastAsia="Arial" w:hAnsi="Arial"/>
          <w:sz w:val="12"/>
          <w:szCs w:val="12"/>
          <w:color w:val="auto"/>
        </w:rPr>
        <w:t xml:space="preserve"> das Dienst-oder Arbeitsverhältnis zu einem nach der Gewährung der Bezugsrechte liegenden Zeitpunkt aufgrund Ablaufs einer vorgesehenen Befristung, Eintritts in den Ruhestand oder einvernehmlich endet.</w:t>
      </w:r>
    </w:p>
    <w:p>
      <w:pPr>
        <w:spacing w:after="0" w:line="59" w:lineRule="exact"/>
        <w:rPr>
          <w:sz w:val="20"/>
          <w:szCs w:val="20"/>
          <w:color w:val="auto"/>
        </w:rPr>
      </w:pPr>
    </w:p>
    <w:p>
      <w:pPr>
        <w:ind w:right="859" w:hanging="299"/>
        <w:spacing w:after="0" w:line="307" w:lineRule="auto"/>
        <w:rPr>
          <w:sz w:val="20"/>
          <w:szCs w:val="20"/>
          <w:color w:val="auto"/>
        </w:rPr>
      </w:pPr>
      <w:r>
        <w:rPr>
          <w:rFonts w:ascii="Arial" w:cs="Arial" w:eastAsia="Arial" w:hAnsi="Arial"/>
          <w:sz w:val="10"/>
          <w:szCs w:val="10"/>
          <w:b w:val="1"/>
          <w:bCs w:val="1"/>
          <w:color w:val="auto"/>
        </w:rPr>
        <w:t xml:space="preserve">6.1.1 </w:t>
      </w:r>
      <w:r>
        <w:rPr>
          <w:rFonts w:ascii="Arial" w:cs="Arial" w:eastAsia="Arial" w:hAnsi="Arial"/>
          <w:sz w:val="10"/>
          <w:szCs w:val="10"/>
          <w:color w:val="auto"/>
        </w:rPr>
        <w:t>Endet das Dienst- oder Arbeitsverhältnis des Bezugsberechtigten</w:t>
      </w:r>
      <w:r>
        <w:rPr>
          <w:rFonts w:ascii="Arial" w:cs="Arial" w:eastAsia="Arial" w:hAnsi="Arial"/>
          <w:sz w:val="10"/>
          <w:szCs w:val="10"/>
          <w:b w:val="1"/>
          <w:bCs w:val="1"/>
          <w:color w:val="auto"/>
        </w:rPr>
        <w:t xml:space="preserve"> nach Ablauf der Wartezeit, </w:t>
      </w:r>
      <w:r>
        <w:rPr>
          <w:rFonts w:ascii="Arial" w:cs="Arial" w:eastAsia="Arial" w:hAnsi="Arial"/>
          <w:sz w:val="10"/>
          <w:szCs w:val="10"/>
          <w:color w:val="auto"/>
        </w:rPr>
        <w:t>aber vor Ausübung der Bezugsrechte</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und</w:t>
      </w:r>
      <w:r>
        <w:rPr>
          <w:rFonts w:ascii="Arial" w:cs="Arial" w:eastAsia="Arial" w:hAnsi="Arial"/>
          <w:sz w:val="10"/>
          <w:szCs w:val="10"/>
          <w:color w:val="auto"/>
        </w:rPr>
        <w:t xml:space="preserve"> erfolgt diese Beendigung aus anderen Gründen als dem Ablauf einer vorgesehenen Befristung, dem Eintritt in den Ruhestand oder einer einvernehmlichen Beendigung, so verfallen die Bezugsrechte mit Ablauf des nächstfolgenden Ausübungszeitraumes ersatzlos, und zwar unabhängig davon, ob zu diesem Zeitpunkt die Voraussetzungen für die Ausübung vorlagen. Im Falle einer außerordentlichen Kündigung des Dienst-oder Arbeitsverhältnisses durch Mynaric bzw. das jeweilige Anstellungsunternehmen aus einem in der Person oder im Verhalten des Bezugsrechtsinhabers liegenden Grund verfallen die Bezugsrechte zum Zeitpunkt der Beendigung des Dienst-oder Arbeitsverhältnisses ersatz-und entschädigungslos.</w:t>
      </w:r>
    </w:p>
    <w:p>
      <w:pPr>
        <w:spacing w:after="0" w:line="176" w:lineRule="exact"/>
        <w:rPr>
          <w:sz w:val="20"/>
          <w:szCs w:val="20"/>
          <w:color w:val="auto"/>
        </w:rPr>
      </w:pPr>
    </w:p>
    <w:p>
      <w:pPr>
        <w:ind w:right="859" w:hanging="299"/>
        <w:spacing w:after="0" w:line="281" w:lineRule="auto"/>
        <w:rPr>
          <w:sz w:val="20"/>
          <w:szCs w:val="20"/>
          <w:color w:val="auto"/>
        </w:rPr>
      </w:pPr>
      <w:r>
        <w:rPr>
          <w:rFonts w:ascii="Arial" w:cs="Arial" w:eastAsia="Arial" w:hAnsi="Arial"/>
          <w:sz w:val="11"/>
          <w:szCs w:val="11"/>
          <w:b w:val="1"/>
          <w:bCs w:val="1"/>
          <w:color w:val="auto"/>
        </w:rPr>
        <w:t xml:space="preserve">6.1.2 </w:t>
      </w:r>
      <w:r>
        <w:rPr>
          <w:rFonts w:ascii="Arial" w:cs="Arial" w:eastAsia="Arial" w:hAnsi="Arial"/>
          <w:sz w:val="11"/>
          <w:szCs w:val="11"/>
          <w:color w:val="auto"/>
        </w:rPr>
        <w:t>Endet das Dienst-oder Arbeitsverhältnis des Bezugsberechtigten</w:t>
      </w:r>
      <w:r>
        <w:rPr>
          <w:rFonts w:ascii="Arial" w:cs="Arial" w:eastAsia="Arial" w:hAnsi="Arial"/>
          <w:sz w:val="11"/>
          <w:szCs w:val="11"/>
          <w:b w:val="1"/>
          <w:bCs w:val="1"/>
          <w:color w:val="auto"/>
        </w:rPr>
        <w:t xml:space="preserve"> vor Ablauf der Wartezeit </w:t>
      </w:r>
      <w:r>
        <w:rPr>
          <w:rFonts w:ascii="Arial" w:cs="Arial" w:eastAsia="Arial" w:hAnsi="Arial"/>
          <w:sz w:val="11"/>
          <w:szCs w:val="11"/>
          <w:u w:val="single" w:color="auto"/>
          <w:color w:val="auto"/>
        </w:rPr>
        <w:t>und</w:t>
      </w:r>
      <w:r>
        <w:rPr>
          <w:rFonts w:ascii="Arial" w:cs="Arial" w:eastAsia="Arial" w:hAnsi="Arial"/>
          <w:sz w:val="11"/>
          <w:szCs w:val="11"/>
          <w:b w:val="1"/>
          <w:bCs w:val="1"/>
          <w:color w:val="auto"/>
        </w:rPr>
        <w:t xml:space="preserve"> </w:t>
      </w:r>
      <w:r>
        <w:rPr>
          <w:rFonts w:ascii="Arial" w:cs="Arial" w:eastAsia="Arial" w:hAnsi="Arial"/>
          <w:sz w:val="11"/>
          <w:szCs w:val="11"/>
          <w:color w:val="auto"/>
        </w:rPr>
        <w:t>erfolgt diese Beendigung aus</w:t>
      </w:r>
      <w:r>
        <w:rPr>
          <w:rFonts w:ascii="Arial" w:cs="Arial" w:eastAsia="Arial" w:hAnsi="Arial"/>
          <w:sz w:val="11"/>
          <w:szCs w:val="11"/>
          <w:b w:val="1"/>
          <w:bCs w:val="1"/>
          <w:color w:val="auto"/>
        </w:rPr>
        <w:t xml:space="preserve"> </w:t>
      </w:r>
      <w:r>
        <w:rPr>
          <w:rFonts w:ascii="Arial" w:cs="Arial" w:eastAsia="Arial" w:hAnsi="Arial"/>
          <w:sz w:val="11"/>
          <w:szCs w:val="11"/>
          <w:color w:val="auto"/>
        </w:rPr>
        <w:t>anderen Gründen als dem Ablauf einer vorgesehenen Befristung, dem Eintritt in den Ruhestand oder einer einvernehmlichen Beendigung, so verfallen die Bezugsrechte im Zeitpunkt des Wegfalls einer oder mehrerer der dort genannten Voraussetzungen, d. h. sie verfallen bereits mit Ausspruch der Kündigung, ersatz-und entschädigungslos.</w:t>
      </w:r>
    </w:p>
    <w:p>
      <w:pPr>
        <w:spacing w:after="0" w:line="70" w:lineRule="exact"/>
        <w:rPr>
          <w:sz w:val="20"/>
          <w:szCs w:val="20"/>
          <w:color w:val="auto"/>
        </w:rPr>
      </w:pPr>
    </w:p>
    <w:p>
      <w:pPr>
        <w:sectPr>
          <w:pgSz w:w="11900" w:h="16838" w:orient="portrait"/>
          <w:cols w:equalWidth="0" w:num="2">
            <w:col w:w="4580" w:space="380"/>
            <w:col w:w="4059"/>
          </w:cols>
          <w:pgMar w:left="1440" w:top="910" w:right="1440"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9019"/>
          </w:cols>
          <w:pgMar w:left="1440" w:top="910" w:right="1440" w:bottom="1440" w:gutter="0" w:footer="0" w:header="0"/>
          <w:type w:val="continuous"/>
        </w:sectPr>
      </w:pPr>
    </w:p>
    <w:bookmarkStart w:id="308" w:name="page309"/>
    <w:bookmarkEnd w:id="308"/>
    <w:p>
      <w:pPr>
        <w:ind w:left="1140" w:right="140" w:hanging="299"/>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6.1.3 </w:t>
      </w:r>
      <w:r>
        <w:rPr>
          <w:rFonts w:ascii="Arial" w:cs="Arial" w:eastAsia="Arial" w:hAnsi="Arial"/>
          <w:sz w:val="12"/>
          <w:szCs w:val="12"/>
          <w:color w:val="auto"/>
        </w:rPr>
        <w:t>The right to terminate the service or employment relationship by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remains unaffected by the above provisions.</w:t>
      </w:r>
    </w:p>
    <w:p>
      <w:pPr>
        <w:spacing w:after="0" w:line="179" w:lineRule="exact"/>
        <w:rPr>
          <w:sz w:val="20"/>
          <w:szCs w:val="20"/>
          <w:color w:val="auto"/>
        </w:rPr>
      </w:pPr>
    </w:p>
    <w:p>
      <w:pPr>
        <w:ind w:left="1120" w:right="200" w:hanging="299"/>
        <w:spacing w:after="0" w:line="316" w:lineRule="auto"/>
        <w:tabs>
          <w:tab w:leader="none" w:pos="1100"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0"/>
          <w:szCs w:val="10"/>
          <w:color w:val="auto"/>
        </w:rPr>
        <w:t>If a company or part of a company with which the holder of subscription rights is in a service or employment relationship or to which he is assigned leaves the group of companies in the Mynaric Group included in the stock option program in accordance with the resolution of the Annual General Meeting, the subscription rights expire at the end of the next exercise period.</w:t>
      </w:r>
    </w:p>
    <w:p>
      <w:pPr>
        <w:spacing w:after="0" w:line="172" w:lineRule="exact"/>
        <w:rPr>
          <w:sz w:val="20"/>
          <w:szCs w:val="20"/>
          <w:color w:val="auto"/>
        </w:rPr>
      </w:pPr>
    </w:p>
    <w:p>
      <w:pPr>
        <w:ind w:left="1120" w:hanging="299"/>
        <w:spacing w:after="0" w:line="255" w:lineRule="auto"/>
        <w:tabs>
          <w:tab w:leader="none" w:pos="110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Exceptions to the regulations in Item 6.1 and Item 6.2 can be determined in favour of the holders of subscription rights in individual cases or generally by Mynaric through written declaration. If such a determination is made, Mynaric can also determine that the exercise of subscription rights can take place under the conditions of the last expired exercise period.</w:t>
      </w:r>
    </w:p>
    <w:p>
      <w:pPr>
        <w:spacing w:after="0" w:line="200" w:lineRule="exact"/>
        <w:rPr>
          <w:sz w:val="20"/>
          <w:szCs w:val="20"/>
          <w:color w:val="auto"/>
        </w:rPr>
      </w:pPr>
    </w:p>
    <w:p>
      <w:pPr>
        <w:ind w:left="1120" w:hanging="288"/>
        <w:spacing w:after="0"/>
        <w:tabs>
          <w:tab w:leader="none" w:pos="1120" w:val="left"/>
        </w:tabs>
        <w:numPr>
          <w:ilvl w:val="0"/>
          <w:numId w:val="243"/>
        </w:numPr>
        <w:rPr>
          <w:rFonts w:ascii="Arial" w:cs="Arial" w:eastAsia="Arial" w:hAnsi="Arial"/>
          <w:sz w:val="12"/>
          <w:szCs w:val="12"/>
          <w:b w:val="1"/>
          <w:bCs w:val="1"/>
          <w:color w:val="auto"/>
        </w:rPr>
      </w:pPr>
      <w:r>
        <w:rPr>
          <w:rFonts w:ascii="Arial" w:cs="Arial" w:eastAsia="Arial" w:hAnsi="Arial"/>
          <w:sz w:val="12"/>
          <w:szCs w:val="12"/>
          <w:b w:val="1"/>
          <w:bCs w:val="1"/>
          <w:color w:val="auto"/>
        </w:rPr>
        <w:t>No transferability of subscription rights/heritage</w:t>
      </w:r>
    </w:p>
    <w:p>
      <w:pPr>
        <w:spacing w:after="0" w:line="78"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0"/>
          <w:szCs w:val="10"/>
          <w:color w:val="auto"/>
        </w:rPr>
        <w:t>Subscription rights are not transferable by legal transaction.</w:t>
      </w:r>
    </w:p>
    <w:p>
      <w:pPr>
        <w:spacing w:after="0" w:line="78" w:lineRule="exact"/>
        <w:rPr>
          <w:sz w:val="20"/>
          <w:szCs w:val="20"/>
          <w:color w:val="auto"/>
        </w:rPr>
      </w:pPr>
    </w:p>
    <w:p>
      <w:pPr>
        <w:ind w:left="1120" w:hanging="299"/>
        <w:spacing w:after="0" w:line="253" w:lineRule="auto"/>
        <w:tabs>
          <w:tab w:leader="none" w:pos="110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2"/>
          <w:szCs w:val="12"/>
          <w:color w:val="auto"/>
        </w:rPr>
        <w:t>However, subscription rights are hereditary. A transfer for the fulfilment of legacies is also permissible. The subscription rights may only be exercised by the respective beneficiary himself or by his heirs or legatees. If subscription rights can no longer be exercised in accordance with the above provision, they shall expire without replacement or compensation. This does not affect the provision on the authorisation to reissue lapsed subscription rights to beneficiaries. Mynaric is entitled to demand sufficient proof of inheritance and legal succession.</w:t>
      </w:r>
    </w:p>
    <w:p>
      <w:pPr>
        <w:spacing w:after="0" w:line="347" w:lineRule="exact"/>
        <w:rPr>
          <w:sz w:val="20"/>
          <w:szCs w:val="20"/>
          <w:color w:val="auto"/>
        </w:rPr>
      </w:pPr>
    </w:p>
    <w:p>
      <w:pPr>
        <w:ind w:left="1120" w:hanging="288"/>
        <w:spacing w:after="0"/>
        <w:tabs>
          <w:tab w:leader="none" w:pos="1120" w:val="left"/>
        </w:tabs>
        <w:numPr>
          <w:ilvl w:val="0"/>
          <w:numId w:val="244"/>
        </w:numPr>
        <w:rPr>
          <w:rFonts w:ascii="Arial" w:cs="Arial" w:eastAsia="Arial" w:hAnsi="Arial"/>
          <w:sz w:val="12"/>
          <w:szCs w:val="12"/>
          <w:b w:val="1"/>
          <w:bCs w:val="1"/>
          <w:color w:val="auto"/>
        </w:rPr>
      </w:pPr>
      <w:r>
        <w:rPr>
          <w:rFonts w:ascii="Arial" w:cs="Arial" w:eastAsia="Arial" w:hAnsi="Arial"/>
          <w:sz w:val="12"/>
          <w:szCs w:val="12"/>
          <w:b w:val="1"/>
          <w:bCs w:val="1"/>
          <w:color w:val="auto"/>
        </w:rPr>
        <w:t>Taxes and other expenses</w:t>
      </w:r>
    </w:p>
    <w:p>
      <w:pPr>
        <w:spacing w:after="0" w:line="78" w:lineRule="exact"/>
        <w:rPr>
          <w:sz w:val="20"/>
          <w:szCs w:val="20"/>
          <w:color w:val="auto"/>
        </w:rPr>
      </w:pPr>
    </w:p>
    <w:p>
      <w:pPr>
        <w:ind w:left="1120" w:right="6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2"/>
          <w:szCs w:val="12"/>
          <w:color w:val="auto"/>
        </w:rPr>
        <w:t>Any taxes or other expenses incurred by the beneficiary in connection with the exercise of subscription rights, the delivery of shares or payments shall be borne by the beneficiary.</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br w:type="column"/>
      </w:r>
    </w:p>
    <w:p>
      <w:pPr>
        <w:jc w:val="both"/>
        <w:ind w:left="303" w:right="979" w:hanging="299"/>
        <w:spacing w:after="0" w:line="266" w:lineRule="auto"/>
        <w:rPr>
          <w:sz w:val="20"/>
          <w:szCs w:val="20"/>
          <w:color w:val="auto"/>
        </w:rPr>
      </w:pPr>
      <w:r>
        <w:rPr>
          <w:rFonts w:ascii="Arial" w:cs="Arial" w:eastAsia="Arial" w:hAnsi="Arial"/>
          <w:sz w:val="12"/>
          <w:szCs w:val="12"/>
          <w:b w:val="1"/>
          <w:bCs w:val="1"/>
          <w:color w:val="auto"/>
        </w:rPr>
        <w:t xml:space="preserve">6.1.3 </w:t>
      </w:r>
      <w:r>
        <w:rPr>
          <w:rFonts w:ascii="Arial" w:cs="Arial" w:eastAsia="Arial" w:hAnsi="Arial"/>
          <w:sz w:val="12"/>
          <w:szCs w:val="12"/>
          <w:color w:val="auto"/>
        </w:rPr>
        <w:t>Das Recht zur Kündigung des Dienst-oder Arbeitsverhältnisses</w:t>
      </w:r>
      <w:r>
        <w:rPr>
          <w:rFonts w:ascii="Arial" w:cs="Arial" w:eastAsia="Arial" w:hAnsi="Arial"/>
          <w:sz w:val="12"/>
          <w:szCs w:val="12"/>
          <w:b w:val="1"/>
          <w:bCs w:val="1"/>
          <w:color w:val="auto"/>
        </w:rPr>
        <w:t xml:space="preserve"> </w:t>
      </w:r>
      <w:r>
        <w:rPr>
          <w:rFonts w:ascii="Arial" w:cs="Arial" w:eastAsia="Arial" w:hAnsi="Arial"/>
          <w:sz w:val="12"/>
          <w:szCs w:val="12"/>
          <w:color w:val="auto"/>
        </w:rPr>
        <w:t>durch die Gesellschaft bleibt von den vorstehenden Vorschriften unberührt.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-716915</wp:posOffset>
            </wp:positionV>
            <wp:extent cx="1285875" cy="3714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5" w:lineRule="exact"/>
        <w:rPr>
          <w:sz w:val="20"/>
          <w:szCs w:val="20"/>
          <w:color w:val="auto"/>
        </w:rPr>
      </w:pPr>
    </w:p>
    <w:p>
      <w:pPr>
        <w:ind w:left="303" w:right="899" w:hanging="299"/>
        <w:spacing w:after="0" w:line="254" w:lineRule="auto"/>
        <w:tabs>
          <w:tab w:leader="none" w:pos="282"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2"/>
          <w:szCs w:val="12"/>
          <w:color w:val="auto"/>
        </w:rPr>
        <w:t>Scheidet ein Betrieb oder ein Betriebsteil, mit dem der Bezugsrechtsinhaber in einem Dienst-oder Arbeitsverhältnis steht oder dem er zuzuordnen ist, aus dem Kreis der gemäß Beschluss der Hauptversammlung in das Aktienoptionsprogramm einbezogenen Unternehmen des Mynaric-Konzerns aus, so verfallen die Bezugsrechte mit Ablauf des nächstfolgenden Ausübungszeitraumes.</w:t>
      </w:r>
    </w:p>
    <w:p>
      <w:pPr>
        <w:spacing w:after="0" w:line="58" w:lineRule="exact"/>
        <w:rPr>
          <w:sz w:val="20"/>
          <w:szCs w:val="20"/>
          <w:color w:val="auto"/>
        </w:rPr>
      </w:pPr>
    </w:p>
    <w:p>
      <w:pPr>
        <w:ind w:left="3"/>
        <w:spacing w:after="0"/>
        <w:tabs>
          <w:tab w:leader="none" w:pos="282"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0"/>
          <w:szCs w:val="10"/>
          <w:color w:val="auto"/>
        </w:rPr>
        <w:t>Ausnahmen von den Regelungen in Ziffer 6.1 und Ziffer</w:t>
      </w:r>
    </w:p>
    <w:p>
      <w:pPr>
        <w:spacing w:after="0" w:line="19" w:lineRule="exact"/>
        <w:rPr>
          <w:sz w:val="20"/>
          <w:szCs w:val="20"/>
          <w:color w:val="auto"/>
        </w:rPr>
      </w:pPr>
    </w:p>
    <w:p>
      <w:pPr>
        <w:ind w:left="303" w:right="859"/>
        <w:spacing w:after="0" w:line="252" w:lineRule="auto"/>
        <w:rPr>
          <w:sz w:val="20"/>
          <w:szCs w:val="20"/>
          <w:color w:val="auto"/>
        </w:rPr>
      </w:pPr>
      <w:r>
        <w:rPr>
          <w:rFonts w:ascii="Arial" w:cs="Arial" w:eastAsia="Arial" w:hAnsi="Arial"/>
          <w:sz w:val="12"/>
          <w:szCs w:val="12"/>
          <w:color w:val="auto"/>
        </w:rPr>
        <w:t>6.2 können zugunsten der Bezugsrechtsinhaber im Einzelfall oder generell von Mynaric durch schriftliche Erklärung bestimmt werden. Wird eine solche Bestimmung getroffen, so kann Mynaric auch bestimmen, dass die Ausübung der Bezugsrechte zu den Bedingungen des letzten abgelaufenen Ausübungszeitraumes erfolgen kann.</w:t>
      </w:r>
    </w:p>
    <w:p>
      <w:pPr>
        <w:spacing w:after="0" w:line="54" w:lineRule="exact"/>
        <w:rPr>
          <w:sz w:val="20"/>
          <w:szCs w:val="20"/>
          <w:color w:val="auto"/>
        </w:rPr>
      </w:pPr>
    </w:p>
    <w:p>
      <w:pPr>
        <w:ind w:left="3" w:right="1219" w:hanging="3"/>
        <w:spacing w:after="0" w:line="450" w:lineRule="auto"/>
        <w:tabs>
          <w:tab w:leader="none" w:pos="297" w:val="left"/>
        </w:tabs>
        <w:numPr>
          <w:ilvl w:val="0"/>
          <w:numId w:val="245"/>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Keine Übertragbarkeit der Bezugsrechte/Vererblichkeit 7.1 </w:t>
      </w:r>
      <w:r>
        <w:rPr>
          <w:rFonts w:ascii="Arial" w:cs="Arial" w:eastAsia="Arial" w:hAnsi="Arial"/>
          <w:sz w:val="10"/>
          <w:szCs w:val="10"/>
          <w:color w:val="auto"/>
        </w:rPr>
        <w:t>Bezugsrechte sind rechtsgeschäftlich nicht übertragbar.</w:t>
      </w:r>
    </w:p>
    <w:p>
      <w:pPr>
        <w:spacing w:after="0" w:line="1" w:lineRule="exact"/>
        <w:rPr>
          <w:sz w:val="20"/>
          <w:szCs w:val="20"/>
          <w:color w:val="auto"/>
        </w:rPr>
      </w:pPr>
    </w:p>
    <w:p>
      <w:pPr>
        <w:ind w:left="303" w:right="859" w:hanging="299"/>
        <w:spacing w:after="0" w:line="278" w:lineRule="auto"/>
        <w:tabs>
          <w:tab w:leader="none" w:pos="282"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1"/>
          <w:szCs w:val="11"/>
          <w:color w:val="auto"/>
        </w:rPr>
        <w:t>Bezugsrechte sind jedoch vererblich. Ebenfalls ist eine Übertragung zur Erfüllung von Vermächtnissen zulässig. Die Bezugsrechte können nur durch den jeweiligen Bezugsberechtigten selbst oder seine Erben oder Vermächtnisnehmer ausgeübt werden. Können Bezugsrechte nach Maßgabe der vorstehenden Regelung nicht mehr ausgeübt werden, so verfallen sie ersatz-und entschädigungslos. Die Bestimmung über die Ermächtigung zur erneuten Ausgabe von verfallenen Bezugsrechten an Bezugsberechtigte bleibt davon unberührt. Mynaric ist berechtigt, einen ausreichenden Nachweis für den Erbfall und die Rechtsnachfolge zu verlangen.</w:t>
      </w:r>
    </w:p>
    <w:p>
      <w:pPr>
        <w:spacing w:after="0" w:line="44" w:lineRule="exact"/>
        <w:rPr>
          <w:sz w:val="20"/>
          <w:szCs w:val="20"/>
          <w:color w:val="auto"/>
        </w:rPr>
      </w:pPr>
    </w:p>
    <w:p>
      <w:pPr>
        <w:ind w:left="303" w:hanging="303"/>
        <w:spacing w:after="0"/>
        <w:tabs>
          <w:tab w:leader="none" w:pos="303" w:val="left"/>
        </w:tabs>
        <w:numPr>
          <w:ilvl w:val="0"/>
          <w:numId w:val="246"/>
        </w:numPr>
        <w:rPr>
          <w:rFonts w:ascii="Arial" w:cs="Arial" w:eastAsia="Arial" w:hAnsi="Arial"/>
          <w:sz w:val="12"/>
          <w:szCs w:val="12"/>
          <w:b w:val="1"/>
          <w:bCs w:val="1"/>
          <w:color w:val="auto"/>
        </w:rPr>
      </w:pPr>
      <w:r>
        <w:rPr>
          <w:rFonts w:ascii="Arial" w:cs="Arial" w:eastAsia="Arial" w:hAnsi="Arial"/>
          <w:sz w:val="12"/>
          <w:szCs w:val="12"/>
          <w:b w:val="1"/>
          <w:bCs w:val="1"/>
          <w:color w:val="auto"/>
        </w:rPr>
        <w:t>Steuern und sonstige Aufwendungen</w:t>
      </w:r>
    </w:p>
    <w:p>
      <w:pPr>
        <w:spacing w:after="0" w:line="78" w:lineRule="exact"/>
        <w:rPr>
          <w:sz w:val="20"/>
          <w:szCs w:val="20"/>
          <w:color w:val="auto"/>
        </w:rPr>
      </w:pPr>
    </w:p>
    <w:p>
      <w:pPr>
        <w:ind w:left="303" w:right="999" w:hanging="299"/>
        <w:spacing w:after="0" w:line="326" w:lineRule="auto"/>
        <w:tabs>
          <w:tab w:leader="none" w:pos="282"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0"/>
          <w:szCs w:val="10"/>
          <w:color w:val="auto"/>
        </w:rPr>
        <w:t>Etwaige Steuern oder sonstige Aufwendungen, die im Zusammenhang mit der Ausübung von Bezugsrechten, der Lieferung von Aktien oder Zahlungen beim Bezugsberechtigten anfallen, sind vom Bezugsberechtigten zu tragen.</w:t>
      </w:r>
    </w:p>
    <w:p>
      <w:pPr>
        <w:sectPr>
          <w:pgSz w:w="11900" w:h="16838" w:orient="portrait"/>
          <w:cols w:equalWidth="0" w:num="2">
            <w:col w:w="4540" w:space="117"/>
            <w:col w:w="4362"/>
          </w:cols>
          <w:pgMar w:left="1440" w:top="910" w:right="1440" w:bottom="1440" w:gutter="0" w:footer="0" w:header="0"/>
        </w:sectPr>
      </w:pPr>
    </w:p>
    <w:bookmarkStart w:id="309" w:name="page310"/>
    <w:bookmarkEnd w:id="309"/>
    <w:p>
      <w:pPr>
        <w:ind w:left="1120" w:hanging="299"/>
        <w:spacing w:after="0" w:line="289" w:lineRule="auto"/>
        <w:tabs>
          <w:tab w:leader="none" w:pos="11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8.2</w:t>
      </w:r>
      <w:r>
        <w:rPr>
          <w:sz w:val="20"/>
          <w:szCs w:val="20"/>
          <w:color w:val="auto"/>
        </w:rPr>
        <w:tab/>
      </w:r>
      <w:r>
        <w:rPr>
          <w:rFonts w:ascii="Arial" w:cs="Arial" w:eastAsia="Arial" w:hAnsi="Arial"/>
          <w:sz w:val="11"/>
          <w:szCs w:val="11"/>
          <w:color w:val="auto"/>
        </w:rPr>
        <w:t>After the exercise of subscription rights, wage tax and other taxes and duties, including social security contributions, shall be withheld from the monetary advantage of the persons entitled to subscribe in accordance with the law applicable at the relevant time.</w:t>
      </w:r>
    </w:p>
    <w:p>
      <w:pPr>
        <w:spacing w:after="0" w:line="39" w:lineRule="exact"/>
        <w:rPr>
          <w:sz w:val="20"/>
          <w:szCs w:val="20"/>
          <w:color w:val="auto"/>
        </w:rPr>
      </w:pPr>
    </w:p>
    <w:p>
      <w:pPr>
        <w:ind w:left="1140" w:right="280" w:hanging="308"/>
        <w:spacing w:after="0" w:line="387" w:lineRule="auto"/>
        <w:tabs>
          <w:tab w:leader="none" w:pos="1127" w:val="left"/>
        </w:tabs>
        <w:numPr>
          <w:ilvl w:val="0"/>
          <w:numId w:val="247"/>
        </w:numPr>
        <w:rPr>
          <w:rFonts w:ascii="Arial" w:cs="Arial" w:eastAsia="Arial" w:hAnsi="Arial"/>
          <w:sz w:val="10"/>
          <w:szCs w:val="10"/>
          <w:b w:val="1"/>
          <w:bCs w:val="1"/>
          <w:color w:val="auto"/>
        </w:rPr>
      </w:pPr>
      <w:r>
        <w:rPr>
          <w:rFonts w:ascii="Arial" w:cs="Arial" w:eastAsia="Arial" w:hAnsi="Arial"/>
          <w:sz w:val="10"/>
          <w:szCs w:val="10"/>
          <w:b w:val="1"/>
          <w:bCs w:val="1"/>
          <w:color w:val="auto"/>
        </w:rPr>
        <w:t>Adjustments due to changes in share capital or structural measures; entitlement to cash compensation in certain cases</w:t>
      </w:r>
    </w:p>
    <w:p>
      <w:pPr>
        <w:spacing w:after="0" w:line="20" w:lineRule="exact"/>
        <w:rPr>
          <w:sz w:val="20"/>
          <w:szCs w:val="20"/>
          <w:color w:val="auto"/>
        </w:rPr>
      </w:pPr>
      <w:r>
        <w:rPr>
          <w:sz w:val="20"/>
          <w:szCs w:val="20"/>
          <w:color w:val="auto"/>
        </w:rPr>
        <w:br w:type="column"/>
      </w:r>
    </w:p>
    <w:p>
      <w:pPr>
        <w:jc w:val="both"/>
        <w:ind w:left="303" w:right="899" w:hanging="299"/>
        <w:spacing w:after="0" w:line="326" w:lineRule="auto"/>
        <w:tabs>
          <w:tab w:leader="none" w:pos="282" w:val="left"/>
        </w:tabs>
        <w:rPr>
          <w:sz w:val="20"/>
          <w:szCs w:val="20"/>
          <w:color w:val="auto"/>
        </w:rPr>
      </w:pPr>
      <w:r>
        <w:rPr>
          <w:rFonts w:ascii="Arial" w:cs="Arial" w:eastAsia="Arial" w:hAnsi="Arial"/>
          <w:sz w:val="12"/>
          <w:szCs w:val="12"/>
          <w:b w:val="1"/>
          <w:bCs w:val="1"/>
          <w:color w:val="auto"/>
        </w:rPr>
        <w:t>8.2</w:t>
      </w:r>
      <w:r>
        <w:rPr>
          <w:sz w:val="20"/>
          <w:szCs w:val="20"/>
          <w:color w:val="auto"/>
        </w:rPr>
        <w:tab/>
      </w:r>
      <w:r>
        <w:rPr>
          <w:rFonts w:ascii="Arial" w:cs="Arial" w:eastAsia="Arial" w:hAnsi="Arial"/>
          <w:sz w:val="10"/>
          <w:szCs w:val="10"/>
          <w:color w:val="auto"/>
        </w:rPr>
        <w:t>Auf den geldwerten Vorteil der Bezugsberechtigten werden nach Ausübung der Bezugsrechte nach Maßgabe des im maßgeblichen Zeitpunkt geltenden Rechts Lohnsteuer sowie andere Steuern und Abgaben, einschließlich Sozialabgaben, einbehalten.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-822325</wp:posOffset>
            </wp:positionV>
            <wp:extent cx="1285875" cy="3714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3" w:lineRule="exact"/>
        <w:rPr>
          <w:sz w:val="20"/>
          <w:szCs w:val="20"/>
          <w:color w:val="auto"/>
        </w:rPr>
      </w:pPr>
    </w:p>
    <w:p>
      <w:pPr>
        <w:ind w:left="303" w:right="1019" w:hanging="303"/>
        <w:spacing w:after="0" w:line="266" w:lineRule="auto"/>
        <w:tabs>
          <w:tab w:leader="none" w:pos="290" w:val="left"/>
        </w:tabs>
        <w:numPr>
          <w:ilvl w:val="0"/>
          <w:numId w:val="248"/>
        </w:numPr>
        <w:rPr>
          <w:rFonts w:ascii="Arial" w:cs="Arial" w:eastAsia="Arial" w:hAnsi="Arial"/>
          <w:sz w:val="12"/>
          <w:szCs w:val="12"/>
          <w:b w:val="1"/>
          <w:bCs w:val="1"/>
          <w:color w:val="auto"/>
        </w:rPr>
      </w:pPr>
      <w:r>
        <w:rPr>
          <w:rFonts w:ascii="Arial" w:cs="Arial" w:eastAsia="Arial" w:hAnsi="Arial"/>
          <w:sz w:val="12"/>
          <w:szCs w:val="12"/>
          <w:b w:val="1"/>
          <w:bCs w:val="1"/>
          <w:color w:val="auto"/>
        </w:rPr>
        <w:t>Anpassungen aufgrund von Änderungen des Grundkapitals oder Strukturmaßnahmen; Anspruch auf Barausgleich in bestimmten Fällen</w:t>
      </w:r>
    </w:p>
    <w:p>
      <w:pPr>
        <w:spacing w:after="0" w:line="45" w:lineRule="exact"/>
        <w:rPr>
          <w:sz w:val="20"/>
          <w:szCs w:val="20"/>
          <w:color w:val="auto"/>
        </w:rPr>
      </w:pPr>
    </w:p>
    <w:p>
      <w:pPr>
        <w:sectPr>
          <w:pgSz w:w="11900" w:h="16838" w:orient="portrait"/>
          <w:cols w:equalWidth="0" w:num="2">
            <w:col w:w="4480" w:space="177"/>
            <w:col w:w="4362"/>
          </w:cols>
          <w:pgMar w:left="1440" w:top="910" w:right="1440" w:bottom="1440" w:gutter="0" w:footer="0" w:header="0"/>
        </w:sectPr>
      </w:pPr>
    </w:p>
    <w:p>
      <w:pPr>
        <w:jc w:val="both"/>
        <w:ind w:left="112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9.1</w:t>
      </w:r>
      <w:r>
        <w:rPr>
          <w:sz w:val="20"/>
          <w:szCs w:val="20"/>
          <w:color w:val="auto"/>
        </w:rPr>
        <w:tab/>
      </w:r>
      <w:r>
        <w:rPr>
          <w:rFonts w:ascii="Arial" w:cs="Arial" w:eastAsia="Arial" w:hAnsi="Arial"/>
          <w:sz w:val="12"/>
          <w:szCs w:val="12"/>
          <w:color w:val="auto"/>
        </w:rPr>
        <w:t>If Mynaric carries out capital or structural measures within the term of the subscription rights or if third parties acquire a significant share in Mynaric, the following regulations apply:</w:t>
      </w:r>
    </w:p>
    <w:p>
      <w:pPr>
        <w:spacing w:after="0" w:line="20" w:lineRule="exact"/>
        <w:rPr>
          <w:sz w:val="20"/>
          <w:szCs w:val="20"/>
          <w:color w:val="auto"/>
        </w:rPr>
      </w:pPr>
      <w:r>
        <w:rPr>
          <w:sz w:val="20"/>
          <w:szCs w:val="20"/>
          <w:color w:val="auto"/>
        </w:rPr>
        <w:br w:type="column"/>
      </w:r>
    </w:p>
    <w:p>
      <w:pPr>
        <w:ind w:right="859" w:hanging="299"/>
        <w:spacing w:after="0" w:line="259" w:lineRule="auto"/>
        <w:rPr>
          <w:sz w:val="20"/>
          <w:szCs w:val="20"/>
          <w:color w:val="auto"/>
        </w:rPr>
      </w:pPr>
      <w:r>
        <w:rPr>
          <w:rFonts w:ascii="Arial" w:cs="Arial" w:eastAsia="Arial" w:hAnsi="Arial"/>
          <w:sz w:val="12"/>
          <w:szCs w:val="12"/>
          <w:b w:val="1"/>
          <w:bCs w:val="1"/>
          <w:color w:val="auto"/>
        </w:rPr>
        <w:t>9.1</w:t>
      </w:r>
      <w:r>
        <w:rPr>
          <w:sz w:val="20"/>
          <w:szCs w:val="20"/>
          <w:color w:val="auto"/>
        </w:rPr>
        <w:t xml:space="preserve"> </w:t>
      </w:r>
      <w:r>
        <w:rPr>
          <w:rFonts w:ascii="Arial" w:cs="Arial" w:eastAsia="Arial" w:hAnsi="Arial"/>
          <w:sz w:val="12"/>
          <w:szCs w:val="12"/>
          <w:color w:val="auto"/>
        </w:rPr>
        <w:t>Führt die Mynaric innerhalb der Laufzeit der Bezugsrechte Kapital- oder Strukturmaßnahmen durch oder erwerben Dritte eine wesentliche Beteiligung an der Mynaric, gelten die nachfolgenden Regelungen:</w:t>
      </w:r>
    </w:p>
    <w:p>
      <w:pPr>
        <w:spacing w:after="0" w:line="52" w:lineRule="exact"/>
        <w:rPr>
          <w:sz w:val="20"/>
          <w:szCs w:val="20"/>
          <w:color w:val="auto"/>
        </w:rPr>
      </w:pPr>
    </w:p>
    <w:p>
      <w:pPr>
        <w:sectPr>
          <w:pgSz w:w="11900" w:h="16838" w:orient="portrait"/>
          <w:cols w:equalWidth="0" w:num="2">
            <w:col w:w="4500" w:space="460"/>
            <w:col w:w="4059"/>
          </w:cols>
          <w:pgMar w:left="1440" w:top="910" w:right="1440" w:bottom="1440" w:gutter="0" w:footer="0" w:header="0"/>
          <w:type w:val="continuous"/>
        </w:sectPr>
      </w:pPr>
    </w:p>
    <w:p>
      <w:pPr>
        <w:ind w:left="1120" w:right="120" w:hanging="299"/>
        <w:spacing w:after="0" w:line="284" w:lineRule="auto"/>
        <w:tabs>
          <w:tab w:leader="none" w:pos="1100" w:val="left"/>
        </w:tabs>
        <w:rPr>
          <w:sz w:val="20"/>
          <w:szCs w:val="20"/>
          <w:color w:val="auto"/>
        </w:rPr>
      </w:pPr>
      <w:r>
        <w:rPr>
          <w:rFonts w:ascii="Arial" w:cs="Arial" w:eastAsia="Arial" w:hAnsi="Arial"/>
          <w:sz w:val="12"/>
          <w:szCs w:val="12"/>
          <w:b w:val="1"/>
          <w:bCs w:val="1"/>
          <w:color w:val="auto"/>
        </w:rPr>
        <w:t>9.2</w:t>
      </w:r>
      <w:r>
        <w:rPr>
          <w:sz w:val="20"/>
          <w:szCs w:val="20"/>
          <w:color w:val="auto"/>
        </w:rPr>
        <w:tab/>
      </w:r>
      <w:r>
        <w:rPr>
          <w:rFonts w:ascii="Arial" w:cs="Arial" w:eastAsia="Arial" w:hAnsi="Arial"/>
          <w:sz w:val="11"/>
          <w:szCs w:val="11"/>
          <w:color w:val="auto"/>
        </w:rPr>
        <w:t xml:space="preserve">In the event of a </w:t>
      </w:r>
      <w:r>
        <w:rPr>
          <w:rFonts w:ascii="Arial" w:cs="Arial" w:eastAsia="Arial" w:hAnsi="Arial"/>
          <w:sz w:val="11"/>
          <w:szCs w:val="11"/>
          <w:b w:val="1"/>
          <w:bCs w:val="1"/>
          <w:color w:val="auto"/>
        </w:rPr>
        <w:t>capital increase from company funds</w:t>
      </w:r>
      <w:r>
        <w:rPr>
          <w:rFonts w:ascii="Arial" w:cs="Arial" w:eastAsia="Arial" w:hAnsi="Arial"/>
          <w:sz w:val="11"/>
          <w:szCs w:val="11"/>
          <w:color w:val="auto"/>
        </w:rPr>
        <w:t xml:space="preserve"> through the issue of new shares, instead of a reduction of the exercise price, the conditional capital in accordance with § 218 German Stock Corporation Act will be increased in the same proportion as the share capital. The number of shares that can be subscribed per subscription right is increased in the same proportion.</w:t>
      </w:r>
    </w:p>
    <w:p>
      <w:pPr>
        <w:spacing w:after="0" w:line="38" w:lineRule="exact"/>
        <w:rPr>
          <w:sz w:val="20"/>
          <w:szCs w:val="20"/>
          <w:color w:val="auto"/>
        </w:rPr>
      </w:pPr>
    </w:p>
    <w:p>
      <w:pPr>
        <w:ind w:left="1120" w:hanging="299"/>
        <w:spacing w:after="0" w:line="278" w:lineRule="auto"/>
        <w:tabs>
          <w:tab w:leader="none" w:pos="1100" w:val="left"/>
        </w:tabs>
        <w:rPr>
          <w:sz w:val="20"/>
          <w:szCs w:val="20"/>
          <w:color w:val="auto"/>
        </w:rPr>
      </w:pPr>
      <w:r>
        <w:rPr>
          <w:rFonts w:ascii="Arial" w:cs="Arial" w:eastAsia="Arial" w:hAnsi="Arial"/>
          <w:sz w:val="12"/>
          <w:szCs w:val="12"/>
          <w:b w:val="1"/>
          <w:bCs w:val="1"/>
          <w:color w:val="auto"/>
        </w:rPr>
        <w:t>9.3</w:t>
      </w:r>
      <w:r>
        <w:rPr>
          <w:sz w:val="20"/>
          <w:szCs w:val="20"/>
          <w:color w:val="auto"/>
        </w:rPr>
        <w:tab/>
      </w:r>
      <w:r>
        <w:rPr>
          <w:rFonts w:ascii="Arial" w:cs="Arial" w:eastAsia="Arial" w:hAnsi="Arial"/>
          <w:sz w:val="11"/>
          <w:szCs w:val="11"/>
          <w:color w:val="auto"/>
        </w:rPr>
        <w:t xml:space="preserve">In the event of a </w:t>
      </w:r>
      <w:r>
        <w:rPr>
          <w:rFonts w:ascii="Arial" w:cs="Arial" w:eastAsia="Arial" w:hAnsi="Arial"/>
          <w:sz w:val="11"/>
          <w:szCs w:val="11"/>
          <w:b w:val="1"/>
          <w:bCs w:val="1"/>
          <w:color w:val="auto"/>
        </w:rPr>
        <w:t>capital increase against contributions or an issue of</w:t>
      </w:r>
      <w:r>
        <w:rPr>
          <w:rFonts w:ascii="Arial" w:cs="Arial" w:eastAsia="Arial" w:hAnsi="Arial"/>
          <w:sz w:val="11"/>
          <w:szCs w:val="11"/>
          <w:color w:val="auto"/>
        </w:rPr>
        <w:t xml:space="preserve"> </w:t>
      </w:r>
      <w:r>
        <w:rPr>
          <w:rFonts w:ascii="Arial" w:cs="Arial" w:eastAsia="Arial" w:hAnsi="Arial"/>
          <w:sz w:val="11"/>
          <w:szCs w:val="11"/>
          <w:b w:val="1"/>
          <w:bCs w:val="1"/>
          <w:color w:val="auto"/>
        </w:rPr>
        <w:t>securities with conversion or option rights</w:t>
      </w:r>
      <w:r>
        <w:rPr>
          <w:rFonts w:ascii="Arial" w:cs="Arial" w:eastAsia="Arial" w:hAnsi="Arial"/>
          <w:sz w:val="11"/>
          <w:szCs w:val="11"/>
          <w:color w:val="auto"/>
        </w:rPr>
        <w:t>, the exercise price per</w:t>
      </w:r>
      <w:r>
        <w:rPr>
          <w:rFonts w:ascii="Arial" w:cs="Arial" w:eastAsia="Arial" w:hAnsi="Arial"/>
          <w:sz w:val="11"/>
          <w:szCs w:val="11"/>
          <w:b w:val="1"/>
          <w:bCs w:val="1"/>
          <w:color w:val="auto"/>
        </w:rPr>
        <w:t xml:space="preserve"> </w:t>
      </w:r>
      <w:r>
        <w:rPr>
          <w:rFonts w:ascii="Arial" w:cs="Arial" w:eastAsia="Arial" w:hAnsi="Arial"/>
          <w:sz w:val="11"/>
          <w:szCs w:val="11"/>
          <w:color w:val="auto"/>
        </w:rPr>
        <w:t>share is reduced by the amount calculated from the arithmetic mean of the subscription right prices of the subscription rights to which the shareholders are entitled as a result of the capital increase, based on one share, on all days of their trading in Xetra on the Frankfurt Stock Exchange. There is no reduction in the exercise price if, as a result of the capital increase, the beneficiaries are granted direct or indirect subscription rights that place them in the same position as if they had already exercised their subscription rights under the stock option program. If no subscription rights are traded, § 216 (3) German Stock Corporation Act applies accordingly. § Section 9 (1) of the German Stock Corporation Act remains unaffected.</w:t>
      </w:r>
    </w:p>
    <w:p>
      <w:pPr>
        <w:spacing w:after="0" w:line="183" w:lineRule="exact"/>
        <w:rPr>
          <w:sz w:val="20"/>
          <w:szCs w:val="20"/>
          <w:color w:val="auto"/>
        </w:rPr>
      </w:pPr>
    </w:p>
    <w:p>
      <w:pPr>
        <w:ind w:left="1120" w:right="20" w:hanging="299"/>
        <w:spacing w:after="0" w:line="261" w:lineRule="auto"/>
        <w:tabs>
          <w:tab w:leader="none" w:pos="1100" w:val="left"/>
        </w:tabs>
        <w:rPr>
          <w:sz w:val="20"/>
          <w:szCs w:val="20"/>
          <w:color w:val="auto"/>
        </w:rPr>
      </w:pPr>
      <w:r>
        <w:rPr>
          <w:rFonts w:ascii="Arial" w:cs="Arial" w:eastAsia="Arial" w:hAnsi="Arial"/>
          <w:sz w:val="12"/>
          <w:szCs w:val="12"/>
          <w:b w:val="1"/>
          <w:bCs w:val="1"/>
          <w:color w:val="auto"/>
        </w:rPr>
        <w:t>9.4</w:t>
      </w:r>
      <w:r>
        <w:rPr>
          <w:sz w:val="20"/>
          <w:szCs w:val="20"/>
          <w:color w:val="auto"/>
        </w:rPr>
        <w:tab/>
      </w:r>
      <w:r>
        <w:rPr>
          <w:rFonts w:ascii="Arial" w:cs="Arial" w:eastAsia="Arial" w:hAnsi="Arial"/>
          <w:sz w:val="12"/>
          <w:szCs w:val="12"/>
          <w:color w:val="auto"/>
        </w:rPr>
        <w:t xml:space="preserve">In the event of a </w:t>
      </w:r>
      <w:r>
        <w:rPr>
          <w:rFonts w:ascii="Arial" w:cs="Arial" w:eastAsia="Arial" w:hAnsi="Arial"/>
          <w:sz w:val="12"/>
          <w:szCs w:val="12"/>
          <w:b w:val="1"/>
          <w:bCs w:val="1"/>
          <w:color w:val="auto"/>
        </w:rPr>
        <w:t>capital reduction</w:t>
      </w:r>
      <w:r>
        <w:rPr>
          <w:rFonts w:ascii="Arial" w:cs="Arial" w:eastAsia="Arial" w:hAnsi="Arial"/>
          <w:sz w:val="12"/>
          <w:szCs w:val="12"/>
          <w:color w:val="auto"/>
        </w:rPr>
        <w:t>, the exercise price remains unchanged if the number of shares remains unchanged as a result of the capital reduction or if the capital reduction is linked to a capital repayment or a purchase of own</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br w:type="column"/>
      </w:r>
    </w:p>
    <w:p>
      <w:pPr>
        <w:ind w:left="300" w:right="919" w:hanging="299"/>
        <w:spacing w:after="0" w:line="284" w:lineRule="auto"/>
        <w:tabs>
          <w:tab w:leader="none" w:pos="280" w:val="left"/>
        </w:tabs>
        <w:rPr>
          <w:sz w:val="20"/>
          <w:szCs w:val="20"/>
          <w:color w:val="auto"/>
        </w:rPr>
      </w:pPr>
      <w:r>
        <w:rPr>
          <w:rFonts w:ascii="Arial" w:cs="Arial" w:eastAsia="Arial" w:hAnsi="Arial"/>
          <w:sz w:val="12"/>
          <w:szCs w:val="12"/>
          <w:b w:val="1"/>
          <w:bCs w:val="1"/>
          <w:color w:val="auto"/>
        </w:rPr>
        <w:t>9.2</w:t>
      </w:r>
      <w:r>
        <w:rPr>
          <w:sz w:val="20"/>
          <w:szCs w:val="20"/>
          <w:color w:val="auto"/>
        </w:rPr>
        <w:tab/>
      </w:r>
      <w:r>
        <w:rPr>
          <w:rFonts w:ascii="Arial" w:cs="Arial" w:eastAsia="Arial" w:hAnsi="Arial"/>
          <w:sz w:val="11"/>
          <w:szCs w:val="11"/>
          <w:color w:val="auto"/>
        </w:rPr>
        <w:t xml:space="preserve">Im Falle einer </w:t>
      </w:r>
      <w:r>
        <w:rPr>
          <w:rFonts w:ascii="Arial" w:cs="Arial" w:eastAsia="Arial" w:hAnsi="Arial"/>
          <w:sz w:val="11"/>
          <w:szCs w:val="11"/>
          <w:b w:val="1"/>
          <w:bCs w:val="1"/>
          <w:color w:val="auto"/>
        </w:rPr>
        <w:t>Kapitalerhöhung aus Gesellschaftsmitteln</w:t>
      </w:r>
      <w:r>
        <w:rPr>
          <w:rFonts w:ascii="Arial" w:cs="Arial" w:eastAsia="Arial" w:hAnsi="Arial"/>
          <w:sz w:val="11"/>
          <w:szCs w:val="11"/>
          <w:color w:val="auto"/>
        </w:rPr>
        <w:t xml:space="preserve"> durch Ausgabe neuer Aktien wird – anstelle einer Ermäßigung des Ausübungspreises – das Bedingte Kapital gemäß § 218 AktG im gleichen Verhältnis wie das Grundkapital erhöht. Im gleichen Verhältnis erhöht sich die Anzahl der Aktien, die je Bezugsrecht bezogen werden können.</w:t>
      </w:r>
    </w:p>
    <w:p>
      <w:pPr>
        <w:spacing w:after="0" w:line="38" w:lineRule="exact"/>
        <w:rPr>
          <w:sz w:val="20"/>
          <w:szCs w:val="20"/>
          <w:color w:val="auto"/>
        </w:rPr>
      </w:pPr>
    </w:p>
    <w:p>
      <w:pPr>
        <w:jc w:val="center"/>
        <w:ind w:right="1179"/>
        <w:spacing w:after="0"/>
        <w:tabs>
          <w:tab w:leader="none" w:pos="140" w:val="left"/>
        </w:tabs>
        <w:rPr>
          <w:sz w:val="20"/>
          <w:szCs w:val="20"/>
          <w:color w:val="auto"/>
        </w:rPr>
      </w:pPr>
      <w:r>
        <w:rPr>
          <w:rFonts w:ascii="Arial" w:cs="Arial" w:eastAsia="Arial" w:hAnsi="Arial"/>
          <w:sz w:val="12"/>
          <w:szCs w:val="12"/>
          <w:b w:val="1"/>
          <w:bCs w:val="1"/>
          <w:color w:val="auto"/>
        </w:rPr>
        <w:t>9.3</w:t>
      </w:r>
      <w:r>
        <w:rPr>
          <w:sz w:val="20"/>
          <w:szCs w:val="20"/>
          <w:color w:val="auto"/>
        </w:rPr>
        <w:tab/>
      </w:r>
      <w:r>
        <w:rPr>
          <w:rFonts w:ascii="Arial" w:cs="Arial" w:eastAsia="Arial" w:hAnsi="Arial"/>
          <w:sz w:val="10"/>
          <w:szCs w:val="10"/>
          <w:color w:val="auto"/>
        </w:rPr>
        <w:t xml:space="preserve">Im Fall einer </w:t>
      </w:r>
      <w:r>
        <w:rPr>
          <w:rFonts w:ascii="Arial" w:cs="Arial" w:eastAsia="Arial" w:hAnsi="Arial"/>
          <w:sz w:val="10"/>
          <w:szCs w:val="10"/>
          <w:b w:val="1"/>
          <w:bCs w:val="1"/>
          <w:color w:val="auto"/>
        </w:rPr>
        <w:t>Kapitalerhöhung gegen Einlagen oder einer</w:t>
      </w:r>
    </w:p>
    <w:p>
      <w:pPr>
        <w:spacing w:after="0" w:line="19" w:lineRule="exact"/>
        <w:rPr>
          <w:sz w:val="20"/>
          <w:szCs w:val="20"/>
          <w:color w:val="auto"/>
        </w:rPr>
      </w:pPr>
    </w:p>
    <w:p>
      <w:pPr>
        <w:ind w:left="300" w:right="859"/>
        <w:spacing w:after="0" w:line="276" w:lineRule="auto"/>
        <w:rPr>
          <w:sz w:val="20"/>
          <w:szCs w:val="20"/>
          <w:color w:val="auto"/>
        </w:rPr>
      </w:pPr>
      <w:r>
        <w:rPr>
          <w:rFonts w:ascii="Arial" w:cs="Arial" w:eastAsia="Arial" w:hAnsi="Arial"/>
          <w:sz w:val="11"/>
          <w:szCs w:val="11"/>
          <w:b w:val="1"/>
          <w:bCs w:val="1"/>
          <w:color w:val="auto"/>
        </w:rPr>
        <w:t xml:space="preserve">Begebung von Wertpapieren mit Wandlungs- oder Optionsrechten </w:t>
      </w:r>
      <w:r>
        <w:rPr>
          <w:rFonts w:ascii="Arial" w:cs="Arial" w:eastAsia="Arial" w:hAnsi="Arial"/>
          <w:sz w:val="11"/>
          <w:szCs w:val="11"/>
          <w:color w:val="auto"/>
        </w:rPr>
        <w:t>ermäßigt sich der Ausübungspreis je Aktie um</w:t>
      </w:r>
      <w:r>
        <w:rPr>
          <w:rFonts w:ascii="Arial" w:cs="Arial" w:eastAsia="Arial" w:hAnsi="Arial"/>
          <w:sz w:val="11"/>
          <w:szCs w:val="11"/>
          <w:b w:val="1"/>
          <w:bCs w:val="1"/>
          <w:color w:val="auto"/>
        </w:rPr>
        <w:t xml:space="preserve"> </w:t>
      </w:r>
      <w:r>
        <w:rPr>
          <w:rFonts w:ascii="Arial" w:cs="Arial" w:eastAsia="Arial" w:hAnsi="Arial"/>
          <w:sz w:val="11"/>
          <w:szCs w:val="11"/>
          <w:color w:val="auto"/>
        </w:rPr>
        <w:t>den Betrag, der sich aus dem arithmetischen Mittel der Bezugsrechtskurse der den Aktionären auf Grund der Kapitalerhöhung zustehenden Bezugsrechte, bezogen auf eine Aktie, an allen Tagen ihres Handels im Xetra- Handel an der Frankfurter Wertpapierbörse errechnet. Eine Ermäßigung des Ausübungspreises tritt nicht ein, wenn den Bezugsberechtigten auf Grund der Kapitalerhöhung ein mittelbares oder unmittelbares Bezugsrecht eingeräumt wird, das sie so stellt, als hätten sie ihre Bezugsrechte aus dem Aktienoptionsprogramm bereits ausgeübt. Findet kein Bezugsrechtshandel statt, gilt § 216 Abs. 3 AktG entsprechend. § 9 Abs. 1 AktG bleibt unberührt.</w:t>
      </w:r>
    </w:p>
    <w:p>
      <w:pPr>
        <w:spacing w:after="0" w:line="40" w:lineRule="exact"/>
        <w:rPr>
          <w:sz w:val="20"/>
          <w:szCs w:val="20"/>
          <w:color w:val="auto"/>
        </w:rPr>
      </w:pPr>
    </w:p>
    <w:p>
      <w:pPr>
        <w:ind w:left="300" w:right="939" w:hanging="299"/>
        <w:spacing w:after="0" w:line="287" w:lineRule="auto"/>
        <w:tabs>
          <w:tab w:leader="none" w:pos="280" w:val="left"/>
        </w:tabs>
        <w:rPr>
          <w:sz w:val="20"/>
          <w:szCs w:val="20"/>
          <w:color w:val="auto"/>
        </w:rPr>
      </w:pPr>
      <w:r>
        <w:rPr>
          <w:rFonts w:ascii="Arial" w:cs="Arial" w:eastAsia="Arial" w:hAnsi="Arial"/>
          <w:sz w:val="12"/>
          <w:szCs w:val="12"/>
          <w:b w:val="1"/>
          <w:bCs w:val="1"/>
          <w:color w:val="auto"/>
        </w:rPr>
        <w:t>9.4</w:t>
      </w:r>
      <w:r>
        <w:rPr>
          <w:sz w:val="20"/>
          <w:szCs w:val="20"/>
          <w:color w:val="auto"/>
        </w:rPr>
        <w:tab/>
      </w:r>
      <w:r>
        <w:rPr>
          <w:rFonts w:ascii="Arial" w:cs="Arial" w:eastAsia="Arial" w:hAnsi="Arial"/>
          <w:sz w:val="11"/>
          <w:szCs w:val="11"/>
          <w:color w:val="auto"/>
        </w:rPr>
        <w:t xml:space="preserve">Im Falle einer </w:t>
      </w:r>
      <w:r>
        <w:rPr>
          <w:rFonts w:ascii="Arial" w:cs="Arial" w:eastAsia="Arial" w:hAnsi="Arial"/>
          <w:sz w:val="11"/>
          <w:szCs w:val="11"/>
          <w:b w:val="1"/>
          <w:bCs w:val="1"/>
          <w:color w:val="auto"/>
        </w:rPr>
        <w:t>Kapitalherabsetzung</w:t>
      </w:r>
      <w:r>
        <w:rPr>
          <w:rFonts w:ascii="Arial" w:cs="Arial" w:eastAsia="Arial" w:hAnsi="Arial"/>
          <w:sz w:val="11"/>
          <w:szCs w:val="11"/>
          <w:color w:val="auto"/>
        </w:rPr>
        <w:t xml:space="preserve"> bleibt der Ausübungspreis unverändert, wenn durch die Kapitalherabsetzung die Anzahl der Aktien unverändert bleibt oder die Kapitalherabsetzung mit einer Kapitalrückzahlung oder einem entgeltlichen Erwerb eigener Aktien</w:t>
      </w:r>
    </w:p>
    <w:p>
      <w:pPr>
        <w:sectPr>
          <w:pgSz w:w="11900" w:h="16838" w:orient="portrait"/>
          <w:cols w:equalWidth="0" w:num="2">
            <w:col w:w="4580" w:space="80"/>
            <w:col w:w="4359"/>
          </w:cols>
          <w:pgMar w:left="1440" w:top="910" w:right="1440" w:bottom="1440" w:gutter="0" w:footer="0" w:header="0"/>
          <w:type w:val="continuous"/>
        </w:sectPr>
      </w:pPr>
    </w:p>
    <w:bookmarkStart w:id="310" w:name="page311"/>
    <w:bookmarkEnd w:id="310"/>
    <w:p>
      <w:pPr>
        <w:ind w:left="1140"/>
        <w:spacing w:after="0" w:line="31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shares against payment. In the event of a capital reduction by combining shares without capital repayment or acquisition of own shares against payment and in the event of an increase in shares without capital change (share split), the subscription right is adjusted in such a way that the number of shares to be granted for a subscription right is reduced or increased accordingly in proportion to the capital reduction or share split. The exercise price remains unaffected.</w:t>
      </w:r>
    </w:p>
    <w:p>
      <w:pPr>
        <w:spacing w:after="0" w:line="20" w:lineRule="exact"/>
        <w:rPr>
          <w:sz w:val="20"/>
          <w:szCs w:val="20"/>
          <w:color w:val="auto"/>
        </w:rPr>
      </w:pPr>
      <w:r>
        <w:rPr>
          <w:sz w:val="20"/>
          <w:szCs w:val="20"/>
          <w:color w:val="auto"/>
        </w:rPr>
        <w:br w:type="column"/>
      </w:r>
    </w:p>
    <w:p>
      <w:pPr>
        <w:ind w:right="859"/>
        <w:spacing w:after="0" w:line="311" w:lineRule="auto"/>
        <w:rPr>
          <w:sz w:val="20"/>
          <w:szCs w:val="20"/>
          <w:color w:val="auto"/>
        </w:rPr>
      </w:pPr>
      <w:r>
        <w:rPr>
          <w:rFonts w:ascii="Arial" w:cs="Arial" w:eastAsia="Arial" w:hAnsi="Arial"/>
          <w:sz w:val="10"/>
          <w:szCs w:val="10"/>
          <w:color w:val="auto"/>
        </w:rPr>
        <w:t>verbunden ist. Im Falle einer Kapitalherabsetzung durch Zusammenlegung von Aktien ohne Kapitalrückzahlung oder entgeltlichem Erwerb eigener Aktien und im Falle einer Erhöhung der Aktien ohne Kapitalveränderung (Aktiensplitt) wird das Bezugsrecht so angepasst, dass die Anzahl der für ein Bezugsrecht zu gewährenden Aktien im Verhältnis der Kapitalherabsetzung oder des Aktiensplitts entsprechend verringert oder erhöht werden. Der Ausübungspreis bleibt hiervon unberührt.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-1185545</wp:posOffset>
            </wp:positionV>
            <wp:extent cx="1285875" cy="3714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580" w:space="380"/>
            <w:col w:w="4059"/>
          </w:cols>
          <w:pgMar w:left="1440" w:top="914" w:right="1440" w:bottom="1440" w:gutter="0" w:footer="0" w:header="0"/>
        </w:sectPr>
      </w:pPr>
    </w:p>
    <w:p>
      <w:pPr>
        <w:ind w:left="112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9.5</w:t>
      </w:r>
      <w:r>
        <w:rPr>
          <w:sz w:val="20"/>
          <w:szCs w:val="20"/>
          <w:color w:val="auto"/>
        </w:rPr>
        <w:tab/>
      </w:r>
      <w:r>
        <w:rPr>
          <w:rFonts w:ascii="Arial" w:cs="Arial" w:eastAsia="Arial" w:hAnsi="Arial"/>
          <w:sz w:val="12"/>
          <w:szCs w:val="12"/>
          <w:color w:val="auto"/>
        </w:rPr>
        <w:t>In the event of a change of control (acquisition of more than 50% of the shares of the Company by a new shareholder), the following shall apply:</w:t>
      </w:r>
    </w:p>
    <w:p>
      <w:pPr>
        <w:spacing w:after="0" w:line="50" w:lineRule="exact"/>
        <w:rPr>
          <w:sz w:val="20"/>
          <w:szCs w:val="20"/>
          <w:color w:val="auto"/>
        </w:rPr>
      </w:pPr>
    </w:p>
    <w:p>
      <w:pPr>
        <w:ind w:left="1140" w:right="60" w:hanging="299"/>
        <w:spacing w:after="0" w:line="266" w:lineRule="auto"/>
        <w:rPr>
          <w:sz w:val="20"/>
          <w:szCs w:val="20"/>
          <w:color w:val="auto"/>
        </w:rPr>
      </w:pPr>
      <w:r>
        <w:rPr>
          <w:rFonts w:ascii="Arial" w:cs="Arial" w:eastAsia="Arial" w:hAnsi="Arial"/>
          <w:sz w:val="12"/>
          <w:szCs w:val="12"/>
          <w:b w:val="1"/>
          <w:bCs w:val="1"/>
          <w:color w:val="auto"/>
        </w:rPr>
        <w:t xml:space="preserve">9.5.1 </w:t>
      </w:r>
      <w:r>
        <w:rPr>
          <w:rFonts w:ascii="Arial" w:cs="Arial" w:eastAsia="Arial" w:hAnsi="Arial"/>
          <w:sz w:val="12"/>
          <w:szCs w:val="12"/>
          <w:color w:val="auto"/>
        </w:rPr>
        <w:t>If the</w:t>
      </w:r>
      <w:r>
        <w:rPr>
          <w:rFonts w:ascii="Arial" w:cs="Arial" w:eastAsia="Arial" w:hAnsi="Arial"/>
          <w:sz w:val="12"/>
          <w:szCs w:val="12"/>
          <w:b w:val="1"/>
          <w:bCs w:val="1"/>
          <w:color w:val="auto"/>
        </w:rPr>
        <w:t xml:space="preserve"> waiting period (item 2.4) has expired </w:t>
      </w:r>
      <w:r>
        <w:rPr>
          <w:rFonts w:ascii="Arial" w:cs="Arial" w:eastAsia="Arial" w:hAnsi="Arial"/>
          <w:sz w:val="12"/>
          <w:szCs w:val="12"/>
          <w:color w:val="auto"/>
        </w:rPr>
        <w:t>at the time the Change of</w:t>
      </w:r>
      <w:r>
        <w:rPr>
          <w:rFonts w:ascii="Arial" w:cs="Arial" w:eastAsia="Arial" w:hAnsi="Arial"/>
          <w:sz w:val="12"/>
          <w:szCs w:val="12"/>
          <w:b w:val="1"/>
          <w:bCs w:val="1"/>
          <w:color w:val="auto"/>
        </w:rPr>
        <w:t xml:space="preserve"> </w:t>
      </w:r>
      <w:r>
        <w:rPr>
          <w:rFonts w:ascii="Arial" w:cs="Arial" w:eastAsia="Arial" w:hAnsi="Arial"/>
          <w:sz w:val="12"/>
          <w:szCs w:val="12"/>
          <w:color w:val="auto"/>
        </w:rPr>
        <w:t>Control takes effect, option rights can be exercised within the next exercise period.</w:t>
      </w:r>
    </w:p>
    <w:p>
      <w:pPr>
        <w:spacing w:after="0" w:line="193" w:lineRule="exact"/>
        <w:rPr>
          <w:sz w:val="20"/>
          <w:szCs w:val="20"/>
          <w:color w:val="auto"/>
        </w:rPr>
      </w:pPr>
    </w:p>
    <w:p>
      <w:pPr>
        <w:ind w:left="1140" w:right="60"/>
        <w:spacing w:after="0" w:line="309" w:lineRule="auto"/>
        <w:rPr>
          <w:sz w:val="20"/>
          <w:szCs w:val="20"/>
          <w:color w:val="auto"/>
        </w:rPr>
      </w:pPr>
      <w:r>
        <w:rPr>
          <w:rFonts w:ascii="Arial" w:cs="Arial" w:eastAsia="Arial" w:hAnsi="Arial"/>
          <w:sz w:val="10"/>
          <w:szCs w:val="10"/>
          <w:color w:val="auto"/>
        </w:rPr>
        <w:t>If the conditions for exercising the options are not met, the beneficiary and Mynaric can declare their resignation in accordance with item</w:t>
      </w:r>
    </w:p>
    <w:p>
      <w:pPr>
        <w:spacing w:after="0" w:line="1" w:lineRule="exact"/>
        <w:rPr>
          <w:sz w:val="20"/>
          <w:szCs w:val="20"/>
          <w:color w:val="auto"/>
        </w:rPr>
      </w:pPr>
    </w:p>
    <w:p>
      <w:pPr>
        <w:ind w:left="1140" w:right="240"/>
        <w:spacing w:after="0" w:line="260" w:lineRule="auto"/>
        <w:rPr>
          <w:sz w:val="20"/>
          <w:szCs w:val="20"/>
          <w:color w:val="auto"/>
        </w:rPr>
      </w:pPr>
      <w:r>
        <w:rPr>
          <w:rFonts w:ascii="Arial" w:cs="Arial" w:eastAsia="Arial" w:hAnsi="Arial"/>
          <w:sz w:val="12"/>
          <w:szCs w:val="12"/>
          <w:color w:val="auto"/>
        </w:rPr>
        <w:t>9.5.2, in which case a value adjustment must be paid in accordance with item 9.5.2.</w:t>
      </w:r>
    </w:p>
    <w:p>
      <w:pPr>
        <w:spacing w:after="0" w:line="48" w:lineRule="exact"/>
        <w:rPr>
          <w:sz w:val="20"/>
          <w:szCs w:val="20"/>
          <w:color w:val="auto"/>
        </w:rPr>
      </w:pPr>
    </w:p>
    <w:p>
      <w:pPr>
        <w:ind w:left="1140" w:right="60" w:hanging="299"/>
        <w:spacing w:after="0" w:line="278" w:lineRule="auto"/>
        <w:rPr>
          <w:sz w:val="20"/>
          <w:szCs w:val="20"/>
          <w:color w:val="auto"/>
        </w:rPr>
      </w:pPr>
      <w:r>
        <w:rPr>
          <w:rFonts w:ascii="Arial" w:cs="Arial" w:eastAsia="Arial" w:hAnsi="Arial"/>
          <w:sz w:val="11"/>
          <w:szCs w:val="11"/>
          <w:b w:val="1"/>
          <w:bCs w:val="1"/>
          <w:color w:val="auto"/>
        </w:rPr>
        <w:t xml:space="preserve">9.5.2 </w:t>
      </w:r>
      <w:r>
        <w:rPr>
          <w:rFonts w:ascii="Arial" w:cs="Arial" w:eastAsia="Arial" w:hAnsi="Arial"/>
          <w:sz w:val="11"/>
          <w:szCs w:val="11"/>
          <w:color w:val="auto"/>
        </w:rPr>
        <w:t>If the</w:t>
      </w:r>
      <w:r>
        <w:rPr>
          <w:rFonts w:ascii="Arial" w:cs="Arial" w:eastAsia="Arial" w:hAnsi="Arial"/>
          <w:sz w:val="11"/>
          <w:szCs w:val="11"/>
          <w:b w:val="1"/>
          <w:bCs w:val="1"/>
          <w:color w:val="auto"/>
        </w:rPr>
        <w:t xml:space="preserve"> waiting period (item 2.4) has not yet expired </w:t>
      </w:r>
      <w:r>
        <w:rPr>
          <w:rFonts w:ascii="Arial" w:cs="Arial" w:eastAsia="Arial" w:hAnsi="Arial"/>
          <w:sz w:val="11"/>
          <w:szCs w:val="11"/>
          <w:color w:val="auto"/>
        </w:rPr>
        <w:t>at the time the</w:t>
      </w:r>
      <w:r>
        <w:rPr>
          <w:rFonts w:ascii="Arial" w:cs="Arial" w:eastAsia="Arial" w:hAnsi="Arial"/>
          <w:sz w:val="11"/>
          <w:szCs w:val="11"/>
          <w:b w:val="1"/>
          <w:bCs w:val="1"/>
          <w:color w:val="auto"/>
        </w:rPr>
        <w:t xml:space="preserve"> </w:t>
      </w:r>
      <w:r>
        <w:rPr>
          <w:rFonts w:ascii="Arial" w:cs="Arial" w:eastAsia="Arial" w:hAnsi="Arial"/>
          <w:sz w:val="11"/>
          <w:szCs w:val="11"/>
          <w:color w:val="auto"/>
        </w:rPr>
        <w:t>change of control takes effect, the rightful claimant is entitled to waive the subscription rights granted to him/her by the granted subscription rights by means of a unilateral declaration to Mynaric (withdrawal). Such a declaration of withdrawal must be received by the company within a period of two weeks from the publication of the Change of Control. It must be in writing, whereby transmission by fax within the deadline is sufficient if the original of the declaration follows within one week of receipt of the fax. A declaration by e-mail is also permissible within the deadline if it contains the original of the signed reference declaration as a file attachment (e.g. in pdf or tif format) and the original follows the declaration within one week of receipt of the e-mail.</w:t>
      </w:r>
    </w:p>
    <w:p>
      <w:pPr>
        <w:spacing w:after="0" w:line="358"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br w:type="column"/>
      </w:r>
    </w:p>
    <w:p>
      <w:pPr>
        <w:ind w:right="879" w:hanging="299"/>
        <w:spacing w:after="0" w:line="266" w:lineRule="auto"/>
        <w:rPr>
          <w:sz w:val="20"/>
          <w:szCs w:val="20"/>
          <w:color w:val="auto"/>
        </w:rPr>
      </w:pPr>
      <w:r>
        <w:rPr>
          <w:rFonts w:ascii="Arial" w:cs="Arial" w:eastAsia="Arial" w:hAnsi="Arial"/>
          <w:sz w:val="12"/>
          <w:szCs w:val="12"/>
          <w:b w:val="1"/>
          <w:bCs w:val="1"/>
          <w:color w:val="auto"/>
        </w:rPr>
        <w:t>9.5</w:t>
      </w:r>
      <w:r>
        <w:rPr>
          <w:sz w:val="20"/>
          <w:szCs w:val="20"/>
          <w:color w:val="auto"/>
        </w:rPr>
        <w:t xml:space="preserve"> </w:t>
      </w:r>
      <w:r>
        <w:rPr>
          <w:rFonts w:ascii="Arial" w:cs="Arial" w:eastAsia="Arial" w:hAnsi="Arial"/>
          <w:sz w:val="12"/>
          <w:szCs w:val="12"/>
          <w:color w:val="auto"/>
        </w:rPr>
        <w:t xml:space="preserve">Im Falle eines </w:t>
      </w:r>
      <w:r>
        <w:rPr>
          <w:rFonts w:ascii="Arial" w:cs="Arial" w:eastAsia="Arial" w:hAnsi="Arial"/>
          <w:sz w:val="12"/>
          <w:szCs w:val="12"/>
          <w:b w:val="1"/>
          <w:bCs w:val="1"/>
          <w:color w:val="auto"/>
        </w:rPr>
        <w:t>Change of Control</w:t>
      </w:r>
      <w:r>
        <w:rPr>
          <w:rFonts w:ascii="Arial" w:cs="Arial" w:eastAsia="Arial" w:hAnsi="Arial"/>
          <w:sz w:val="12"/>
          <w:szCs w:val="12"/>
          <w:color w:val="auto"/>
        </w:rPr>
        <w:t xml:space="preserve"> (Erwerb von mehr als 50 % der Aktien der Gesellschaft durch einen neuen Aktionär) gilt folgendes:</w:t>
      </w:r>
    </w:p>
    <w:p>
      <w:pPr>
        <w:spacing w:after="0" w:line="45" w:lineRule="exact"/>
        <w:rPr>
          <w:sz w:val="20"/>
          <w:szCs w:val="20"/>
          <w:color w:val="auto"/>
        </w:rPr>
      </w:pPr>
    </w:p>
    <w:p>
      <w:pPr>
        <w:jc w:val="both"/>
        <w:ind w:right="1199" w:hanging="299"/>
        <w:spacing w:after="0" w:line="261" w:lineRule="auto"/>
        <w:rPr>
          <w:sz w:val="20"/>
          <w:szCs w:val="20"/>
          <w:color w:val="auto"/>
        </w:rPr>
      </w:pPr>
      <w:r>
        <w:rPr>
          <w:rFonts w:ascii="Arial" w:cs="Arial" w:eastAsia="Arial" w:hAnsi="Arial"/>
          <w:sz w:val="12"/>
          <w:szCs w:val="12"/>
          <w:b w:val="1"/>
          <w:bCs w:val="1"/>
          <w:color w:val="auto"/>
        </w:rPr>
        <w:t xml:space="preserve">9.5.1 </w:t>
      </w:r>
      <w:r>
        <w:rPr>
          <w:rFonts w:ascii="Arial" w:cs="Arial" w:eastAsia="Arial" w:hAnsi="Arial"/>
          <w:sz w:val="12"/>
          <w:szCs w:val="12"/>
          <w:color w:val="auto"/>
        </w:rPr>
        <w:t>Soweit zum Zeitpunkt des Wirksamwerdens des Change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Controls die </w:t>
      </w:r>
      <w:r>
        <w:rPr>
          <w:rFonts w:ascii="Arial" w:cs="Arial" w:eastAsia="Arial" w:hAnsi="Arial"/>
          <w:sz w:val="12"/>
          <w:szCs w:val="12"/>
          <w:b w:val="1"/>
          <w:bCs w:val="1"/>
          <w:color w:val="auto"/>
        </w:rPr>
        <w:t>Wartezeit (Ziffer 2.4) abgelaufen</w:t>
      </w:r>
      <w:r>
        <w:rPr>
          <w:rFonts w:ascii="Arial" w:cs="Arial" w:eastAsia="Arial" w:hAnsi="Arial"/>
          <w:sz w:val="12"/>
          <w:szCs w:val="12"/>
          <w:color w:val="auto"/>
        </w:rPr>
        <w:t xml:space="preserve"> ist, können Optionsrechte innerhalb des nächsten Ausübungszeitraums ausgeübt werden.</w:t>
      </w:r>
    </w:p>
    <w:p>
      <w:pPr>
        <w:spacing w:after="0" w:line="52" w:lineRule="exact"/>
        <w:rPr>
          <w:sz w:val="20"/>
          <w:szCs w:val="20"/>
          <w:color w:val="auto"/>
        </w:rPr>
      </w:pPr>
    </w:p>
    <w:p>
      <w:pPr>
        <w:ind w:right="879"/>
        <w:spacing w:after="0" w:line="259" w:lineRule="auto"/>
        <w:rPr>
          <w:sz w:val="20"/>
          <w:szCs w:val="20"/>
          <w:color w:val="auto"/>
        </w:rPr>
      </w:pPr>
      <w:r>
        <w:rPr>
          <w:rFonts w:ascii="Arial" w:cs="Arial" w:eastAsia="Arial" w:hAnsi="Arial"/>
          <w:sz w:val="12"/>
          <w:szCs w:val="12"/>
          <w:color w:val="auto"/>
        </w:rPr>
        <w:t>Liegen die Ausübungsvoraussetzungen nicht vor, können der Bezugsberechtigte und Mynaric nach Maßgabe des Ziffer 9.5.2 den Rücktritt erklären, in diesem Fall ist ein Wertausgleich gemäß Ziffer 9.5.2 zu zahlen.</w:t>
      </w:r>
    </w:p>
    <w:p>
      <w:pPr>
        <w:spacing w:after="0" w:line="48" w:lineRule="exact"/>
        <w:rPr>
          <w:sz w:val="20"/>
          <w:szCs w:val="20"/>
          <w:color w:val="auto"/>
        </w:rPr>
      </w:pPr>
    </w:p>
    <w:p>
      <w:pPr>
        <w:ind w:right="859" w:hanging="299"/>
        <w:spacing w:after="0" w:line="277" w:lineRule="auto"/>
        <w:rPr>
          <w:sz w:val="20"/>
          <w:szCs w:val="20"/>
          <w:color w:val="auto"/>
        </w:rPr>
      </w:pPr>
      <w:r>
        <w:rPr>
          <w:rFonts w:ascii="Arial" w:cs="Arial" w:eastAsia="Arial" w:hAnsi="Arial"/>
          <w:sz w:val="11"/>
          <w:szCs w:val="11"/>
          <w:b w:val="1"/>
          <w:bCs w:val="1"/>
          <w:color w:val="auto"/>
        </w:rPr>
        <w:t xml:space="preserve">9.5.2 </w:t>
      </w:r>
      <w:r>
        <w:rPr>
          <w:rFonts w:ascii="Arial" w:cs="Arial" w:eastAsia="Arial" w:hAnsi="Arial"/>
          <w:sz w:val="11"/>
          <w:szCs w:val="11"/>
          <w:color w:val="auto"/>
        </w:rPr>
        <w:t>Ist die</w:t>
      </w:r>
      <w:r>
        <w:rPr>
          <w:rFonts w:ascii="Arial" w:cs="Arial" w:eastAsia="Arial" w:hAnsi="Arial"/>
          <w:sz w:val="11"/>
          <w:szCs w:val="11"/>
          <w:b w:val="1"/>
          <w:bCs w:val="1"/>
          <w:color w:val="auto"/>
        </w:rPr>
        <w:t xml:space="preserve"> Wartezeit (Ziffer 2.4) </w:t>
      </w:r>
      <w:r>
        <w:rPr>
          <w:rFonts w:ascii="Arial" w:cs="Arial" w:eastAsia="Arial" w:hAnsi="Arial"/>
          <w:sz w:val="11"/>
          <w:szCs w:val="11"/>
          <w:color w:val="auto"/>
        </w:rPr>
        <w:t>zum Zeitpunkt des Wirksamwerden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des Change of Control </w:t>
      </w:r>
      <w:r>
        <w:rPr>
          <w:rFonts w:ascii="Arial" w:cs="Arial" w:eastAsia="Arial" w:hAnsi="Arial"/>
          <w:sz w:val="11"/>
          <w:szCs w:val="11"/>
          <w:b w:val="1"/>
          <w:bCs w:val="1"/>
          <w:color w:val="auto"/>
        </w:rPr>
        <w:t>noch nicht abgelaufen</w:t>
      </w:r>
      <w:r>
        <w:rPr>
          <w:rFonts w:ascii="Arial" w:cs="Arial" w:eastAsia="Arial" w:hAnsi="Arial"/>
          <w:sz w:val="11"/>
          <w:szCs w:val="11"/>
          <w:color w:val="auto"/>
        </w:rPr>
        <w:t>, steht dem Bezugsberechtigten das Recht zu, auf die ihm durch die gewährten Bezugsrechte eingeräumten Bezugsrechte durch einseitige Erklärung gegenüber der Mynaric zu verzichten (Rücktritt). Eine solche Rücktrittserklärung muss der Gesellschaft innerhalb einer Frist von zwei Wochen seit der Veröffentlichung des Change of Control zugehen. Sie bedarf der Schriftform, wobei eine Übersendung per Telefax innerhalb der Frist ausreicht, wenn das Original der Erklärung innerhalb einer Woche seit Zugang des Telefaxes folgt. Eine Erklärung per E-Mail ist ebenfalls fristwahrend zulässig, wenn sie das Original der unterzeichneten Bezugserklärung als Dateianhang (z. B. im pdf- oder tif-Format) enthält und das Original der Erklärung innerhalb einer Woche seit Zugang des E-Mails folgt.</w:t>
      </w:r>
    </w:p>
    <w:p>
      <w:pPr>
        <w:sectPr>
          <w:pgSz w:w="11900" w:h="16838" w:orient="portrait"/>
          <w:cols w:equalWidth="0" w:num="2">
            <w:col w:w="4580" w:space="380"/>
            <w:col w:w="4059"/>
          </w:cols>
          <w:pgMar w:left="1440" w:top="914" w:right="1440" w:bottom="1440" w:gutter="0" w:footer="0" w:header="0"/>
          <w:type w:val="continuous"/>
        </w:sectPr>
      </w:pPr>
    </w:p>
    <w:bookmarkStart w:id="311" w:name="page312"/>
    <w:bookmarkEnd w:id="311"/>
    <w:p>
      <w:pPr>
        <w:ind w:left="1140"/>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a subscription right holder withdraws in accordance with this provision, he is entitled to payment of a full value compensation for each subscription right against Mynaric. This claim is calculated as follows: The purchase price paid for a no-par value share in the company is decisive, less the exercise price to be paid by the person entitled to subscribe. If the buyer increases the purchase price at a later date, the value of the shares will be increased accordingly.</w:t>
      </w:r>
    </w:p>
    <w:p>
      <w:pPr>
        <w:spacing w:after="0" w:line="20" w:lineRule="exact"/>
        <w:rPr>
          <w:sz w:val="20"/>
          <w:szCs w:val="20"/>
          <w:color w:val="auto"/>
        </w:rPr>
      </w:pPr>
      <w:r>
        <w:rPr>
          <w:sz w:val="20"/>
          <w:szCs w:val="20"/>
          <w:color w:val="auto"/>
        </w:rPr>
        <w:br w:type="column"/>
      </w:r>
    </w:p>
    <w:p>
      <w:pPr>
        <w:ind w:right="899"/>
        <w:spacing w:after="0" w:line="311" w:lineRule="auto"/>
        <w:rPr>
          <w:sz w:val="20"/>
          <w:szCs w:val="20"/>
          <w:color w:val="auto"/>
        </w:rPr>
      </w:pPr>
      <w:r>
        <w:rPr>
          <w:rFonts w:ascii="Arial" w:cs="Arial" w:eastAsia="Arial" w:hAnsi="Arial"/>
          <w:sz w:val="10"/>
          <w:szCs w:val="10"/>
          <w:color w:val="auto"/>
        </w:rPr>
        <w:t>Tritt ein Bezugsrechtsinhaber nach Maßgabe dieser Bestimmung zurück, steht ihm ein Anspruch auf Zahlung eines vollen Wertausgleichs für jedes Bezugsrecht gegen die Mynaric zu. Dieser Anspruch berechnet sich wie folgt: Maßgeblich ist der bezahlte Kaufpreis für eine Stückaktie der Gesellschaft, abzüglich des vom Bezugsberechtigten zu zahlenden Ausübungspreises. Soweit der Käufer den Kaufpreis zu einem späteren Zeitpunkt erhöht, erhöht sich der Wertausgleich entsprechend.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-1185545</wp:posOffset>
            </wp:positionV>
            <wp:extent cx="1285875" cy="3714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4540" w:space="420"/>
            <w:col w:w="4059"/>
          </w:cols>
          <w:pgMar w:left="1440" w:top="914" w:right="1440" w:bottom="1440" w:gutter="0" w:footer="0" w:header="0"/>
        </w:sectPr>
      </w:pPr>
    </w:p>
    <w:p>
      <w:pPr>
        <w:ind w:left="1140" w:right="120"/>
        <w:spacing w:after="0" w:line="263" w:lineRule="auto"/>
        <w:rPr>
          <w:sz w:val="20"/>
          <w:szCs w:val="20"/>
          <w:color w:val="auto"/>
        </w:rPr>
      </w:pPr>
      <w:r>
        <w:rPr>
          <w:rFonts w:ascii="Arial" w:cs="Arial" w:eastAsia="Arial" w:hAnsi="Arial"/>
          <w:sz w:val="12"/>
          <w:szCs w:val="12"/>
          <w:color w:val="auto"/>
        </w:rPr>
        <w:t>It is clarified that the claim to payment of the value adjustment can arise independently of the fulfilment of the performance targets (item 4).</w:t>
      </w:r>
    </w:p>
    <w:p>
      <w:pPr>
        <w:spacing w:after="0" w:line="46" w:lineRule="exact"/>
        <w:rPr>
          <w:sz w:val="20"/>
          <w:szCs w:val="20"/>
          <w:color w:val="auto"/>
        </w:rPr>
      </w:pPr>
    </w:p>
    <w:p>
      <w:pPr>
        <w:ind w:left="1120" w:right="200" w:hanging="299"/>
        <w:spacing w:after="0" w:line="276" w:lineRule="auto"/>
        <w:tabs>
          <w:tab w:leader="none" w:pos="1100" w:val="left"/>
        </w:tabs>
        <w:rPr>
          <w:sz w:val="20"/>
          <w:szCs w:val="20"/>
          <w:color w:val="auto"/>
        </w:rPr>
      </w:pPr>
      <w:r>
        <w:rPr>
          <w:rFonts w:ascii="Arial" w:cs="Arial" w:eastAsia="Arial" w:hAnsi="Arial"/>
          <w:sz w:val="12"/>
          <w:szCs w:val="12"/>
          <w:b w:val="1"/>
          <w:bCs w:val="1"/>
          <w:color w:val="auto"/>
        </w:rPr>
        <w:t>9.6</w:t>
      </w:r>
      <w:r>
        <w:rPr>
          <w:sz w:val="20"/>
          <w:szCs w:val="20"/>
          <w:color w:val="auto"/>
        </w:rPr>
        <w:tab/>
      </w:r>
      <w:r>
        <w:rPr>
          <w:rFonts w:ascii="Arial" w:cs="Arial" w:eastAsia="Arial" w:hAnsi="Arial"/>
          <w:sz w:val="12"/>
          <w:szCs w:val="12"/>
          <w:color w:val="auto"/>
        </w:rPr>
        <w:t>The provisions of item 9.5.2 above shall also apply in the following cases:</w:t>
      </w:r>
    </w:p>
    <w:p>
      <w:pPr>
        <w:spacing w:after="0" w:line="43" w:lineRule="exact"/>
        <w:rPr>
          <w:sz w:val="20"/>
          <w:szCs w:val="20"/>
          <w:color w:val="auto"/>
        </w:rPr>
      </w:pPr>
    </w:p>
    <w:p>
      <w:pPr>
        <w:ind w:left="1140" w:right="440" w:hanging="299"/>
        <w:spacing w:after="0" w:line="283" w:lineRule="auto"/>
        <w:rPr>
          <w:sz w:val="20"/>
          <w:szCs w:val="20"/>
          <w:color w:val="auto"/>
        </w:rPr>
      </w:pPr>
      <w:r>
        <w:rPr>
          <w:rFonts w:ascii="Arial" w:cs="Arial" w:eastAsia="Arial" w:hAnsi="Arial"/>
          <w:sz w:val="12"/>
          <w:szCs w:val="12"/>
          <w:b w:val="1"/>
          <w:bCs w:val="1"/>
          <w:color w:val="auto"/>
        </w:rPr>
        <w:t>9.6.1 Resolution of the annual general meeting of Mynaric in the following cases:</w:t>
      </w:r>
    </w:p>
    <w:p>
      <w:pPr>
        <w:spacing w:after="0" w:line="39" w:lineRule="exact"/>
        <w:rPr>
          <w:sz w:val="20"/>
          <w:szCs w:val="20"/>
          <w:color w:val="auto"/>
        </w:rPr>
      </w:pPr>
    </w:p>
    <w:p>
      <w:pPr>
        <w:ind w:left="1300" w:hanging="168"/>
        <w:spacing w:after="0"/>
        <w:tabs>
          <w:tab w:leader="none" w:pos="130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Approval of the merger of Mynaric with another company;</w:t>
      </w:r>
    </w:p>
    <w:p>
      <w:pPr>
        <w:spacing w:after="0" w:line="222" w:lineRule="exact"/>
        <w:rPr>
          <w:rFonts w:ascii="Arial" w:cs="Arial" w:eastAsia="Arial" w:hAnsi="Arial"/>
          <w:sz w:val="12"/>
          <w:szCs w:val="12"/>
          <w:color w:val="auto"/>
        </w:rPr>
      </w:pPr>
    </w:p>
    <w:p>
      <w:pPr>
        <w:ind w:left="1320" w:right="500" w:hanging="188"/>
        <w:spacing w:after="0" w:line="276" w:lineRule="auto"/>
        <w:tabs>
          <w:tab w:leader="none" w:pos="1309" w:val="left"/>
        </w:tabs>
        <w:numPr>
          <w:ilvl w:val="0"/>
          <w:numId w:val="249"/>
        </w:numPr>
        <w:rPr>
          <w:rFonts w:ascii="Arial" w:cs="Arial" w:eastAsia="Arial" w:hAnsi="Arial"/>
          <w:sz w:val="12"/>
          <w:szCs w:val="12"/>
          <w:color w:val="auto"/>
        </w:rPr>
      </w:pPr>
      <w:r>
        <w:rPr>
          <w:rFonts w:ascii="Arial" w:cs="Arial" w:eastAsia="Arial" w:hAnsi="Arial"/>
          <w:sz w:val="12"/>
          <w:szCs w:val="12"/>
          <w:color w:val="auto"/>
        </w:rPr>
        <w:t>Consent to the transfer of the assets of Mynaric to another company;</w:t>
      </w:r>
    </w:p>
    <w:p>
      <w:pPr>
        <w:spacing w:after="0" w:line="42" w:lineRule="exact"/>
        <w:rPr>
          <w:rFonts w:ascii="Arial" w:cs="Arial" w:eastAsia="Arial" w:hAnsi="Arial"/>
          <w:sz w:val="12"/>
          <w:szCs w:val="12"/>
          <w:color w:val="auto"/>
        </w:rPr>
      </w:pPr>
    </w:p>
    <w:p>
      <w:pPr>
        <w:ind w:left="1320" w:right="220" w:hanging="188"/>
        <w:spacing w:after="0" w:line="323" w:lineRule="auto"/>
        <w:tabs>
          <w:tab w:leader="none" w:pos="1303" w:val="left"/>
        </w:tabs>
        <w:numPr>
          <w:ilvl w:val="0"/>
          <w:numId w:val="249"/>
        </w:numPr>
        <w:rPr>
          <w:rFonts w:ascii="Arial" w:cs="Arial" w:eastAsia="Arial" w:hAnsi="Arial"/>
          <w:sz w:val="11"/>
          <w:szCs w:val="11"/>
          <w:color w:val="auto"/>
        </w:rPr>
      </w:pPr>
      <w:r>
        <w:rPr>
          <w:rFonts w:ascii="Arial" w:cs="Arial" w:eastAsia="Arial" w:hAnsi="Arial"/>
          <w:sz w:val="11"/>
          <w:szCs w:val="11"/>
          <w:color w:val="auto"/>
        </w:rPr>
        <w:t>Approval of the change of Mynaric’s legal form into a company form whose shares are not tradable on the stock exchange;</w:t>
      </w:r>
    </w:p>
    <w:p>
      <w:pPr>
        <w:spacing w:after="0" w:line="163" w:lineRule="exact"/>
        <w:rPr>
          <w:rFonts w:ascii="Arial" w:cs="Arial" w:eastAsia="Arial" w:hAnsi="Arial"/>
          <w:sz w:val="11"/>
          <w:szCs w:val="11"/>
          <w:color w:val="auto"/>
        </w:rPr>
      </w:pPr>
    </w:p>
    <w:p>
      <w:pPr>
        <w:ind w:left="1320" w:hanging="188"/>
        <w:spacing w:after="0" w:line="263" w:lineRule="auto"/>
        <w:tabs>
          <w:tab w:leader="none" w:pos="1309" w:val="left"/>
        </w:tabs>
        <w:numPr>
          <w:ilvl w:val="0"/>
          <w:numId w:val="249"/>
        </w:numPr>
        <w:rPr>
          <w:rFonts w:ascii="Arial" w:cs="Arial" w:eastAsia="Arial" w:hAnsi="Arial"/>
          <w:sz w:val="12"/>
          <w:szCs w:val="12"/>
          <w:color w:val="auto"/>
        </w:rPr>
      </w:pPr>
      <w:r>
        <w:rPr>
          <w:rFonts w:ascii="Arial" w:cs="Arial" w:eastAsia="Arial" w:hAnsi="Arial"/>
          <w:sz w:val="12"/>
          <w:szCs w:val="12"/>
          <w:color w:val="auto"/>
        </w:rPr>
        <w:t>Consent to the conclusion of an affiliation agreement, in particular a profit transfer and/or control agreement by Mynaric as a sub-company;</w:t>
      </w:r>
    </w:p>
    <w:p>
      <w:pPr>
        <w:spacing w:after="0" w:line="194" w:lineRule="exact"/>
        <w:rPr>
          <w:rFonts w:ascii="Arial" w:cs="Arial" w:eastAsia="Arial" w:hAnsi="Arial"/>
          <w:sz w:val="12"/>
          <w:szCs w:val="12"/>
          <w:color w:val="auto"/>
        </w:rPr>
      </w:pPr>
    </w:p>
    <w:p>
      <w:pPr>
        <w:ind w:left="1320" w:right="120" w:hanging="188"/>
        <w:spacing w:after="0" w:line="323" w:lineRule="auto"/>
        <w:tabs>
          <w:tab w:leader="none" w:pos="1309" w:val="left"/>
        </w:tabs>
        <w:numPr>
          <w:ilvl w:val="0"/>
          <w:numId w:val="249"/>
        </w:numPr>
        <w:rPr>
          <w:rFonts w:ascii="Arial" w:cs="Arial" w:eastAsia="Arial" w:hAnsi="Arial"/>
          <w:sz w:val="11"/>
          <w:szCs w:val="11"/>
          <w:color w:val="auto"/>
        </w:rPr>
      </w:pPr>
      <w:r>
        <w:rPr>
          <w:rFonts w:ascii="Arial" w:cs="Arial" w:eastAsia="Arial" w:hAnsi="Arial"/>
          <w:sz w:val="11"/>
          <w:szCs w:val="11"/>
          <w:color w:val="auto"/>
        </w:rPr>
        <w:t>Resolution on the integration of Mynaric into another company in accordance with §§ 319 et seq. German Stock Corporation Act.</w:t>
      </w:r>
    </w:p>
    <w:p>
      <w:pPr>
        <w:spacing w:after="0" w:line="20" w:lineRule="exact"/>
        <w:rPr>
          <w:sz w:val="20"/>
          <w:szCs w:val="20"/>
          <w:color w:val="auto"/>
        </w:rPr>
      </w:pPr>
    </w:p>
    <w:p>
      <w:pPr>
        <w:jc w:val="both"/>
        <w:ind w:left="1140" w:right="40"/>
        <w:spacing w:after="0" w:line="298" w:lineRule="auto"/>
        <w:rPr>
          <w:sz w:val="20"/>
          <w:szCs w:val="20"/>
          <w:color w:val="auto"/>
        </w:rPr>
      </w:pPr>
      <w:r>
        <w:rPr>
          <w:rFonts w:ascii="Arial" w:cs="Arial" w:eastAsia="Arial" w:hAnsi="Arial"/>
          <w:sz w:val="11"/>
          <w:szCs w:val="11"/>
          <w:color w:val="auto"/>
        </w:rPr>
        <w:t>In this case, the two-week period begins on the day of the resolution of the annual general meeting. A later cancellation of the resolution does not affect a right of withdrawal already exercised.</w:t>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br w:type="column"/>
      </w:r>
    </w:p>
    <w:p>
      <w:pPr>
        <w:ind w:left="3" w:right="1059"/>
        <w:spacing w:after="0" w:line="263" w:lineRule="auto"/>
        <w:rPr>
          <w:sz w:val="20"/>
          <w:szCs w:val="20"/>
          <w:color w:val="auto"/>
        </w:rPr>
      </w:pPr>
      <w:r>
        <w:rPr>
          <w:rFonts w:ascii="Arial" w:cs="Arial" w:eastAsia="Arial" w:hAnsi="Arial"/>
          <w:sz w:val="12"/>
          <w:szCs w:val="12"/>
          <w:color w:val="auto"/>
        </w:rPr>
        <w:t>Es wird klargestellt, dass der Anspruch auf Zahlung des Wertausgleichs unabhängig von der Erfüllung der Erfolgsziele (Ziffer 4) entstehen kann.</w:t>
      </w:r>
    </w:p>
    <w:p>
      <w:pPr>
        <w:spacing w:after="0" w:line="46" w:lineRule="exact"/>
        <w:rPr>
          <w:sz w:val="20"/>
          <w:szCs w:val="20"/>
          <w:color w:val="auto"/>
        </w:rPr>
      </w:pPr>
    </w:p>
    <w:p>
      <w:pPr>
        <w:ind w:left="3" w:right="999" w:hanging="299"/>
        <w:spacing w:after="0" w:line="276" w:lineRule="auto"/>
        <w:rPr>
          <w:sz w:val="20"/>
          <w:szCs w:val="20"/>
          <w:color w:val="auto"/>
        </w:rPr>
      </w:pPr>
      <w:r>
        <w:rPr>
          <w:rFonts w:ascii="Arial" w:cs="Arial" w:eastAsia="Arial" w:hAnsi="Arial"/>
          <w:sz w:val="12"/>
          <w:szCs w:val="12"/>
          <w:b w:val="1"/>
          <w:bCs w:val="1"/>
          <w:color w:val="auto"/>
        </w:rPr>
        <w:t>9.6</w:t>
      </w:r>
      <w:r>
        <w:rPr>
          <w:sz w:val="20"/>
          <w:szCs w:val="20"/>
          <w:color w:val="auto"/>
        </w:rPr>
        <w:t xml:space="preserve"> </w:t>
      </w:r>
      <w:r>
        <w:rPr>
          <w:rFonts w:ascii="Arial" w:cs="Arial" w:eastAsia="Arial" w:hAnsi="Arial"/>
          <w:sz w:val="12"/>
          <w:szCs w:val="12"/>
          <w:color w:val="auto"/>
        </w:rPr>
        <w:t>Die Bestimmungen des vorstehenden Ziffer 9.5.2 gelten auch in folgenden Fällen:</w:t>
      </w:r>
    </w:p>
    <w:p>
      <w:pPr>
        <w:spacing w:after="0" w:line="43" w:lineRule="exact"/>
        <w:rPr>
          <w:sz w:val="20"/>
          <w:szCs w:val="20"/>
          <w:color w:val="auto"/>
        </w:rPr>
      </w:pPr>
    </w:p>
    <w:p>
      <w:pPr>
        <w:ind w:left="3" w:right="1139" w:hanging="299"/>
        <w:spacing w:after="0" w:line="283" w:lineRule="auto"/>
        <w:rPr>
          <w:sz w:val="20"/>
          <w:szCs w:val="20"/>
          <w:color w:val="auto"/>
        </w:rPr>
      </w:pPr>
      <w:r>
        <w:rPr>
          <w:rFonts w:ascii="Arial" w:cs="Arial" w:eastAsia="Arial" w:hAnsi="Arial"/>
          <w:sz w:val="12"/>
          <w:szCs w:val="12"/>
          <w:b w:val="1"/>
          <w:bCs w:val="1"/>
          <w:color w:val="auto"/>
        </w:rPr>
        <w:t>9.6.1 Beschlussfassung der Hauptversammlung der Mynaric in folgenden Fällen:</w:t>
      </w:r>
    </w:p>
    <w:p>
      <w:pPr>
        <w:spacing w:after="0" w:line="39" w:lineRule="exact"/>
        <w:rPr>
          <w:sz w:val="20"/>
          <w:szCs w:val="20"/>
          <w:color w:val="auto"/>
        </w:rPr>
      </w:pPr>
    </w:p>
    <w:p>
      <w:pPr>
        <w:ind w:left="183" w:right="939" w:hanging="183"/>
        <w:spacing w:after="0" w:line="276" w:lineRule="auto"/>
        <w:tabs>
          <w:tab w:leader="none" w:pos="172" w:val="left"/>
        </w:tabs>
        <w:numPr>
          <w:ilvl w:val="0"/>
          <w:numId w:val="250"/>
        </w:numPr>
        <w:rPr>
          <w:rFonts w:ascii="Arial" w:cs="Arial" w:eastAsia="Arial" w:hAnsi="Arial"/>
          <w:sz w:val="12"/>
          <w:szCs w:val="12"/>
          <w:color w:val="auto"/>
        </w:rPr>
      </w:pPr>
      <w:r>
        <w:rPr>
          <w:rFonts w:ascii="Arial" w:cs="Arial" w:eastAsia="Arial" w:hAnsi="Arial"/>
          <w:sz w:val="12"/>
          <w:szCs w:val="12"/>
          <w:color w:val="auto"/>
        </w:rPr>
        <w:t>Zustimmung zur Verschmelzung der Mynaric auf eine andere Gesellschaft;</w:t>
      </w:r>
    </w:p>
    <w:p>
      <w:pPr>
        <w:spacing w:after="0" w:line="42" w:lineRule="exact"/>
        <w:rPr>
          <w:rFonts w:ascii="Arial" w:cs="Arial" w:eastAsia="Arial" w:hAnsi="Arial"/>
          <w:sz w:val="12"/>
          <w:szCs w:val="12"/>
          <w:color w:val="auto"/>
        </w:rPr>
      </w:pPr>
    </w:p>
    <w:p>
      <w:pPr>
        <w:ind w:left="183" w:right="899" w:hanging="183"/>
        <w:spacing w:after="0" w:line="276" w:lineRule="auto"/>
        <w:tabs>
          <w:tab w:leader="none" w:pos="172" w:val="left"/>
        </w:tabs>
        <w:numPr>
          <w:ilvl w:val="0"/>
          <w:numId w:val="250"/>
        </w:numPr>
        <w:rPr>
          <w:rFonts w:ascii="Arial" w:cs="Arial" w:eastAsia="Arial" w:hAnsi="Arial"/>
          <w:sz w:val="12"/>
          <w:szCs w:val="12"/>
          <w:color w:val="auto"/>
        </w:rPr>
      </w:pPr>
      <w:r>
        <w:rPr>
          <w:rFonts w:ascii="Arial" w:cs="Arial" w:eastAsia="Arial" w:hAnsi="Arial"/>
          <w:sz w:val="12"/>
          <w:szCs w:val="12"/>
          <w:color w:val="auto"/>
        </w:rPr>
        <w:t>Zustimmung zur Übertragung des Vermögens der Mynaric auf eine andere Gesellschaft;</w:t>
      </w:r>
    </w:p>
    <w:p>
      <w:pPr>
        <w:spacing w:after="0" w:line="42" w:lineRule="exact"/>
        <w:rPr>
          <w:rFonts w:ascii="Arial" w:cs="Arial" w:eastAsia="Arial" w:hAnsi="Arial"/>
          <w:sz w:val="12"/>
          <w:szCs w:val="12"/>
          <w:color w:val="auto"/>
        </w:rPr>
      </w:pPr>
    </w:p>
    <w:p>
      <w:pPr>
        <w:ind w:left="183" w:right="899" w:hanging="183"/>
        <w:spacing w:after="0" w:line="263" w:lineRule="auto"/>
        <w:tabs>
          <w:tab w:leader="none" w:pos="172" w:val="left"/>
        </w:tabs>
        <w:numPr>
          <w:ilvl w:val="0"/>
          <w:numId w:val="250"/>
        </w:numPr>
        <w:rPr>
          <w:rFonts w:ascii="Arial" w:cs="Arial" w:eastAsia="Arial" w:hAnsi="Arial"/>
          <w:sz w:val="12"/>
          <w:szCs w:val="12"/>
          <w:color w:val="auto"/>
        </w:rPr>
      </w:pPr>
      <w:r>
        <w:rPr>
          <w:rFonts w:ascii="Arial" w:cs="Arial" w:eastAsia="Arial" w:hAnsi="Arial"/>
          <w:sz w:val="12"/>
          <w:szCs w:val="12"/>
          <w:color w:val="auto"/>
        </w:rPr>
        <w:t>Zustimmung zum Formwechsel der Mynaric in eine Gesellschaftsform, deren Anteile nicht an der Börse handelbar sind;</w:t>
      </w:r>
    </w:p>
    <w:p>
      <w:pPr>
        <w:spacing w:after="0" w:line="50" w:lineRule="exact"/>
        <w:rPr>
          <w:rFonts w:ascii="Arial" w:cs="Arial" w:eastAsia="Arial" w:hAnsi="Arial"/>
          <w:sz w:val="12"/>
          <w:szCs w:val="12"/>
          <w:color w:val="auto"/>
        </w:rPr>
      </w:pPr>
    </w:p>
    <w:p>
      <w:pPr>
        <w:ind w:left="183" w:right="1039" w:hanging="183"/>
        <w:spacing w:after="0" w:line="289" w:lineRule="auto"/>
        <w:tabs>
          <w:tab w:leader="none" w:pos="172" w:val="left"/>
        </w:tabs>
        <w:numPr>
          <w:ilvl w:val="0"/>
          <w:numId w:val="250"/>
        </w:numPr>
        <w:rPr>
          <w:rFonts w:ascii="Arial" w:cs="Arial" w:eastAsia="Arial" w:hAnsi="Arial"/>
          <w:sz w:val="11"/>
          <w:szCs w:val="11"/>
          <w:color w:val="auto"/>
        </w:rPr>
      </w:pPr>
      <w:r>
        <w:rPr>
          <w:rFonts w:ascii="Arial" w:cs="Arial" w:eastAsia="Arial" w:hAnsi="Arial"/>
          <w:sz w:val="11"/>
          <w:szCs w:val="11"/>
          <w:color w:val="auto"/>
        </w:rPr>
        <w:t>Zustimmung zum Abschluss eines Unternehmensvertrages, insbesondere eines Gewinnabführungs- und/oder Beherrschungsvertrages durch die Mynaric als Untergesellschaft;</w:t>
      </w:r>
    </w:p>
    <w:p>
      <w:pPr>
        <w:spacing w:after="0" w:line="38" w:lineRule="exact"/>
        <w:rPr>
          <w:rFonts w:ascii="Arial" w:cs="Arial" w:eastAsia="Arial" w:hAnsi="Arial"/>
          <w:sz w:val="11"/>
          <w:szCs w:val="11"/>
          <w:color w:val="auto"/>
        </w:rPr>
      </w:pPr>
    </w:p>
    <w:p>
      <w:pPr>
        <w:ind w:left="183" w:right="939" w:hanging="183"/>
        <w:spacing w:after="0" w:line="276" w:lineRule="auto"/>
        <w:tabs>
          <w:tab w:leader="none" w:pos="172" w:val="left"/>
        </w:tabs>
        <w:numPr>
          <w:ilvl w:val="0"/>
          <w:numId w:val="250"/>
        </w:numPr>
        <w:rPr>
          <w:rFonts w:ascii="Arial" w:cs="Arial" w:eastAsia="Arial" w:hAnsi="Arial"/>
          <w:sz w:val="12"/>
          <w:szCs w:val="12"/>
          <w:color w:val="auto"/>
        </w:rPr>
      </w:pPr>
      <w:r>
        <w:rPr>
          <w:rFonts w:ascii="Arial" w:cs="Arial" w:eastAsia="Arial" w:hAnsi="Arial"/>
          <w:sz w:val="12"/>
          <w:szCs w:val="12"/>
          <w:color w:val="auto"/>
        </w:rPr>
        <w:t>Beschlussfassung über die Eingliederung der Mynaric in eine andere Gesellschaft gemäß §§ 319 ff. AktG.</w:t>
      </w:r>
    </w:p>
    <w:p>
      <w:pPr>
        <w:spacing w:after="0" w:line="43" w:lineRule="exact"/>
        <w:rPr>
          <w:sz w:val="20"/>
          <w:szCs w:val="20"/>
          <w:color w:val="auto"/>
        </w:rPr>
      </w:pPr>
    </w:p>
    <w:p>
      <w:pPr>
        <w:ind w:left="3" w:right="1179"/>
        <w:spacing w:after="0" w:line="259" w:lineRule="auto"/>
        <w:rPr>
          <w:sz w:val="20"/>
          <w:szCs w:val="20"/>
          <w:color w:val="auto"/>
        </w:rPr>
      </w:pPr>
      <w:r>
        <w:rPr>
          <w:rFonts w:ascii="Arial" w:cs="Arial" w:eastAsia="Arial" w:hAnsi="Arial"/>
          <w:sz w:val="12"/>
          <w:szCs w:val="12"/>
          <w:color w:val="auto"/>
        </w:rPr>
        <w:t>Die 2-Wochen-Frist beginnt in diesem Fall an dem Tag der Beschlussfassung der Hauptversammlung. Eine spätere Aufhebung des Beschlusses ist ohne Einfluss auf ein bereits ausgeübtes Rücktrittsrecht.</w:t>
      </w:r>
    </w:p>
    <w:p>
      <w:pPr>
        <w:sectPr>
          <w:pgSz w:w="11900" w:h="16838" w:orient="portrait"/>
          <w:cols w:equalWidth="0" w:num="2">
            <w:col w:w="4580" w:space="377"/>
            <w:col w:w="4062"/>
          </w:cols>
          <w:pgMar w:left="1440" w:top="914" w:right="1440" w:bottom="1440" w:gutter="0" w:footer="0" w:header="0"/>
          <w:type w:val="continuous"/>
        </w:sectPr>
      </w:pPr>
    </w:p>
    <w:bookmarkStart w:id="312" w:name="page313"/>
    <w:bookmarkEnd w:id="312"/>
    <w:p>
      <w:pPr>
        <w:ind w:left="1140" w:right="40" w:hanging="299"/>
        <w:spacing w:after="0" w:line="284"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9.6.2 Discontinuation of trading </w:t>
      </w:r>
      <w:r>
        <w:rPr>
          <w:rFonts w:ascii="Arial" w:cs="Arial" w:eastAsia="Arial" w:hAnsi="Arial"/>
          <w:sz w:val="11"/>
          <w:szCs w:val="11"/>
          <w:color w:val="auto"/>
        </w:rPr>
        <w:t>of Mynaric shares (delisting), whereby a</w:t>
      </w:r>
      <w:r>
        <w:rPr>
          <w:rFonts w:ascii="Arial" w:cs="Arial" w:eastAsia="Arial" w:hAnsi="Arial"/>
          <w:sz w:val="11"/>
          <w:szCs w:val="11"/>
          <w:b w:val="1"/>
          <w:bCs w:val="1"/>
          <w:color w:val="auto"/>
        </w:rPr>
        <w:t xml:space="preserve"> </w:t>
      </w:r>
      <w:r>
        <w:rPr>
          <w:rFonts w:ascii="Arial" w:cs="Arial" w:eastAsia="Arial" w:hAnsi="Arial"/>
          <w:sz w:val="11"/>
          <w:szCs w:val="11"/>
          <w:color w:val="auto"/>
        </w:rPr>
        <w:t>discontinuation of trading is not constituted if the shares of Mynaric or rights or certificates representing such shares are still traded on any other domestic or foreign stock exchange. It is further clarified that a change of the market segment does not constitute a right of withdrawal in the sense of this provision.</w:t>
      </w:r>
    </w:p>
    <w:p>
      <w:pPr>
        <w:spacing w:after="0" w:line="398" w:lineRule="exact"/>
        <w:rPr>
          <w:sz w:val="20"/>
          <w:szCs w:val="20"/>
          <w:color w:val="auto"/>
        </w:rPr>
      </w:pPr>
    </w:p>
    <w:p>
      <w:pPr>
        <w:ind w:left="1120" w:hanging="299"/>
        <w:spacing w:after="0" w:line="266" w:lineRule="auto"/>
        <w:tabs>
          <w:tab w:leader="none" w:pos="1100" w:val="left"/>
        </w:tabs>
        <w:rPr>
          <w:sz w:val="20"/>
          <w:szCs w:val="20"/>
          <w:color w:val="auto"/>
        </w:rPr>
      </w:pPr>
      <w:r>
        <w:rPr>
          <w:rFonts w:ascii="Arial" w:cs="Arial" w:eastAsia="Arial" w:hAnsi="Arial"/>
          <w:sz w:val="12"/>
          <w:szCs w:val="12"/>
          <w:b w:val="1"/>
          <w:bCs w:val="1"/>
          <w:color w:val="auto"/>
        </w:rPr>
        <w:t>9.7</w:t>
      </w:r>
      <w:r>
        <w:rPr>
          <w:sz w:val="20"/>
          <w:szCs w:val="20"/>
          <w:color w:val="auto"/>
        </w:rPr>
        <w:tab/>
      </w:r>
      <w:r>
        <w:rPr>
          <w:rFonts w:ascii="Arial" w:cs="Arial" w:eastAsia="Arial" w:hAnsi="Arial"/>
          <w:sz w:val="12"/>
          <w:szCs w:val="12"/>
          <w:color w:val="auto"/>
        </w:rPr>
        <w:t xml:space="preserve">In the event of a </w:t>
      </w:r>
      <w:r>
        <w:rPr>
          <w:rFonts w:ascii="Arial" w:cs="Arial" w:eastAsia="Arial" w:hAnsi="Arial"/>
          <w:sz w:val="12"/>
          <w:szCs w:val="12"/>
          <w:b w:val="1"/>
          <w:bCs w:val="1"/>
          <w:color w:val="auto"/>
        </w:rPr>
        <w:t>squeeze-out of minority shareholders of Mynaric</w:t>
      </w:r>
      <w:r>
        <w:rPr>
          <w:rFonts w:ascii="Arial" w:cs="Arial" w:eastAsia="Arial" w:hAnsi="Arial"/>
          <w:sz w:val="12"/>
          <w:szCs w:val="12"/>
          <w:color w:val="auto"/>
        </w:rPr>
        <w:t xml:space="preserve"> </w:t>
      </w:r>
      <w:r>
        <w:rPr>
          <w:rFonts w:ascii="Arial" w:cs="Arial" w:eastAsia="Arial" w:hAnsi="Arial"/>
          <w:sz w:val="12"/>
          <w:szCs w:val="12"/>
          <w:b w:val="1"/>
          <w:bCs w:val="1"/>
          <w:color w:val="auto"/>
        </w:rPr>
        <w:t>by a major shareholder (squeeze-out, §§ 327a et seq. German Stock Corporation Act)</w:t>
      </w:r>
      <w:r>
        <w:rPr>
          <w:rFonts w:ascii="Arial" w:cs="Arial" w:eastAsia="Arial" w:hAnsi="Arial"/>
          <w:sz w:val="12"/>
          <w:szCs w:val="12"/>
          <w:color w:val="auto"/>
        </w:rPr>
        <w:t>, the following applies:</w:t>
      </w:r>
    </w:p>
    <w:p>
      <w:pPr>
        <w:spacing w:after="0" w:line="117" w:lineRule="exact"/>
        <w:rPr>
          <w:sz w:val="20"/>
          <w:szCs w:val="20"/>
          <w:color w:val="auto"/>
        </w:rPr>
      </w:pPr>
    </w:p>
    <w:p>
      <w:pPr>
        <w:ind w:left="1140" w:hanging="299"/>
        <w:spacing w:after="0" w:line="281" w:lineRule="auto"/>
        <w:rPr>
          <w:sz w:val="20"/>
          <w:szCs w:val="20"/>
          <w:color w:val="auto"/>
        </w:rPr>
      </w:pPr>
      <w:r>
        <w:rPr>
          <w:rFonts w:ascii="Arial" w:cs="Arial" w:eastAsia="Arial" w:hAnsi="Arial"/>
          <w:sz w:val="11"/>
          <w:szCs w:val="11"/>
          <w:b w:val="1"/>
          <w:bCs w:val="1"/>
          <w:color w:val="auto"/>
        </w:rPr>
        <w:t xml:space="preserve">9.7.1 </w:t>
      </w:r>
      <w:r>
        <w:rPr>
          <w:rFonts w:ascii="Arial" w:cs="Arial" w:eastAsia="Arial" w:hAnsi="Arial"/>
          <w:sz w:val="11"/>
          <w:szCs w:val="11"/>
          <w:color w:val="auto"/>
        </w:rPr>
        <w:t>To the extent that the</w:t>
      </w:r>
      <w:r>
        <w:rPr>
          <w:rFonts w:ascii="Arial" w:cs="Arial" w:eastAsia="Arial" w:hAnsi="Arial"/>
          <w:sz w:val="11"/>
          <w:szCs w:val="11"/>
          <w:b w:val="1"/>
          <w:bCs w:val="1"/>
          <w:color w:val="auto"/>
        </w:rPr>
        <w:t xml:space="preserve"> waiting period (item 2.4) has expired </w:t>
      </w:r>
      <w:r>
        <w:rPr>
          <w:rFonts w:ascii="Arial" w:cs="Arial" w:eastAsia="Arial" w:hAnsi="Arial"/>
          <w:sz w:val="11"/>
          <w:szCs w:val="11"/>
          <w:color w:val="auto"/>
        </w:rPr>
        <w:t>at the time</w:t>
      </w:r>
      <w:r>
        <w:rPr>
          <w:rFonts w:ascii="Arial" w:cs="Arial" w:eastAsia="Arial" w:hAnsi="Arial"/>
          <w:sz w:val="11"/>
          <w:szCs w:val="11"/>
          <w:b w:val="1"/>
          <w:bCs w:val="1"/>
          <w:color w:val="auto"/>
        </w:rPr>
        <w:t xml:space="preserve"> </w:t>
      </w:r>
      <w:r>
        <w:rPr>
          <w:rFonts w:ascii="Arial" w:cs="Arial" w:eastAsia="Arial" w:hAnsi="Arial"/>
          <w:sz w:val="11"/>
          <w:szCs w:val="11"/>
          <w:color w:val="auto"/>
        </w:rPr>
        <w:t>of the entry of the transfer resolution by the annual general meeting of shareholders in the commercial register of Mynaric, the subscription rights are deemed to have been exercised upon the entry of the transfer resolution. Instead of a claim to the delivery of shares, the holder of subscription rights is only entitled to payment of a cash settlement against the principal shareholder. The cash settlement is calculated according to the following formula:</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Cash settlement per no-par value share of Mynaric ./. exercise price.</w:t>
      </w:r>
    </w:p>
    <w:p>
      <w:pPr>
        <w:spacing w:after="0" w:line="180" w:lineRule="exact"/>
        <w:rPr>
          <w:sz w:val="20"/>
          <w:szCs w:val="20"/>
          <w:color w:val="auto"/>
        </w:rPr>
      </w:pPr>
    </w:p>
    <w:p>
      <w:pPr>
        <w:ind w:left="1140" w:right="20"/>
        <w:spacing w:after="0" w:line="254" w:lineRule="auto"/>
        <w:rPr>
          <w:sz w:val="20"/>
          <w:szCs w:val="20"/>
          <w:color w:val="auto"/>
        </w:rPr>
      </w:pPr>
      <w:r>
        <w:rPr>
          <w:rFonts w:ascii="Arial" w:cs="Arial" w:eastAsia="Arial" w:hAnsi="Arial"/>
          <w:sz w:val="12"/>
          <w:szCs w:val="12"/>
          <w:color w:val="auto"/>
        </w:rPr>
        <w:t>The entitlement to payment of the cash settlement is due at the time the transfer resolution is entered in the commercial register of Mynaric. Mynaric already now declares to the beneficiary in a binding manner that it will be liable for the payment of the above cash settlement by the main shareholder as if it were its own debt (joining of debt). If the cash settlement for the transferred shares is increased (e.g. due to a judicial appraisal procedure), this increase also applies to the subscription rights.</w:t>
      </w:r>
    </w:p>
    <w:p>
      <w:pPr>
        <w:spacing w:after="0" w:line="20" w:lineRule="exact"/>
        <w:rPr>
          <w:sz w:val="20"/>
          <w:szCs w:val="20"/>
          <w:color w:val="auto"/>
        </w:rPr>
      </w:pPr>
      <w:r>
        <w:rPr>
          <w:sz w:val="20"/>
          <w:szCs w:val="20"/>
          <w:color w:val="auto"/>
        </w:rPr>
        <w:br w:type="column"/>
      </w:r>
    </w:p>
    <w:p>
      <w:pPr>
        <w:ind w:left="300" w:right="879" w:hanging="299"/>
        <w:spacing w:after="0" w:line="255" w:lineRule="auto"/>
        <w:rPr>
          <w:sz w:val="20"/>
          <w:szCs w:val="20"/>
          <w:color w:val="auto"/>
        </w:rPr>
      </w:pPr>
      <w:r>
        <w:rPr>
          <w:rFonts w:ascii="Arial" w:cs="Arial" w:eastAsia="Arial" w:hAnsi="Arial"/>
          <w:sz w:val="12"/>
          <w:szCs w:val="12"/>
          <w:b w:val="1"/>
          <w:bCs w:val="1"/>
          <w:color w:val="auto"/>
        </w:rPr>
        <w:t xml:space="preserve">9.6.2 Einstellung des Börsenhandels </w:t>
      </w:r>
      <w:r>
        <w:rPr>
          <w:rFonts w:ascii="Arial" w:cs="Arial" w:eastAsia="Arial" w:hAnsi="Arial"/>
          <w:sz w:val="12"/>
          <w:szCs w:val="12"/>
          <w:color w:val="auto"/>
        </w:rPr>
        <w:t>der Aktien der Mynaric</w:t>
      </w:r>
      <w:r>
        <w:rPr>
          <w:rFonts w:ascii="Arial" w:cs="Arial" w:eastAsia="Arial" w:hAnsi="Arial"/>
          <w:sz w:val="12"/>
          <w:szCs w:val="12"/>
          <w:b w:val="1"/>
          <w:bCs w:val="1"/>
          <w:color w:val="auto"/>
        </w:rPr>
        <w:t xml:space="preserve"> </w:t>
      </w:r>
      <w:r>
        <w:rPr>
          <w:rFonts w:ascii="Arial" w:cs="Arial" w:eastAsia="Arial" w:hAnsi="Arial"/>
          <w:sz w:val="12"/>
          <w:szCs w:val="12"/>
          <w:color w:val="auto"/>
        </w:rPr>
        <w:t>(Delisting), wobei eine Einstellung des Börsenhandels der Aktien der Mynaric im Sinne dieser Vorschrift nicht vorliegt, sofern die Aktien der Mynaric oder solche vertretenden Rechte oder Zertifikate noch an einer anderen in- oder ausländischen Börse gehandelt werden. Es wird ferner klargestellt, dass ein Wechsel des Marktsegments kein Rücktrittsrecht im Sinne dieser Vorschrift begründet.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-1261745</wp:posOffset>
            </wp:positionV>
            <wp:extent cx="1285875" cy="3714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03"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9.7</w:t>
      </w:r>
      <w:r>
        <w:rPr>
          <w:sz w:val="20"/>
          <w:szCs w:val="20"/>
          <w:color w:val="auto"/>
        </w:rPr>
        <w:tab/>
      </w:r>
      <w:r>
        <w:rPr>
          <w:rFonts w:ascii="Arial" w:cs="Arial" w:eastAsia="Arial" w:hAnsi="Arial"/>
          <w:sz w:val="10"/>
          <w:szCs w:val="10"/>
          <w:color w:val="auto"/>
        </w:rPr>
        <w:t xml:space="preserve">Im Falle eines </w:t>
      </w:r>
      <w:r>
        <w:rPr>
          <w:rFonts w:ascii="Arial" w:cs="Arial" w:eastAsia="Arial" w:hAnsi="Arial"/>
          <w:sz w:val="10"/>
          <w:szCs w:val="10"/>
          <w:b w:val="1"/>
          <w:bCs w:val="1"/>
          <w:color w:val="auto"/>
        </w:rPr>
        <w:t>Ausschlusses von Minderheitsaktionären der</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1"/>
          <w:szCs w:val="11"/>
          <w:b w:val="1"/>
          <w:bCs w:val="1"/>
          <w:color w:val="auto"/>
        </w:rPr>
        <w:t>Mynaric durch einen Hauptaktionär (Squeeze-Out, §§ 327a ff.</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 xml:space="preserve">AktG) </w:t>
      </w:r>
      <w:r>
        <w:rPr>
          <w:rFonts w:ascii="Arial" w:cs="Arial" w:eastAsia="Arial" w:hAnsi="Arial"/>
          <w:sz w:val="12"/>
          <w:szCs w:val="12"/>
          <w:color w:val="auto"/>
        </w:rPr>
        <w:t>gilt folgendes:</w:t>
      </w:r>
    </w:p>
    <w:p>
      <w:pPr>
        <w:spacing w:after="0" w:line="137" w:lineRule="exact"/>
        <w:rPr>
          <w:sz w:val="20"/>
          <w:szCs w:val="20"/>
          <w:color w:val="auto"/>
        </w:rPr>
      </w:pPr>
    </w:p>
    <w:p>
      <w:pPr>
        <w:ind w:left="300" w:right="939" w:hanging="299"/>
        <w:spacing w:after="0" w:line="254" w:lineRule="auto"/>
        <w:rPr>
          <w:sz w:val="20"/>
          <w:szCs w:val="20"/>
          <w:color w:val="auto"/>
        </w:rPr>
      </w:pPr>
      <w:r>
        <w:rPr>
          <w:rFonts w:ascii="Arial" w:cs="Arial" w:eastAsia="Arial" w:hAnsi="Arial"/>
          <w:sz w:val="12"/>
          <w:szCs w:val="12"/>
          <w:b w:val="1"/>
          <w:bCs w:val="1"/>
          <w:color w:val="auto"/>
        </w:rPr>
        <w:t xml:space="preserve">9.7.1 </w:t>
      </w:r>
      <w:r>
        <w:rPr>
          <w:rFonts w:ascii="Arial" w:cs="Arial" w:eastAsia="Arial" w:hAnsi="Arial"/>
          <w:sz w:val="12"/>
          <w:szCs w:val="12"/>
          <w:color w:val="auto"/>
        </w:rPr>
        <w:t>Soweit zum Zeitpunkt der Eintragung des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Übertragungsbeschlusses durch die Hauptversammlung in das Handelsregister der Mynaric die </w:t>
      </w:r>
      <w:r>
        <w:rPr>
          <w:rFonts w:ascii="Arial" w:cs="Arial" w:eastAsia="Arial" w:hAnsi="Arial"/>
          <w:sz w:val="12"/>
          <w:szCs w:val="12"/>
          <w:b w:val="1"/>
          <w:bCs w:val="1"/>
          <w:color w:val="auto"/>
        </w:rPr>
        <w:t>Wartezeit (Ziffer 2.4)</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abgelaufen </w:t>
      </w:r>
      <w:r>
        <w:rPr>
          <w:rFonts w:ascii="Arial" w:cs="Arial" w:eastAsia="Arial" w:hAnsi="Arial"/>
          <w:sz w:val="12"/>
          <w:szCs w:val="12"/>
          <w:color w:val="auto"/>
        </w:rPr>
        <w:t>ist, gelten die Bezugsrechte mit der Eintragung des</w:t>
      </w:r>
      <w:r>
        <w:rPr>
          <w:rFonts w:ascii="Arial" w:cs="Arial" w:eastAsia="Arial" w:hAnsi="Arial"/>
          <w:sz w:val="12"/>
          <w:szCs w:val="12"/>
          <w:b w:val="1"/>
          <w:bCs w:val="1"/>
          <w:color w:val="auto"/>
        </w:rPr>
        <w:t xml:space="preserve"> </w:t>
      </w:r>
      <w:r>
        <w:rPr>
          <w:rFonts w:ascii="Arial" w:cs="Arial" w:eastAsia="Arial" w:hAnsi="Arial"/>
          <w:sz w:val="12"/>
          <w:szCs w:val="12"/>
          <w:color w:val="auto"/>
        </w:rPr>
        <w:t>Übertragungsbeschlusses als ausgeübt. Statt eines Anspruchs auf Lieferung von Aktien steht dem Bezugsrechtsinhaber ausschließlich ein Anspruch auf Zahlung eines Barausgleichs gegen den Hauptaktionär zu. Der Barausgleich berechnet sich nach folgender Formel:</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Barabfindung je Stückaktie der Mynaric ./. Ausübungspreis.</w:t>
      </w:r>
    </w:p>
    <w:p>
      <w:pPr>
        <w:spacing w:after="0" w:line="168" w:lineRule="exact"/>
        <w:rPr>
          <w:sz w:val="20"/>
          <w:szCs w:val="20"/>
          <w:color w:val="auto"/>
        </w:rPr>
      </w:pPr>
    </w:p>
    <w:p>
      <w:pPr>
        <w:ind w:left="300" w:right="899"/>
        <w:spacing w:after="0" w:line="279" w:lineRule="auto"/>
        <w:rPr>
          <w:sz w:val="20"/>
          <w:szCs w:val="20"/>
          <w:color w:val="auto"/>
        </w:rPr>
      </w:pPr>
      <w:r>
        <w:rPr>
          <w:rFonts w:ascii="Arial" w:cs="Arial" w:eastAsia="Arial" w:hAnsi="Arial"/>
          <w:sz w:val="11"/>
          <w:szCs w:val="11"/>
          <w:color w:val="auto"/>
        </w:rPr>
        <w:t>Der Anspruch auf Zahlung des Barausgleichs wird fällig zum Zeitpunkt der Eintragung des Übertragungsbeschlusses in das Handelsregister der Mynaric. Die Mynaric erklärt gegenüber dem Bezugsberechtigten bereits jetzt verbindlich, für die Zahlung des vorstehenden Barausgleichs durch den Hauptaktionär wie für eine eigene Schuld einzustehen (Schuldbeitritt). Soweit sich die Barabfindung für die übertragenen Aktien erhöht (z. B. aufgrund eines Spruchverfahrens), gilt diese Erhöhung auch für die Bezugsrechte.</w:t>
      </w:r>
    </w:p>
    <w:p>
      <w:pPr>
        <w:spacing w:after="0" w:line="122" w:lineRule="exact"/>
        <w:rPr>
          <w:sz w:val="20"/>
          <w:szCs w:val="20"/>
          <w:color w:val="auto"/>
        </w:rPr>
      </w:pPr>
    </w:p>
    <w:p>
      <w:pPr>
        <w:sectPr>
          <w:pgSz w:w="11900" w:h="16838" w:orient="portrait"/>
          <w:cols w:equalWidth="0" w:num="2">
            <w:col w:w="4580" w:space="80"/>
            <w:col w:w="4359"/>
          </w:cols>
          <w:pgMar w:left="1440" w:top="1054" w:right="1440" w:bottom="1440" w:gutter="0" w:footer="0" w:header="0"/>
        </w:sectPr>
      </w:pPr>
    </w:p>
    <w:p>
      <w:pPr>
        <w:jc w:val="both"/>
        <w:ind w:left="1140" w:right="40" w:hanging="299"/>
        <w:spacing w:after="0" w:line="266" w:lineRule="auto"/>
        <w:rPr>
          <w:sz w:val="20"/>
          <w:szCs w:val="20"/>
          <w:color w:val="auto"/>
        </w:rPr>
      </w:pPr>
      <w:r>
        <w:rPr>
          <w:rFonts w:ascii="Arial" w:cs="Arial" w:eastAsia="Arial" w:hAnsi="Arial"/>
          <w:sz w:val="12"/>
          <w:szCs w:val="12"/>
          <w:b w:val="1"/>
          <w:bCs w:val="1"/>
          <w:color w:val="auto"/>
        </w:rPr>
        <w:t xml:space="preserve">9.7.2 </w:t>
      </w:r>
      <w:r>
        <w:rPr>
          <w:rFonts w:ascii="Arial" w:cs="Arial" w:eastAsia="Arial" w:hAnsi="Arial"/>
          <w:sz w:val="12"/>
          <w:szCs w:val="12"/>
          <w:color w:val="auto"/>
        </w:rPr>
        <w:t>If the</w:t>
      </w:r>
      <w:r>
        <w:rPr>
          <w:rFonts w:ascii="Arial" w:cs="Arial" w:eastAsia="Arial" w:hAnsi="Arial"/>
          <w:sz w:val="12"/>
          <w:szCs w:val="12"/>
          <w:b w:val="1"/>
          <w:bCs w:val="1"/>
          <w:color w:val="auto"/>
        </w:rPr>
        <w:t xml:space="preserve"> waiting period (Item 2.4) has not yet expired </w:t>
      </w:r>
      <w:r>
        <w:rPr>
          <w:rFonts w:ascii="Arial" w:cs="Arial" w:eastAsia="Arial" w:hAnsi="Arial"/>
          <w:sz w:val="12"/>
          <w:szCs w:val="12"/>
          <w:color w:val="auto"/>
        </w:rPr>
        <w:t>at the time of the</w:t>
      </w:r>
      <w:r>
        <w:rPr>
          <w:rFonts w:ascii="Arial" w:cs="Arial" w:eastAsia="Arial" w:hAnsi="Arial"/>
          <w:sz w:val="12"/>
          <w:szCs w:val="12"/>
          <w:b w:val="1"/>
          <w:bCs w:val="1"/>
          <w:color w:val="auto"/>
        </w:rPr>
        <w:t xml:space="preserve"> </w:t>
      </w:r>
      <w:r>
        <w:rPr>
          <w:rFonts w:ascii="Arial" w:cs="Arial" w:eastAsia="Arial" w:hAnsi="Arial"/>
          <w:sz w:val="12"/>
          <w:szCs w:val="12"/>
          <w:color w:val="auto"/>
        </w:rPr>
        <w:t>entry of the transfer resolution in the commercial register of Mynaric, the</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br w:type="column"/>
      </w:r>
    </w:p>
    <w:p>
      <w:pPr>
        <w:ind w:right="859" w:hanging="299"/>
        <w:spacing w:after="0" w:line="261" w:lineRule="auto"/>
        <w:rPr>
          <w:sz w:val="20"/>
          <w:szCs w:val="20"/>
          <w:color w:val="auto"/>
        </w:rPr>
      </w:pPr>
      <w:r>
        <w:rPr>
          <w:rFonts w:ascii="Arial" w:cs="Arial" w:eastAsia="Arial" w:hAnsi="Arial"/>
          <w:sz w:val="12"/>
          <w:szCs w:val="12"/>
          <w:b w:val="1"/>
          <w:bCs w:val="1"/>
          <w:color w:val="auto"/>
        </w:rPr>
        <w:t xml:space="preserve">9.7.2 </w:t>
      </w:r>
      <w:r>
        <w:rPr>
          <w:rFonts w:ascii="Arial" w:cs="Arial" w:eastAsia="Arial" w:hAnsi="Arial"/>
          <w:sz w:val="12"/>
          <w:szCs w:val="12"/>
          <w:color w:val="auto"/>
        </w:rPr>
        <w:t>Ist die</w:t>
      </w:r>
      <w:r>
        <w:rPr>
          <w:rFonts w:ascii="Arial" w:cs="Arial" w:eastAsia="Arial" w:hAnsi="Arial"/>
          <w:sz w:val="12"/>
          <w:szCs w:val="12"/>
          <w:b w:val="1"/>
          <w:bCs w:val="1"/>
          <w:color w:val="auto"/>
        </w:rPr>
        <w:t xml:space="preserve"> Wartezeit (Ziffer 2.4) </w:t>
      </w:r>
      <w:r>
        <w:rPr>
          <w:rFonts w:ascii="Arial" w:cs="Arial" w:eastAsia="Arial" w:hAnsi="Arial"/>
          <w:sz w:val="12"/>
          <w:szCs w:val="12"/>
          <w:color w:val="auto"/>
        </w:rPr>
        <w:t>zum Zeitpunkt der Eintragung des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Übertragungsbeschlusses in das Handelsregister der Mynaric </w:t>
      </w:r>
      <w:r>
        <w:rPr>
          <w:rFonts w:ascii="Arial" w:cs="Arial" w:eastAsia="Arial" w:hAnsi="Arial"/>
          <w:sz w:val="12"/>
          <w:szCs w:val="12"/>
          <w:b w:val="1"/>
          <w:bCs w:val="1"/>
          <w:color w:val="auto"/>
        </w:rPr>
        <w:t>noch</w:t>
      </w:r>
      <w:r>
        <w:rPr>
          <w:rFonts w:ascii="Arial" w:cs="Arial" w:eastAsia="Arial" w:hAnsi="Arial"/>
          <w:sz w:val="12"/>
          <w:szCs w:val="12"/>
          <w:color w:val="auto"/>
        </w:rPr>
        <w:t xml:space="preserve"> </w:t>
      </w:r>
      <w:r>
        <w:rPr>
          <w:rFonts w:ascii="Arial" w:cs="Arial" w:eastAsia="Arial" w:hAnsi="Arial"/>
          <w:sz w:val="12"/>
          <w:szCs w:val="12"/>
          <w:b w:val="1"/>
          <w:bCs w:val="1"/>
          <w:color w:val="auto"/>
        </w:rPr>
        <w:t>nicht abgelaufen</w:t>
      </w:r>
      <w:r>
        <w:rPr>
          <w:rFonts w:ascii="Arial" w:cs="Arial" w:eastAsia="Arial" w:hAnsi="Arial"/>
          <w:sz w:val="12"/>
          <w:szCs w:val="12"/>
          <w:color w:val="auto"/>
        </w:rPr>
        <w:t>, gilt die vorstehende Vorschrift mit der</w:t>
      </w:r>
      <w:r>
        <w:rPr>
          <w:rFonts w:ascii="Arial" w:cs="Arial" w:eastAsia="Arial" w:hAnsi="Arial"/>
          <w:sz w:val="12"/>
          <w:szCs w:val="12"/>
          <w:b w:val="1"/>
          <w:bCs w:val="1"/>
          <w:color w:val="auto"/>
        </w:rPr>
        <w:t xml:space="preserve"> </w:t>
      </w:r>
      <w:r>
        <w:rPr>
          <w:rFonts w:ascii="Arial" w:cs="Arial" w:eastAsia="Arial" w:hAnsi="Arial"/>
          <w:sz w:val="12"/>
          <w:szCs w:val="12"/>
          <w:color w:val="auto"/>
        </w:rPr>
        <w:t>Maßgabe, dass die</w:t>
      </w:r>
    </w:p>
    <w:p>
      <w:pPr>
        <w:sectPr>
          <w:pgSz w:w="11900" w:h="16838" w:orient="portrait"/>
          <w:cols w:equalWidth="0" w:num="2">
            <w:col w:w="4560" w:space="400"/>
            <w:col w:w="4059"/>
          </w:cols>
          <w:pgMar w:left="1440" w:top="1054" w:right="1440" w:bottom="1440" w:gutter="0" w:footer="0" w:header="0"/>
          <w:type w:val="continuous"/>
        </w:sectPr>
      </w:pPr>
    </w:p>
    <w:bookmarkStart w:id="313" w:name="page314"/>
    <w:bookmarkEnd w:id="313"/>
    <w:p>
      <w:pPr>
        <w:ind w:left="1140"/>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above provision shall apply with the proviso that the subscription rights shall expire upon entry of the transfer resolution in the commercial register of Mynaric, i.e. the person entitled to subscription rights shall also in this case be entitled to payment of a cash settlement against Mynaric. In this case the value of the subscription rights is also calculated according to the above item 9.7.1.</w:t>
      </w:r>
    </w:p>
    <w:p>
      <w:pPr>
        <w:spacing w:after="0" w:line="20" w:lineRule="exact"/>
        <w:rPr>
          <w:sz w:val="20"/>
          <w:szCs w:val="20"/>
          <w:color w:val="auto"/>
        </w:rPr>
      </w:pPr>
      <w:r>
        <w:rPr>
          <w:sz w:val="20"/>
          <w:szCs w:val="20"/>
          <w:color w:val="auto"/>
        </w:rPr>
        <w:br w:type="column"/>
      </w:r>
    </w:p>
    <w:p>
      <w:pPr>
        <w:ind w:right="919"/>
        <w:spacing w:after="0" w:line="283" w:lineRule="auto"/>
        <w:rPr>
          <w:sz w:val="20"/>
          <w:szCs w:val="20"/>
          <w:color w:val="auto"/>
        </w:rPr>
      </w:pPr>
      <w:r>
        <w:rPr>
          <w:rFonts w:ascii="Arial" w:cs="Arial" w:eastAsia="Arial" w:hAnsi="Arial"/>
          <w:sz w:val="11"/>
          <w:szCs w:val="11"/>
          <w:color w:val="auto"/>
        </w:rPr>
        <w:t>Bezugsrechte mit Eintragung des Übertragungsbeschlusses in das Handelsregister der Mynaric verfallen, d. h. dem Bezugsberechtigten steht auch in diesem Fall ein Anspruch auf Zahlung eines Barausgleichs gegen die Mynaric zu. Der Wert der Bezugsrechte berechnet sich in diesem Fall ebenfalls nach vorstehender Ziffer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-996315</wp:posOffset>
            </wp:positionV>
            <wp:extent cx="1285875" cy="3714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4580" w:space="380"/>
            <w:col w:w="4059"/>
          </w:cols>
          <w:pgMar w:left="1440" w:top="914" w:right="1440" w:bottom="1440" w:gutter="0" w:footer="0" w:header="0"/>
        </w:sectPr>
      </w:pPr>
    </w:p>
    <w:p>
      <w:pPr>
        <w:ind w:left="840"/>
        <w:spacing w:after="0"/>
        <w:tabs>
          <w:tab w:leader="none" w:pos="1100" w:val="left"/>
          <w:tab w:leader="none" w:pos="4640" w:val="left"/>
          <w:tab w:leader="none" w:pos="4940" w:val="left"/>
        </w:tabs>
        <w:rPr>
          <w:sz w:val="20"/>
          <w:szCs w:val="20"/>
          <w:color w:val="auto"/>
        </w:rPr>
      </w:pPr>
      <w:r>
        <w:rPr>
          <w:rFonts w:ascii="Arial" w:cs="Arial" w:eastAsia="Arial" w:hAnsi="Arial"/>
          <w:sz w:val="12"/>
          <w:szCs w:val="12"/>
          <w:b w:val="1"/>
          <w:bCs w:val="1"/>
          <w:color w:val="auto"/>
        </w:rPr>
        <w:t>10.</w:t>
        <w:tab/>
        <w:t>Limitations of liability</w:t>
      </w:r>
      <w:r>
        <w:rPr>
          <w:sz w:val="20"/>
          <w:szCs w:val="20"/>
          <w:color w:val="auto"/>
        </w:rPr>
        <w:tab/>
      </w:r>
      <w:r>
        <w:rPr>
          <w:rFonts w:ascii="Arial" w:cs="Arial" w:eastAsia="Arial" w:hAnsi="Arial"/>
          <w:sz w:val="12"/>
          <w:szCs w:val="12"/>
          <w:b w:val="1"/>
          <w:bCs w:val="1"/>
          <w:color w:val="auto"/>
        </w:rPr>
        <w:t>10.</w:t>
      </w:r>
      <w:r>
        <w:rPr>
          <w:sz w:val="20"/>
          <w:szCs w:val="20"/>
          <w:color w:val="auto"/>
        </w:rPr>
        <w:tab/>
      </w:r>
      <w:r>
        <w:rPr>
          <w:rFonts w:ascii="Arial" w:cs="Arial" w:eastAsia="Arial" w:hAnsi="Arial"/>
          <w:sz w:val="10"/>
          <w:szCs w:val="10"/>
          <w:b w:val="1"/>
          <w:bCs w:val="1"/>
          <w:color w:val="auto"/>
        </w:rPr>
        <w:t>Haftungsbeschränkungen</w:t>
      </w:r>
    </w:p>
    <w:p>
      <w:pPr>
        <w:sectPr>
          <w:pgSz w:w="11900" w:h="16838" w:orient="portrait"/>
          <w:cols w:equalWidth="0" w:num="1">
            <w:col w:w="9019"/>
          </w:cols>
          <w:pgMar w:left="1440" w:top="914" w:right="1440" w:bottom="1440" w:gutter="0" w:footer="0" w:header="0"/>
          <w:type w:val="continuous"/>
        </w:sectPr>
      </w:pPr>
    </w:p>
    <w:p>
      <w:pPr>
        <w:spacing w:after="0" w:line="172" w:lineRule="exact"/>
        <w:rPr>
          <w:sz w:val="20"/>
          <w:szCs w:val="20"/>
          <w:color w:val="auto"/>
        </w:rPr>
      </w:pPr>
    </w:p>
    <w:p>
      <w:pPr>
        <w:ind w:left="1140"/>
        <w:spacing w:after="0" w:line="289" w:lineRule="auto"/>
        <w:rPr>
          <w:sz w:val="20"/>
          <w:szCs w:val="20"/>
          <w:color w:val="auto"/>
        </w:rPr>
      </w:pPr>
      <w:r>
        <w:rPr>
          <w:rFonts w:ascii="Arial" w:cs="Arial" w:eastAsia="Arial" w:hAnsi="Arial"/>
          <w:sz w:val="11"/>
          <w:szCs w:val="11"/>
          <w:color w:val="auto"/>
        </w:rPr>
        <w:t>The liability of Mynaric or the companies belonging to the Mynaric group, their legal representatives, employees and vicarious agents is limited to intent and gross negligence. Liability for consequential damages and loss of profit is excluded.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979"/>
        <w:spacing w:after="0" w:line="285" w:lineRule="auto"/>
        <w:rPr>
          <w:sz w:val="20"/>
          <w:szCs w:val="20"/>
          <w:color w:val="auto"/>
        </w:rPr>
      </w:pPr>
      <w:r>
        <w:rPr>
          <w:rFonts w:ascii="Arial" w:cs="Arial" w:eastAsia="Arial" w:hAnsi="Arial"/>
          <w:sz w:val="11"/>
          <w:szCs w:val="11"/>
          <w:color w:val="auto"/>
        </w:rPr>
        <w:t>Die Haftung von Mynaric oder den zum Mynaric-Konzern gehörenden Unternehmen, ihren gesetzlichen Vertretern, Arbeitnehmern und Erfüllungsgehilfen ist auf Vorsatz und grobe Fahrlässigkeit beschränkt. Die Haftung für Folgeschäden und entgangenen Gewinn ist ausgeschlossen.</w:t>
      </w:r>
    </w:p>
    <w:p>
      <w:pPr>
        <w:spacing w:after="0" w:line="118" w:lineRule="exact"/>
        <w:rPr>
          <w:sz w:val="20"/>
          <w:szCs w:val="20"/>
          <w:color w:val="auto"/>
        </w:rPr>
      </w:pPr>
    </w:p>
    <w:p>
      <w:pPr>
        <w:sectPr>
          <w:pgSz w:w="11900" w:h="16838" w:orient="portrait"/>
          <w:cols w:equalWidth="0" w:num="2">
            <w:col w:w="4400" w:space="560"/>
            <w:col w:w="4059"/>
          </w:cols>
          <w:pgMar w:left="1440" w:top="914" w:right="1440" w:bottom="1440" w:gutter="0" w:footer="0" w:header="0"/>
          <w:type w:val="continuous"/>
        </w:sectPr>
      </w:pPr>
    </w:p>
    <w:p>
      <w:pPr>
        <w:ind w:left="1120" w:hanging="288"/>
        <w:spacing w:after="0"/>
        <w:tabs>
          <w:tab w:leader="none" w:pos="1120" w:val="left"/>
        </w:tabs>
        <w:numPr>
          <w:ilvl w:val="0"/>
          <w:numId w:val="251"/>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risks, tax risks</w:t>
      </w:r>
    </w:p>
    <w:p>
      <w:pPr>
        <w:spacing w:after="0" w:line="150" w:lineRule="exact"/>
        <w:rPr>
          <w:sz w:val="20"/>
          <w:szCs w:val="20"/>
          <w:color w:val="auto"/>
        </w:rPr>
      </w:pPr>
    </w:p>
    <w:p>
      <w:pPr>
        <w:ind w:left="1140" w:hanging="299"/>
        <w:spacing w:after="0" w:line="279" w:lineRule="auto"/>
        <w:rPr>
          <w:sz w:val="20"/>
          <w:szCs w:val="20"/>
          <w:color w:val="auto"/>
        </w:rPr>
      </w:pPr>
      <w:r>
        <w:rPr>
          <w:rFonts w:ascii="Arial" w:cs="Arial" w:eastAsia="Arial" w:hAnsi="Arial"/>
          <w:sz w:val="11"/>
          <w:szCs w:val="11"/>
          <w:b w:val="1"/>
          <w:bCs w:val="1"/>
          <w:color w:val="auto"/>
        </w:rPr>
        <w:t xml:space="preserve">11.1 </w:t>
      </w:r>
      <w:r>
        <w:rPr>
          <w:rFonts w:ascii="Arial" w:cs="Arial" w:eastAsia="Arial" w:hAnsi="Arial"/>
          <w:sz w:val="11"/>
          <w:szCs w:val="11"/>
          <w:color w:val="auto"/>
        </w:rPr>
        <w:t>Mynaric and/or the companies involved do not accept any liability for</w:t>
      </w:r>
      <w:r>
        <w:rPr>
          <w:rFonts w:ascii="Arial" w:cs="Arial" w:eastAsia="Arial" w:hAnsi="Arial"/>
          <w:sz w:val="11"/>
          <w:szCs w:val="11"/>
          <w:b w:val="1"/>
          <w:bCs w:val="1"/>
          <w:color w:val="auto"/>
        </w:rPr>
        <w:t xml:space="preserve"> </w:t>
      </w:r>
      <w:r>
        <w:rPr>
          <w:rFonts w:ascii="Arial" w:cs="Arial" w:eastAsia="Arial" w:hAnsi="Arial"/>
          <w:sz w:val="11"/>
          <w:szCs w:val="11"/>
          <w:color w:val="auto"/>
        </w:rPr>
        <w:t>the general market development and the price development of the company’s shares after the issue of subscription rights or the exercise of subscription rights or for any other time or period. In particular, there is therefore no guarantee that beneficiaries who exercise subscription rights will receive an economic advantage amounting to the difference between the exercise price and the current market price or that they will be able to sell the subscribed shares at a profit. The acceptance and exercise of subscription rights is therefore solely at the risk of the respective beneficiary.</w:t>
      </w:r>
    </w:p>
    <w:p>
      <w:pPr>
        <w:spacing w:after="0" w:line="258" w:lineRule="exact"/>
        <w:rPr>
          <w:sz w:val="20"/>
          <w:szCs w:val="20"/>
          <w:color w:val="auto"/>
        </w:rPr>
      </w:pPr>
    </w:p>
    <w:p>
      <w:pPr>
        <w:ind w:left="1140" w:hanging="299"/>
        <w:spacing w:after="0" w:line="282" w:lineRule="auto"/>
        <w:rPr>
          <w:sz w:val="20"/>
          <w:szCs w:val="20"/>
          <w:color w:val="auto"/>
        </w:rPr>
      </w:pPr>
      <w:r>
        <w:rPr>
          <w:rFonts w:ascii="Arial" w:cs="Arial" w:eastAsia="Arial" w:hAnsi="Arial"/>
          <w:sz w:val="11"/>
          <w:szCs w:val="11"/>
          <w:b w:val="1"/>
          <w:bCs w:val="1"/>
          <w:color w:val="auto"/>
        </w:rPr>
        <w:t xml:space="preserve">11.2 </w:t>
      </w:r>
      <w:r>
        <w:rPr>
          <w:rFonts w:ascii="Arial" w:cs="Arial" w:eastAsia="Arial" w:hAnsi="Arial"/>
          <w:sz w:val="11"/>
          <w:szCs w:val="11"/>
          <w:color w:val="auto"/>
        </w:rPr>
        <w:t>Mynaric and/or the companies involved do not guarantee that taxes and</w:t>
      </w:r>
      <w:r>
        <w:rPr>
          <w:rFonts w:ascii="Arial" w:cs="Arial" w:eastAsia="Arial" w:hAnsi="Arial"/>
          <w:sz w:val="11"/>
          <w:szCs w:val="11"/>
          <w:b w:val="1"/>
          <w:bCs w:val="1"/>
          <w:color w:val="auto"/>
        </w:rPr>
        <w:t xml:space="preserve"> </w:t>
      </w:r>
      <w:r>
        <w:rPr>
          <w:rFonts w:ascii="Arial" w:cs="Arial" w:eastAsia="Arial" w:hAnsi="Arial"/>
          <w:sz w:val="11"/>
          <w:szCs w:val="11"/>
          <w:color w:val="auto"/>
        </w:rPr>
        <w:t>duties to be withheld in accordance with item 8 or taxes and duties to be paid by the beneficiary will only be levied on the difference between the exercise price and the current stock exchange price when the subscription rights are exercised or when the shares are delivered, on a profit actually achieved through sale or on another specific amount. Beneficiaries are requested to seek tax advice.</w:t>
      </w:r>
    </w:p>
    <w:p>
      <w:pPr>
        <w:spacing w:after="0" w:line="359"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br w:type="column"/>
      </w:r>
    </w:p>
    <w:p>
      <w:pPr>
        <w:ind w:left="283" w:hanging="283"/>
        <w:spacing w:after="0"/>
        <w:tabs>
          <w:tab w:leader="none" w:pos="283" w:val="left"/>
        </w:tabs>
        <w:numPr>
          <w:ilvl w:val="0"/>
          <w:numId w:val="252"/>
        </w:numPr>
        <w:rPr>
          <w:rFonts w:ascii="Arial" w:cs="Arial" w:eastAsia="Arial" w:hAnsi="Arial"/>
          <w:sz w:val="12"/>
          <w:szCs w:val="12"/>
          <w:b w:val="1"/>
          <w:bCs w:val="1"/>
          <w:color w:val="auto"/>
        </w:rPr>
      </w:pPr>
      <w:r>
        <w:rPr>
          <w:rFonts w:ascii="Arial" w:cs="Arial" w:eastAsia="Arial" w:hAnsi="Arial"/>
          <w:sz w:val="12"/>
          <w:szCs w:val="12"/>
          <w:b w:val="1"/>
          <w:bCs w:val="1"/>
          <w:color w:val="auto"/>
        </w:rPr>
        <w:t>Kursrisiken, Steuerliche Risiken</w:t>
      </w:r>
    </w:p>
    <w:p>
      <w:pPr>
        <w:spacing w:after="0" w:line="150" w:lineRule="exact"/>
        <w:rPr>
          <w:sz w:val="20"/>
          <w:szCs w:val="20"/>
          <w:color w:val="auto"/>
        </w:rPr>
      </w:pPr>
    </w:p>
    <w:p>
      <w:pPr>
        <w:ind w:left="303" w:right="859" w:hanging="299"/>
        <w:spacing w:after="0" w:line="309" w:lineRule="auto"/>
        <w:rPr>
          <w:sz w:val="20"/>
          <w:szCs w:val="20"/>
          <w:color w:val="auto"/>
        </w:rPr>
      </w:pPr>
      <w:r>
        <w:rPr>
          <w:rFonts w:ascii="Arial" w:cs="Arial" w:eastAsia="Arial" w:hAnsi="Arial"/>
          <w:sz w:val="10"/>
          <w:szCs w:val="10"/>
          <w:b w:val="1"/>
          <w:bCs w:val="1"/>
          <w:color w:val="auto"/>
        </w:rPr>
        <w:t xml:space="preserve">11.1 </w:t>
      </w:r>
      <w:r>
        <w:rPr>
          <w:rFonts w:ascii="Arial" w:cs="Arial" w:eastAsia="Arial" w:hAnsi="Arial"/>
          <w:sz w:val="10"/>
          <w:szCs w:val="10"/>
          <w:color w:val="auto"/>
        </w:rPr>
        <w:t>Mynaric und/oder die beteiligten Unternehmen übernehmen</w:t>
      </w:r>
      <w:r>
        <w:rPr>
          <w:rFonts w:ascii="Arial" w:cs="Arial" w:eastAsia="Arial" w:hAnsi="Arial"/>
          <w:sz w:val="10"/>
          <w:szCs w:val="10"/>
          <w:b w:val="1"/>
          <w:bCs w:val="1"/>
          <w:color w:val="auto"/>
        </w:rPr>
        <w:t xml:space="preserve"> </w:t>
      </w:r>
      <w:r>
        <w:rPr>
          <w:rFonts w:ascii="Arial" w:cs="Arial" w:eastAsia="Arial" w:hAnsi="Arial"/>
          <w:sz w:val="10"/>
          <w:szCs w:val="10"/>
          <w:color w:val="auto"/>
        </w:rPr>
        <w:t>keinerlei Gewähr für die allgemeine Marktentwicklung und die Kursentwicklung der Aktie der Gesellschaft nach der Ausgabe von Bezugsrechten oder der Ausübung von Bezugsrechten oder für irgendeinen anderen Zeitpunkt oder Zeitraum. Es besteht daher insbesondere keine Gewähr, dass Bezugsberechtigte, die Bezugsrechte ausüben, einen wirtschaftlichen Vorteil in Höhe der Differenz zwischen Ausübungspreis und aktuellem Börsenkurs erhalten oder in der Lage sind, die bezogenen Aktien mit Gewinn zu veräußern. Die Annahme und die Ausübung von Bezugsrechten erfolgt daher allein auf Risiko des jeweiligen Bezugsberechtigten.</w:t>
      </w:r>
    </w:p>
    <w:p>
      <w:pPr>
        <w:spacing w:after="0" w:line="99" w:lineRule="exact"/>
        <w:rPr>
          <w:sz w:val="20"/>
          <w:szCs w:val="20"/>
          <w:color w:val="auto"/>
        </w:rPr>
      </w:pPr>
    </w:p>
    <w:p>
      <w:pPr>
        <w:ind w:left="303" w:right="879" w:hanging="299"/>
        <w:spacing w:after="0" w:line="311" w:lineRule="auto"/>
        <w:rPr>
          <w:sz w:val="20"/>
          <w:szCs w:val="20"/>
          <w:color w:val="auto"/>
        </w:rPr>
      </w:pPr>
      <w:r>
        <w:rPr>
          <w:rFonts w:ascii="Arial" w:cs="Arial" w:eastAsia="Arial" w:hAnsi="Arial"/>
          <w:sz w:val="10"/>
          <w:szCs w:val="10"/>
          <w:b w:val="1"/>
          <w:bCs w:val="1"/>
          <w:color w:val="auto"/>
        </w:rPr>
        <w:t xml:space="preserve">11.2 </w:t>
      </w:r>
      <w:r>
        <w:rPr>
          <w:rFonts w:ascii="Arial" w:cs="Arial" w:eastAsia="Arial" w:hAnsi="Arial"/>
          <w:sz w:val="10"/>
          <w:szCs w:val="10"/>
          <w:color w:val="auto"/>
        </w:rPr>
        <w:t>Mynaric und/oder die beteiligten Unternehmen übernehmen</w:t>
      </w:r>
      <w:r>
        <w:rPr>
          <w:rFonts w:ascii="Arial" w:cs="Arial" w:eastAsia="Arial" w:hAnsi="Arial"/>
          <w:sz w:val="10"/>
          <w:szCs w:val="10"/>
          <w:b w:val="1"/>
          <w:bCs w:val="1"/>
          <w:color w:val="auto"/>
        </w:rPr>
        <w:t xml:space="preserve"> </w:t>
      </w:r>
      <w:r>
        <w:rPr>
          <w:rFonts w:ascii="Arial" w:cs="Arial" w:eastAsia="Arial" w:hAnsi="Arial"/>
          <w:sz w:val="10"/>
          <w:szCs w:val="10"/>
          <w:color w:val="auto"/>
        </w:rPr>
        <w:t>keinerlei Gewähr dafür, dass gemäß Ziffer 8 einzubehaltende Steuern und Abgaben oder vom Bezugsberechtigten zu zahlende Steuern und Abgaben nur auf den Differenzbetrag zwischen Ausübungspreis und aktuellem Börsenkurs bei Ausübung der Bezugsrechte oder bei Lieferung der Aktien, auf einen durch Veräußerung tatsächlich erzielten Gewinn oder auf einen anderen bestimmten Betrag, erhoben werden. Die Bezugsberechtigten sind aufgefordert, sich steuerlich beraten zu lassen.</w:t>
      </w:r>
    </w:p>
    <w:p>
      <w:pPr>
        <w:sectPr>
          <w:pgSz w:w="11900" w:h="16838" w:orient="portrait"/>
          <w:cols w:equalWidth="0" w:num="2">
            <w:col w:w="4580" w:space="77"/>
            <w:col w:w="4362"/>
          </w:cols>
          <w:pgMar w:left="1440" w:top="914" w:right="1440" w:bottom="1440" w:gutter="0" w:footer="0" w:header="0"/>
          <w:type w:val="continuous"/>
        </w:sectPr>
      </w:pPr>
    </w:p>
    <w:bookmarkStart w:id="314" w:name="page315"/>
    <w:bookmarkEnd w:id="314"/>
    <w:p>
      <w:pPr>
        <w:ind w:left="1120" w:hanging="288"/>
        <w:spacing w:after="0"/>
        <w:tabs>
          <w:tab w:leader="none" w:pos="1120" w:val="left"/>
        </w:tabs>
        <w:numPr>
          <w:ilvl w:val="0"/>
          <w:numId w:val="253"/>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Prohibition of insider trading</w:t>
      </w:r>
    </w:p>
    <w:p>
      <w:pPr>
        <w:spacing w:after="0" w:line="150" w:lineRule="exact"/>
        <w:rPr>
          <w:sz w:val="20"/>
          <w:szCs w:val="20"/>
          <w:color w:val="auto"/>
        </w:rPr>
      </w:pPr>
    </w:p>
    <w:p>
      <w:pPr>
        <w:ind w:left="1140" w:right="100" w:hanging="299"/>
        <w:spacing w:after="0" w:line="279" w:lineRule="auto"/>
        <w:rPr>
          <w:sz w:val="20"/>
          <w:szCs w:val="20"/>
          <w:color w:val="auto"/>
        </w:rPr>
      </w:pPr>
      <w:r>
        <w:rPr>
          <w:rFonts w:ascii="Arial" w:cs="Arial" w:eastAsia="Arial" w:hAnsi="Arial"/>
          <w:sz w:val="11"/>
          <w:szCs w:val="11"/>
          <w:b w:val="1"/>
          <w:bCs w:val="1"/>
          <w:color w:val="auto"/>
        </w:rPr>
        <w:t xml:space="preserve">12.1 </w:t>
      </w:r>
      <w:r>
        <w:rPr>
          <w:rFonts w:ascii="Arial" w:cs="Arial" w:eastAsia="Arial" w:hAnsi="Arial"/>
          <w:sz w:val="11"/>
          <w:szCs w:val="11"/>
          <w:color w:val="auto"/>
        </w:rPr>
        <w:t>In accordance with Article 7 of the Market Abuse Regulation</w:t>
      </w:r>
      <w:r>
        <w:rPr>
          <w:rFonts w:ascii="Arial" w:cs="Arial" w:eastAsia="Arial" w:hAnsi="Arial"/>
          <w:sz w:val="11"/>
          <w:szCs w:val="11"/>
          <w:b w:val="1"/>
          <w:bCs w:val="1"/>
          <w:color w:val="auto"/>
        </w:rPr>
        <w:t xml:space="preserve"> </w:t>
      </w:r>
      <w:r>
        <w:rPr>
          <w:rFonts w:ascii="Arial" w:cs="Arial" w:eastAsia="Arial" w:hAnsi="Arial"/>
          <w:sz w:val="11"/>
          <w:szCs w:val="11"/>
          <w:color w:val="auto"/>
        </w:rPr>
        <w:t>(Regulation (EU) 596/2014), some of the beneficiaries are considered to be insiders due to their function as a member of Mynaric’s Management Board or due to the proper knowledge of non-publicly known insider information as a result of their activities or duties. Among other things, insiders are prohibited from acquiring or selling shares in Mynaric using their knowledge of insider information. This applies even after the holders of subscription rights have left the employment relationship, provided they have inside information for whatever reason.</w:t>
      </w:r>
    </w:p>
    <w:p>
      <w:pPr>
        <w:spacing w:after="0" w:line="258" w:lineRule="exact"/>
        <w:rPr>
          <w:sz w:val="20"/>
          <w:szCs w:val="20"/>
          <w:color w:val="auto"/>
        </w:rPr>
      </w:pPr>
    </w:p>
    <w:p>
      <w:pPr>
        <w:ind w:left="1140" w:hanging="299"/>
        <w:spacing w:after="0" w:line="282" w:lineRule="auto"/>
        <w:rPr>
          <w:sz w:val="20"/>
          <w:szCs w:val="20"/>
          <w:color w:val="auto"/>
        </w:rPr>
      </w:pPr>
      <w:r>
        <w:rPr>
          <w:rFonts w:ascii="Arial" w:cs="Arial" w:eastAsia="Arial" w:hAnsi="Arial"/>
          <w:sz w:val="11"/>
          <w:szCs w:val="11"/>
          <w:b w:val="1"/>
          <w:bCs w:val="1"/>
          <w:color w:val="auto"/>
        </w:rPr>
        <w:t xml:space="preserve">12.2 </w:t>
      </w:r>
      <w:r>
        <w:rPr>
          <w:rFonts w:ascii="Arial" w:cs="Arial" w:eastAsia="Arial" w:hAnsi="Arial"/>
          <w:sz w:val="11"/>
          <w:szCs w:val="11"/>
          <w:color w:val="auto"/>
        </w:rPr>
        <w:t>Each holder of subscription rights is personally responsible for ensuring</w:t>
      </w:r>
      <w:r>
        <w:rPr>
          <w:rFonts w:ascii="Arial" w:cs="Arial" w:eastAsia="Arial" w:hAnsi="Arial"/>
          <w:sz w:val="11"/>
          <w:szCs w:val="11"/>
          <w:b w:val="1"/>
          <w:bCs w:val="1"/>
          <w:color w:val="auto"/>
        </w:rPr>
        <w:t xml:space="preserve"> </w:t>
      </w:r>
      <w:r>
        <w:rPr>
          <w:rFonts w:ascii="Arial" w:cs="Arial" w:eastAsia="Arial" w:hAnsi="Arial"/>
          <w:sz w:val="11"/>
          <w:szCs w:val="11"/>
          <w:color w:val="auto"/>
        </w:rPr>
        <w:t>that he/she does not sell shares in Mynaric which he/she acquires as a result of exercising subscription rights in violation of insider trading prohibitions. The determination of exercise periods in accordance with item 2.3 does not constitute a guarantee that a sale of Mynaric shares within the exercise periods or subsequently does not violate insider trading prohibitions.</w:t>
      </w:r>
    </w:p>
    <w:p>
      <w:pPr>
        <w:spacing w:after="0" w:line="256" w:lineRule="exact"/>
        <w:rPr>
          <w:sz w:val="20"/>
          <w:szCs w:val="20"/>
          <w:color w:val="auto"/>
        </w:rPr>
      </w:pPr>
    </w:p>
    <w:p>
      <w:pPr>
        <w:ind w:left="1140" w:right="20" w:hanging="299"/>
        <w:spacing w:after="0" w:line="287" w:lineRule="auto"/>
        <w:rPr>
          <w:sz w:val="20"/>
          <w:szCs w:val="20"/>
          <w:color w:val="auto"/>
        </w:rPr>
      </w:pPr>
      <w:r>
        <w:rPr>
          <w:rFonts w:ascii="Arial" w:cs="Arial" w:eastAsia="Arial" w:hAnsi="Arial"/>
          <w:sz w:val="11"/>
          <w:szCs w:val="11"/>
          <w:b w:val="1"/>
          <w:bCs w:val="1"/>
          <w:color w:val="auto"/>
        </w:rPr>
        <w:t xml:space="preserve">12.3 </w:t>
      </w:r>
      <w:r>
        <w:rPr>
          <w:rFonts w:ascii="Arial" w:cs="Arial" w:eastAsia="Arial" w:hAnsi="Arial"/>
          <w:sz w:val="11"/>
          <w:szCs w:val="11"/>
          <w:color w:val="auto"/>
        </w:rPr>
        <w:t>Before exercising subscription rights or selling shares, each holder of</w:t>
      </w:r>
      <w:r>
        <w:rPr>
          <w:rFonts w:ascii="Arial" w:cs="Arial" w:eastAsia="Arial" w:hAnsi="Arial"/>
          <w:sz w:val="11"/>
          <w:szCs w:val="11"/>
          <w:b w:val="1"/>
          <w:bCs w:val="1"/>
          <w:color w:val="auto"/>
        </w:rPr>
        <w:t xml:space="preserve"> </w:t>
      </w:r>
      <w:r>
        <w:rPr>
          <w:rFonts w:ascii="Arial" w:cs="Arial" w:eastAsia="Arial" w:hAnsi="Arial"/>
          <w:sz w:val="11"/>
          <w:szCs w:val="11"/>
          <w:color w:val="auto"/>
        </w:rPr>
        <w:t>subscription rights is obliged to inform himself about the respective legal situation regarding insider trading prohibitions under German law as well as insider trading prohibitions under other than German legal norms that could affect the holder of subscription rights.</w:t>
      </w:r>
    </w:p>
    <w:p>
      <w:pPr>
        <w:spacing w:after="0" w:line="252" w:lineRule="exact"/>
        <w:rPr>
          <w:sz w:val="20"/>
          <w:szCs w:val="20"/>
          <w:color w:val="auto"/>
        </w:rPr>
      </w:pPr>
    </w:p>
    <w:p>
      <w:pPr>
        <w:ind w:left="1120" w:hanging="288"/>
        <w:spacing w:after="0"/>
        <w:tabs>
          <w:tab w:leader="none" w:pos="1120" w:val="left"/>
        </w:tabs>
        <w:numPr>
          <w:ilvl w:val="0"/>
          <w:numId w:val="254"/>
        </w:numPr>
        <w:rPr>
          <w:rFonts w:ascii="Arial" w:cs="Arial" w:eastAsia="Arial" w:hAnsi="Arial"/>
          <w:sz w:val="12"/>
          <w:szCs w:val="12"/>
          <w:b w:val="1"/>
          <w:bCs w:val="1"/>
          <w:color w:val="auto"/>
        </w:rPr>
      </w:pPr>
      <w:r>
        <w:rPr>
          <w:rFonts w:ascii="Arial" w:cs="Arial" w:eastAsia="Arial" w:hAnsi="Arial"/>
          <w:sz w:val="12"/>
          <w:szCs w:val="12"/>
          <w:b w:val="1"/>
          <w:bCs w:val="1"/>
          <w:color w:val="auto"/>
        </w:rPr>
        <w:t>No company practice or entitlement to repeated grant</w:t>
      </w:r>
    </w:p>
    <w:p>
      <w:pPr>
        <w:spacing w:after="0" w:line="20" w:lineRule="exact"/>
        <w:rPr>
          <w:sz w:val="20"/>
          <w:szCs w:val="20"/>
          <w:color w:val="auto"/>
        </w:rPr>
      </w:pPr>
      <w:r>
        <w:rPr>
          <w:sz w:val="20"/>
          <w:szCs w:val="20"/>
          <w:color w:val="auto"/>
        </w:rPr>
        <w:br w:type="column"/>
      </w:r>
    </w:p>
    <w:p>
      <w:pPr>
        <w:ind w:left="303" w:hanging="303"/>
        <w:spacing w:after="0"/>
        <w:tabs>
          <w:tab w:leader="none" w:pos="303" w:val="left"/>
        </w:tabs>
        <w:numPr>
          <w:ilvl w:val="0"/>
          <w:numId w:val="255"/>
        </w:numPr>
        <w:rPr>
          <w:rFonts w:ascii="Arial" w:cs="Arial" w:eastAsia="Arial" w:hAnsi="Arial"/>
          <w:sz w:val="12"/>
          <w:szCs w:val="12"/>
          <w:b w:val="1"/>
          <w:bCs w:val="1"/>
          <w:color w:val="auto"/>
        </w:rPr>
      </w:pPr>
      <w:r>
        <w:rPr>
          <w:rFonts w:ascii="Arial" w:cs="Arial" w:eastAsia="Arial" w:hAnsi="Arial"/>
          <w:sz w:val="12"/>
          <w:szCs w:val="12"/>
          <w:b w:val="1"/>
          <w:bCs w:val="1"/>
          <w:color w:val="auto"/>
        </w:rPr>
        <w:t>Insiderhandelsverbot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-604520</wp:posOffset>
            </wp:positionV>
            <wp:extent cx="1285875" cy="3714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30" w:lineRule="exact"/>
        <w:rPr>
          <w:sz w:val="20"/>
          <w:szCs w:val="20"/>
          <w:color w:val="auto"/>
        </w:rPr>
      </w:pPr>
    </w:p>
    <w:p>
      <w:pPr>
        <w:ind w:left="303" w:right="839" w:hanging="299"/>
        <w:spacing w:after="0" w:line="279" w:lineRule="auto"/>
        <w:rPr>
          <w:sz w:val="20"/>
          <w:szCs w:val="20"/>
          <w:color w:val="auto"/>
        </w:rPr>
      </w:pPr>
      <w:r>
        <w:rPr>
          <w:rFonts w:ascii="Arial" w:cs="Arial" w:eastAsia="Arial" w:hAnsi="Arial"/>
          <w:sz w:val="11"/>
          <w:szCs w:val="11"/>
          <w:b w:val="1"/>
          <w:bCs w:val="1"/>
          <w:color w:val="auto"/>
        </w:rPr>
        <w:t xml:space="preserve">12.1 </w:t>
      </w:r>
      <w:r>
        <w:rPr>
          <w:rFonts w:ascii="Arial" w:cs="Arial" w:eastAsia="Arial" w:hAnsi="Arial"/>
          <w:sz w:val="11"/>
          <w:szCs w:val="11"/>
          <w:color w:val="auto"/>
        </w:rPr>
        <w:t>Gemäß Artikel 7 Marktmissbrauchsverordnung (VO (EU)</w:t>
      </w:r>
      <w:r>
        <w:rPr>
          <w:rFonts w:ascii="Arial" w:cs="Arial" w:eastAsia="Arial" w:hAnsi="Arial"/>
          <w:sz w:val="11"/>
          <w:szCs w:val="11"/>
          <w:b w:val="1"/>
          <w:bCs w:val="1"/>
          <w:color w:val="auto"/>
        </w:rPr>
        <w:t xml:space="preserve"> </w:t>
      </w:r>
      <w:r>
        <w:rPr>
          <w:rFonts w:ascii="Arial" w:cs="Arial" w:eastAsia="Arial" w:hAnsi="Arial"/>
          <w:sz w:val="11"/>
          <w:szCs w:val="11"/>
          <w:color w:val="auto"/>
        </w:rPr>
        <w:t>596/2014) gelten Teile der Bezugsberechtigten aufgrund ihrer Funktion als Mitglied des Vorstandes der Mynaric oder auf Grund der bestimmungsgemäßen Kenntnis von nicht öffentlich bekannten Insider-Informationen durch ihre Tätigkeit oder Aufgabe als Insider. Insidern ist es unter anderem verboten, unter Ausnutzung ihrer Kenntnis von Insider-Informationen, Aktien der Mynaric zu erwerben oder zu veräußern. Dies gilt auch noch nach dem Ausscheiden der Bezugsrechtsinhaber aus dem Anstellungsverhältnis, soweit sie gleich aus welchen Gründen über Insider-Informationen verfügen.</w:t>
      </w:r>
    </w:p>
    <w:p>
      <w:pPr>
        <w:spacing w:after="0" w:line="111" w:lineRule="exact"/>
        <w:rPr>
          <w:sz w:val="20"/>
          <w:szCs w:val="20"/>
          <w:color w:val="auto"/>
        </w:rPr>
      </w:pPr>
    </w:p>
    <w:p>
      <w:pPr>
        <w:ind w:left="303" w:right="899" w:hanging="299"/>
        <w:spacing w:after="0" w:line="281" w:lineRule="auto"/>
        <w:rPr>
          <w:sz w:val="20"/>
          <w:szCs w:val="20"/>
          <w:color w:val="auto"/>
        </w:rPr>
      </w:pPr>
      <w:r>
        <w:rPr>
          <w:rFonts w:ascii="Arial" w:cs="Arial" w:eastAsia="Arial" w:hAnsi="Arial"/>
          <w:sz w:val="11"/>
          <w:szCs w:val="11"/>
          <w:b w:val="1"/>
          <w:bCs w:val="1"/>
          <w:color w:val="auto"/>
        </w:rPr>
        <w:t xml:space="preserve">12.2 </w:t>
      </w:r>
      <w:r>
        <w:rPr>
          <w:rFonts w:ascii="Arial" w:cs="Arial" w:eastAsia="Arial" w:hAnsi="Arial"/>
          <w:sz w:val="11"/>
          <w:szCs w:val="11"/>
          <w:color w:val="auto"/>
        </w:rPr>
        <w:t>Jeder Bezugsrechtsinhaber ist persönlich verantwortlich dafür,</w:t>
      </w:r>
      <w:r>
        <w:rPr>
          <w:rFonts w:ascii="Arial" w:cs="Arial" w:eastAsia="Arial" w:hAnsi="Arial"/>
          <w:sz w:val="11"/>
          <w:szCs w:val="11"/>
          <w:b w:val="1"/>
          <w:bCs w:val="1"/>
          <w:color w:val="auto"/>
        </w:rPr>
        <w:t xml:space="preserve"> </w:t>
      </w:r>
      <w:r>
        <w:rPr>
          <w:rFonts w:ascii="Arial" w:cs="Arial" w:eastAsia="Arial" w:hAnsi="Arial"/>
          <w:sz w:val="11"/>
          <w:szCs w:val="11"/>
          <w:color w:val="auto"/>
        </w:rPr>
        <w:t>dass er Aktien der Mynaric, die er aufgrund der Ausübung von Bezugsrechten erwirbt, nicht unter Verstoß gegen Insiderhandelsverbote veräußert. Die Festlegung von Ausübungszeiträumen gemäß Ziffer 2.3 stellt keine Gewähr dafür dar, dass eine Veräußerung von Aktien der Mynaric innerhalb der Ausübungszeiträume oder im Anschluss hieran nicht gegen Insiderhandelsverbote verstößt.</w:t>
      </w:r>
    </w:p>
    <w:p>
      <w:pPr>
        <w:spacing w:after="0" w:line="111" w:lineRule="exact"/>
        <w:rPr>
          <w:sz w:val="20"/>
          <w:szCs w:val="20"/>
          <w:color w:val="auto"/>
        </w:rPr>
      </w:pPr>
    </w:p>
    <w:p>
      <w:pPr>
        <w:ind w:left="303" w:right="919" w:hanging="299"/>
        <w:spacing w:after="0" w:line="284" w:lineRule="auto"/>
        <w:rPr>
          <w:sz w:val="20"/>
          <w:szCs w:val="20"/>
          <w:color w:val="auto"/>
        </w:rPr>
      </w:pPr>
      <w:r>
        <w:rPr>
          <w:rFonts w:ascii="Arial" w:cs="Arial" w:eastAsia="Arial" w:hAnsi="Arial"/>
          <w:sz w:val="11"/>
          <w:szCs w:val="11"/>
          <w:b w:val="1"/>
          <w:bCs w:val="1"/>
          <w:color w:val="auto"/>
        </w:rPr>
        <w:t xml:space="preserve">12.3 </w:t>
      </w:r>
      <w:r>
        <w:rPr>
          <w:rFonts w:ascii="Arial" w:cs="Arial" w:eastAsia="Arial" w:hAnsi="Arial"/>
          <w:sz w:val="11"/>
          <w:szCs w:val="11"/>
          <w:color w:val="auto"/>
        </w:rPr>
        <w:t>Jeder Bezugsrechtsinhaber ist verpflichtet, sich vor der Ausübung</w:t>
      </w:r>
      <w:r>
        <w:rPr>
          <w:rFonts w:ascii="Arial" w:cs="Arial" w:eastAsia="Arial" w:hAnsi="Arial"/>
          <w:sz w:val="11"/>
          <w:szCs w:val="11"/>
          <w:b w:val="1"/>
          <w:bCs w:val="1"/>
          <w:color w:val="auto"/>
        </w:rPr>
        <w:t xml:space="preserve"> </w:t>
      </w:r>
      <w:r>
        <w:rPr>
          <w:rFonts w:ascii="Arial" w:cs="Arial" w:eastAsia="Arial" w:hAnsi="Arial"/>
          <w:sz w:val="11"/>
          <w:szCs w:val="11"/>
          <w:color w:val="auto"/>
        </w:rPr>
        <w:t>von Bezugsrechten oder der Veräußerung von Aktien über die jeweilige Rechtslage betreffend Insiderhandelsverbote nach deutschem Recht sowie über Insiderhandelsverbote nach anderen als den deutschen Rechtsnormen, die den Bezugsrechtsinhaber betreffen könnten, zu informieren.</w:t>
      </w:r>
    </w:p>
    <w:p>
      <w:pPr>
        <w:spacing w:after="0" w:line="110" w:lineRule="exact"/>
        <w:rPr>
          <w:sz w:val="20"/>
          <w:szCs w:val="20"/>
          <w:color w:val="auto"/>
        </w:rPr>
      </w:pPr>
    </w:p>
    <w:p>
      <w:pPr>
        <w:ind w:left="303" w:right="1139" w:hanging="303"/>
        <w:spacing w:after="0" w:line="269" w:lineRule="auto"/>
        <w:tabs>
          <w:tab w:leader="none" w:pos="297" w:val="left"/>
        </w:tabs>
        <w:numPr>
          <w:ilvl w:val="0"/>
          <w:numId w:val="256"/>
        </w:numPr>
        <w:rPr>
          <w:rFonts w:ascii="Arial" w:cs="Arial" w:eastAsia="Arial" w:hAnsi="Arial"/>
          <w:sz w:val="12"/>
          <w:szCs w:val="12"/>
          <w:b w:val="1"/>
          <w:bCs w:val="1"/>
          <w:color w:val="auto"/>
        </w:rPr>
      </w:pPr>
      <w:r>
        <w:rPr>
          <w:rFonts w:ascii="Arial" w:cs="Arial" w:eastAsia="Arial" w:hAnsi="Arial"/>
          <w:sz w:val="12"/>
          <w:szCs w:val="12"/>
          <w:b w:val="1"/>
          <w:bCs w:val="1"/>
          <w:color w:val="auto"/>
        </w:rPr>
        <w:t>Keine betriebliche Übung oder Anspruch auf wiederholte Gewährung</w:t>
      </w:r>
    </w:p>
    <w:p>
      <w:pPr>
        <w:spacing w:after="0" w:line="1" w:lineRule="exact"/>
        <w:rPr>
          <w:sz w:val="20"/>
          <w:szCs w:val="20"/>
          <w:color w:val="auto"/>
        </w:rPr>
      </w:pPr>
    </w:p>
    <w:p>
      <w:pPr>
        <w:sectPr>
          <w:pgSz w:w="11900" w:h="16838" w:orient="portrait"/>
          <w:cols w:equalWidth="0" w:num="2">
            <w:col w:w="4580" w:space="77"/>
            <w:col w:w="4362"/>
          </w:cols>
          <w:pgMar w:left="1440" w:top="1054" w:right="1440" w:bottom="1440" w:gutter="0" w:footer="0" w:header="0"/>
        </w:sectPr>
      </w:pPr>
    </w:p>
    <w:p>
      <w:pPr>
        <w:ind w:left="1140" w:right="20"/>
        <w:spacing w:after="0" w:line="254" w:lineRule="auto"/>
        <w:rPr>
          <w:sz w:val="20"/>
          <w:szCs w:val="20"/>
          <w:color w:val="auto"/>
        </w:rPr>
      </w:pPr>
      <w:r>
        <w:rPr>
          <w:rFonts w:ascii="Arial" w:cs="Arial" w:eastAsia="Arial" w:hAnsi="Arial"/>
          <w:sz w:val="12"/>
          <w:szCs w:val="12"/>
          <w:color w:val="auto"/>
        </w:rPr>
        <w:t>The subscription rights are granted as a voluntary benefit by the respective participating company in cooperation with Mynaric. Therefore, even in the case of repeated granting of subscription rights (even without a voluntary reservation), no claims whatsoever arise against the participating company or Mynaric for the renewed granting of subscription rights or for similar or equivalent services. This also applies if subscription rights expire for whatever reason without being exercised.</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879"/>
        <w:spacing w:after="0" w:line="279" w:lineRule="auto"/>
        <w:rPr>
          <w:sz w:val="20"/>
          <w:szCs w:val="20"/>
          <w:color w:val="auto"/>
        </w:rPr>
      </w:pPr>
      <w:r>
        <w:rPr>
          <w:rFonts w:ascii="Arial" w:cs="Arial" w:eastAsia="Arial" w:hAnsi="Arial"/>
          <w:sz w:val="11"/>
          <w:szCs w:val="11"/>
          <w:color w:val="auto"/>
        </w:rPr>
        <w:t>Die Gewährung der Bezugsrechte erfolgt als freiwillige Leistung des jeweiligen beteiligten Unternehmens in Zusammenarbeit mit der Mynaric. Auch bei wiederholter Gewährung von Bezugsrechten (selbst ohne Freiwilligkeitsvorbehalt) entstehen daher keinerlei Ansprüche gegen das beteiligte Unternehmen oder die Mynaric auf die erneute Gewährung von Bezugsrechten oder auf ähnliche oder gleichwertige Leistungen. Dies gilt auch dann, wenn Bezugsrechte gleich aus welchen Gründen verfallen sind, ohne dass sie ausgeübt wurden.</w:t>
      </w:r>
    </w:p>
    <w:p>
      <w:pPr>
        <w:sectPr>
          <w:pgSz w:w="11900" w:h="16838" w:orient="portrait"/>
          <w:cols w:equalWidth="0" w:num="2">
            <w:col w:w="4560" w:space="400"/>
            <w:col w:w="4059"/>
          </w:cols>
          <w:pgMar w:left="1440" w:top="1054" w:right="1440" w:bottom="1440" w:gutter="0" w:footer="0" w:header="0"/>
          <w:type w:val="continuous"/>
        </w:sectPr>
      </w:pPr>
    </w:p>
    <w:bookmarkStart w:id="315" w:name="page316"/>
    <w:bookmarkEnd w:id="315"/>
    <w:p>
      <w:pPr>
        <w:ind w:left="1120" w:hanging="288"/>
        <w:spacing w:after="0"/>
        <w:tabs>
          <w:tab w:leader="none" w:pos="1120" w:val="left"/>
        </w:tabs>
        <w:numPr>
          <w:ilvl w:val="0"/>
          <w:numId w:val="257"/>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Applicable law, place of performance and jurisdiction</w:t>
      </w:r>
    </w:p>
    <w:p>
      <w:pPr>
        <w:spacing w:after="0" w:line="150" w:lineRule="exact"/>
        <w:rPr>
          <w:sz w:val="20"/>
          <w:szCs w:val="20"/>
          <w:color w:val="auto"/>
        </w:rPr>
      </w:pPr>
    </w:p>
    <w:p>
      <w:pPr>
        <w:ind w:left="1140" w:right="20" w:hanging="299"/>
        <w:spacing w:after="0" w:line="282" w:lineRule="auto"/>
        <w:rPr>
          <w:sz w:val="20"/>
          <w:szCs w:val="20"/>
          <w:color w:val="auto"/>
        </w:rPr>
      </w:pPr>
      <w:r>
        <w:rPr>
          <w:rFonts w:ascii="Arial" w:cs="Arial" w:eastAsia="Arial" w:hAnsi="Arial"/>
          <w:sz w:val="11"/>
          <w:szCs w:val="11"/>
          <w:b w:val="1"/>
          <w:bCs w:val="1"/>
          <w:color w:val="auto"/>
        </w:rPr>
        <w:t xml:space="preserve">14.1 </w:t>
      </w:r>
      <w:r>
        <w:rPr>
          <w:rFonts w:ascii="Arial" w:cs="Arial" w:eastAsia="Arial" w:hAnsi="Arial"/>
          <w:sz w:val="11"/>
          <w:szCs w:val="11"/>
          <w:color w:val="auto"/>
        </w:rPr>
        <w:t>The form and content of the subscription rights, the option conditions</w:t>
      </w:r>
      <w:r>
        <w:rPr>
          <w:rFonts w:ascii="Arial" w:cs="Arial" w:eastAsia="Arial" w:hAnsi="Arial"/>
          <w:sz w:val="11"/>
          <w:szCs w:val="11"/>
          <w:b w:val="1"/>
          <w:bCs w:val="1"/>
          <w:color w:val="auto"/>
        </w:rPr>
        <w:t xml:space="preserve"> </w:t>
      </w:r>
      <w:r>
        <w:rPr>
          <w:rFonts w:ascii="Arial" w:cs="Arial" w:eastAsia="Arial" w:hAnsi="Arial"/>
          <w:sz w:val="11"/>
          <w:szCs w:val="11"/>
          <w:color w:val="auto"/>
        </w:rPr>
        <w:t>and the individual agreement as well as all resulting rights and obligations of the holders of subscription rights, the companies involved or Mynaric are determined in every respect according to the law of the Federal Republic of Germany, excluding the regulations of international private law and the uniform UN Convention on Contracts for the International Sale of Goods.</w:t>
      </w:r>
    </w:p>
    <w:p>
      <w:pPr>
        <w:spacing w:after="0" w:line="112" w:lineRule="exact"/>
        <w:rPr>
          <w:sz w:val="20"/>
          <w:szCs w:val="20"/>
          <w:color w:val="auto"/>
        </w:rPr>
      </w:pPr>
    </w:p>
    <w:p>
      <w:pPr>
        <w:jc w:val="both"/>
        <w:ind w:left="1140" w:right="40" w:hanging="299"/>
        <w:spacing w:after="0" w:line="302" w:lineRule="auto"/>
        <w:rPr>
          <w:sz w:val="20"/>
          <w:szCs w:val="20"/>
          <w:color w:val="auto"/>
        </w:rPr>
      </w:pPr>
      <w:r>
        <w:rPr>
          <w:rFonts w:ascii="Arial" w:cs="Arial" w:eastAsia="Arial" w:hAnsi="Arial"/>
          <w:sz w:val="11"/>
          <w:szCs w:val="11"/>
          <w:b w:val="1"/>
          <w:bCs w:val="1"/>
          <w:color w:val="auto"/>
        </w:rPr>
        <w:t xml:space="preserve">14.2 </w:t>
      </w:r>
      <w:r>
        <w:rPr>
          <w:rFonts w:ascii="Arial" w:cs="Arial" w:eastAsia="Arial" w:hAnsi="Arial"/>
          <w:sz w:val="11"/>
          <w:szCs w:val="11"/>
          <w:color w:val="auto"/>
        </w:rPr>
        <w:t>Place of performance as well as non-exclusive jurisdiction for all legal</w:t>
      </w:r>
      <w:r>
        <w:rPr>
          <w:rFonts w:ascii="Arial" w:cs="Arial" w:eastAsia="Arial" w:hAnsi="Arial"/>
          <w:sz w:val="11"/>
          <w:szCs w:val="11"/>
          <w:b w:val="1"/>
          <w:bCs w:val="1"/>
          <w:color w:val="auto"/>
        </w:rPr>
        <w:t xml:space="preserve"> </w:t>
      </w:r>
      <w:r>
        <w:rPr>
          <w:rFonts w:ascii="Arial" w:cs="Arial" w:eastAsia="Arial" w:hAnsi="Arial"/>
          <w:sz w:val="11"/>
          <w:szCs w:val="11"/>
          <w:color w:val="auto"/>
        </w:rPr>
        <w:t>disputes arising from or in connection with the subscription rights and the matters regulated in these option conditions is Munich.</w:t>
      </w:r>
    </w:p>
    <w:p>
      <w:pPr>
        <w:spacing w:after="0" w:line="243" w:lineRule="exact"/>
        <w:rPr>
          <w:sz w:val="20"/>
          <w:szCs w:val="20"/>
          <w:color w:val="auto"/>
        </w:rPr>
      </w:pPr>
    </w:p>
    <w:p>
      <w:pPr>
        <w:ind w:left="1120" w:hanging="288"/>
        <w:spacing w:after="0"/>
        <w:tabs>
          <w:tab w:leader="none" w:pos="1120" w:val="left"/>
        </w:tabs>
        <w:numPr>
          <w:ilvl w:val="0"/>
          <w:numId w:val="258"/>
        </w:numPr>
        <w:rPr>
          <w:rFonts w:ascii="Arial" w:cs="Arial" w:eastAsia="Arial" w:hAnsi="Arial"/>
          <w:sz w:val="12"/>
          <w:szCs w:val="12"/>
          <w:b w:val="1"/>
          <w:bCs w:val="1"/>
          <w:color w:val="auto"/>
        </w:rPr>
      </w:pPr>
      <w:r>
        <w:rPr>
          <w:rFonts w:ascii="Arial" w:cs="Arial" w:eastAsia="Arial" w:hAnsi="Arial"/>
          <w:sz w:val="12"/>
          <w:szCs w:val="12"/>
          <w:b w:val="1"/>
          <w:bCs w:val="1"/>
          <w:color w:val="auto"/>
        </w:rPr>
        <w:t>Miscellaneous</w:t>
      </w:r>
    </w:p>
    <w:p>
      <w:pPr>
        <w:spacing w:after="0" w:line="150" w:lineRule="exact"/>
        <w:rPr>
          <w:sz w:val="20"/>
          <w:szCs w:val="20"/>
          <w:color w:val="auto"/>
        </w:rPr>
      </w:pPr>
    </w:p>
    <w:p>
      <w:pPr>
        <w:ind w:left="1140" w:right="40" w:hanging="299"/>
        <w:spacing w:after="0" w:line="330" w:lineRule="auto"/>
        <w:rPr>
          <w:sz w:val="20"/>
          <w:szCs w:val="20"/>
          <w:color w:val="auto"/>
        </w:rPr>
      </w:pPr>
      <w:r>
        <w:rPr>
          <w:rFonts w:ascii="Arial" w:cs="Arial" w:eastAsia="Arial" w:hAnsi="Arial"/>
          <w:sz w:val="11"/>
          <w:szCs w:val="11"/>
          <w:b w:val="1"/>
          <w:bCs w:val="1"/>
          <w:color w:val="auto"/>
        </w:rPr>
        <w:t xml:space="preserve">15.1 </w:t>
      </w:r>
      <w:r>
        <w:rPr>
          <w:rFonts w:ascii="Arial" w:cs="Arial" w:eastAsia="Arial" w:hAnsi="Arial"/>
          <w:sz w:val="11"/>
          <w:szCs w:val="11"/>
          <w:color w:val="auto"/>
        </w:rPr>
        <w:t>The subscription rights are not securitised. The transfer of subscription</w:t>
      </w:r>
      <w:r>
        <w:rPr>
          <w:rFonts w:ascii="Arial" w:cs="Arial" w:eastAsia="Arial" w:hAnsi="Arial"/>
          <w:sz w:val="11"/>
          <w:szCs w:val="11"/>
          <w:b w:val="1"/>
          <w:bCs w:val="1"/>
          <w:color w:val="auto"/>
        </w:rPr>
        <w:t xml:space="preserve"> </w:t>
      </w:r>
      <w:r>
        <w:rPr>
          <w:rFonts w:ascii="Arial" w:cs="Arial" w:eastAsia="Arial" w:hAnsi="Arial"/>
          <w:sz w:val="11"/>
          <w:szCs w:val="11"/>
          <w:color w:val="auto"/>
        </w:rPr>
        <w:t>rights to a securities account at a bank is excluded.</w:t>
      </w:r>
    </w:p>
    <w:p>
      <w:pPr>
        <w:spacing w:after="0" w:line="84" w:lineRule="exact"/>
        <w:rPr>
          <w:sz w:val="20"/>
          <w:szCs w:val="20"/>
          <w:color w:val="auto"/>
        </w:rPr>
      </w:pPr>
    </w:p>
    <w:p>
      <w:pPr>
        <w:jc w:val="center"/>
        <w:ind w:left="840"/>
        <w:spacing w:after="0"/>
        <w:rPr>
          <w:sz w:val="20"/>
          <w:szCs w:val="20"/>
          <w:color w:val="auto"/>
        </w:rPr>
      </w:pPr>
      <w:r>
        <w:rPr>
          <w:rFonts w:ascii="Arial" w:cs="Arial" w:eastAsia="Arial" w:hAnsi="Arial"/>
          <w:sz w:val="11"/>
          <w:szCs w:val="11"/>
          <w:b w:val="1"/>
          <w:bCs w:val="1"/>
          <w:color w:val="auto"/>
        </w:rPr>
        <w:t xml:space="preserve">15.2 </w:t>
      </w:r>
      <w:r>
        <w:rPr>
          <w:rFonts w:ascii="Arial" w:cs="Arial" w:eastAsia="Arial" w:hAnsi="Arial"/>
          <w:sz w:val="11"/>
          <w:szCs w:val="11"/>
          <w:color w:val="auto"/>
        </w:rPr>
        <w:t>If, during the term of the subscription rights, changes in stock exchange</w:t>
      </w:r>
    </w:p>
    <w:p>
      <w:pPr>
        <w:spacing w:after="0" w:line="30" w:lineRule="exact"/>
        <w:rPr>
          <w:sz w:val="20"/>
          <w:szCs w:val="20"/>
          <w:color w:val="auto"/>
        </w:rPr>
      </w:pPr>
    </w:p>
    <w:p>
      <w:pPr>
        <w:ind w:left="1140" w:right="220"/>
        <w:spacing w:after="0" w:line="330" w:lineRule="auto"/>
        <w:rPr>
          <w:sz w:val="20"/>
          <w:szCs w:val="20"/>
          <w:color w:val="auto"/>
        </w:rPr>
      </w:pPr>
      <w:r>
        <w:rPr>
          <w:rFonts w:ascii="Arial" w:cs="Arial" w:eastAsia="Arial" w:hAnsi="Arial"/>
          <w:sz w:val="10"/>
          <w:szCs w:val="10"/>
          <w:color w:val="auto"/>
        </w:rPr>
        <w:t>practices occur which make the implementation of these exercise conditions or individual provisions significantly more difficult or impossible, Mynaric is entitled to make an appropriate adjustment.</w:t>
      </w:r>
    </w:p>
    <w:p>
      <w:pPr>
        <w:spacing w:after="0" w:line="233" w:lineRule="exact"/>
        <w:rPr>
          <w:sz w:val="20"/>
          <w:szCs w:val="20"/>
          <w:color w:val="auto"/>
        </w:rPr>
      </w:pPr>
    </w:p>
    <w:p>
      <w:pPr>
        <w:ind w:left="1140" w:right="20" w:hanging="299"/>
        <w:spacing w:after="0" w:line="279" w:lineRule="auto"/>
        <w:rPr>
          <w:sz w:val="20"/>
          <w:szCs w:val="20"/>
          <w:color w:val="auto"/>
        </w:rPr>
      </w:pPr>
      <w:r>
        <w:rPr>
          <w:rFonts w:ascii="Arial" w:cs="Arial" w:eastAsia="Arial" w:hAnsi="Arial"/>
          <w:sz w:val="11"/>
          <w:szCs w:val="11"/>
          <w:b w:val="1"/>
          <w:bCs w:val="1"/>
          <w:color w:val="auto"/>
        </w:rPr>
        <w:t xml:space="preserve">15.3 </w:t>
      </w:r>
      <w:r>
        <w:rPr>
          <w:rFonts w:ascii="Arial" w:cs="Arial" w:eastAsia="Arial" w:hAnsi="Arial"/>
          <w:sz w:val="11"/>
          <w:szCs w:val="11"/>
          <w:color w:val="auto"/>
        </w:rPr>
        <w:t>Should one of the provisions of these option conditions be or become</w:t>
      </w:r>
      <w:r>
        <w:rPr>
          <w:rFonts w:ascii="Arial" w:cs="Arial" w:eastAsia="Arial" w:hAnsi="Arial"/>
          <w:sz w:val="11"/>
          <w:szCs w:val="11"/>
          <w:b w:val="1"/>
          <w:bCs w:val="1"/>
          <w:color w:val="auto"/>
        </w:rPr>
        <w:t xml:space="preserve"> </w:t>
      </w:r>
      <w:r>
        <w:rPr>
          <w:rFonts w:ascii="Arial" w:cs="Arial" w:eastAsia="Arial" w:hAnsi="Arial"/>
          <w:sz w:val="11"/>
          <w:szCs w:val="11"/>
          <w:color w:val="auto"/>
        </w:rPr>
        <w:t>invalid or impracticable, the validity or practicability of the remaining provisions shall remain unaffected. A gap resulting from the invalidity or impracticability of a provision as well as any other gaps will be filled in analogously by way of supplementary interpretation of the contract taking into account the interests of the parties involved. This shall also apply insofar as the measure of a service or time (deadline, dates) is affected; in such cases, a legally permissible measure of the service or time (deadline, date) which comes as close as possible to the intended measure shall replace the measure initially agreed.</w:t>
      </w:r>
    </w:p>
    <w:p>
      <w:pPr>
        <w:spacing w:after="0" w:line="361" w:lineRule="exact"/>
        <w:rPr>
          <w:sz w:val="20"/>
          <w:szCs w:val="20"/>
          <w:color w:val="auto"/>
        </w:rPr>
      </w:pPr>
    </w:p>
    <w:p>
      <w:pPr>
        <w:ind w:left="4440"/>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br w:type="column"/>
      </w:r>
    </w:p>
    <w:p>
      <w:pPr>
        <w:ind w:left="283" w:hanging="283"/>
        <w:spacing w:after="0"/>
        <w:tabs>
          <w:tab w:leader="none" w:pos="283" w:val="left"/>
        </w:tabs>
        <w:numPr>
          <w:ilvl w:val="0"/>
          <w:numId w:val="259"/>
        </w:numPr>
        <w:rPr>
          <w:rFonts w:ascii="Arial" w:cs="Arial" w:eastAsia="Arial" w:hAnsi="Arial"/>
          <w:sz w:val="12"/>
          <w:szCs w:val="12"/>
          <w:b w:val="1"/>
          <w:bCs w:val="1"/>
          <w:color w:val="auto"/>
        </w:rPr>
      </w:pPr>
      <w:r>
        <w:rPr>
          <w:rFonts w:ascii="Arial" w:cs="Arial" w:eastAsia="Arial" w:hAnsi="Arial"/>
          <w:sz w:val="12"/>
          <w:szCs w:val="12"/>
          <w:b w:val="1"/>
          <w:bCs w:val="1"/>
          <w:color w:val="auto"/>
        </w:rPr>
        <w:t>Anwendbares Recht, Erfüllungsort und Gerichtsstand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-604520</wp:posOffset>
            </wp:positionV>
            <wp:extent cx="1285875" cy="3714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30" w:lineRule="exact"/>
        <w:rPr>
          <w:sz w:val="20"/>
          <w:szCs w:val="20"/>
          <w:color w:val="auto"/>
        </w:rPr>
      </w:pPr>
    </w:p>
    <w:p>
      <w:pPr>
        <w:ind w:left="303" w:right="939" w:hanging="299"/>
        <w:spacing w:after="0" w:line="282" w:lineRule="auto"/>
        <w:rPr>
          <w:sz w:val="20"/>
          <w:szCs w:val="20"/>
          <w:color w:val="auto"/>
        </w:rPr>
      </w:pPr>
      <w:r>
        <w:rPr>
          <w:rFonts w:ascii="Arial" w:cs="Arial" w:eastAsia="Arial" w:hAnsi="Arial"/>
          <w:sz w:val="11"/>
          <w:szCs w:val="11"/>
          <w:b w:val="1"/>
          <w:bCs w:val="1"/>
          <w:color w:val="auto"/>
        </w:rPr>
        <w:t xml:space="preserve">14.1 </w:t>
      </w:r>
      <w:r>
        <w:rPr>
          <w:rFonts w:ascii="Arial" w:cs="Arial" w:eastAsia="Arial" w:hAnsi="Arial"/>
          <w:sz w:val="11"/>
          <w:szCs w:val="11"/>
          <w:color w:val="auto"/>
        </w:rPr>
        <w:t>Form und Inhalt der Bezugsrechte, der Optionsbedingungen und</w:t>
      </w:r>
      <w:r>
        <w:rPr>
          <w:rFonts w:ascii="Arial" w:cs="Arial" w:eastAsia="Arial" w:hAnsi="Arial"/>
          <w:sz w:val="11"/>
          <w:szCs w:val="11"/>
          <w:b w:val="1"/>
          <w:bCs w:val="1"/>
          <w:color w:val="auto"/>
        </w:rPr>
        <w:t xml:space="preserve"> </w:t>
      </w:r>
      <w:r>
        <w:rPr>
          <w:rFonts w:ascii="Arial" w:cs="Arial" w:eastAsia="Arial" w:hAnsi="Arial"/>
          <w:sz w:val="11"/>
          <w:szCs w:val="11"/>
          <w:color w:val="auto"/>
        </w:rPr>
        <w:t>der Individualvereinbarung sowie alle sich daraus ergebenden Rechte und Pflichten der Bezugsrechtsinhaber, der beteiligten Unternehmen oder der Mynaric bestimmen sich in jeder Hinsicht nach dem Recht der Bundesrepublik Deutschland unter Ausschluss der Regelungen des internationalen Privatrechts und des einheitlichen UN-Kaufrechts.</w:t>
      </w:r>
    </w:p>
    <w:p>
      <w:pPr>
        <w:spacing w:after="0" w:line="112" w:lineRule="exact"/>
        <w:rPr>
          <w:sz w:val="20"/>
          <w:szCs w:val="20"/>
          <w:color w:val="auto"/>
        </w:rPr>
      </w:pPr>
    </w:p>
    <w:p>
      <w:pPr>
        <w:ind w:left="303" w:right="979" w:hanging="299"/>
        <w:spacing w:after="0" w:line="292" w:lineRule="auto"/>
        <w:rPr>
          <w:sz w:val="20"/>
          <w:szCs w:val="20"/>
          <w:color w:val="auto"/>
        </w:rPr>
      </w:pPr>
      <w:r>
        <w:rPr>
          <w:rFonts w:ascii="Arial" w:cs="Arial" w:eastAsia="Arial" w:hAnsi="Arial"/>
          <w:sz w:val="11"/>
          <w:szCs w:val="11"/>
          <w:b w:val="1"/>
          <w:bCs w:val="1"/>
          <w:color w:val="auto"/>
        </w:rPr>
        <w:t xml:space="preserve">14.2 </w:t>
      </w:r>
      <w:r>
        <w:rPr>
          <w:rFonts w:ascii="Arial" w:cs="Arial" w:eastAsia="Arial" w:hAnsi="Arial"/>
          <w:sz w:val="11"/>
          <w:szCs w:val="11"/>
          <w:color w:val="auto"/>
        </w:rPr>
        <w:t>Erfüllungsort sowie nicht ausschließlicher Gerichtsstand für alle</w:t>
      </w:r>
      <w:r>
        <w:rPr>
          <w:rFonts w:ascii="Arial" w:cs="Arial" w:eastAsia="Arial" w:hAnsi="Arial"/>
          <w:sz w:val="11"/>
          <w:szCs w:val="11"/>
          <w:b w:val="1"/>
          <w:bCs w:val="1"/>
          <w:color w:val="auto"/>
        </w:rPr>
        <w:t xml:space="preserve"> </w:t>
      </w:r>
      <w:r>
        <w:rPr>
          <w:rFonts w:ascii="Arial" w:cs="Arial" w:eastAsia="Arial" w:hAnsi="Arial"/>
          <w:sz w:val="11"/>
          <w:szCs w:val="11"/>
          <w:color w:val="auto"/>
        </w:rPr>
        <w:t>Rechtsstreitigkeiten aus oder im Zusammenhang mit den Bezugsrechte und den in diesen Optionsbedingungen geregelten Angelegenheiten ist München.</w:t>
      </w:r>
    </w:p>
    <w:p>
      <w:pPr>
        <w:spacing w:after="0" w:line="104" w:lineRule="exact"/>
        <w:rPr>
          <w:sz w:val="20"/>
          <w:szCs w:val="20"/>
          <w:color w:val="auto"/>
        </w:rPr>
      </w:pPr>
    </w:p>
    <w:p>
      <w:pPr>
        <w:ind w:left="303" w:hanging="303"/>
        <w:spacing w:after="0"/>
        <w:tabs>
          <w:tab w:leader="none" w:pos="303" w:val="left"/>
        </w:tabs>
        <w:numPr>
          <w:ilvl w:val="0"/>
          <w:numId w:val="260"/>
        </w:numPr>
        <w:rPr>
          <w:rFonts w:ascii="Arial" w:cs="Arial" w:eastAsia="Arial" w:hAnsi="Arial"/>
          <w:sz w:val="12"/>
          <w:szCs w:val="12"/>
          <w:b w:val="1"/>
          <w:bCs w:val="1"/>
          <w:color w:val="auto"/>
        </w:rPr>
      </w:pPr>
      <w:r>
        <w:rPr>
          <w:rFonts w:ascii="Arial" w:cs="Arial" w:eastAsia="Arial" w:hAnsi="Arial"/>
          <w:sz w:val="12"/>
          <w:szCs w:val="12"/>
          <w:b w:val="1"/>
          <w:bCs w:val="1"/>
          <w:color w:val="auto"/>
        </w:rPr>
        <w:t>Sonstiges</w:t>
      </w:r>
    </w:p>
    <w:p>
      <w:pPr>
        <w:spacing w:after="0" w:line="150" w:lineRule="exact"/>
        <w:rPr>
          <w:sz w:val="20"/>
          <w:szCs w:val="20"/>
          <w:color w:val="auto"/>
        </w:rPr>
      </w:pPr>
    </w:p>
    <w:p>
      <w:pPr>
        <w:jc w:val="right"/>
        <w:ind w:left="3" w:right="1059"/>
        <w:spacing w:after="0" w:line="330" w:lineRule="auto"/>
        <w:rPr>
          <w:sz w:val="20"/>
          <w:szCs w:val="20"/>
          <w:color w:val="auto"/>
        </w:rPr>
      </w:pPr>
      <w:r>
        <w:rPr>
          <w:rFonts w:ascii="Arial" w:cs="Arial" w:eastAsia="Arial" w:hAnsi="Arial"/>
          <w:sz w:val="11"/>
          <w:szCs w:val="11"/>
          <w:b w:val="1"/>
          <w:bCs w:val="1"/>
          <w:color w:val="auto"/>
        </w:rPr>
        <w:t xml:space="preserve">15.1 </w:t>
      </w:r>
      <w:r>
        <w:rPr>
          <w:rFonts w:ascii="Arial" w:cs="Arial" w:eastAsia="Arial" w:hAnsi="Arial"/>
          <w:sz w:val="11"/>
          <w:szCs w:val="11"/>
          <w:color w:val="auto"/>
        </w:rPr>
        <w:t>Die Bezugsrechte werden nicht verbrieft. Die Übertragung der</w:t>
      </w:r>
      <w:r>
        <w:rPr>
          <w:rFonts w:ascii="Arial" w:cs="Arial" w:eastAsia="Arial" w:hAnsi="Arial"/>
          <w:sz w:val="11"/>
          <w:szCs w:val="11"/>
          <w:b w:val="1"/>
          <w:bCs w:val="1"/>
          <w:color w:val="auto"/>
        </w:rPr>
        <w:t xml:space="preserve"> </w:t>
      </w:r>
      <w:r>
        <w:rPr>
          <w:rFonts w:ascii="Arial" w:cs="Arial" w:eastAsia="Arial" w:hAnsi="Arial"/>
          <w:sz w:val="11"/>
          <w:szCs w:val="11"/>
          <w:color w:val="auto"/>
        </w:rPr>
        <w:t>Bezugsrechte auf ein Depot bei einer Bank ist ausgeschlossen.</w:t>
      </w:r>
    </w:p>
    <w:p>
      <w:pPr>
        <w:spacing w:after="0" w:line="84" w:lineRule="exact"/>
        <w:rPr>
          <w:sz w:val="20"/>
          <w:szCs w:val="20"/>
          <w:color w:val="auto"/>
        </w:rPr>
      </w:pPr>
    </w:p>
    <w:p>
      <w:pPr>
        <w:ind w:left="303" w:right="899" w:hanging="299"/>
        <w:spacing w:after="0" w:line="287" w:lineRule="auto"/>
        <w:rPr>
          <w:sz w:val="20"/>
          <w:szCs w:val="20"/>
          <w:color w:val="auto"/>
        </w:rPr>
      </w:pPr>
      <w:r>
        <w:rPr>
          <w:rFonts w:ascii="Arial" w:cs="Arial" w:eastAsia="Arial" w:hAnsi="Arial"/>
          <w:sz w:val="11"/>
          <w:szCs w:val="11"/>
          <w:b w:val="1"/>
          <w:bCs w:val="1"/>
          <w:color w:val="auto"/>
        </w:rPr>
        <w:t xml:space="preserve">15.2 </w:t>
      </w:r>
      <w:r>
        <w:rPr>
          <w:rFonts w:ascii="Arial" w:cs="Arial" w:eastAsia="Arial" w:hAnsi="Arial"/>
          <w:sz w:val="11"/>
          <w:szCs w:val="11"/>
          <w:color w:val="auto"/>
        </w:rPr>
        <w:t>Kommt es während der Laufzeit der Bezugsrechte zu Änderungen</w:t>
      </w:r>
      <w:r>
        <w:rPr>
          <w:rFonts w:ascii="Arial" w:cs="Arial" w:eastAsia="Arial" w:hAnsi="Arial"/>
          <w:sz w:val="11"/>
          <w:szCs w:val="11"/>
          <w:b w:val="1"/>
          <w:bCs w:val="1"/>
          <w:color w:val="auto"/>
        </w:rPr>
        <w:t xml:space="preserve"> </w:t>
      </w:r>
      <w:r>
        <w:rPr>
          <w:rFonts w:ascii="Arial" w:cs="Arial" w:eastAsia="Arial" w:hAnsi="Arial"/>
          <w:sz w:val="11"/>
          <w:szCs w:val="11"/>
          <w:color w:val="auto"/>
        </w:rPr>
        <w:t>der Börsenusancen, die eine Durchführung dieser Ausübungsbedingungen oder einzelner Bestimmungen wesentlich erschweren oder unmöglich machen, so ist Mynaric berechtigt, eine angemessene Anpassung vorzunehmen.</w:t>
      </w:r>
    </w:p>
    <w:p>
      <w:pPr>
        <w:spacing w:after="0" w:line="108" w:lineRule="exact"/>
        <w:rPr>
          <w:sz w:val="20"/>
          <w:szCs w:val="20"/>
          <w:color w:val="auto"/>
        </w:rPr>
      </w:pPr>
    </w:p>
    <w:p>
      <w:pPr>
        <w:ind w:left="303" w:right="899" w:hanging="299"/>
        <w:spacing w:after="0" w:line="278" w:lineRule="auto"/>
        <w:rPr>
          <w:sz w:val="20"/>
          <w:szCs w:val="20"/>
          <w:color w:val="auto"/>
        </w:rPr>
      </w:pPr>
      <w:r>
        <w:rPr>
          <w:rFonts w:ascii="Arial" w:cs="Arial" w:eastAsia="Arial" w:hAnsi="Arial"/>
          <w:sz w:val="11"/>
          <w:szCs w:val="11"/>
          <w:b w:val="1"/>
          <w:bCs w:val="1"/>
          <w:color w:val="auto"/>
        </w:rPr>
        <w:t xml:space="preserve">15.3 </w:t>
      </w:r>
      <w:r>
        <w:rPr>
          <w:rFonts w:ascii="Arial" w:cs="Arial" w:eastAsia="Arial" w:hAnsi="Arial"/>
          <w:sz w:val="11"/>
          <w:szCs w:val="11"/>
          <w:color w:val="auto"/>
        </w:rPr>
        <w:t>Sollte eine der Bestimmungen dieser Optionsbedingungen</w:t>
      </w:r>
      <w:r>
        <w:rPr>
          <w:rFonts w:ascii="Arial" w:cs="Arial" w:eastAsia="Arial" w:hAnsi="Arial"/>
          <w:sz w:val="11"/>
          <w:szCs w:val="11"/>
          <w:b w:val="1"/>
          <w:bCs w:val="1"/>
          <w:color w:val="auto"/>
        </w:rPr>
        <w:t xml:space="preserve"> </w:t>
      </w:r>
      <w:r>
        <w:rPr>
          <w:rFonts w:ascii="Arial" w:cs="Arial" w:eastAsia="Arial" w:hAnsi="Arial"/>
          <w:sz w:val="11"/>
          <w:szCs w:val="11"/>
          <w:color w:val="auto"/>
        </w:rPr>
        <w:t>unwirksam oder undurchführbar sein oder werden, so bleibt die Wirksamkeit oder die Durchführbarkeit der übrigen Bestimmungen davon unberührt. Eine durch die Unwirksamkeit oder Undurchführbarkeit einer Bestimmung entstehende Lücke sowie etwaige andere Lücken werden im Wege ergänzender Vertragsauslegung unter Berücksichtigung der Interessen der Beteiligten sinngemäß ausgefüllt. Dies gilt auch, soweit das Maß einer Leistung oder Zeit (Frist, Termine) betroffen ist; es tritt in solchen Fällen ein dem Gewollten möglichst nahe kommendes rechtlich zulässiges Maß der Leistung oder Zeit (Frist, Termin) an die Stelle des zunächst Vereinbarten.</w:t>
      </w:r>
    </w:p>
    <w:p>
      <w:pPr>
        <w:sectPr>
          <w:pgSz w:w="11900" w:h="16838" w:orient="portrait"/>
          <w:cols w:equalWidth="0" w:num="2">
            <w:col w:w="4560" w:space="97"/>
            <w:col w:w="4362"/>
          </w:cols>
          <w:pgMar w:left="1440" w:top="1054" w:right="1440" w:bottom="1440" w:gutter="0" w:footer="0" w:header="0"/>
        </w:sectPr>
      </w:pPr>
    </w:p>
    <w:bookmarkStart w:id="316" w:name="page317"/>
    <w:bookmarkEnd w:id="316"/>
    <w:p>
      <w:pPr>
        <w:ind w:left="1140" w:hanging="299"/>
        <w:spacing w:after="0" w:line="283" w:lineRule="auto"/>
        <w:rPr>
          <w:sz w:val="20"/>
          <w:szCs w:val="20"/>
          <w:color w:val="auto"/>
        </w:rPr>
      </w:pPr>
      <w:r>
        <w:rPr>
          <w:rFonts w:ascii="Arial" w:cs="Arial" w:eastAsia="Arial" w:hAnsi="Arial"/>
          <w:sz w:val="12"/>
          <w:szCs w:val="12"/>
          <w:b w:val="1"/>
          <w:bCs w:val="1"/>
          <w:color w:val="auto"/>
        </w:rPr>
        <w:t xml:space="preserve">15.4 </w:t>
      </w:r>
      <w:r>
        <w:rPr>
          <w:rFonts w:ascii="Arial" w:cs="Arial" w:eastAsia="Arial" w:hAnsi="Arial"/>
          <w:sz w:val="12"/>
          <w:szCs w:val="12"/>
          <w:color w:val="auto"/>
        </w:rPr>
        <w:t>Headings are for guidance only and shall not be used in the</w:t>
      </w:r>
      <w:r>
        <w:rPr>
          <w:rFonts w:ascii="Arial" w:cs="Arial" w:eastAsia="Arial" w:hAnsi="Arial"/>
          <w:sz w:val="12"/>
          <w:szCs w:val="12"/>
          <w:b w:val="1"/>
          <w:bCs w:val="1"/>
          <w:color w:val="auto"/>
        </w:rPr>
        <w:t xml:space="preserve"> </w:t>
      </w:r>
      <w:r>
        <w:rPr>
          <w:rFonts w:ascii="Arial" w:cs="Arial" w:eastAsia="Arial" w:hAnsi="Arial"/>
          <w:sz w:val="12"/>
          <w:szCs w:val="12"/>
          <w:color w:val="auto"/>
        </w:rPr>
        <w:t>interpretation.</w:t>
      </w:r>
    </w:p>
    <w:p>
      <w:pPr>
        <w:spacing w:after="0" w:line="44"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15.5 </w:t>
      </w:r>
      <w:r>
        <w:rPr>
          <w:rFonts w:ascii="Arial" w:cs="Arial" w:eastAsia="Arial" w:hAnsi="Arial"/>
          <w:sz w:val="11"/>
          <w:szCs w:val="11"/>
          <w:color w:val="auto"/>
        </w:rPr>
        <w:t>The German wording of this option conditions is decisive.</w:t>
      </w:r>
    </w:p>
    <w:p>
      <w:pPr>
        <w:spacing w:after="0" w:line="3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Gilching, September 2021</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Management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203835</wp:posOffset>
            </wp:positionV>
            <wp:extent cx="172593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25930" cy="5715"/>
                    </a:xfrm>
                    <a:prstGeom prst="rect">
                      <a:avLst/>
                    </a:prstGeom>
                    <a:noFill/>
                  </pic:spPr>
                </pic:pic>
              </a:graphicData>
            </a:graphic>
          </wp:anchor>
        </w:drawing>
      </w:r>
    </w:p>
    <w:p>
      <w:pPr>
        <w:spacing w:after="0" w:line="31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Bulent Altan</w:t>
      </w:r>
    </w:p>
    <w:p>
      <w:pPr>
        <w:spacing w:after="0" w:line="20" w:lineRule="exact"/>
        <w:rPr>
          <w:sz w:val="20"/>
          <w:szCs w:val="20"/>
          <w:color w:val="auto"/>
        </w:rPr>
      </w:pPr>
      <w:r>
        <w:rPr>
          <w:sz w:val="20"/>
          <w:szCs w:val="20"/>
          <w:color w:val="auto"/>
        </w:rPr>
        <w:br w:type="column"/>
      </w:r>
    </w:p>
    <w:p>
      <w:pPr>
        <w:ind w:left="520" w:right="979" w:hanging="299"/>
        <w:spacing w:after="0" w:line="283" w:lineRule="auto"/>
        <w:rPr>
          <w:sz w:val="20"/>
          <w:szCs w:val="20"/>
          <w:color w:val="auto"/>
        </w:rPr>
      </w:pPr>
      <w:r>
        <w:rPr>
          <w:rFonts w:ascii="Arial" w:cs="Arial" w:eastAsia="Arial" w:hAnsi="Arial"/>
          <w:sz w:val="12"/>
          <w:szCs w:val="12"/>
          <w:b w:val="1"/>
          <w:bCs w:val="1"/>
          <w:color w:val="auto"/>
        </w:rPr>
        <w:t xml:space="preserve">15.4 </w:t>
      </w:r>
      <w:r>
        <w:rPr>
          <w:rFonts w:ascii="Arial" w:cs="Arial" w:eastAsia="Arial" w:hAnsi="Arial"/>
          <w:sz w:val="12"/>
          <w:szCs w:val="12"/>
          <w:color w:val="auto"/>
        </w:rPr>
        <w:t>Überschriften dienen lediglich der Orientierung und sind bei der</w:t>
      </w:r>
      <w:r>
        <w:rPr>
          <w:rFonts w:ascii="Arial" w:cs="Arial" w:eastAsia="Arial" w:hAnsi="Arial"/>
          <w:sz w:val="12"/>
          <w:szCs w:val="12"/>
          <w:b w:val="1"/>
          <w:bCs w:val="1"/>
          <w:color w:val="auto"/>
        </w:rPr>
        <w:t xml:space="preserve"> </w:t>
      </w:r>
      <w:r>
        <w:rPr>
          <w:rFonts w:ascii="Arial" w:cs="Arial" w:eastAsia="Arial" w:hAnsi="Arial"/>
          <w:sz w:val="12"/>
          <w:szCs w:val="12"/>
          <w:color w:val="auto"/>
        </w:rPr>
        <w:t>Auslegung nicht heranzuziehen.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-695325</wp:posOffset>
            </wp:positionV>
            <wp:extent cx="7214870" cy="4343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14870" cy="434340"/>
                    </a:xfrm>
                    <a:prstGeom prst="rect">
                      <a:avLst/>
                    </a:prstGeom>
                    <a:noFill/>
                  </pic:spPr>
                </pic:pic>
              </a:graphicData>
            </a:graphic>
          </wp:anchor>
        </w:drawing>
      </w:r>
    </w:p>
    <w:p>
      <w:pPr>
        <w:spacing w:after="0" w:line="24" w:lineRule="exact"/>
        <w:rPr>
          <w:sz w:val="20"/>
          <w:szCs w:val="20"/>
          <w:color w:val="auto"/>
        </w:rPr>
      </w:pPr>
    </w:p>
    <w:p>
      <w:pPr>
        <w:ind w:left="520" w:right="1539" w:hanging="299"/>
        <w:spacing w:after="0" w:line="283" w:lineRule="auto"/>
        <w:rPr>
          <w:sz w:val="20"/>
          <w:szCs w:val="20"/>
          <w:color w:val="auto"/>
        </w:rPr>
      </w:pPr>
      <w:r>
        <w:rPr>
          <w:rFonts w:ascii="Arial" w:cs="Arial" w:eastAsia="Arial" w:hAnsi="Arial"/>
          <w:sz w:val="12"/>
          <w:szCs w:val="12"/>
          <w:b w:val="1"/>
          <w:bCs w:val="1"/>
          <w:color w:val="auto"/>
        </w:rPr>
        <w:t xml:space="preserve">15.5 </w:t>
      </w:r>
      <w:r>
        <w:rPr>
          <w:rFonts w:ascii="Arial" w:cs="Arial" w:eastAsia="Arial" w:hAnsi="Arial"/>
          <w:sz w:val="12"/>
          <w:szCs w:val="12"/>
          <w:color w:val="auto"/>
        </w:rPr>
        <w:t>Die deutsche Fassung dieser Optionsbedingungen ist</w:t>
      </w:r>
      <w:r>
        <w:rPr>
          <w:rFonts w:ascii="Arial" w:cs="Arial" w:eastAsia="Arial" w:hAnsi="Arial"/>
          <w:sz w:val="12"/>
          <w:szCs w:val="12"/>
          <w:b w:val="1"/>
          <w:bCs w:val="1"/>
          <w:color w:val="auto"/>
        </w:rPr>
        <w:t xml:space="preserve"> </w:t>
      </w:r>
      <w:r>
        <w:rPr>
          <w:rFonts w:ascii="Arial" w:cs="Arial" w:eastAsia="Arial" w:hAnsi="Arial"/>
          <w:sz w:val="12"/>
          <w:szCs w:val="12"/>
          <w:color w:val="auto"/>
        </w:rPr>
        <w:t>ausschlaggebend.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549910</wp:posOffset>
            </wp:positionV>
            <wp:extent cx="162877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62877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Stefan Berndt-von Bülow</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17</w:t>
      </w:r>
    </w:p>
    <w:p>
      <w:pPr>
        <w:sectPr>
          <w:pgSz w:w="11900" w:h="16838" w:orient="portrait"/>
          <w:cols w:equalWidth="0" w:num="2">
            <w:col w:w="3960" w:space="480"/>
            <w:col w:w="4579"/>
          </w:cols>
          <w:pgMar w:left="1440" w:top="910" w:right="1440" w:bottom="1440" w:gutter="0" w:footer="0" w:header="0"/>
        </w:sectPr>
      </w:pPr>
    </w:p>
    <w:bookmarkStart w:id="317" w:name="page318"/>
    <w:bookmarkEnd w:id="317"/>
    <w:p>
      <w:pPr>
        <w:jc w:val="right"/>
        <w:ind w:right="839"/>
        <w:spacing w:after="0"/>
        <w:rPr>
          <w:sz w:val="20"/>
          <w:szCs w:val="20"/>
          <w:color w:val="auto"/>
        </w:rPr>
      </w:pPr>
      <w:r>
        <w:rPr>
          <w:rFonts w:ascii="Arial" w:cs="Arial" w:eastAsia="Arial" w:hAnsi="Arial"/>
          <w:sz w:val="12"/>
          <w:szCs w:val="1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114935</wp:posOffset>
            </wp:positionV>
            <wp:extent cx="1285875" cy="3714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Mynaric AG</w:t>
      </w:r>
    </w:p>
    <w:p>
      <w:pPr>
        <w:spacing w:after="0" w:line="168"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b w:val="1"/>
          <w:bCs w:val="1"/>
          <w:color w:val="auto"/>
        </w:rPr>
        <w:t>Stock option program 2021</w:t>
      </w:r>
      <w:r>
        <w:rPr>
          <w:sz w:val="20"/>
          <w:szCs w:val="20"/>
          <w:color w:val="auto"/>
        </w:rPr>
        <w:tab/>
      </w:r>
      <w:r>
        <w:rPr>
          <w:rFonts w:ascii="Arial" w:cs="Arial" w:eastAsia="Arial" w:hAnsi="Arial"/>
          <w:sz w:val="10"/>
          <w:szCs w:val="10"/>
          <w:b w:val="1"/>
          <w:bCs w:val="1"/>
          <w:color w:val="auto"/>
        </w:rPr>
        <w:t>Aktienoptionsprogramm 2021</w:t>
      </w:r>
    </w:p>
    <w:p>
      <w:pPr>
        <w:spacing w:after="0" w:line="78"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b w:val="1"/>
          <w:bCs w:val="1"/>
          <w:color w:val="auto"/>
        </w:rPr>
        <w:t>Option conditions for subscription rights from the stock option</w:t>
      </w:r>
      <w:r>
        <w:rPr>
          <w:sz w:val="20"/>
          <w:szCs w:val="20"/>
          <w:color w:val="auto"/>
        </w:rPr>
        <w:tab/>
      </w:r>
      <w:r>
        <w:rPr>
          <w:rFonts w:ascii="Arial" w:cs="Arial" w:eastAsia="Arial" w:hAnsi="Arial"/>
          <w:sz w:val="10"/>
          <w:szCs w:val="10"/>
          <w:b w:val="1"/>
          <w:bCs w:val="1"/>
          <w:color w:val="auto"/>
        </w:rPr>
        <w:t>Optionsbedingungen für Bezugsrechte aus dem</w:t>
      </w:r>
    </w:p>
    <w:p>
      <w:pPr>
        <w:spacing w:after="0" w:line="19"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b w:val="1"/>
          <w:bCs w:val="1"/>
          <w:color w:val="auto"/>
        </w:rPr>
        <w:t>program 2021</w:t>
      </w:r>
      <w:r>
        <w:rPr>
          <w:sz w:val="20"/>
          <w:szCs w:val="20"/>
          <w:color w:val="auto"/>
        </w:rPr>
        <w:tab/>
      </w:r>
      <w:r>
        <w:rPr>
          <w:rFonts w:ascii="Arial" w:cs="Arial" w:eastAsia="Arial" w:hAnsi="Arial"/>
          <w:sz w:val="10"/>
          <w:szCs w:val="10"/>
          <w:b w:val="1"/>
          <w:bCs w:val="1"/>
          <w:color w:val="auto"/>
        </w:rPr>
        <w:t>Aktienoptionsprogramm 2021</w:t>
      </w:r>
    </w:p>
    <w:p>
      <w:pPr>
        <w:spacing w:after="0" w:line="69"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color w:val="auto"/>
        </w:rPr>
        <w:t>On May 14, 2021, the Annual General Meeting of Mynaric AG,</w:t>
      </w:r>
      <w:r>
        <w:rPr>
          <w:sz w:val="20"/>
          <w:szCs w:val="20"/>
          <w:color w:val="auto"/>
        </w:rPr>
        <w:tab/>
      </w:r>
      <w:r>
        <w:rPr>
          <w:rFonts w:ascii="Arial" w:cs="Arial" w:eastAsia="Arial" w:hAnsi="Arial"/>
          <w:sz w:val="11"/>
          <w:szCs w:val="11"/>
          <w:color w:val="auto"/>
        </w:rPr>
        <w:t>Die Hauptversammlung der Mynaric AG, Gilching/Landkreis</w:t>
      </w:r>
    </w:p>
    <w:p>
      <w:pPr>
        <w:spacing w:after="0" w:line="15"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color w:val="auto"/>
        </w:rPr>
        <w:t>Gilching/Munich County, (hereinafter also referred to as “</w:t>
      </w:r>
      <w:r>
        <w:rPr>
          <w:rFonts w:ascii="Arial" w:cs="Arial" w:eastAsia="Arial" w:hAnsi="Arial"/>
          <w:sz w:val="12"/>
          <w:szCs w:val="12"/>
          <w:b w:val="1"/>
          <w:bCs w:val="1"/>
          <w:color w:val="auto"/>
        </w:rPr>
        <w:t>Mynaric</w:t>
      </w:r>
      <w:r>
        <w:rPr>
          <w:rFonts w:ascii="Arial" w:cs="Arial" w:eastAsia="Arial" w:hAnsi="Arial"/>
          <w:sz w:val="12"/>
          <w:szCs w:val="12"/>
          <w:color w:val="auto"/>
        </w:rPr>
        <w:t>” or the</w:t>
      </w:r>
      <w:r>
        <w:rPr>
          <w:sz w:val="20"/>
          <w:szCs w:val="20"/>
          <w:color w:val="auto"/>
        </w:rPr>
        <w:tab/>
      </w:r>
      <w:r>
        <w:rPr>
          <w:rFonts w:ascii="Arial" w:cs="Arial" w:eastAsia="Arial" w:hAnsi="Arial"/>
          <w:sz w:val="11"/>
          <w:szCs w:val="11"/>
          <w:color w:val="auto"/>
        </w:rPr>
        <w:t>München, (nachfolgend auch “</w:t>
      </w:r>
      <w:r>
        <w:rPr>
          <w:rFonts w:ascii="Arial" w:cs="Arial" w:eastAsia="Arial" w:hAnsi="Arial"/>
          <w:sz w:val="11"/>
          <w:szCs w:val="11"/>
          <w:b w:val="1"/>
          <w:bCs w:val="1"/>
          <w:color w:val="auto"/>
        </w:rPr>
        <w:t>Mynaric</w:t>
      </w:r>
      <w:r>
        <w:rPr>
          <w:rFonts w:ascii="Arial" w:cs="Arial" w:eastAsia="Arial" w:hAnsi="Arial"/>
          <w:sz w:val="11"/>
          <w:szCs w:val="11"/>
          <w:color w:val="auto"/>
        </w:rPr>
        <w:t>” oder die “</w:t>
      </w:r>
      <w:r>
        <w:rPr>
          <w:rFonts w:ascii="Arial" w:cs="Arial" w:eastAsia="Arial" w:hAnsi="Arial"/>
          <w:sz w:val="11"/>
          <w:szCs w:val="11"/>
          <w:b w:val="1"/>
          <w:bCs w:val="1"/>
          <w:color w:val="auto"/>
        </w:rPr>
        <w:t>Gesellschaft</w:t>
      </w:r>
      <w:r>
        <w:rPr>
          <w:rFonts w:ascii="Arial" w:cs="Arial" w:eastAsia="Arial" w:hAnsi="Arial"/>
          <w:sz w:val="11"/>
          <w:szCs w:val="11"/>
          <w:color w:val="auto"/>
        </w:rPr>
        <w:t>”) hat</w:t>
      </w:r>
    </w:p>
    <w:p>
      <w:pPr>
        <w:spacing w:after="0" w:line="6"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w:t>
      </w:r>
      <w:r>
        <w:rPr>
          <w:rFonts w:ascii="Arial" w:cs="Arial" w:eastAsia="Arial" w:hAnsi="Arial"/>
          <w:sz w:val="12"/>
          <w:szCs w:val="12"/>
          <w:color w:val="auto"/>
        </w:rPr>
        <w:t>”) resolved a stock option programme 2021, on the basis of</w:t>
      </w:r>
      <w:r>
        <w:rPr>
          <w:sz w:val="20"/>
          <w:szCs w:val="20"/>
          <w:color w:val="auto"/>
        </w:rPr>
        <w:tab/>
      </w:r>
      <w:r>
        <w:rPr>
          <w:rFonts w:ascii="Arial" w:cs="Arial" w:eastAsia="Arial" w:hAnsi="Arial"/>
          <w:sz w:val="10"/>
          <w:szCs w:val="10"/>
          <w:color w:val="auto"/>
        </w:rPr>
        <w:t>am 14. Mai 2021 ein Aktienoptionsprogramm 2021 beschlossen, auf</w:t>
      </w:r>
    </w:p>
    <w:p>
      <w:pPr>
        <w:spacing w:after="0" w:line="6"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color w:val="auto"/>
        </w:rPr>
        <w:t>which members of the Management Board of the Company (also referred</w:t>
      </w:r>
      <w:r>
        <w:rPr>
          <w:sz w:val="20"/>
          <w:szCs w:val="20"/>
          <w:color w:val="auto"/>
        </w:rPr>
        <w:tab/>
      </w:r>
      <w:r>
        <w:rPr>
          <w:rFonts w:ascii="Arial" w:cs="Arial" w:eastAsia="Arial" w:hAnsi="Arial"/>
          <w:sz w:val="10"/>
          <w:szCs w:val="10"/>
          <w:color w:val="auto"/>
        </w:rPr>
        <w:t>dessen Grundlage Mitgliedern des Vorstandes der Gesellschaft (auch</w:t>
      </w:r>
    </w:p>
    <w:p>
      <w:pPr>
        <w:spacing w:after="0" w:line="6"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color w:val="auto"/>
        </w:rPr>
        <w:t>to as “</w:t>
      </w:r>
      <w:r>
        <w:rPr>
          <w:rFonts w:ascii="Arial" w:cs="Arial" w:eastAsia="Arial" w:hAnsi="Arial"/>
          <w:sz w:val="12"/>
          <w:szCs w:val="12"/>
          <w:b w:val="1"/>
          <w:bCs w:val="1"/>
          <w:color w:val="auto"/>
        </w:rPr>
        <w:t>beneficiaries</w:t>
      </w:r>
      <w:r>
        <w:rPr>
          <w:rFonts w:ascii="Arial" w:cs="Arial" w:eastAsia="Arial" w:hAnsi="Arial"/>
          <w:sz w:val="12"/>
          <w:szCs w:val="12"/>
          <w:color w:val="auto"/>
        </w:rPr>
        <w:t>”) may be granted subscription rights to new bearer or</w:t>
      </w:r>
      <w:r>
        <w:rPr>
          <w:sz w:val="20"/>
          <w:szCs w:val="20"/>
          <w:color w:val="auto"/>
        </w:rPr>
        <w:tab/>
      </w:r>
      <w:r>
        <w:rPr>
          <w:rFonts w:ascii="Arial" w:cs="Arial" w:eastAsia="Arial" w:hAnsi="Arial"/>
          <w:sz w:val="10"/>
          <w:szCs w:val="10"/>
          <w:color w:val="auto"/>
        </w:rPr>
        <w:t>als “</w:t>
      </w:r>
      <w:r>
        <w:rPr>
          <w:rFonts w:ascii="Arial" w:cs="Arial" w:eastAsia="Arial" w:hAnsi="Arial"/>
          <w:sz w:val="10"/>
          <w:szCs w:val="10"/>
          <w:b w:val="1"/>
          <w:bCs w:val="1"/>
          <w:color w:val="auto"/>
        </w:rPr>
        <w:t>Bezugsberechtigte</w:t>
      </w:r>
      <w:r>
        <w:rPr>
          <w:rFonts w:ascii="Arial" w:cs="Arial" w:eastAsia="Arial" w:hAnsi="Arial"/>
          <w:sz w:val="10"/>
          <w:szCs w:val="10"/>
          <w:color w:val="auto"/>
        </w:rPr>
        <w:t>” bezeichnet) in einer oder mehreren Tranchen</w:t>
      </w:r>
    </w:p>
    <w:p>
      <w:pPr>
        <w:spacing w:after="0" w:line="6" w:lineRule="exact"/>
        <w:rPr>
          <w:sz w:val="20"/>
          <w:szCs w:val="20"/>
          <w:color w:val="auto"/>
        </w:rPr>
      </w:pPr>
    </w:p>
    <w:p>
      <w:pPr>
        <w:ind w:left="840"/>
        <w:spacing w:after="0"/>
        <w:tabs>
          <w:tab w:leader="none" w:pos="4700" w:val="left"/>
        </w:tabs>
        <w:rPr>
          <w:sz w:val="20"/>
          <w:szCs w:val="20"/>
          <w:color w:val="auto"/>
        </w:rPr>
      </w:pPr>
      <w:r>
        <w:rPr>
          <w:rFonts w:ascii="Arial" w:cs="Arial" w:eastAsia="Arial" w:hAnsi="Arial"/>
          <w:sz w:val="12"/>
          <w:szCs w:val="12"/>
          <w:color w:val="auto"/>
        </w:rPr>
        <w:t>registered shares of the Company (the “</w:t>
      </w:r>
      <w:r>
        <w:rPr>
          <w:rFonts w:ascii="Arial" w:cs="Arial" w:eastAsia="Arial" w:hAnsi="Arial"/>
          <w:sz w:val="12"/>
          <w:szCs w:val="12"/>
          <w:b w:val="1"/>
          <w:bCs w:val="1"/>
          <w:color w:val="auto"/>
        </w:rPr>
        <w:t>subscription rights</w:t>
      </w: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Bezugsrechte auf neue, auf den Inhaber oder den Namen lautende</w:t>
      </w:r>
    </w:p>
    <w:p>
      <w:pPr>
        <w:spacing w:after="0" w:line="6" w:lineRule="exact"/>
        <w:rPr>
          <w:sz w:val="20"/>
          <w:szCs w:val="20"/>
          <w:color w:val="auto"/>
        </w:rPr>
      </w:pPr>
    </w:p>
    <w:p>
      <w:pPr>
        <w:ind w:left="4720"/>
        <w:spacing w:after="0"/>
        <w:rPr>
          <w:sz w:val="20"/>
          <w:szCs w:val="20"/>
          <w:color w:val="auto"/>
        </w:rPr>
      </w:pPr>
      <w:r>
        <w:rPr>
          <w:rFonts w:ascii="Arial" w:cs="Arial" w:eastAsia="Arial" w:hAnsi="Arial"/>
          <w:sz w:val="11"/>
          <w:szCs w:val="11"/>
          <w:color w:val="auto"/>
        </w:rPr>
        <w:t>Aktien der Gesellschaft (die “</w:t>
      </w:r>
      <w:r>
        <w:rPr>
          <w:rFonts w:ascii="Arial" w:cs="Arial" w:eastAsia="Arial" w:hAnsi="Arial"/>
          <w:sz w:val="11"/>
          <w:szCs w:val="11"/>
          <w:b w:val="1"/>
          <w:bCs w:val="1"/>
          <w:color w:val="auto"/>
        </w:rPr>
        <w:t>Bezugsrechte</w:t>
      </w:r>
      <w:r>
        <w:rPr>
          <w:rFonts w:ascii="Arial" w:cs="Arial" w:eastAsia="Arial" w:hAnsi="Arial"/>
          <w:sz w:val="11"/>
          <w:szCs w:val="11"/>
          <w:color w:val="auto"/>
        </w:rPr>
        <w:t>”) gewährt werden können.</w:t>
      </w:r>
    </w:p>
    <w:p>
      <w:pPr>
        <w:sectPr>
          <w:pgSz w:w="11900" w:h="16838" w:orient="portrait"/>
          <w:cols w:equalWidth="0" w:num="1">
            <w:col w:w="9019"/>
          </w:cols>
          <w:pgMar w:left="1440" w:top="127" w:right="1440" w:bottom="1440" w:gutter="0" w:footer="0" w:header="0"/>
        </w:sectPr>
      </w:pPr>
    </w:p>
    <w:p>
      <w:pPr>
        <w:spacing w:after="0" w:line="81" w:lineRule="exact"/>
        <w:rPr>
          <w:sz w:val="20"/>
          <w:szCs w:val="20"/>
          <w:color w:val="auto"/>
        </w:rPr>
      </w:pPr>
    </w:p>
    <w:p>
      <w:pPr>
        <w:jc w:val="both"/>
        <w:ind w:left="840"/>
        <w:spacing w:after="0" w:line="259" w:lineRule="auto"/>
        <w:rPr>
          <w:sz w:val="20"/>
          <w:szCs w:val="20"/>
          <w:color w:val="auto"/>
        </w:rPr>
      </w:pPr>
      <w:r>
        <w:rPr>
          <w:rFonts w:ascii="Arial" w:cs="Arial" w:eastAsia="Arial" w:hAnsi="Arial"/>
          <w:sz w:val="12"/>
          <w:szCs w:val="12"/>
          <w:color w:val="auto"/>
        </w:rPr>
        <w:t>The Supervisory Board and the Management Board have decided to make use of this authorization. These option conditions apply to the subscription rights of the stock option program 2021. They form an integral part of the subscription rights with the beneficiaries.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959"/>
        <w:spacing w:after="0" w:line="256" w:lineRule="auto"/>
        <w:rPr>
          <w:sz w:val="20"/>
          <w:szCs w:val="20"/>
          <w:color w:val="auto"/>
        </w:rPr>
      </w:pPr>
      <w:r>
        <w:rPr>
          <w:rFonts w:ascii="Arial" w:cs="Arial" w:eastAsia="Arial" w:hAnsi="Arial"/>
          <w:sz w:val="12"/>
          <w:szCs w:val="12"/>
          <w:color w:val="auto"/>
        </w:rPr>
        <w:t>Der Aufsichtsrat und der Vorstand haben beschlossen, von dieser Ermächtigung Gebrauch zu machen. Für die Bezugsrechte des Aktienoptionsprogramms 2021 gelten diese Optionsbedingungen. Sie bilden einen integralen Bestandteil der Bezugsrechte mit den Bezugsberechtigten.</w:t>
      </w:r>
    </w:p>
    <w:p>
      <w:pPr>
        <w:spacing w:after="0" w:line="52" w:lineRule="exact"/>
        <w:rPr>
          <w:sz w:val="20"/>
          <w:szCs w:val="20"/>
          <w:color w:val="auto"/>
        </w:rPr>
      </w:pPr>
    </w:p>
    <w:p>
      <w:pPr>
        <w:sectPr>
          <w:pgSz w:w="11900" w:h="16838" w:orient="portrait"/>
          <w:cols w:equalWidth="0" w:num="2">
            <w:col w:w="4420" w:space="300"/>
            <w:col w:w="4299"/>
          </w:cols>
          <w:pgMar w:left="1440" w:top="127" w:right="1440" w:bottom="1440" w:gutter="0" w:footer="0" w:header="0"/>
          <w:type w:val="continuous"/>
        </w:sectPr>
      </w:pPr>
    </w:p>
    <w:tbl>
      <w:tblPr>
        <w:tblLayout w:type="fixed"/>
        <w:tblInd w:w="840" w:type="dxa"/>
        <w:tblCellMar>
          <w:top w:w="0" w:type="dxa"/>
          <w:left w:w="0" w:type="dxa"/>
          <w:bottom w:w="0" w:type="dxa"/>
          <w:right w:w="0" w:type="dxa"/>
        </w:tblCellMar>
      </w:tblPr>
      <w:tr>
        <w:trPr>
          <w:trHeight w:val="144"/>
        </w:trPr>
        <w:tc>
          <w:tcPr>
            <w:tcW w:w="180" w:type="dxa"/>
            <w:vAlign w:val="bottom"/>
          </w:tcPr>
          <w:p>
            <w:pPr>
              <w:jc w:val="right"/>
              <w:ind w:right="52"/>
              <w:spacing w:after="0"/>
              <w:rPr>
                <w:sz w:val="20"/>
                <w:szCs w:val="20"/>
                <w:color w:val="auto"/>
              </w:rPr>
            </w:pPr>
            <w:r>
              <w:rPr>
                <w:rFonts w:ascii="Arial" w:cs="Arial" w:eastAsia="Arial" w:hAnsi="Arial"/>
                <w:sz w:val="10"/>
                <w:szCs w:val="10"/>
                <w:b w:val="1"/>
                <w:bCs w:val="1"/>
                <w:color w:val="auto"/>
                <w:w w:val="71"/>
              </w:rPr>
              <w:t>1.</w:t>
            </w:r>
          </w:p>
        </w:tc>
        <w:tc>
          <w:tcPr>
            <w:tcW w:w="3520" w:type="dxa"/>
            <w:vAlign w:val="bottom"/>
          </w:tcPr>
          <w:p>
            <w:pPr>
              <w:ind w:left="100"/>
              <w:spacing w:after="0"/>
              <w:rPr>
                <w:sz w:val="20"/>
                <w:szCs w:val="20"/>
                <w:color w:val="auto"/>
              </w:rPr>
            </w:pPr>
            <w:r>
              <w:rPr>
                <w:rFonts w:ascii="Arial" w:cs="Arial" w:eastAsia="Arial" w:hAnsi="Arial"/>
                <w:sz w:val="12"/>
                <w:szCs w:val="12"/>
                <w:b w:val="1"/>
                <w:bCs w:val="1"/>
                <w:color w:val="auto"/>
                <w:w w:val="94"/>
              </w:rPr>
              <w:t>Content of subscription rights, total volume and its distribution</w:t>
            </w:r>
          </w:p>
        </w:tc>
        <w:tc>
          <w:tcPr>
            <w:tcW w:w="380" w:type="dxa"/>
            <w:vAlign w:val="bottom"/>
          </w:tcPr>
          <w:p>
            <w:pPr>
              <w:jc w:val="right"/>
              <w:ind w:right="40"/>
              <w:spacing w:after="0"/>
              <w:rPr>
                <w:sz w:val="20"/>
                <w:szCs w:val="20"/>
                <w:color w:val="auto"/>
              </w:rPr>
            </w:pPr>
            <w:r>
              <w:rPr>
                <w:rFonts w:ascii="Arial" w:cs="Arial" w:eastAsia="Arial" w:hAnsi="Arial"/>
                <w:sz w:val="12"/>
                <w:szCs w:val="12"/>
                <w:b w:val="1"/>
                <w:bCs w:val="1"/>
                <w:color w:val="auto"/>
              </w:rPr>
              <w:t>1.</w:t>
            </w:r>
          </w:p>
        </w:tc>
        <w:tc>
          <w:tcPr>
            <w:tcW w:w="2820" w:type="dxa"/>
            <w:vAlign w:val="bottom"/>
          </w:tcPr>
          <w:p>
            <w:pPr>
              <w:ind w:left="100"/>
              <w:spacing w:after="0"/>
              <w:rPr>
                <w:sz w:val="20"/>
                <w:szCs w:val="20"/>
                <w:color w:val="auto"/>
              </w:rPr>
            </w:pPr>
            <w:r>
              <w:rPr>
                <w:rFonts w:ascii="Arial" w:cs="Arial" w:eastAsia="Arial" w:hAnsi="Arial"/>
                <w:sz w:val="12"/>
                <w:szCs w:val="12"/>
                <w:b w:val="1"/>
                <w:bCs w:val="1"/>
                <w:color w:val="auto"/>
                <w:w w:val="88"/>
              </w:rPr>
              <w:t>Inhalt der Bezugsrechte, Gesamtvolumen und dessen</w:t>
            </w:r>
          </w:p>
        </w:tc>
      </w:tr>
      <w:tr>
        <w:trPr>
          <w:trHeight w:val="157"/>
        </w:trPr>
        <w:tc>
          <w:tcPr>
            <w:tcW w:w="1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20" w:type="dxa"/>
            <w:vAlign w:val="bottom"/>
          </w:tcPr>
          <w:p>
            <w:pPr>
              <w:ind w:left="100"/>
              <w:spacing w:after="0"/>
              <w:rPr>
                <w:sz w:val="20"/>
                <w:szCs w:val="20"/>
                <w:color w:val="auto"/>
              </w:rPr>
            </w:pPr>
            <w:r>
              <w:rPr>
                <w:rFonts w:ascii="Arial" w:cs="Arial" w:eastAsia="Arial" w:hAnsi="Arial"/>
                <w:sz w:val="12"/>
                <w:szCs w:val="12"/>
                <w:b w:val="1"/>
                <w:bCs w:val="1"/>
                <w:color w:val="auto"/>
              </w:rPr>
              <w:t>Aufteilung</w:t>
            </w:r>
          </w:p>
        </w:tc>
      </w:tr>
    </w:tbl>
    <w:p>
      <w:pPr>
        <w:spacing w:after="0" w:line="59" w:lineRule="exact"/>
        <w:rPr>
          <w:sz w:val="20"/>
          <w:szCs w:val="20"/>
          <w:color w:val="auto"/>
        </w:rPr>
      </w:pPr>
    </w:p>
    <w:p>
      <w:pPr>
        <w:sectPr>
          <w:pgSz w:w="11900" w:h="16838" w:orient="portrait"/>
          <w:cols w:equalWidth="0" w:num="1">
            <w:col w:w="9019"/>
          </w:cols>
          <w:pgMar w:left="1440" w:top="127" w:right="1440" w:bottom="1440" w:gutter="0" w:footer="0" w:header="0"/>
          <w:type w:val="continuous"/>
        </w:sectPr>
      </w:pPr>
    </w:p>
    <w:p>
      <w:pPr>
        <w:ind w:left="112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Each subscription right entitles the beneficiary to purchase one new bearer share in Mynaric at the exercise price in accordance with these option conditions.</w:t>
      </w:r>
    </w:p>
    <w:p>
      <w:pPr>
        <w:spacing w:after="0" w:line="20" w:lineRule="exact"/>
        <w:rPr>
          <w:sz w:val="20"/>
          <w:szCs w:val="20"/>
          <w:color w:val="auto"/>
        </w:rPr>
      </w:pPr>
      <w:r>
        <w:rPr>
          <w:sz w:val="20"/>
          <w:szCs w:val="20"/>
          <w:color w:val="auto"/>
        </w:rPr>
        <w:br w:type="column"/>
      </w:r>
    </w:p>
    <w:p>
      <w:pPr>
        <w:ind w:right="899" w:hanging="299"/>
        <w:spacing w:after="0" w:line="259" w:lineRule="auto"/>
        <w:rPr>
          <w:sz w:val="20"/>
          <w:szCs w:val="20"/>
          <w:color w:val="auto"/>
        </w:rPr>
      </w:pPr>
      <w:r>
        <w:rPr>
          <w:rFonts w:ascii="Arial" w:cs="Arial" w:eastAsia="Arial" w:hAnsi="Arial"/>
          <w:sz w:val="12"/>
          <w:szCs w:val="12"/>
          <w:b w:val="1"/>
          <w:bCs w:val="1"/>
          <w:color w:val="auto"/>
        </w:rPr>
        <w:t>1.1.</w:t>
      </w:r>
      <w:r>
        <w:rPr>
          <w:sz w:val="20"/>
          <w:szCs w:val="20"/>
          <w:color w:val="auto"/>
        </w:rPr>
        <w:t xml:space="preserve"> </w:t>
      </w:r>
      <w:r>
        <w:rPr>
          <w:rFonts w:ascii="Arial" w:cs="Arial" w:eastAsia="Arial" w:hAnsi="Arial"/>
          <w:sz w:val="12"/>
          <w:szCs w:val="12"/>
          <w:color w:val="auto"/>
        </w:rPr>
        <w:t>Jedes Bezugsrecht berechtigt den Bezugsberechtigten nach Maßgabe dieser Optionsbedingungen zum Bezug je einer neuen, auf den Inhaber lautenden Aktie der Mynaric zum Ausübungspreis.</w:t>
      </w:r>
    </w:p>
    <w:p>
      <w:pPr>
        <w:spacing w:after="0" w:line="52" w:lineRule="exact"/>
        <w:rPr>
          <w:sz w:val="20"/>
          <w:szCs w:val="20"/>
          <w:color w:val="auto"/>
        </w:rPr>
      </w:pPr>
    </w:p>
    <w:p>
      <w:pPr>
        <w:sectPr>
          <w:pgSz w:w="11900" w:h="16838" w:orient="portrait"/>
          <w:cols w:equalWidth="0" w:num="2">
            <w:col w:w="4380" w:space="640"/>
            <w:col w:w="3999"/>
          </w:cols>
          <w:pgMar w:left="1440" w:top="127" w:right="1440" w:bottom="1440" w:gutter="0" w:footer="0" w:header="0"/>
          <w:type w:val="continuous"/>
        </w:sectPr>
      </w:pPr>
    </w:p>
    <w:p>
      <w:pPr>
        <w:jc w:val="right"/>
        <w:ind w:left="840" w:right="120"/>
        <w:spacing w:after="0" w:line="330" w:lineRule="auto"/>
        <w:rPr>
          <w:sz w:val="20"/>
          <w:szCs w:val="20"/>
          <w:color w:val="auto"/>
        </w:rPr>
      </w:pPr>
      <w:r>
        <w:rPr>
          <w:rFonts w:ascii="Arial" w:cs="Arial" w:eastAsia="Arial" w:hAnsi="Arial"/>
          <w:sz w:val="11"/>
          <w:szCs w:val="11"/>
          <w:b w:val="1"/>
          <w:bCs w:val="1"/>
          <w:color w:val="auto"/>
        </w:rPr>
        <w:t xml:space="preserve">1.2  </w:t>
      </w:r>
      <w:r>
        <w:rPr>
          <w:rFonts w:ascii="Arial" w:cs="Arial" w:eastAsia="Arial" w:hAnsi="Arial"/>
          <w:sz w:val="11"/>
          <w:szCs w:val="11"/>
          <w:color w:val="auto"/>
        </w:rPr>
        <w:t>Under this stock option programme, up to 103.321 subscription</w:t>
      </w:r>
      <w:r>
        <w:rPr>
          <w:rFonts w:ascii="Arial" w:cs="Arial" w:eastAsia="Arial" w:hAnsi="Arial"/>
          <w:sz w:val="11"/>
          <w:szCs w:val="11"/>
          <w:b w:val="1"/>
          <w:bCs w:val="1"/>
          <w:color w:val="auto"/>
        </w:rPr>
        <w:t xml:space="preserve"> </w:t>
      </w:r>
      <w:r>
        <w:rPr>
          <w:rFonts w:ascii="Arial" w:cs="Arial" w:eastAsia="Arial" w:hAnsi="Arial"/>
          <w:sz w:val="11"/>
          <w:szCs w:val="11"/>
          <w:color w:val="auto"/>
        </w:rPr>
        <w:t>rights may be issued once or several times up to 13 May 2026.</w:t>
      </w:r>
    </w:p>
    <w:p>
      <w:pPr>
        <w:spacing w:after="0" w:line="20" w:lineRule="exact"/>
        <w:rPr>
          <w:sz w:val="20"/>
          <w:szCs w:val="20"/>
          <w:color w:val="auto"/>
        </w:rPr>
      </w:pPr>
      <w:r>
        <w:rPr>
          <w:sz w:val="20"/>
          <w:szCs w:val="20"/>
          <w:color w:val="auto"/>
        </w:rPr>
        <w:br w:type="column"/>
      </w:r>
    </w:p>
    <w:p>
      <w:pPr>
        <w:ind w:right="959" w:hanging="299"/>
        <w:spacing w:after="0" w:line="263" w:lineRule="auto"/>
        <w:rPr>
          <w:sz w:val="20"/>
          <w:szCs w:val="20"/>
          <w:color w:val="auto"/>
        </w:rPr>
      </w:pPr>
      <w:r>
        <w:rPr>
          <w:rFonts w:ascii="Arial" w:cs="Arial" w:eastAsia="Arial" w:hAnsi="Arial"/>
          <w:sz w:val="12"/>
          <w:szCs w:val="12"/>
          <w:b w:val="1"/>
          <w:bCs w:val="1"/>
          <w:color w:val="auto"/>
        </w:rPr>
        <w:t>1.2.</w:t>
      </w:r>
      <w:r>
        <w:rPr>
          <w:sz w:val="20"/>
          <w:szCs w:val="20"/>
          <w:color w:val="auto"/>
        </w:rPr>
        <w:t xml:space="preserve"> </w:t>
      </w:r>
      <w:r>
        <w:rPr>
          <w:rFonts w:ascii="Arial" w:cs="Arial" w:eastAsia="Arial" w:hAnsi="Arial"/>
          <w:sz w:val="12"/>
          <w:szCs w:val="12"/>
          <w:color w:val="auto"/>
        </w:rPr>
        <w:t>Unter diesem Aktienoptionsprogramm können bis zum 13. Mai 2026 einmal oder mehrmals bis zu 103.321 Bezugsrechte ausgegeben werden.</w:t>
      </w:r>
    </w:p>
    <w:p>
      <w:pPr>
        <w:spacing w:after="0" w:line="200" w:lineRule="exact"/>
        <w:rPr>
          <w:sz w:val="20"/>
          <w:szCs w:val="20"/>
          <w:color w:val="auto"/>
        </w:rPr>
      </w:pPr>
    </w:p>
    <w:p>
      <w:pPr>
        <w:sectPr>
          <w:pgSz w:w="11900" w:h="16838" w:orient="portrait"/>
          <w:cols w:equalWidth="0" w:num="2">
            <w:col w:w="4300" w:space="720"/>
            <w:col w:w="3999"/>
          </w:cols>
          <w:pgMar w:left="1440" w:top="127" w:right="1440" w:bottom="1440" w:gutter="0" w:footer="0" w:header="0"/>
          <w:type w:val="continuous"/>
        </w:sectPr>
      </w:pPr>
    </w:p>
    <w:p>
      <w:pPr>
        <w:spacing w:after="0" w:line="43" w:lineRule="exact"/>
        <w:rPr>
          <w:sz w:val="20"/>
          <w:szCs w:val="20"/>
          <w:color w:val="auto"/>
        </w:rPr>
      </w:pPr>
    </w:p>
    <w:p>
      <w:pPr>
        <w:ind w:left="840"/>
        <w:spacing w:after="0"/>
        <w:tabs>
          <w:tab w:leader="none" w:pos="4640" w:val="left"/>
        </w:tabs>
        <w:rPr>
          <w:sz w:val="20"/>
          <w:szCs w:val="20"/>
          <w:color w:val="auto"/>
        </w:rPr>
      </w:pPr>
      <w:r>
        <w:rPr>
          <w:rFonts w:ascii="Arial" w:cs="Arial" w:eastAsia="Arial" w:hAnsi="Arial"/>
          <w:sz w:val="12"/>
          <w:szCs w:val="12"/>
          <w:color w:val="auto"/>
        </w:rPr>
        <w:t>Date 05 October 2021</w:t>
      </w:r>
      <w:r>
        <w:rPr>
          <w:sz w:val="20"/>
          <w:szCs w:val="20"/>
          <w:color w:val="auto"/>
        </w:rPr>
        <w:tab/>
      </w:r>
      <w:r>
        <w:rPr>
          <w:rFonts w:ascii="Arial" w:cs="Arial" w:eastAsia="Arial" w:hAnsi="Arial"/>
          <w:sz w:val="10"/>
          <w:szCs w:val="10"/>
          <w:color w:val="auto"/>
        </w:rPr>
        <w:t>Page 1/18</w:t>
      </w:r>
    </w:p>
    <w:p>
      <w:pPr>
        <w:sectPr>
          <w:pgSz w:w="11900" w:h="16838" w:orient="portrait"/>
          <w:cols w:equalWidth="0" w:num="1">
            <w:col w:w="9019"/>
          </w:cols>
          <w:pgMar w:left="1440" w:top="127" w:right="1440" w:bottom="1440" w:gutter="0" w:footer="0" w:header="0"/>
          <w:type w:val="continuous"/>
        </w:sectPr>
      </w:pPr>
    </w:p>
    <w:bookmarkStart w:id="318" w:name="page319"/>
    <w:bookmarkEnd w:id="318"/>
    <w:p>
      <w:pPr>
        <w:ind w:left="1140" w:right="420" w:hanging="308"/>
        <w:spacing w:after="0" w:line="283" w:lineRule="auto"/>
        <w:tabs>
          <w:tab w:leader="none" w:pos="1134" w:val="left"/>
        </w:tabs>
        <w:numPr>
          <w:ilvl w:val="0"/>
          <w:numId w:val="26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Issue period, exercise periods, waiting period, limitation, exercisability</w:t>
      </w:r>
    </w:p>
    <w:p>
      <w:pPr>
        <w:spacing w:after="0" w:line="35" w:lineRule="exact"/>
        <w:rPr>
          <w:sz w:val="20"/>
          <w:szCs w:val="20"/>
          <w:color w:val="auto"/>
        </w:rPr>
      </w:pPr>
    </w:p>
    <w:p>
      <w:pPr>
        <w:ind w:left="1120" w:right="2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2"/>
          <w:szCs w:val="12"/>
          <w:color w:val="auto"/>
        </w:rPr>
        <w:t>The subscription rights are issued by concluding an individual agreement between the Company and the respective beneficiary (the “</w:t>
      </w:r>
      <w:r>
        <w:rPr>
          <w:rFonts w:ascii="Arial" w:cs="Arial" w:eastAsia="Arial" w:hAnsi="Arial"/>
          <w:sz w:val="12"/>
          <w:szCs w:val="12"/>
          <w:b w:val="1"/>
          <w:bCs w:val="1"/>
          <w:color w:val="auto"/>
        </w:rPr>
        <w:t>Individual Agreement</w:t>
      </w:r>
      <w:r>
        <w:rPr>
          <w:rFonts w:ascii="Arial" w:cs="Arial" w:eastAsia="Arial" w:hAnsi="Arial"/>
          <w:sz w:val="12"/>
          <w:szCs w:val="12"/>
          <w:color w:val="auto"/>
        </w:rPr>
        <w:t>”).</w:t>
      </w:r>
    </w:p>
    <w:p>
      <w:pPr>
        <w:spacing w:after="0" w:line="50" w:lineRule="exact"/>
        <w:rPr>
          <w:sz w:val="20"/>
          <w:szCs w:val="20"/>
          <w:color w:val="auto"/>
        </w:rPr>
      </w:pPr>
    </w:p>
    <w:p>
      <w:pPr>
        <w:ind w:left="1120" w:right="20" w:hanging="299"/>
        <w:spacing w:after="0" w:line="307" w:lineRule="auto"/>
        <w:tabs>
          <w:tab w:leader="none" w:pos="1100"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0"/>
          <w:szCs w:val="10"/>
          <w:color w:val="auto"/>
        </w:rPr>
        <w:t>Subscription rights may be issued up to four times within the authorization period in accordance with a programme that may be issued once or repeatedly within a fiscal year, in each case within the last five exchange trading days of a quarter (the “</w:t>
      </w:r>
      <w:r>
        <w:rPr>
          <w:rFonts w:ascii="Arial" w:cs="Arial" w:eastAsia="Arial" w:hAnsi="Arial"/>
          <w:sz w:val="10"/>
          <w:szCs w:val="10"/>
          <w:b w:val="1"/>
          <w:bCs w:val="1"/>
          <w:color w:val="auto"/>
        </w:rPr>
        <w:t>issue period</w:t>
      </w:r>
      <w:r>
        <w:rPr>
          <w:rFonts w:ascii="Arial" w:cs="Arial" w:eastAsia="Arial" w:hAnsi="Arial"/>
          <w:sz w:val="10"/>
          <w:szCs w:val="10"/>
          <w:color w:val="auto"/>
        </w:rPr>
        <w:t xml:space="preserve">”). Exchange trading days in this sense are days on which the trading system has been open for general exchange trading with the highest total trading volume in shares of the Company or in rights or certificates representing such shares over a period of ten days prior to the beginning of the respective issue period. The </w:t>
      </w:r>
      <w:r>
        <w:rPr>
          <w:rFonts w:ascii="Arial" w:cs="Arial" w:eastAsia="Arial" w:hAnsi="Arial"/>
          <w:sz w:val="10"/>
          <w:szCs w:val="10"/>
          <w:b w:val="1"/>
          <w:bCs w:val="1"/>
          <w:color w:val="auto"/>
        </w:rPr>
        <w:t>issue date</w:t>
      </w:r>
      <w:r>
        <w:rPr>
          <w:rFonts w:ascii="Arial" w:cs="Arial" w:eastAsia="Arial" w:hAnsi="Arial"/>
          <w:sz w:val="10"/>
          <w:szCs w:val="10"/>
          <w:color w:val="auto"/>
        </w:rPr>
        <w:t xml:space="preserve"> shall be the date on which the offer to grant subscription rights is received by the beneficiaries, irrespective of the date of acceptance of the offer. The offer may specify a later date as the issue date.</w:t>
      </w:r>
    </w:p>
    <w:p>
      <w:pPr>
        <w:spacing w:after="0" w:line="200" w:lineRule="exact"/>
        <w:rPr>
          <w:sz w:val="20"/>
          <w:szCs w:val="20"/>
          <w:color w:val="auto"/>
        </w:rPr>
      </w:pPr>
    </w:p>
    <w:p>
      <w:pPr>
        <w:spacing w:after="0" w:line="267" w:lineRule="exact"/>
        <w:rPr>
          <w:sz w:val="20"/>
          <w:szCs w:val="20"/>
          <w:color w:val="auto"/>
        </w:rPr>
      </w:pPr>
    </w:p>
    <w:p>
      <w:pPr>
        <w:ind w:left="1120" w:hanging="299"/>
        <w:spacing w:after="0" w:line="278" w:lineRule="auto"/>
        <w:tabs>
          <w:tab w:leader="none" w:pos="1100"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1"/>
          <w:szCs w:val="11"/>
          <w:color w:val="auto"/>
        </w:rPr>
        <w:t>The stock options granted to a beneficiary vest in tranches over a period of three years from the grant date (“</w:t>
      </w:r>
      <w:r>
        <w:rPr>
          <w:rFonts w:ascii="Arial" w:cs="Arial" w:eastAsia="Arial" w:hAnsi="Arial"/>
          <w:sz w:val="11"/>
          <w:szCs w:val="11"/>
          <w:b w:val="1"/>
          <w:bCs w:val="1"/>
          <w:color w:val="auto"/>
        </w:rPr>
        <w:t>Vesting Period</w:t>
      </w:r>
      <w:r>
        <w:rPr>
          <w:rFonts w:ascii="Arial" w:cs="Arial" w:eastAsia="Arial" w:hAnsi="Arial"/>
          <w:sz w:val="11"/>
          <w:szCs w:val="11"/>
          <w:color w:val="auto"/>
        </w:rPr>
        <w:t>”). During this period, the stock options vest to the beneficiary at a rate of 1/12 for each full quarter of a year after the date on which the stock options were granted, provided that a cliff (“</w:t>
      </w:r>
      <w:r>
        <w:rPr>
          <w:rFonts w:ascii="Arial" w:cs="Arial" w:eastAsia="Arial" w:hAnsi="Arial"/>
          <w:sz w:val="11"/>
          <w:szCs w:val="11"/>
          <w:b w:val="1"/>
          <w:bCs w:val="1"/>
          <w:color w:val="auto"/>
        </w:rPr>
        <w:t>Cliff Period</w:t>
      </w:r>
      <w:r>
        <w:rPr>
          <w:rFonts w:ascii="Arial" w:cs="Arial" w:eastAsia="Arial" w:hAnsi="Arial"/>
          <w:sz w:val="11"/>
          <w:szCs w:val="11"/>
          <w:color w:val="auto"/>
        </w:rPr>
        <w:t>”) period of one year from the grant date has expired. If a beneficiary leaves the Executive Board of the Company before the end of this vesting period, all stock options granted to him/her shall expire without compensation; if a beneficiary leaves the Executive Board of the Company after the end of this vesting period, stock options not yet vested shall expire without compensation.</w:t>
      </w:r>
    </w:p>
    <w:p>
      <w:pPr>
        <w:spacing w:after="0" w:line="20" w:lineRule="exact"/>
        <w:rPr>
          <w:sz w:val="20"/>
          <w:szCs w:val="20"/>
          <w:color w:val="auto"/>
        </w:rPr>
      </w:pPr>
      <w:r>
        <w:rPr>
          <w:sz w:val="20"/>
          <w:szCs w:val="20"/>
          <w:color w:val="auto"/>
        </w:rPr>
        <w:br w:type="column"/>
      </w:r>
    </w:p>
    <w:p>
      <w:pPr>
        <w:ind w:left="291" w:right="1359" w:hanging="291"/>
        <w:spacing w:after="0" w:line="283" w:lineRule="auto"/>
        <w:tabs>
          <w:tab w:leader="none" w:pos="278" w:val="left"/>
        </w:tabs>
        <w:numPr>
          <w:ilvl w:val="0"/>
          <w:numId w:val="262"/>
        </w:numPr>
        <w:rPr>
          <w:rFonts w:ascii="Arial" w:cs="Arial" w:eastAsia="Arial" w:hAnsi="Arial"/>
          <w:sz w:val="12"/>
          <w:szCs w:val="12"/>
          <w:b w:val="1"/>
          <w:bCs w:val="1"/>
          <w:color w:val="auto"/>
        </w:rPr>
      </w:pPr>
      <w:r>
        <w:rPr>
          <w:rFonts w:ascii="Arial" w:cs="Arial" w:eastAsia="Arial" w:hAnsi="Arial"/>
          <w:sz w:val="12"/>
          <w:szCs w:val="12"/>
          <w:b w:val="1"/>
          <w:bCs w:val="1"/>
          <w:color w:val="auto"/>
        </w:rPr>
        <w:t>Ausgabezeitraum, Ausübungszeiträume, Wartezeit, Begrenzung, Ausübbarkeit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-632460</wp:posOffset>
            </wp:positionV>
            <wp:extent cx="1285875" cy="3714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5" w:lineRule="exact"/>
        <w:rPr>
          <w:sz w:val="20"/>
          <w:szCs w:val="20"/>
          <w:color w:val="auto"/>
        </w:rPr>
      </w:pPr>
    </w:p>
    <w:p>
      <w:pPr>
        <w:ind w:left="291" w:right="859" w:hanging="299"/>
        <w:spacing w:after="0" w:line="298" w:lineRule="auto"/>
        <w:tabs>
          <w:tab w:leader="none" w:pos="27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1"/>
          <w:szCs w:val="11"/>
          <w:color w:val="auto"/>
        </w:rPr>
        <w:t>Die Begebung der Bezugsrechte erfolgt durch Abschluss einer Individualvereinbarung zwischen der Gesellschaft und dem jeweiligen Bezugsberechtigten (die “</w:t>
      </w:r>
      <w:r>
        <w:rPr>
          <w:rFonts w:ascii="Arial" w:cs="Arial" w:eastAsia="Arial" w:hAnsi="Arial"/>
          <w:sz w:val="11"/>
          <w:szCs w:val="11"/>
          <w:b w:val="1"/>
          <w:bCs w:val="1"/>
          <w:color w:val="auto"/>
        </w:rPr>
        <w:t>Individualvereinbarung</w:t>
      </w:r>
      <w:r>
        <w:rPr>
          <w:rFonts w:ascii="Arial" w:cs="Arial" w:eastAsia="Arial" w:hAnsi="Arial"/>
          <w:sz w:val="11"/>
          <w:szCs w:val="11"/>
          <w:color w:val="auto"/>
        </w:rPr>
        <w:t>”).</w:t>
      </w:r>
    </w:p>
    <w:p>
      <w:pPr>
        <w:spacing w:after="0" w:line="33" w:lineRule="exact"/>
        <w:rPr>
          <w:sz w:val="20"/>
          <w:szCs w:val="20"/>
          <w:color w:val="auto"/>
        </w:rPr>
      </w:pPr>
    </w:p>
    <w:p>
      <w:pPr>
        <w:ind w:left="291" w:right="859" w:hanging="299"/>
        <w:spacing w:after="0" w:line="306" w:lineRule="auto"/>
        <w:tabs>
          <w:tab w:leader="none" w:pos="270"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0"/>
          <w:szCs w:val="10"/>
          <w:color w:val="auto"/>
        </w:rPr>
        <w:t>Bezugsrechte können innerhalb des Ermächtigungszeitraums nach einem einmal oder wiederholt aufzulegenden Programm bis zu vier Mal innerhalb eines Geschäftsjahres begeben werden und zwar jeweils innerhalb der letzten fünf Börsenhandelstage eins Quartals (jeweils der „</w:t>
      </w:r>
      <w:r>
        <w:rPr>
          <w:rFonts w:ascii="Arial" w:cs="Arial" w:eastAsia="Arial" w:hAnsi="Arial"/>
          <w:sz w:val="10"/>
          <w:szCs w:val="10"/>
          <w:b w:val="1"/>
          <w:bCs w:val="1"/>
          <w:color w:val="auto"/>
        </w:rPr>
        <w:t>Ausgabezeitraum</w:t>
      </w:r>
      <w:r>
        <w:rPr>
          <w:rFonts w:ascii="Arial" w:cs="Arial" w:eastAsia="Arial" w:hAnsi="Arial"/>
          <w:sz w:val="10"/>
          <w:szCs w:val="10"/>
          <w:color w:val="auto"/>
        </w:rPr>
        <w:t xml:space="preserve">“). Börsenhandelstage in diesem Sinne sind Tage, an denen das Handelssystem mit dem über einen Zeitraum von zehn Tagen vor dem Beginn des jeweiligen Ausgabezeitraums höchsten gesamten Handelsumsatz an Aktien der Gesellschaft oder an solche vertretenden Rechten oder Zertifikaten für den allgemeinen Börsenhandel geöffnet gewesen ist. Als </w:t>
      </w:r>
      <w:r>
        <w:rPr>
          <w:rFonts w:ascii="Arial" w:cs="Arial" w:eastAsia="Arial" w:hAnsi="Arial"/>
          <w:sz w:val="10"/>
          <w:szCs w:val="10"/>
          <w:b w:val="1"/>
          <w:bCs w:val="1"/>
          <w:color w:val="auto"/>
        </w:rPr>
        <w:t>Ausgabetag</w:t>
      </w:r>
      <w:r>
        <w:rPr>
          <w:rFonts w:ascii="Arial" w:cs="Arial" w:eastAsia="Arial" w:hAnsi="Arial"/>
          <w:sz w:val="10"/>
          <w:szCs w:val="10"/>
          <w:color w:val="auto"/>
        </w:rPr>
        <w:t xml:space="preserve"> gilt der Zeitpunkt, zu dem den Bezugsberechtigten das Angebot zur Gewährung von Bezugsrechten zugeht, ungeachtet des Zeitpunkts der Annahme des Angebots. Im Angebot kann ein späterer Zeitpunkt als Ausgabetag bestimmt werden.</w:t>
      </w:r>
    </w:p>
    <w:p>
      <w:pPr>
        <w:spacing w:after="0" w:line="179" w:lineRule="exact"/>
        <w:rPr>
          <w:sz w:val="20"/>
          <w:szCs w:val="20"/>
          <w:color w:val="auto"/>
        </w:rPr>
      </w:pPr>
    </w:p>
    <w:p>
      <w:pPr>
        <w:ind w:left="291" w:right="839" w:hanging="299"/>
        <w:spacing w:after="0" w:line="277" w:lineRule="auto"/>
        <w:tabs>
          <w:tab w:leader="none" w:pos="270"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1"/>
          <w:szCs w:val="11"/>
          <w:color w:val="auto"/>
        </w:rPr>
        <w:t>Die einem Bezugsberechtigten gewährten Aktienoptionen wachsen diesem in Raten über einen Zeitraum von drei Jahren ab Gewährung (</w:t>
      </w:r>
      <w:r>
        <w:rPr>
          <w:rFonts w:ascii="Arial" w:cs="Arial" w:eastAsia="Arial" w:hAnsi="Arial"/>
          <w:sz w:val="11"/>
          <w:szCs w:val="11"/>
          <w:i w:val="1"/>
          <w:iCs w:val="1"/>
          <w:color w:val="auto"/>
        </w:rPr>
        <w:t>Vesting Period</w:t>
      </w:r>
      <w:r>
        <w:rPr>
          <w:rFonts w:ascii="Arial" w:cs="Arial" w:eastAsia="Arial" w:hAnsi="Arial"/>
          <w:sz w:val="11"/>
          <w:szCs w:val="11"/>
          <w:color w:val="auto"/>
        </w:rPr>
        <w:t>) an. Während dieses Zeitraums wachsen die Aktienoptionen dem Bezugsberechtigten zu 1/12 für jedes volle Quartal eines Jahres nach dem Datum, an dem die Aktienoptionen gewährt wurden, an, vorausgesetzt, dass eine Sperrfrist (</w:t>
      </w:r>
      <w:r>
        <w:rPr>
          <w:rFonts w:ascii="Arial" w:cs="Arial" w:eastAsia="Arial" w:hAnsi="Arial"/>
          <w:sz w:val="11"/>
          <w:szCs w:val="11"/>
          <w:i w:val="1"/>
          <w:iCs w:val="1"/>
          <w:color w:val="auto"/>
        </w:rPr>
        <w:t>Cliff Period</w:t>
      </w:r>
      <w:r>
        <w:rPr>
          <w:rFonts w:ascii="Arial" w:cs="Arial" w:eastAsia="Arial" w:hAnsi="Arial"/>
          <w:sz w:val="11"/>
          <w:szCs w:val="11"/>
          <w:color w:val="auto"/>
        </w:rPr>
        <w:t>) von einem Jahr ab dem Ausgabetag abgelaufen ist. Scheidet ein Bezugsberechtigter vor Ablauf dieser Sperrfrist aus dem Vorstand der Gesellschaft aus, verfallen alle ihm gewährten Aktienoptionen entschädigungslos; scheidet ein Bezugsberechtigter nach Ablauf dieser Sperrfirst aus dem Vorstand der Gesellschaft aus, verfallen noch nicht angewachsene Aktienoptionen entschädigungslos.</w:t>
      </w:r>
    </w:p>
    <w:p>
      <w:pPr>
        <w:spacing w:after="0" w:line="77" w:lineRule="exact"/>
        <w:rPr>
          <w:sz w:val="20"/>
          <w:szCs w:val="20"/>
          <w:color w:val="auto"/>
        </w:rPr>
      </w:pPr>
    </w:p>
    <w:p>
      <w:pPr>
        <w:sectPr>
          <w:pgSz w:w="11900" w:h="16838" w:orient="portrait"/>
          <w:cols w:equalWidth="0" w:num="2">
            <w:col w:w="4440" w:space="289"/>
            <w:col w:w="4290"/>
          </w:cols>
          <w:pgMar w:left="1440" w:top="910" w:right="1440" w:bottom="1440" w:gutter="0" w:footer="0" w:header="0"/>
        </w:sectPr>
      </w:pPr>
    </w:p>
    <w:p>
      <w:pPr>
        <w:jc w:val="center"/>
        <w:ind w:right="19"/>
        <w:spacing w:after="0"/>
        <w:rPr>
          <w:sz w:val="20"/>
          <w:szCs w:val="20"/>
          <w:color w:val="auto"/>
        </w:rPr>
      </w:pPr>
      <w:r>
        <w:rPr>
          <w:rFonts w:ascii="Arial" w:cs="Arial" w:eastAsia="Arial" w:hAnsi="Arial"/>
          <w:sz w:val="10"/>
          <w:szCs w:val="10"/>
          <w:color w:val="auto"/>
        </w:rPr>
        <w:t>Page 2/18</w:t>
      </w:r>
    </w:p>
    <w:p>
      <w:pPr>
        <w:sectPr>
          <w:pgSz w:w="11900" w:h="16838" w:orient="portrait"/>
          <w:cols w:equalWidth="0" w:num="1">
            <w:col w:w="9019"/>
          </w:cols>
          <w:pgMar w:left="1440" w:top="910" w:right="1440" w:bottom="1440" w:gutter="0" w:footer="0" w:header="0"/>
          <w:type w:val="continuous"/>
        </w:sectPr>
      </w:pPr>
    </w:p>
    <w:bookmarkStart w:id="319" w:name="page320"/>
    <w:bookmarkEnd w:id="319"/>
    <w:p>
      <w:pPr>
        <w:ind w:left="1120" w:right="40" w:hanging="299"/>
        <w:spacing w:after="0" w:line="307" w:lineRule="auto"/>
        <w:tabs>
          <w:tab w:leader="none" w:pos="11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2.4</w:t>
      </w:r>
      <w:r>
        <w:rPr>
          <w:sz w:val="20"/>
          <w:szCs w:val="20"/>
          <w:color w:val="auto"/>
        </w:rPr>
        <w:tab/>
      </w:r>
      <w:r>
        <w:rPr>
          <w:rFonts w:ascii="Arial" w:cs="Arial" w:eastAsia="Arial" w:hAnsi="Arial"/>
          <w:sz w:val="10"/>
          <w:szCs w:val="10"/>
          <w:color w:val="auto"/>
        </w:rPr>
        <w:t>The subscription rights may be exercised by the beneficiaries within three years of the date on which the waiting period expires. Within this period, subscription rights may be exercised within four weeks of the announcement of the results of the annual or semi-annual financial statements for a fiscal year (“</w:t>
      </w:r>
      <w:r>
        <w:rPr>
          <w:rFonts w:ascii="Arial" w:cs="Arial" w:eastAsia="Arial" w:hAnsi="Arial"/>
          <w:sz w:val="10"/>
          <w:szCs w:val="10"/>
          <w:b w:val="1"/>
          <w:bCs w:val="1"/>
          <w:color w:val="auto"/>
        </w:rPr>
        <w:t>exercise</w:t>
      </w:r>
      <w:r>
        <w:rPr>
          <w:rFonts w:ascii="Arial" w:cs="Arial" w:eastAsia="Arial" w:hAnsi="Arial"/>
          <w:sz w:val="10"/>
          <w:szCs w:val="10"/>
          <w:color w:val="auto"/>
        </w:rPr>
        <w:t xml:space="preserve"> </w:t>
      </w:r>
      <w:r>
        <w:rPr>
          <w:rFonts w:ascii="Arial" w:cs="Arial" w:eastAsia="Arial" w:hAnsi="Arial"/>
          <w:sz w:val="10"/>
          <w:szCs w:val="10"/>
          <w:b w:val="1"/>
          <w:bCs w:val="1"/>
          <w:color w:val="auto"/>
        </w:rPr>
        <w:t>period</w:t>
      </w:r>
      <w:r>
        <w:rPr>
          <w:rFonts w:ascii="Arial" w:cs="Arial" w:eastAsia="Arial" w:hAnsi="Arial"/>
          <w:sz w:val="10"/>
          <w:szCs w:val="10"/>
          <w:color w:val="auto"/>
        </w:rPr>
        <w:t>”). The exercise period may be reasonably extended by the</w:t>
      </w:r>
      <w:r>
        <w:rPr>
          <w:rFonts w:ascii="Arial" w:cs="Arial" w:eastAsia="Arial" w:hAnsi="Arial"/>
          <w:sz w:val="10"/>
          <w:szCs w:val="10"/>
          <w:b w:val="1"/>
          <w:bCs w:val="1"/>
          <w:color w:val="auto"/>
        </w:rPr>
        <w:t xml:space="preserve"> </w:t>
      </w:r>
      <w:r>
        <w:rPr>
          <w:rFonts w:ascii="Arial" w:cs="Arial" w:eastAsia="Arial" w:hAnsi="Arial"/>
          <w:sz w:val="10"/>
          <w:szCs w:val="10"/>
          <w:color w:val="auto"/>
        </w:rPr>
        <w:t>Management Board of the Company or, insofar as members of the Management Board of the Company are affected, by the Supervisory Board of the Company, if the exercise is not possible at the end of the original exercise period due to statutory provisions. The term of the subscription rights ends at the end of the respective (possibly extended) exercise period. Subscription rights that have not been exercised by the end of the respective exercise period expire without compensation.</w:t>
      </w:r>
    </w:p>
    <w:p>
      <w:pPr>
        <w:spacing w:after="0" w:line="320" w:lineRule="exact"/>
        <w:rPr>
          <w:sz w:val="20"/>
          <w:szCs w:val="20"/>
          <w:color w:val="auto"/>
        </w:rPr>
      </w:pPr>
    </w:p>
    <w:p>
      <w:pPr>
        <w:ind w:left="1120" w:right="120" w:hanging="299"/>
        <w:spacing w:after="0" w:line="256" w:lineRule="auto"/>
        <w:tabs>
          <w:tab w:leader="none" w:pos="110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Subscription rights can only be exercised after the end of the waiting period. The waiting period of a tranche of subscription rights begins in each case on the specified issue date and ends at the earliest at the end of the fourth anniversary of the issue date (“</w:t>
      </w:r>
      <w:r>
        <w:rPr>
          <w:rFonts w:ascii="Arial" w:cs="Arial" w:eastAsia="Arial" w:hAnsi="Arial"/>
          <w:sz w:val="12"/>
          <w:szCs w:val="12"/>
          <w:b w:val="1"/>
          <w:bCs w:val="1"/>
          <w:color w:val="auto"/>
        </w:rPr>
        <w:t>waiting period</w:t>
      </w:r>
      <w:r>
        <w:rPr>
          <w:rFonts w:ascii="Arial" w:cs="Arial" w:eastAsia="Arial" w:hAnsi="Arial"/>
          <w:sz w:val="12"/>
          <w:szCs w:val="12"/>
          <w:color w:val="auto"/>
        </w:rPr>
        <w:t>”).</w:t>
      </w:r>
    </w:p>
    <w:p>
      <w:pPr>
        <w:spacing w:after="0" w:line="56" w:lineRule="exact"/>
        <w:rPr>
          <w:sz w:val="20"/>
          <w:szCs w:val="20"/>
          <w:color w:val="auto"/>
        </w:rPr>
      </w:pPr>
    </w:p>
    <w:p>
      <w:pPr>
        <w:ind w:left="1120" w:hanging="299"/>
        <w:spacing w:after="0" w:line="278" w:lineRule="auto"/>
        <w:tabs>
          <w:tab w:leader="none" w:pos="1100" w:val="left"/>
        </w:tabs>
        <w:rPr>
          <w:sz w:val="20"/>
          <w:szCs w:val="20"/>
          <w:color w:val="auto"/>
        </w:rPr>
      </w:pPr>
      <w:r>
        <w:rPr>
          <w:rFonts w:ascii="Arial" w:cs="Arial" w:eastAsia="Arial" w:hAnsi="Arial"/>
          <w:sz w:val="12"/>
          <w:szCs w:val="12"/>
          <w:b w:val="1"/>
          <w:bCs w:val="1"/>
          <w:color w:val="auto"/>
        </w:rPr>
        <w:t>2.6</w:t>
      </w:r>
      <w:r>
        <w:rPr>
          <w:sz w:val="20"/>
          <w:szCs w:val="20"/>
          <w:color w:val="auto"/>
        </w:rPr>
        <w:tab/>
      </w:r>
      <w:r>
        <w:rPr>
          <w:rFonts w:ascii="Arial" w:cs="Arial" w:eastAsia="Arial" w:hAnsi="Arial"/>
          <w:sz w:val="11"/>
          <w:szCs w:val="11"/>
          <w:color w:val="auto"/>
        </w:rPr>
        <w:t>The company is entitled to limit the number of subscription rights to be exercised in an exercise period to a maximum total number at its reasonable discretion (§ 315 BGB), if this appears to be necessary for objective reasons (e.g. securing Mynaric’s share price, securing the usability of the new shares). If in this case the total number of subscription rights exercised by the beneficiaries exceeds the maximum limit set by the company, the subscription rights are deemed to be exercised in a number that - with reference to the maximum limit - corresponds to the ratio of the subscription rights actually exercised by</w:t>
      </w:r>
    </w:p>
    <w:p>
      <w:pPr>
        <w:spacing w:after="0" w:line="20" w:lineRule="exact"/>
        <w:rPr>
          <w:sz w:val="20"/>
          <w:szCs w:val="20"/>
          <w:color w:val="auto"/>
        </w:rPr>
      </w:pPr>
      <w:r>
        <w:rPr>
          <w:sz w:val="20"/>
          <w:szCs w:val="20"/>
          <w:color w:val="auto"/>
        </w:rPr>
        <w:br w:type="column"/>
      </w:r>
    </w:p>
    <w:p>
      <w:pPr>
        <w:ind w:left="280" w:right="839" w:hanging="299"/>
        <w:spacing w:after="0" w:line="276" w:lineRule="auto"/>
        <w:tabs>
          <w:tab w:leader="none" w:pos="260" w:val="left"/>
        </w:tabs>
        <w:rPr>
          <w:sz w:val="20"/>
          <w:szCs w:val="20"/>
          <w:color w:val="auto"/>
        </w:rPr>
      </w:pPr>
      <w:r>
        <w:rPr>
          <w:rFonts w:ascii="Arial" w:cs="Arial" w:eastAsia="Arial" w:hAnsi="Arial"/>
          <w:sz w:val="12"/>
          <w:szCs w:val="12"/>
          <w:b w:val="1"/>
          <w:bCs w:val="1"/>
          <w:color w:val="auto"/>
        </w:rPr>
        <w:t>2.4</w:t>
      </w:r>
      <w:r>
        <w:rPr>
          <w:sz w:val="20"/>
          <w:szCs w:val="20"/>
          <w:color w:val="auto"/>
        </w:rPr>
        <w:tab/>
      </w:r>
      <w:r>
        <w:rPr>
          <w:rFonts w:ascii="Arial" w:cs="Arial" w:eastAsia="Arial" w:hAnsi="Arial"/>
          <w:sz w:val="11"/>
          <w:szCs w:val="11"/>
          <w:color w:val="auto"/>
        </w:rPr>
        <w:t>Die Aktienoptionen können von den Bezugsberechtigten innerhalb von drei Jahren nach dem Zeitpunkt ausgeübt werden, zu dem die Wartezeit abgelaufen ist. Innerhalb dieses Zeitraums können Aktienoptionen innerhalb von vier Wochen nach Bekanntgabe der Ergebnisse des Jahres- oder Halbjahresabschlusses eines Geschäftsjahres ausgeübt werden („</w:t>
      </w:r>
      <w:r>
        <w:rPr>
          <w:rFonts w:ascii="Arial" w:cs="Arial" w:eastAsia="Arial" w:hAnsi="Arial"/>
          <w:sz w:val="11"/>
          <w:szCs w:val="11"/>
          <w:b w:val="1"/>
          <w:bCs w:val="1"/>
          <w:color w:val="auto"/>
        </w:rPr>
        <w:t>Ausübungszeitraum</w:t>
      </w:r>
      <w:r>
        <w:rPr>
          <w:rFonts w:ascii="Arial" w:cs="Arial" w:eastAsia="Arial" w:hAnsi="Arial"/>
          <w:sz w:val="11"/>
          <w:szCs w:val="11"/>
          <w:color w:val="auto"/>
        </w:rPr>
        <w:t>“). Der Ausübungszeitraum kann vom Aufsichtsrat der Gesellschaft angemessen verlängert werden, sofern aufgrund gesetzlicher Vorschriften die Ausübung zum Ablauf des ursprünglichen Ausübungszeitraums nicht möglich ist. Die Laufzeit der Aktienoptionen endet nach Ablauf des jeweiligen (gegebenenfalls verlängerten) Ausübungszeitraums. Aktienoptionen, die bis zum Ablauf des jeweiligen Ausübungszeitraums nicht ausgeübt worden sind, verfallen entschädigungslos.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-1811020</wp:posOffset>
            </wp:positionV>
            <wp:extent cx="1285875" cy="3714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30" w:lineRule="exact"/>
        <w:rPr>
          <w:sz w:val="20"/>
          <w:szCs w:val="20"/>
          <w:color w:val="auto"/>
        </w:rPr>
      </w:pPr>
    </w:p>
    <w:p>
      <w:pPr>
        <w:jc w:val="center"/>
        <w:ind w:right="1179"/>
        <w:spacing w:after="0"/>
        <w:tabs>
          <w:tab w:leader="none" w:pos="12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0"/>
          <w:szCs w:val="10"/>
          <w:color w:val="auto"/>
        </w:rPr>
        <w:t>Bezugsrechte können erstmals nach Ablauf der Wartezeit</w:t>
      </w:r>
    </w:p>
    <w:p>
      <w:pPr>
        <w:spacing w:after="0" w:line="19" w:lineRule="exact"/>
        <w:rPr>
          <w:sz w:val="20"/>
          <w:szCs w:val="20"/>
          <w:color w:val="auto"/>
        </w:rPr>
      </w:pPr>
    </w:p>
    <w:p>
      <w:pPr>
        <w:ind w:left="300" w:right="999"/>
        <w:spacing w:after="0" w:line="284" w:lineRule="auto"/>
        <w:rPr>
          <w:sz w:val="20"/>
          <w:szCs w:val="20"/>
          <w:color w:val="auto"/>
        </w:rPr>
      </w:pPr>
      <w:r>
        <w:rPr>
          <w:rFonts w:ascii="Arial" w:cs="Arial" w:eastAsia="Arial" w:hAnsi="Arial"/>
          <w:sz w:val="11"/>
          <w:szCs w:val="11"/>
          <w:color w:val="auto"/>
        </w:rPr>
        <w:t>ausgeübt werden. Die Wartezeit einer Tranche von Bezugsrechten beginnt jeweils mit dem festgelegten Ausgabetag und endet frühestens mit dem Ablauf des vierten Jahrestags nach dem Ausgabetag (“</w:t>
      </w:r>
      <w:r>
        <w:rPr>
          <w:rFonts w:ascii="Arial" w:cs="Arial" w:eastAsia="Arial" w:hAnsi="Arial"/>
          <w:sz w:val="11"/>
          <w:szCs w:val="11"/>
          <w:b w:val="1"/>
          <w:bCs w:val="1"/>
          <w:color w:val="auto"/>
        </w:rPr>
        <w:t>Wartezeit</w:t>
      </w:r>
      <w:r>
        <w:rPr>
          <w:rFonts w:ascii="Arial" w:cs="Arial" w:eastAsia="Arial" w:hAnsi="Arial"/>
          <w:sz w:val="11"/>
          <w:szCs w:val="11"/>
          <w:color w:val="auto"/>
        </w:rPr>
        <w:t>”).</w:t>
      </w:r>
    </w:p>
    <w:p>
      <w:pPr>
        <w:spacing w:after="0" w:line="36" w:lineRule="exact"/>
        <w:rPr>
          <w:sz w:val="20"/>
          <w:szCs w:val="20"/>
          <w:color w:val="auto"/>
        </w:rPr>
      </w:pPr>
    </w:p>
    <w:p>
      <w:pPr>
        <w:ind w:left="280" w:right="859" w:hanging="299"/>
        <w:spacing w:after="0" w:line="308" w:lineRule="auto"/>
        <w:tabs>
          <w:tab w:leader="none" w:pos="260" w:val="left"/>
        </w:tabs>
        <w:rPr>
          <w:sz w:val="20"/>
          <w:szCs w:val="20"/>
          <w:color w:val="auto"/>
        </w:rPr>
      </w:pPr>
      <w:r>
        <w:rPr>
          <w:rFonts w:ascii="Arial" w:cs="Arial" w:eastAsia="Arial" w:hAnsi="Arial"/>
          <w:sz w:val="12"/>
          <w:szCs w:val="12"/>
          <w:b w:val="1"/>
          <w:bCs w:val="1"/>
          <w:color w:val="auto"/>
        </w:rPr>
        <w:t>2.6</w:t>
      </w:r>
      <w:r>
        <w:rPr>
          <w:sz w:val="20"/>
          <w:szCs w:val="20"/>
          <w:color w:val="auto"/>
        </w:rPr>
        <w:tab/>
      </w:r>
      <w:r>
        <w:rPr>
          <w:rFonts w:ascii="Arial" w:cs="Arial" w:eastAsia="Arial" w:hAnsi="Arial"/>
          <w:sz w:val="10"/>
          <w:szCs w:val="10"/>
          <w:color w:val="auto"/>
        </w:rPr>
        <w:t>Die Gesellschaft ist berechtigt, die Anzahl der in einem Ausübungszeitraum maximal insgesamt auszuübenden Bezugsrechte nach billigem Ermessen (§ 315 BGB) zu begrenzen, wenn dies aus sachlichen Gründen (z. B. Sicherung des Aktienkurses der Mynaric, Sicherung der Verwertbarkeit der jungen Aktien) geboten erscheint. Soweit in diesem Fall die Gesamtzahl der von den Bezugsberechtigten ausgeübten Bezugsrechte die von der Gesellschaft festgesetzte Höchstgrenze übersteigt, gelten die Bezugsrechte in einer Anzahl als ausgeübt, die – bezogen auf die Höchstgrenze – dem Verhältnis der vom Bezugsrechtsinhaber tatsächlich ausgeübten Bezugsrechte zur Gesamtzahl der in diesem</w:t>
      </w:r>
    </w:p>
    <w:p>
      <w:pPr>
        <w:spacing w:after="0" w:line="200" w:lineRule="exact"/>
        <w:rPr>
          <w:sz w:val="20"/>
          <w:szCs w:val="20"/>
          <w:color w:val="auto"/>
        </w:rPr>
      </w:pPr>
    </w:p>
    <w:p>
      <w:pPr>
        <w:sectPr>
          <w:pgSz w:w="11900" w:h="16838" w:orient="portrait"/>
          <w:cols w:equalWidth="0" w:num="2">
            <w:col w:w="4340" w:space="460"/>
            <w:col w:w="4219"/>
          </w:cols>
          <w:pgMar w:left="1440" w:top="910" w:right="1440" w:bottom="1440" w:gutter="0" w:footer="0" w:header="0"/>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Page 3/18</w:t>
      </w:r>
    </w:p>
    <w:p>
      <w:pPr>
        <w:sectPr>
          <w:pgSz w:w="11900" w:h="16838" w:orient="portrait"/>
          <w:cols w:equalWidth="0" w:num="1">
            <w:col w:w="9019"/>
          </w:cols>
          <w:pgMar w:left="1440" w:top="910" w:right="1440" w:bottom="1440" w:gutter="0" w:footer="0" w:header="0"/>
          <w:type w:val="continuous"/>
        </w:sectPr>
      </w:pPr>
    </w:p>
    <w:bookmarkStart w:id="320" w:name="page321"/>
    <w:bookmarkEnd w:id="320"/>
    <w:p>
      <w:pPr>
        <w:ind w:left="1140" w:right="26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holder of the subscription rights to the total number of subscription rights exercised in this exercise period, i.e. the number of subscription rights exercised is reduced accordingly on a pro rata basis.</w:t>
      </w:r>
    </w:p>
    <w:p>
      <w:pPr>
        <w:spacing w:after="0" w:line="20" w:lineRule="exact"/>
        <w:rPr>
          <w:sz w:val="20"/>
          <w:szCs w:val="20"/>
          <w:color w:val="auto"/>
        </w:rPr>
      </w:pPr>
      <w:r>
        <w:rPr>
          <w:sz w:val="20"/>
          <w:szCs w:val="20"/>
          <w:color w:val="auto"/>
        </w:rPr>
        <w:br w:type="column"/>
      </w:r>
    </w:p>
    <w:p>
      <w:pPr>
        <w:ind w:right="919"/>
        <w:spacing w:after="0" w:line="263" w:lineRule="auto"/>
        <w:rPr>
          <w:sz w:val="20"/>
          <w:szCs w:val="20"/>
          <w:color w:val="auto"/>
        </w:rPr>
      </w:pPr>
      <w:r>
        <w:rPr>
          <w:rFonts w:ascii="Arial" w:cs="Arial" w:eastAsia="Arial" w:hAnsi="Arial"/>
          <w:sz w:val="12"/>
          <w:szCs w:val="12"/>
          <w:color w:val="auto"/>
        </w:rPr>
        <w:t>Ausübungszeitraum ausgeübten Bezugsrechte entspricht, d. h. die Anzahl der ausgeübten Bezugsrechte reduziert sich entsprechend pro 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-716280</wp:posOffset>
            </wp:positionV>
            <wp:extent cx="1285875" cy="3714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400" w:space="720"/>
            <w:col w:w="3899"/>
          </w:cols>
          <w:pgMar w:left="1440" w:top="914" w:right="1440" w:bottom="1440" w:gutter="0" w:footer="0" w:header="0"/>
        </w:sectPr>
      </w:pPr>
    </w:p>
    <w:p>
      <w:pPr>
        <w:ind w:left="1120" w:right="480" w:hanging="299"/>
        <w:spacing w:after="0" w:line="277" w:lineRule="auto"/>
        <w:tabs>
          <w:tab w:leader="none" w:pos="110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1"/>
          <w:szCs w:val="11"/>
          <w:color w:val="auto"/>
        </w:rPr>
        <w:t>Subscription rights may only be exercised if the waiting period has expired and if the performance target has been achieved. The subscription rights are serviced in shares of the company, whereby one subscription right entitles the holder to subscribe to one share each, or, at the Company’s discretion, as a cash payment in the amount of the closing price of the Company’s share on the last trading day prior to the exercise date in the trading system with the highest total trading volume in shares of the Company or in rights or certificates representing such shares on the last ten days prior to the exercise date on which this trading system has been open for general stock exchange trading.</w:t>
      </w:r>
    </w:p>
    <w:p>
      <w:pPr>
        <w:spacing w:after="0" w:line="48" w:lineRule="exact"/>
        <w:rPr>
          <w:sz w:val="20"/>
          <w:szCs w:val="20"/>
          <w:color w:val="auto"/>
        </w:rPr>
      </w:pPr>
    </w:p>
    <w:p>
      <w:pPr>
        <w:ind w:left="1120" w:hanging="288"/>
        <w:spacing w:after="0"/>
        <w:tabs>
          <w:tab w:leader="none" w:pos="1120" w:val="left"/>
        </w:tabs>
        <w:numPr>
          <w:ilvl w:val="0"/>
          <w:numId w:val="263"/>
        </w:numPr>
        <w:rPr>
          <w:rFonts w:ascii="Arial" w:cs="Arial" w:eastAsia="Arial" w:hAnsi="Arial"/>
          <w:sz w:val="12"/>
          <w:szCs w:val="12"/>
          <w:b w:val="1"/>
          <w:bCs w:val="1"/>
          <w:color w:val="auto"/>
        </w:rPr>
      </w:pPr>
      <w:r>
        <w:rPr>
          <w:rFonts w:ascii="Arial" w:cs="Arial" w:eastAsia="Arial" w:hAnsi="Arial"/>
          <w:sz w:val="12"/>
          <w:szCs w:val="12"/>
          <w:b w:val="1"/>
          <w:bCs w:val="1"/>
          <w:color w:val="auto"/>
        </w:rPr>
        <w:t>Exercise price</w:t>
      </w:r>
    </w:p>
    <w:p>
      <w:pPr>
        <w:spacing w:after="0" w:line="168" w:lineRule="exact"/>
        <w:rPr>
          <w:sz w:val="20"/>
          <w:szCs w:val="20"/>
          <w:color w:val="auto"/>
        </w:rPr>
      </w:pPr>
    </w:p>
    <w:p>
      <w:pPr>
        <w:ind w:left="1120" w:right="480" w:hanging="299"/>
        <w:spacing w:after="0" w:line="276" w:lineRule="auto"/>
        <w:tabs>
          <w:tab w:leader="none" w:pos="110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1"/>
          <w:szCs w:val="11"/>
          <w:color w:val="auto"/>
        </w:rPr>
        <w:t>When the subscription rights are exercised, the exercise price is payable for each share to be subscribed. The “</w:t>
      </w:r>
      <w:r>
        <w:rPr>
          <w:rFonts w:ascii="Arial" w:cs="Arial" w:eastAsia="Arial" w:hAnsi="Arial"/>
          <w:sz w:val="11"/>
          <w:szCs w:val="11"/>
          <w:b w:val="1"/>
          <w:bCs w:val="1"/>
          <w:color w:val="auto"/>
        </w:rPr>
        <w:t>exercise price</w:t>
      </w:r>
      <w:r>
        <w:rPr>
          <w:rFonts w:ascii="Arial" w:cs="Arial" w:eastAsia="Arial" w:hAnsi="Arial"/>
          <w:sz w:val="11"/>
          <w:szCs w:val="11"/>
          <w:color w:val="auto"/>
        </w:rPr>
        <w:t>” per share corresponds to the volume-weighted 6-month average price of the share or the volume-weighted 6-month average price, to be converted into amounts per share, of the right or certificate representing the share in the trading system with the highest total trading volume in shares of the Company or in rights or certificates representing such shares on the ten days preceding the day before the issue period on which this trading system has been open for general stock exchange trading. For periods in which the trading system with the highest total trading volume in shares of the Company or in rights or certificates representing such shares on the ten days preceding the day before the issue period on which this trading system has been open for general stock exchange trading is the</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4/18</w:t>
      </w:r>
    </w:p>
    <w:p>
      <w:pPr>
        <w:spacing w:after="0" w:line="20" w:lineRule="exact"/>
        <w:rPr>
          <w:sz w:val="20"/>
          <w:szCs w:val="20"/>
          <w:color w:val="auto"/>
        </w:rPr>
      </w:pPr>
      <w:r>
        <w:rPr>
          <w:sz w:val="20"/>
          <w:szCs w:val="20"/>
          <w:color w:val="auto"/>
        </w:rPr>
        <w:br w:type="column"/>
      </w:r>
    </w:p>
    <w:p>
      <w:pPr>
        <w:ind w:left="292" w:right="899" w:hanging="299"/>
        <w:spacing w:after="0" w:line="308" w:lineRule="auto"/>
        <w:tabs>
          <w:tab w:leader="none" w:pos="272"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0"/>
          <w:szCs w:val="10"/>
          <w:color w:val="auto"/>
        </w:rPr>
        <w:t>Aktienoptionen sind nur ausübbar, wenn die Wartezeit abgelaufen ist und wenn das Erfolgsziel erreicht wurde. Die Bedienung der Aktienoptionen erfolgt in Aktien der Gesellschaft, wobei je eine Aktienoption zum Bezug von je einer Aktie berechtigt, oder nach Wahl der Gesellschaft als Barzahlung in Höhe des Schlusskurses, den die Aktie der Gesellschaft am letzten Handelstag vor dem Ausübungstag im Handelssystem mit dem höchsten gesamten Handelsumsatz an Aktien der Gesellschaft oder an solche vertretenden Rechten oder Zertifikaten an den zehn letzten Tagen vor dem Ausübungstag, an denen dieses Handelssystem für den allgemeinen Börsenhandel geöffnet gewesen ist, hat.</w:t>
      </w:r>
    </w:p>
    <w:p>
      <w:pPr>
        <w:spacing w:after="0" w:line="258" w:lineRule="exact"/>
        <w:rPr>
          <w:sz w:val="20"/>
          <w:szCs w:val="20"/>
          <w:color w:val="auto"/>
        </w:rPr>
      </w:pPr>
    </w:p>
    <w:p>
      <w:pPr>
        <w:ind w:left="292" w:hanging="292"/>
        <w:spacing w:after="0"/>
        <w:tabs>
          <w:tab w:leader="none" w:pos="292" w:val="left"/>
        </w:tabs>
        <w:numPr>
          <w:ilvl w:val="0"/>
          <w:numId w:val="264"/>
        </w:numPr>
        <w:rPr>
          <w:rFonts w:ascii="Arial" w:cs="Arial" w:eastAsia="Arial" w:hAnsi="Arial"/>
          <w:sz w:val="12"/>
          <w:szCs w:val="12"/>
          <w:b w:val="1"/>
          <w:bCs w:val="1"/>
          <w:color w:val="auto"/>
        </w:rPr>
      </w:pPr>
      <w:r>
        <w:rPr>
          <w:rFonts w:ascii="Arial" w:cs="Arial" w:eastAsia="Arial" w:hAnsi="Arial"/>
          <w:sz w:val="12"/>
          <w:szCs w:val="12"/>
          <w:b w:val="1"/>
          <w:bCs w:val="1"/>
          <w:color w:val="auto"/>
        </w:rPr>
        <w:t>Ausübungspreis</w:t>
      </w:r>
    </w:p>
    <w:p>
      <w:pPr>
        <w:spacing w:after="0" w:line="87" w:lineRule="exact"/>
        <w:rPr>
          <w:sz w:val="20"/>
          <w:szCs w:val="20"/>
          <w:color w:val="auto"/>
        </w:rPr>
      </w:pPr>
    </w:p>
    <w:p>
      <w:pPr>
        <w:jc w:val="both"/>
        <w:ind w:left="292" w:right="999" w:hanging="299"/>
        <w:spacing w:after="0" w:line="309" w:lineRule="auto"/>
        <w:tabs>
          <w:tab w:leader="none" w:pos="272"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0"/>
          <w:szCs w:val="10"/>
          <w:color w:val="auto"/>
        </w:rPr>
        <w:t>Bei Ausübung der Aktienoptionen ist für jede zu beziehende Aktie der Ausübungspreis zu zahlen. Der Ausübungspreis je Aktie entspricht dem volumengewichteten</w:t>
      </w:r>
    </w:p>
    <w:p>
      <w:pPr>
        <w:spacing w:after="0" w:line="1" w:lineRule="exact"/>
        <w:rPr>
          <w:sz w:val="20"/>
          <w:szCs w:val="20"/>
          <w:color w:val="auto"/>
        </w:rPr>
      </w:pPr>
    </w:p>
    <w:p>
      <w:pPr>
        <w:ind w:left="292" w:right="859"/>
        <w:spacing w:after="0" w:line="275" w:lineRule="auto"/>
        <w:rPr>
          <w:sz w:val="20"/>
          <w:szCs w:val="20"/>
          <w:color w:val="auto"/>
        </w:rPr>
      </w:pPr>
      <w:r>
        <w:rPr>
          <w:rFonts w:ascii="Arial" w:cs="Arial" w:eastAsia="Arial" w:hAnsi="Arial"/>
          <w:sz w:val="11"/>
          <w:szCs w:val="11"/>
          <w:color w:val="auto"/>
        </w:rPr>
        <w:t>6-Monats-Durchschnittskurs der Aktie der Gesellschaft oder dem in Beträge je Aktie umzurechnenden volumengewichteten 6-Monats-Durchschnittskurs des die Aktie vertretenden Rechts oder Zertifikats im Handelssystem mit dem höchsten gesamten Handelsumsatz an Aktien der Gesellschaft oder an solche vertretenden Rechten oder Zertifikaten an den zehn dem Tag vor dem Ausgabezeitraum vorangehenden Tagen, an denen dieses Handelssystem für den allgemeinen Börsenhandel geöffnet gewesen ist. Für Zeiträume, in denen das Handelssystem mit dem höchsten gesamten Handelsumsatz an Aktien der Gesellschaft oder an solche vertretenden Rechten oder Zertifikaten an den zehn dem Tag vor dem Ausgabezeitraum vorangehenden Tagen, an denen dieses Handelssystem</w:t>
      </w:r>
    </w:p>
    <w:p>
      <w:pPr>
        <w:sectPr>
          <w:pgSz w:w="11900" w:h="16838" w:orient="portrait"/>
          <w:cols w:equalWidth="0" w:num="2">
            <w:col w:w="4740" w:space="88"/>
            <w:col w:w="4191"/>
          </w:cols>
          <w:pgMar w:left="1440" w:top="914" w:right="1440" w:bottom="1440" w:gutter="0" w:footer="0" w:header="0"/>
          <w:type w:val="continuous"/>
        </w:sectPr>
      </w:pPr>
    </w:p>
    <w:bookmarkStart w:id="321" w:name="page322"/>
    <w:bookmarkEnd w:id="321"/>
    <w:p>
      <w:pPr>
        <w:ind w:left="1140" w:right="140"/>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Frankfurt Stock Exchange, the exercise price per share shall correspond to the volume-weighted 6-month average price of the share in Xetra trading (or a comparable successor system) on the Frankfurt Stock Exchange on the day before the issue period. The minimum exercise price shall be at least equal to the lowest issue price within the meaning of Section 9 (1) AktG.</w:t>
      </w:r>
    </w:p>
    <w:p>
      <w:pPr>
        <w:spacing w:after="0" w:line="325" w:lineRule="exact"/>
        <w:rPr>
          <w:sz w:val="20"/>
          <w:szCs w:val="20"/>
          <w:color w:val="auto"/>
        </w:rPr>
      </w:pPr>
    </w:p>
    <w:p>
      <w:pPr>
        <w:ind w:left="1120" w:right="460" w:hanging="299"/>
        <w:spacing w:after="0" w:line="276" w:lineRule="auto"/>
        <w:tabs>
          <w:tab w:leader="none" w:pos="110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2"/>
          <w:szCs w:val="12"/>
          <w:color w:val="auto"/>
        </w:rPr>
        <w:t>The exercise price is payable when the subscription right is exercised.</w:t>
      </w:r>
    </w:p>
    <w:p>
      <w:pPr>
        <w:spacing w:after="0" w:line="43" w:lineRule="exact"/>
        <w:rPr>
          <w:sz w:val="20"/>
          <w:szCs w:val="20"/>
          <w:color w:val="auto"/>
        </w:rPr>
      </w:pPr>
    </w:p>
    <w:p>
      <w:pPr>
        <w:ind w:left="1120" w:hanging="288"/>
        <w:spacing w:after="0"/>
        <w:tabs>
          <w:tab w:leader="none" w:pos="1120" w:val="left"/>
        </w:tabs>
        <w:numPr>
          <w:ilvl w:val="0"/>
          <w:numId w:val="265"/>
        </w:numPr>
        <w:rPr>
          <w:rFonts w:ascii="Arial" w:cs="Arial" w:eastAsia="Arial" w:hAnsi="Arial"/>
          <w:sz w:val="12"/>
          <w:szCs w:val="12"/>
          <w:b w:val="1"/>
          <w:bCs w:val="1"/>
          <w:color w:val="auto"/>
        </w:rPr>
      </w:pPr>
      <w:r>
        <w:rPr>
          <w:rFonts w:ascii="Arial" w:cs="Arial" w:eastAsia="Arial" w:hAnsi="Arial"/>
          <w:sz w:val="12"/>
          <w:szCs w:val="12"/>
          <w:b w:val="1"/>
          <w:bCs w:val="1"/>
          <w:color w:val="auto"/>
        </w:rPr>
        <w:t>Performance targets</w:t>
      </w:r>
    </w:p>
    <w:p>
      <w:pPr>
        <w:spacing w:after="0" w:line="78" w:lineRule="exact"/>
        <w:rPr>
          <w:sz w:val="20"/>
          <w:szCs w:val="20"/>
          <w:color w:val="auto"/>
        </w:rPr>
      </w:pPr>
    </w:p>
    <w:p>
      <w:pPr>
        <w:ind w:left="1120" w:right="140" w:hanging="299"/>
        <w:spacing w:after="0" w:line="379" w:lineRule="auto"/>
        <w:tabs>
          <w:tab w:leader="none" w:pos="110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0"/>
          <w:szCs w:val="10"/>
          <w:color w:val="auto"/>
        </w:rPr>
        <w:t>Subscription rights may only be exercised if and to the extent that the performance targets have been achieved as described below:</w:t>
      </w:r>
    </w:p>
    <w:p>
      <w:pPr>
        <w:spacing w:after="0" w:line="10" w:lineRule="exact"/>
        <w:rPr>
          <w:sz w:val="20"/>
          <w:szCs w:val="20"/>
          <w:color w:val="auto"/>
        </w:rPr>
      </w:pPr>
    </w:p>
    <w:p>
      <w:pPr>
        <w:ind w:left="1140"/>
        <w:spacing w:after="0" w:line="276" w:lineRule="auto"/>
        <w:rPr>
          <w:sz w:val="20"/>
          <w:szCs w:val="20"/>
          <w:color w:val="auto"/>
        </w:rPr>
      </w:pPr>
      <w:r>
        <w:rPr>
          <w:rFonts w:ascii="Arial" w:cs="Arial" w:eastAsia="Arial" w:hAnsi="Arial"/>
          <w:sz w:val="11"/>
          <w:szCs w:val="11"/>
          <w:color w:val="auto"/>
        </w:rPr>
        <w:t>The performance targets are linked to the absolute performance of the company’s share price during the waiting period. The stock options may be exercised if the 6-month volume-weighted average price of the Company’s share or the 6-month volume-weighted average price, to be converted into amounts per share, of the right or certificate representing the share in the trading system with the highest total trading volume in shares of the Company or in rights or certificates representing such shares on the ten last days prior to the expiry date of the waiting period on which this trading system has been open for general stock exchange trading is at least 20% above the exercise price at the end of the waiting period. For periods in which the trading system with the highest total trading volume in shares of the Company or in rights or certificates representing such shares on the ten last days prior to the expiry date of the waiting period on which this trading</w:t>
      </w:r>
    </w:p>
    <w:p>
      <w:pPr>
        <w:spacing w:after="0" w:line="20" w:lineRule="exact"/>
        <w:rPr>
          <w:sz w:val="20"/>
          <w:szCs w:val="20"/>
          <w:color w:val="auto"/>
        </w:rPr>
      </w:pPr>
      <w:r>
        <w:rPr>
          <w:sz w:val="20"/>
          <w:szCs w:val="20"/>
          <w:color w:val="auto"/>
        </w:rPr>
        <w:br w:type="column"/>
      </w:r>
    </w:p>
    <w:p>
      <w:pPr>
        <w:ind w:left="300" w:right="839"/>
        <w:spacing w:after="0" w:line="254" w:lineRule="auto"/>
        <w:rPr>
          <w:sz w:val="20"/>
          <w:szCs w:val="20"/>
          <w:color w:val="auto"/>
        </w:rPr>
      </w:pPr>
      <w:r>
        <w:rPr>
          <w:rFonts w:ascii="Arial" w:cs="Arial" w:eastAsia="Arial" w:hAnsi="Arial"/>
          <w:sz w:val="12"/>
          <w:szCs w:val="12"/>
          <w:color w:val="auto"/>
        </w:rPr>
        <w:t>für den allgemeinen Börsenhandel geöffnet gewesen ist, die Frankfurter Wertpapierbörse ist, entspricht der Ausübungspreis je Aktie dem volumengewichteten 6-Monats-Durchschnittskurs der Aktie im Xetra-Handel (oder einem vergleichbaren Nachfolgesystem) an der Frankfurter Wertpapierbörse am Tag vor dem Ausgabezeitraum. Der Mindestausübungspreis entspricht mindestens dem geringsten Ausgabebetrag im Sinne von § 9 Abs. 1 AktG.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-1170305</wp:posOffset>
            </wp:positionV>
            <wp:extent cx="1285875" cy="3714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32"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color w:val="auto"/>
        </w:rPr>
        <w:t>Der Ausübungspreis ist mit Ausübung des Bezugsrechts zahlbar.</w:t>
      </w:r>
    </w:p>
    <w:p>
      <w:pPr>
        <w:spacing w:after="0" w:line="222" w:lineRule="exact"/>
        <w:rPr>
          <w:sz w:val="20"/>
          <w:szCs w:val="20"/>
          <w:color w:val="auto"/>
        </w:rPr>
      </w:pPr>
    </w:p>
    <w:p>
      <w:pPr>
        <w:ind w:left="300" w:hanging="291"/>
        <w:spacing w:after="0"/>
        <w:tabs>
          <w:tab w:leader="none" w:pos="300" w:val="left"/>
        </w:tabs>
        <w:numPr>
          <w:ilvl w:val="0"/>
          <w:numId w:val="266"/>
        </w:numPr>
        <w:rPr>
          <w:rFonts w:ascii="Arial" w:cs="Arial" w:eastAsia="Arial" w:hAnsi="Arial"/>
          <w:sz w:val="12"/>
          <w:szCs w:val="12"/>
          <w:b w:val="1"/>
          <w:bCs w:val="1"/>
          <w:color w:val="auto"/>
        </w:rPr>
      </w:pPr>
      <w:r>
        <w:rPr>
          <w:rFonts w:ascii="Arial" w:cs="Arial" w:eastAsia="Arial" w:hAnsi="Arial"/>
          <w:sz w:val="12"/>
          <w:szCs w:val="12"/>
          <w:b w:val="1"/>
          <w:bCs w:val="1"/>
          <w:color w:val="auto"/>
        </w:rPr>
        <w:t>Erfolgsziele</w:t>
      </w:r>
    </w:p>
    <w:p>
      <w:pPr>
        <w:spacing w:after="0" w:line="78" w:lineRule="exact"/>
        <w:rPr>
          <w:sz w:val="20"/>
          <w:szCs w:val="20"/>
          <w:color w:val="auto"/>
        </w:rPr>
      </w:pPr>
    </w:p>
    <w:p>
      <w:pPr>
        <w:jc w:val="both"/>
        <w:ind w:left="300" w:right="1099" w:hanging="299"/>
        <w:spacing w:after="0" w:line="263" w:lineRule="auto"/>
        <w:tabs>
          <w:tab w:leader="none" w:pos="28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2"/>
          <w:szCs w:val="12"/>
          <w:color w:val="auto"/>
        </w:rPr>
        <w:t>Die Aktienoptionen können nur ausgeübt werden, wenn und soweit das Erfolgsziel wie nachfolgend beschrieben erreicht wurde:</w:t>
      </w:r>
    </w:p>
    <w:p>
      <w:pPr>
        <w:spacing w:after="0" w:line="63" w:lineRule="exact"/>
        <w:rPr>
          <w:sz w:val="20"/>
          <w:szCs w:val="20"/>
          <w:color w:val="auto"/>
        </w:rPr>
      </w:pPr>
    </w:p>
    <w:p>
      <w:pPr>
        <w:ind w:left="300" w:right="919"/>
        <w:spacing w:after="0" w:line="305" w:lineRule="auto"/>
        <w:rPr>
          <w:sz w:val="20"/>
          <w:szCs w:val="20"/>
          <w:color w:val="auto"/>
        </w:rPr>
      </w:pPr>
      <w:r>
        <w:rPr>
          <w:rFonts w:ascii="Arial" w:cs="Arial" w:eastAsia="Arial" w:hAnsi="Arial"/>
          <w:sz w:val="10"/>
          <w:szCs w:val="10"/>
          <w:color w:val="auto"/>
        </w:rPr>
        <w:t>Das Erfolgsziel ist an die absolute Kursentwicklung der Aktie der Gesellschaft während der Wartezeit gekoppelt. Die Aktienoptionen können ausgeübt werden, wenn der volumengewichtete 6-Monats-Durchschnittskurs der Aktie der Gesellschaft oder der in Beträge je Aktie umzurechnende volumengewichtete 6-Monats-Durchschnittskurs des die Aktie vertretenden Rechts oder Zertifikats in dem Handelssystem mit dem höchsten gesamten Handelsumsatz an Aktien der Gesellschaft oder an solche vertretenden Rechten oder Zertifikaten an den zehn letzten Tagen vor dem Tag des Ablaufs der Wartezeit, an denen dieses Handelssystem für den allgemeinen Börsenhandel geöffnet gewesen ist, bei Ablauf der Wartezeit mindestens 20 % über dem Ausübungspreis liegt. Für Zeiträume, in denen das Handelssystem mit dem höchsten gesamten Handelsumsatz an Aktien der Gesellschaft oder an solche vertretenden Rechten oder Zertifikaten an den zehn letzten Tagen vor dem Tag des Ablaufs der Wartezeit, an denen</w:t>
      </w:r>
    </w:p>
    <w:p>
      <w:pPr>
        <w:spacing w:after="0" w:line="200" w:lineRule="exact"/>
        <w:rPr>
          <w:sz w:val="20"/>
          <w:szCs w:val="20"/>
          <w:color w:val="auto"/>
        </w:rPr>
      </w:pPr>
    </w:p>
    <w:p>
      <w:pPr>
        <w:sectPr>
          <w:pgSz w:w="11900" w:h="16838" w:orient="portrait"/>
          <w:cols w:equalWidth="0" w:num="2">
            <w:col w:w="4420" w:space="300"/>
            <w:col w:w="4299"/>
          </w:cols>
          <w:pgMar w:left="1440" w:top="914" w:right="1440" w:bottom="1440" w:gutter="0" w:footer="0" w:header="0"/>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Page 5/18</w:t>
      </w:r>
    </w:p>
    <w:p>
      <w:pPr>
        <w:sectPr>
          <w:pgSz w:w="11900" w:h="16838" w:orient="portrait"/>
          <w:cols w:equalWidth="0" w:num="1">
            <w:col w:w="9019"/>
          </w:cols>
          <w:pgMar w:left="1440" w:top="914" w:right="1440" w:bottom="1440" w:gutter="0" w:footer="0" w:header="0"/>
          <w:type w:val="continuous"/>
        </w:sectPr>
      </w:pPr>
    </w:p>
    <w:bookmarkStart w:id="322" w:name="page323"/>
    <w:bookmarkEnd w:id="322"/>
    <w:p>
      <w:pPr>
        <w:ind w:left="1140"/>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system has been open for general stock exchange trading is the Frankfurt Stock Exchange, the stock options may be exercised if the volume-weighted 6-month average price of the Company’s shares in Xetra trading (or a comparable successor system) on the Frankfurt Stock Exchange at the expiry of the waiting period is at least 20% above the exercise price.</w:t>
      </w:r>
    </w:p>
    <w:p>
      <w:pPr>
        <w:spacing w:after="0" w:line="181" w:lineRule="exact"/>
        <w:rPr>
          <w:sz w:val="20"/>
          <w:szCs w:val="20"/>
          <w:color w:val="auto"/>
        </w:rPr>
      </w:pPr>
    </w:p>
    <w:p>
      <w:pPr>
        <w:ind w:left="1120" w:hanging="288"/>
        <w:spacing w:after="0"/>
        <w:tabs>
          <w:tab w:leader="none" w:pos="1120" w:val="left"/>
        </w:tabs>
        <w:numPr>
          <w:ilvl w:val="0"/>
          <w:numId w:val="267"/>
        </w:numPr>
        <w:rPr>
          <w:rFonts w:ascii="Arial" w:cs="Arial" w:eastAsia="Arial" w:hAnsi="Arial"/>
          <w:sz w:val="12"/>
          <w:szCs w:val="12"/>
          <w:b w:val="1"/>
          <w:bCs w:val="1"/>
          <w:color w:val="auto"/>
        </w:rPr>
      </w:pPr>
      <w:r>
        <w:rPr>
          <w:rFonts w:ascii="Arial" w:cs="Arial" w:eastAsia="Arial" w:hAnsi="Arial"/>
          <w:sz w:val="12"/>
          <w:szCs w:val="12"/>
          <w:b w:val="1"/>
          <w:bCs w:val="1"/>
          <w:color w:val="auto"/>
        </w:rPr>
        <w:t>Exercise of subscription rights</w:t>
      </w:r>
    </w:p>
    <w:p>
      <w:pPr>
        <w:spacing w:after="0" w:line="78" w:lineRule="exact"/>
        <w:rPr>
          <w:sz w:val="20"/>
          <w:szCs w:val="20"/>
          <w:color w:val="auto"/>
        </w:rPr>
      </w:pPr>
    </w:p>
    <w:p>
      <w:pPr>
        <w:ind w:left="1120" w:hanging="299"/>
        <w:spacing w:after="0" w:line="256" w:lineRule="auto"/>
        <w:tabs>
          <w:tab w:leader="none" w:pos="110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2"/>
          <w:szCs w:val="12"/>
          <w:color w:val="auto"/>
        </w:rPr>
        <w:t>The subscription rights are exercised by means of a written, personally signed declaration to the Company (“</w:t>
      </w:r>
      <w:r>
        <w:rPr>
          <w:rFonts w:ascii="Arial" w:cs="Arial" w:eastAsia="Arial" w:hAnsi="Arial"/>
          <w:sz w:val="12"/>
          <w:szCs w:val="12"/>
          <w:b w:val="1"/>
          <w:bCs w:val="1"/>
          <w:color w:val="auto"/>
        </w:rPr>
        <w:t>subscription</w:t>
      </w:r>
      <w:r>
        <w:rPr>
          <w:rFonts w:ascii="Arial" w:cs="Arial" w:eastAsia="Arial" w:hAnsi="Arial"/>
          <w:sz w:val="12"/>
          <w:szCs w:val="12"/>
          <w:color w:val="auto"/>
        </w:rPr>
        <w:t xml:space="preserve"> </w:t>
      </w:r>
      <w:r>
        <w:rPr>
          <w:rFonts w:ascii="Arial" w:cs="Arial" w:eastAsia="Arial" w:hAnsi="Arial"/>
          <w:sz w:val="12"/>
          <w:szCs w:val="12"/>
          <w:b w:val="1"/>
          <w:bCs w:val="1"/>
          <w:color w:val="auto"/>
        </w:rPr>
        <w:t>declaration</w:t>
      </w:r>
      <w:r>
        <w:rPr>
          <w:rFonts w:ascii="Arial" w:cs="Arial" w:eastAsia="Arial" w:hAnsi="Arial"/>
          <w:sz w:val="12"/>
          <w:szCs w:val="12"/>
          <w:color w:val="auto"/>
        </w:rPr>
        <w:t>”), which must be received by the Company in duplicate</w:t>
      </w:r>
      <w:r>
        <w:rPr>
          <w:rFonts w:ascii="Arial" w:cs="Arial" w:eastAsia="Arial" w:hAnsi="Arial"/>
          <w:sz w:val="12"/>
          <w:szCs w:val="12"/>
          <w:b w:val="1"/>
          <w:bCs w:val="1"/>
          <w:color w:val="auto"/>
        </w:rPr>
        <w:t xml:space="preserve"> </w:t>
      </w:r>
      <w:r>
        <w:rPr>
          <w:rFonts w:ascii="Arial" w:cs="Arial" w:eastAsia="Arial" w:hAnsi="Arial"/>
          <w:sz w:val="12"/>
          <w:szCs w:val="12"/>
          <w:color w:val="auto"/>
        </w:rPr>
        <w:t>within an exercise period. The form available from the Company must be used for the subscription declaration.</w:t>
      </w:r>
    </w:p>
    <w:p>
      <w:pPr>
        <w:spacing w:after="0" w:line="200" w:lineRule="exact"/>
        <w:rPr>
          <w:sz w:val="20"/>
          <w:szCs w:val="20"/>
          <w:color w:val="auto"/>
        </w:rPr>
      </w:pPr>
    </w:p>
    <w:p>
      <w:pPr>
        <w:ind w:left="1120" w:right="100" w:hanging="299"/>
        <w:spacing w:after="0" w:line="280" w:lineRule="auto"/>
        <w:tabs>
          <w:tab w:leader="none" w:pos="110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1"/>
          <w:szCs w:val="11"/>
          <w:color w:val="auto"/>
        </w:rPr>
        <w:t>In addition to the information required by § 198 German Stock Corporation Act, the subscription declaration must contain the number of subscription rights that the holder of subscription rights wishes to exercise and the details of a securities account of the holder of subscription rights for the registration of the shares of Mynaric. The number of subscription rights exercised must be divisible by 100, unless a subscription right holder exercises all subscription rights to which he is entitled.</w:t>
      </w:r>
    </w:p>
    <w:p>
      <w:pPr>
        <w:spacing w:after="0" w:line="56" w:lineRule="exact"/>
        <w:rPr>
          <w:sz w:val="20"/>
          <w:szCs w:val="20"/>
          <w:color w:val="auto"/>
        </w:rPr>
      </w:pPr>
    </w:p>
    <w:p>
      <w:pPr>
        <w:ind w:left="1140"/>
        <w:spacing w:after="0" w:line="278" w:lineRule="auto"/>
        <w:rPr>
          <w:sz w:val="20"/>
          <w:szCs w:val="20"/>
          <w:color w:val="auto"/>
        </w:rPr>
      </w:pPr>
      <w:r>
        <w:rPr>
          <w:rFonts w:ascii="Arial" w:cs="Arial" w:eastAsia="Arial" w:hAnsi="Arial"/>
          <w:sz w:val="11"/>
          <w:szCs w:val="11"/>
          <w:color w:val="auto"/>
        </w:rPr>
        <w:t>If the number of exercisable subscription rights is reduced due to the fact that the maximum number of subscription rights determined for an exercise period (item 2.5 of the option conditions) has been exceeded, Mynaric will inform the holder of subscription rights of this fact and inform the holder of the maximum number of subscription rights that can be exercised in this exercise period. In this case, the beneficiary shall immediately issue a new subscription declaration within the meaning of this provision. This new subscription declaration may not relate to more than the maximum number of subscription</w:t>
      </w:r>
    </w:p>
    <w:p>
      <w:pPr>
        <w:spacing w:after="0" w:line="20" w:lineRule="exact"/>
        <w:rPr>
          <w:sz w:val="20"/>
          <w:szCs w:val="20"/>
          <w:color w:val="auto"/>
        </w:rPr>
      </w:pPr>
      <w:r>
        <w:rPr>
          <w:sz w:val="20"/>
          <w:szCs w:val="20"/>
          <w:color w:val="auto"/>
        </w:rPr>
        <w:br w:type="column"/>
      </w:r>
    </w:p>
    <w:p>
      <w:pPr>
        <w:ind w:left="291" w:right="859"/>
        <w:spacing w:after="0" w:line="313" w:lineRule="auto"/>
        <w:rPr>
          <w:sz w:val="20"/>
          <w:szCs w:val="20"/>
          <w:color w:val="auto"/>
        </w:rPr>
      </w:pPr>
      <w:r>
        <w:rPr>
          <w:rFonts w:ascii="Arial" w:cs="Arial" w:eastAsia="Arial" w:hAnsi="Arial"/>
          <w:sz w:val="10"/>
          <w:szCs w:val="10"/>
          <w:color w:val="auto"/>
        </w:rPr>
        <w:t>dieses Handelssystem für den allgemeinen Börsenhandel geöffnet gewesen ist, die Frankfurter Wertpapierbörse ist, können die Aktienoptionen ausgeübt werden, wenn der volumengewichtete 6-Monats-Durchschnittskurs der Aktie der Gesellschaft im Xetra-Handel (oder einem vergleichbaren Nachfolgesystem) an der Frankfurter Wertpapierbörse bei Ablauf der Wartezeit mindestens 20 % über dem Ausübungspreis liegt.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-1094740</wp:posOffset>
            </wp:positionV>
            <wp:extent cx="1285875" cy="3714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6" w:lineRule="exact"/>
        <w:rPr>
          <w:sz w:val="20"/>
          <w:szCs w:val="20"/>
          <w:color w:val="auto"/>
        </w:rPr>
      </w:pPr>
    </w:p>
    <w:p>
      <w:pPr>
        <w:ind w:left="291" w:hanging="291"/>
        <w:spacing w:after="0"/>
        <w:tabs>
          <w:tab w:leader="none" w:pos="291" w:val="left"/>
        </w:tabs>
        <w:numPr>
          <w:ilvl w:val="0"/>
          <w:numId w:val="268"/>
        </w:numPr>
        <w:rPr>
          <w:rFonts w:ascii="Arial" w:cs="Arial" w:eastAsia="Arial" w:hAnsi="Arial"/>
          <w:sz w:val="12"/>
          <w:szCs w:val="12"/>
          <w:b w:val="1"/>
          <w:bCs w:val="1"/>
          <w:color w:val="auto"/>
        </w:rPr>
      </w:pPr>
      <w:r>
        <w:rPr>
          <w:rFonts w:ascii="Arial" w:cs="Arial" w:eastAsia="Arial" w:hAnsi="Arial"/>
          <w:sz w:val="12"/>
          <w:szCs w:val="12"/>
          <w:b w:val="1"/>
          <w:bCs w:val="1"/>
          <w:color w:val="auto"/>
        </w:rPr>
        <w:t>Ausübung der Bezugsrechte</w:t>
      </w:r>
    </w:p>
    <w:p>
      <w:pPr>
        <w:spacing w:after="0" w:line="78" w:lineRule="exact"/>
        <w:rPr>
          <w:sz w:val="20"/>
          <w:szCs w:val="20"/>
          <w:color w:val="auto"/>
        </w:rPr>
      </w:pPr>
    </w:p>
    <w:p>
      <w:pPr>
        <w:ind w:left="291" w:right="959" w:hanging="299"/>
        <w:spacing w:after="0" w:line="283" w:lineRule="auto"/>
        <w:tabs>
          <w:tab w:leader="none" w:pos="27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1"/>
          <w:szCs w:val="11"/>
          <w:color w:val="auto"/>
        </w:rPr>
        <w:t>Die Ausübung der Bezugsrechte erfolgt durch schriftliche, eigenhändig unterschriebene Erklärung gegenüber der Gesellschaft („</w:t>
      </w:r>
      <w:r>
        <w:rPr>
          <w:rFonts w:ascii="Arial" w:cs="Arial" w:eastAsia="Arial" w:hAnsi="Arial"/>
          <w:sz w:val="11"/>
          <w:szCs w:val="11"/>
          <w:b w:val="1"/>
          <w:bCs w:val="1"/>
          <w:color w:val="auto"/>
        </w:rPr>
        <w:t>Bezugserklärung</w:t>
      </w:r>
      <w:r>
        <w:rPr>
          <w:rFonts w:ascii="Arial" w:cs="Arial" w:eastAsia="Arial" w:hAnsi="Arial"/>
          <w:sz w:val="11"/>
          <w:szCs w:val="11"/>
          <w:color w:val="auto"/>
        </w:rPr>
        <w:t>“), die dieser innerhalb eines Ausübungszeitraums in doppelter Ausfertigung zugehen muss. Für die Bezugserklärung ist der bei der Gesellschaft erhältliche Vordruck zu verwenden.</w:t>
      </w:r>
    </w:p>
    <w:p>
      <w:pPr>
        <w:spacing w:after="0" w:line="41" w:lineRule="exact"/>
        <w:rPr>
          <w:sz w:val="20"/>
          <w:szCs w:val="20"/>
          <w:color w:val="auto"/>
        </w:rPr>
      </w:pPr>
    </w:p>
    <w:p>
      <w:pPr>
        <w:ind w:left="291" w:right="859" w:hanging="299"/>
        <w:spacing w:after="0" w:line="313" w:lineRule="auto"/>
        <w:tabs>
          <w:tab w:leader="none" w:pos="27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0"/>
          <w:szCs w:val="10"/>
          <w:color w:val="auto"/>
        </w:rPr>
        <w:t>Über die Angaben nach § 198 AktG hinaus hat die Bezugserklärung die Anzahl der Bezugsrechte, welche der Bezugsrechtsinhaber ausüben möchte, sowie die Angabe eines Wertpapierdepots des Bezugsrechtsinhabers zur Einbuchung der Aktien der Mynaric zu enthalten. Die Anzahl der ausgeübten Bezugsrechte muss durch 50 teilbar sein, es sei denn, ein Bezugsrechtsinhaber übt alle ihm zustehenden Bezugsrechte aus.</w:t>
      </w:r>
    </w:p>
    <w:p>
      <w:pPr>
        <w:spacing w:after="0" w:line="43" w:lineRule="exact"/>
        <w:rPr>
          <w:sz w:val="20"/>
          <w:szCs w:val="20"/>
          <w:color w:val="auto"/>
        </w:rPr>
      </w:pPr>
    </w:p>
    <w:p>
      <w:pPr>
        <w:ind w:left="291" w:right="879"/>
        <w:spacing w:after="0" w:line="278" w:lineRule="auto"/>
        <w:rPr>
          <w:sz w:val="20"/>
          <w:szCs w:val="20"/>
          <w:color w:val="auto"/>
        </w:rPr>
      </w:pPr>
      <w:r>
        <w:rPr>
          <w:rFonts w:ascii="Arial" w:cs="Arial" w:eastAsia="Arial" w:hAnsi="Arial"/>
          <w:sz w:val="11"/>
          <w:szCs w:val="11"/>
          <w:color w:val="auto"/>
        </w:rPr>
        <w:t>Soweit sich die Anzahl der ausübbaren Bezugsrechte wegen einer Überschreitung der für einen Ausübungszeitraum festgelegten Höchstgrenze (Ziffer 2.5 der Optionsbedingungen) reduziert, wird Mynaric den Bezugsberechtigten hierauf hinweisen und ihm die Höchstzahl der von ihm in diesem Ausübungszeitraum ausübbaren Bezugsrechte mitteilen. In diesem Fall hat der Bezugsberechtigte unverzüglich eine neue Bezugserklärung im Sinne dieser Vorschrift auszufertigen. Diese neue Bezugserklärung darf sich höchstens auf die dem Bezugsberechtigten mitgeteilten Höchstanzahl der von ihm ausübbaren Bezugsrechte beziehen.</w:t>
      </w:r>
    </w:p>
    <w:p>
      <w:pPr>
        <w:spacing w:after="0" w:line="80" w:lineRule="exact"/>
        <w:rPr>
          <w:sz w:val="20"/>
          <w:szCs w:val="20"/>
          <w:color w:val="auto"/>
        </w:rPr>
      </w:pPr>
    </w:p>
    <w:p>
      <w:pPr>
        <w:sectPr>
          <w:pgSz w:w="11900" w:h="16838" w:orient="portrait"/>
          <w:cols w:equalWidth="0" w:num="2">
            <w:col w:w="4420" w:space="309"/>
            <w:col w:w="4290"/>
          </w:cols>
          <w:pgMar w:left="1440" w:top="914" w:right="1440" w:bottom="1440" w:gutter="0" w:footer="0" w:header="0"/>
        </w:sectPr>
      </w:pPr>
    </w:p>
    <w:p>
      <w:pPr>
        <w:jc w:val="center"/>
        <w:ind w:right="19"/>
        <w:spacing w:after="0"/>
        <w:rPr>
          <w:sz w:val="20"/>
          <w:szCs w:val="20"/>
          <w:color w:val="auto"/>
        </w:rPr>
      </w:pPr>
      <w:r>
        <w:rPr>
          <w:rFonts w:ascii="Arial" w:cs="Arial" w:eastAsia="Arial" w:hAnsi="Arial"/>
          <w:sz w:val="10"/>
          <w:szCs w:val="10"/>
          <w:color w:val="auto"/>
        </w:rPr>
        <w:t>Page 6/18</w:t>
      </w:r>
    </w:p>
    <w:p>
      <w:pPr>
        <w:sectPr>
          <w:pgSz w:w="11900" w:h="16838" w:orient="portrait"/>
          <w:cols w:equalWidth="0" w:num="1">
            <w:col w:w="9019"/>
          </w:cols>
          <w:pgMar w:left="1440" w:top="914" w:right="1440" w:bottom="1440" w:gutter="0" w:footer="0" w:header="0"/>
          <w:type w:val="continuous"/>
        </w:sectPr>
      </w:pPr>
    </w:p>
    <w:bookmarkStart w:id="323" w:name="page324"/>
    <w:bookmarkEnd w:id="323"/>
    <w:p>
      <w:pPr>
        <w:ind w:left="1140" w:right="60"/>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rights which the beneficiary has been notified of and which he may exercise.</w:t>
      </w:r>
    </w:p>
    <w:p>
      <w:pPr>
        <w:spacing w:after="0" w:line="39" w:lineRule="exact"/>
        <w:rPr>
          <w:sz w:val="20"/>
          <w:szCs w:val="20"/>
          <w:color w:val="auto"/>
        </w:rPr>
      </w:pPr>
    </w:p>
    <w:p>
      <w:pPr>
        <w:ind w:left="1120" w:hanging="299"/>
        <w:spacing w:after="0" w:line="277" w:lineRule="auto"/>
        <w:tabs>
          <w:tab w:leader="none" w:pos="110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1"/>
          <w:szCs w:val="11"/>
          <w:color w:val="auto"/>
        </w:rPr>
        <w:t>The subscription declaration can only be submitted within the respective exercise period, and in the case of a notified excess of the maximum limit within one week of receipt of the notification from Mynaric. In order to be effective, it must be received by Mynaric at the latest on the last day of the exercise period. A subscription declaration sent by fax in due time is considered to have been received in time if the original is received at the latest on the third stock exchange trading day following receipt of the fax. A declaration by e-mail is permissible if it contains the original of the signed subscription declaration as a file attachment (e.g. in pdf or tif format) and the original is received no later than on the third stock exchange trading day following receipt of the e-mail.</w:t>
      </w:r>
    </w:p>
    <w:p>
      <w:pPr>
        <w:spacing w:after="0" w:line="192" w:lineRule="exact"/>
        <w:rPr>
          <w:sz w:val="20"/>
          <w:szCs w:val="20"/>
          <w:color w:val="auto"/>
        </w:rPr>
      </w:pPr>
    </w:p>
    <w:p>
      <w:pPr>
        <w:ind w:left="1120" w:right="40" w:hanging="299"/>
        <w:spacing w:after="0" w:line="307" w:lineRule="auto"/>
        <w:tabs>
          <w:tab w:leader="none" w:pos="110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0"/>
          <w:szCs w:val="10"/>
          <w:color w:val="auto"/>
        </w:rPr>
        <w:t>Upon exercise of the subscription rights, the exercise price is payable to Mynaric. Upon receipt of the payment of the exercise price to the account specified in the subscription declaration, Mynaric will immediately credit the holder of subscription rights with the number of shares corresponding to the exercised subscription rights. Mynaric is entitled to make a different arrangement with holders of subscription rights with regard to individual exercise periods, in particular to provide for a later maturity of the exercise price and to credit the shares to the holder of subscription rights at a later date if this is necessary for objective reasons, in particular to avoid a profit entitlement of the delivered shares differing from the existing shares. In this case Mynaric will determine a correspondingly later maturity of the exercise price.</w:t>
      </w:r>
    </w:p>
    <w:p>
      <w:pPr>
        <w:spacing w:after="0" w:line="192" w:lineRule="exact"/>
        <w:rPr>
          <w:sz w:val="20"/>
          <w:szCs w:val="20"/>
          <w:color w:val="auto"/>
        </w:rPr>
      </w:pPr>
    </w:p>
    <w:p>
      <w:pPr>
        <w:ind w:left="1140" w:right="80"/>
        <w:spacing w:after="0" w:line="276" w:lineRule="auto"/>
        <w:rPr>
          <w:sz w:val="20"/>
          <w:szCs w:val="20"/>
          <w:color w:val="auto"/>
        </w:rPr>
      </w:pPr>
      <w:r>
        <w:rPr>
          <w:rFonts w:ascii="Arial" w:cs="Arial" w:eastAsia="Arial" w:hAnsi="Arial"/>
          <w:sz w:val="12"/>
          <w:szCs w:val="12"/>
          <w:color w:val="auto"/>
        </w:rPr>
        <w:t>The subscription declaration can determine that subscription rights expire if payments have not been made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right="859" w:hanging="299"/>
        <w:spacing w:after="0" w:line="307" w:lineRule="auto"/>
        <w:rPr>
          <w:sz w:val="20"/>
          <w:szCs w:val="20"/>
          <w:color w:val="auto"/>
        </w:rPr>
      </w:pPr>
      <w:r>
        <w:rPr>
          <w:rFonts w:ascii="Arial" w:cs="Arial" w:eastAsia="Arial" w:hAnsi="Arial"/>
          <w:sz w:val="12"/>
          <w:szCs w:val="12"/>
          <w:b w:val="1"/>
          <w:bCs w:val="1"/>
          <w:color w:val="auto"/>
        </w:rPr>
        <w:t>5.3</w:t>
      </w:r>
      <w:r>
        <w:rPr>
          <w:sz w:val="20"/>
          <w:szCs w:val="20"/>
          <w:color w:val="auto"/>
        </w:rPr>
        <w:t xml:space="preserve"> </w:t>
      </w:r>
      <w:r>
        <w:rPr>
          <w:rFonts w:ascii="Arial" w:cs="Arial" w:eastAsia="Arial" w:hAnsi="Arial"/>
          <w:sz w:val="10"/>
          <w:szCs w:val="10"/>
          <w:color w:val="auto"/>
        </w:rPr>
        <w:t>Die Abgabe der Bezugserklärung kann nur innerhalb des jeweiligen Ausübungszeitraums erfolgen, im Falle einer mitgeteilten Überschreitung der Höchstgrenze innerhalb von einer Woche seit Zugang der Mitteilung der Mynaric. Sie muss zu ihrer Wirksamkeit der Mynaric spätestens am letzten Tag des Ausübungszeitraums zugegangen sein. Eine mittels Telefax fristgerecht übermittelte Bezugserklärung gilt als rechtzeitig zugegangen, wenn das Original spätestens am dritten auf den Zugang des Telefaxes folgenden Börsenhandelstag zugeht. Eine Erklärung per E-Mail ist zulässig, wenn sie das Original der unterzeichneten Bezugserklärung als Dateianhang (z. B. im pdf-oder tif-Format) enthält und das Original spätestens am dritten auf den Zugang des E-Mails folgenden Börsenhandelstag zugeht.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-1868805</wp:posOffset>
            </wp:positionV>
            <wp:extent cx="1285875" cy="3714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2" w:lineRule="exact"/>
        <w:rPr>
          <w:sz w:val="20"/>
          <w:szCs w:val="20"/>
          <w:color w:val="auto"/>
        </w:rPr>
      </w:pPr>
    </w:p>
    <w:p>
      <w:pPr>
        <w:ind w:right="899" w:hanging="299"/>
        <w:spacing w:after="0" w:line="306" w:lineRule="auto"/>
        <w:rPr>
          <w:sz w:val="20"/>
          <w:szCs w:val="20"/>
          <w:color w:val="auto"/>
        </w:rPr>
      </w:pPr>
      <w:r>
        <w:rPr>
          <w:rFonts w:ascii="Arial" w:cs="Arial" w:eastAsia="Arial" w:hAnsi="Arial"/>
          <w:sz w:val="12"/>
          <w:szCs w:val="12"/>
          <w:b w:val="1"/>
          <w:bCs w:val="1"/>
          <w:color w:val="auto"/>
        </w:rPr>
        <w:t>5.4.</w:t>
      </w:r>
      <w:r>
        <w:rPr>
          <w:sz w:val="20"/>
          <w:szCs w:val="20"/>
          <w:color w:val="auto"/>
        </w:rPr>
        <w:t xml:space="preserve"> </w:t>
      </w:r>
      <w:r>
        <w:rPr>
          <w:rFonts w:ascii="Arial" w:cs="Arial" w:eastAsia="Arial" w:hAnsi="Arial"/>
          <w:sz w:val="10"/>
          <w:szCs w:val="10"/>
          <w:color w:val="auto"/>
        </w:rPr>
        <w:t>Mit Ausübung der Bezugsrechte ist der Ausübungspreis an die Mynaric zu zahlen. Nach Eingang der Zahlung des Ausübungspreises auf das in der Bezugserklärung angegebene Konto wird Mynaric dem Bezugsrechtsinhaber unverzüglich die den ausgeübten Bezugsrechten entsprechende Anzahl an Aktien gutschreiben. Mynaric ist berechtigt, mit Bezugsrechtsinhabern hinsichtlich einzelner Ausübungszeiträume eine hiervon abweichende Regelung zu treffen, insbesondere eine spätere Fälligkeit des Ausübungspreises vorzusehen und die Aktien zu einem späteren Zeitpunkt dem Bezugsrechtsinhaber gutzuschreiben, wenn dies aus sachlichen Gründen geboten ist, insbesondere, um eine zu den bestehenden Aktien unterschiedliche Gewinnberechtigung der gelieferten Aktien zu vermeiden. In diesem Fall wird Mynaric eine entsprechend spätere Fälligkeit des Ausübungspreises festlegen.</w:t>
      </w:r>
    </w:p>
    <w:p>
      <w:pPr>
        <w:spacing w:after="0" w:line="192" w:lineRule="exact"/>
        <w:rPr>
          <w:sz w:val="20"/>
          <w:szCs w:val="20"/>
          <w:color w:val="auto"/>
        </w:rPr>
      </w:pPr>
    </w:p>
    <w:p>
      <w:pPr>
        <w:ind w:right="1219"/>
        <w:spacing w:after="0" w:line="379" w:lineRule="auto"/>
        <w:rPr>
          <w:sz w:val="20"/>
          <w:szCs w:val="20"/>
          <w:color w:val="auto"/>
        </w:rPr>
      </w:pPr>
      <w:r>
        <w:rPr>
          <w:rFonts w:ascii="Arial" w:cs="Arial" w:eastAsia="Arial" w:hAnsi="Arial"/>
          <w:sz w:val="10"/>
          <w:szCs w:val="10"/>
          <w:color w:val="auto"/>
        </w:rPr>
        <w:t>Die Bezugserklärung kann bestimmen, dass Bezugsrechte verfallen, soweit Zahlungen nicht binnen einer</w:t>
      </w:r>
    </w:p>
    <w:p>
      <w:pPr>
        <w:spacing w:after="0" w:line="114" w:lineRule="exact"/>
        <w:rPr>
          <w:sz w:val="20"/>
          <w:szCs w:val="20"/>
          <w:color w:val="auto"/>
        </w:rPr>
      </w:pPr>
    </w:p>
    <w:p>
      <w:pPr>
        <w:sectPr>
          <w:pgSz w:w="11900" w:h="16838" w:orient="portrait"/>
          <w:cols w:equalWidth="0" w:num="2">
            <w:col w:w="4420" w:space="600"/>
            <w:col w:w="3999"/>
          </w:cols>
          <w:pgMar w:left="1440" w:top="914" w:right="1440" w:bottom="1440" w:gutter="0" w:footer="0" w:header="0"/>
        </w:sectPr>
      </w:pPr>
    </w:p>
    <w:p>
      <w:pPr>
        <w:jc w:val="center"/>
        <w:ind w:right="19"/>
        <w:spacing w:after="0"/>
        <w:rPr>
          <w:sz w:val="20"/>
          <w:szCs w:val="20"/>
          <w:color w:val="auto"/>
        </w:rPr>
      </w:pPr>
      <w:r>
        <w:rPr>
          <w:rFonts w:ascii="Arial" w:cs="Arial" w:eastAsia="Arial" w:hAnsi="Arial"/>
          <w:sz w:val="10"/>
          <w:szCs w:val="10"/>
          <w:color w:val="auto"/>
        </w:rPr>
        <w:t>Page 7/18</w:t>
      </w:r>
    </w:p>
    <w:p>
      <w:pPr>
        <w:sectPr>
          <w:pgSz w:w="11900" w:h="16838" w:orient="portrait"/>
          <w:cols w:equalWidth="0" w:num="1">
            <w:col w:w="9019"/>
          </w:cols>
          <w:pgMar w:left="1440" w:top="914" w:right="1440" w:bottom="1440" w:gutter="0" w:footer="0" w:header="0"/>
          <w:type w:val="continuous"/>
        </w:sectPr>
      </w:pPr>
    </w:p>
    <w:bookmarkStart w:id="324" w:name="page325"/>
    <w:bookmarkEnd w:id="324"/>
    <w:p>
      <w:pPr>
        <w:ind w:left="1140" w:right="20"/>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within a reasonable period of time after the end of the exercise period in which the subscription rights were exercised. A period of two weeks shall be deemed reasonable. The subscription declaration or the exercise declaration may contain a direct debit agreement for the payment of the exercise price as well as a debit order for direct debits.</w:t>
      </w:r>
    </w:p>
    <w:p>
      <w:pPr>
        <w:spacing w:after="0" w:line="37" w:lineRule="exact"/>
        <w:rPr>
          <w:sz w:val="20"/>
          <w:szCs w:val="20"/>
          <w:color w:val="auto"/>
        </w:rPr>
      </w:pPr>
    </w:p>
    <w:p>
      <w:pPr>
        <w:ind w:left="1120" w:hanging="299"/>
        <w:spacing w:after="0" w:line="277" w:lineRule="auto"/>
        <w:tabs>
          <w:tab w:leader="none" w:pos="110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1"/>
          <w:szCs w:val="11"/>
          <w:color w:val="auto"/>
        </w:rPr>
        <w:t>Mynaric fulfils its obligation to transfer shares with new shares using the Contingent Capital 2021 and, to the extent permitted by law, has the power to deliver own shares instead of new shares in whole or in part. The holder of subscription rights is obliged to accept the shares offered by Mynaric in fulfilment of his subscription rights. Furthermore, the company is entitled to pay out in cash, in whole or in part, instead of delivering (new or own) shares, the value of the shares to be delivered upon exercise of subscription rights minus the exercise price. The decision as to which alternative is chosen by the Company in each individual case is made by the Management Board of the Company or, insofar as members of the Management Board of the Company are affected, by the Supervisory Board of the Company.</w:t>
      </w:r>
    </w:p>
    <w:p>
      <w:pPr>
        <w:spacing w:after="0" w:line="190" w:lineRule="exact"/>
        <w:rPr>
          <w:sz w:val="20"/>
          <w:szCs w:val="20"/>
          <w:color w:val="auto"/>
        </w:rPr>
      </w:pPr>
    </w:p>
    <w:p>
      <w:pPr>
        <w:ind w:left="1120" w:right="60" w:hanging="299"/>
        <w:spacing w:after="0" w:line="256" w:lineRule="auto"/>
        <w:tabs>
          <w:tab w:leader="none" w:pos="110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2"/>
          <w:szCs w:val="12"/>
          <w:color w:val="auto"/>
        </w:rPr>
        <w:t>The new no-par-value bearer or registered shares are eligible for dividends from the beginning of the fiscal year for which, at the time the subscription right is exercised, no resolution by the Annual General Meeting on the appropriation of net income has yet been passed.</w:t>
      </w:r>
    </w:p>
    <w:p>
      <w:pPr>
        <w:spacing w:after="0" w:line="56" w:lineRule="exact"/>
        <w:rPr>
          <w:sz w:val="20"/>
          <w:szCs w:val="20"/>
          <w:color w:val="auto"/>
        </w:rPr>
      </w:pPr>
    </w:p>
    <w:p>
      <w:pPr>
        <w:ind w:left="1140" w:right="60" w:hanging="308"/>
        <w:spacing w:after="0" w:line="283" w:lineRule="auto"/>
        <w:tabs>
          <w:tab w:leader="none" w:pos="1134" w:val="left"/>
        </w:tabs>
        <w:numPr>
          <w:ilvl w:val="0"/>
          <w:numId w:val="269"/>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 of service or employment relationship, Leaving the company</w:t>
      </w:r>
    </w:p>
    <w:p>
      <w:pPr>
        <w:spacing w:after="0" w:line="35" w:lineRule="exact"/>
        <w:rPr>
          <w:sz w:val="20"/>
          <w:szCs w:val="20"/>
          <w:color w:val="auto"/>
        </w:rPr>
      </w:pPr>
    </w:p>
    <w:p>
      <w:pPr>
        <w:ind w:left="1120" w:right="20" w:hanging="299"/>
        <w:spacing w:after="0" w:line="255" w:lineRule="auto"/>
        <w:tabs>
          <w:tab w:leader="none" w:pos="110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2"/>
          <w:szCs w:val="12"/>
          <w:color w:val="auto"/>
        </w:rPr>
        <w:t>Subject to the following provisions and Section 7.2, subscription rights may only be exercised by the holder of subscription rights and only if the holder of subscription rights is in an ongoing service or employment relationship with a participating company at the time of exercise or if the service or employment relationship ends at a point in time after</w:t>
      </w:r>
    </w:p>
    <w:p>
      <w:pPr>
        <w:spacing w:after="0" w:line="20" w:lineRule="exact"/>
        <w:rPr>
          <w:sz w:val="20"/>
          <w:szCs w:val="20"/>
          <w:color w:val="auto"/>
        </w:rPr>
      </w:pPr>
      <w:r>
        <w:rPr>
          <w:sz w:val="20"/>
          <w:szCs w:val="20"/>
          <w:color w:val="auto"/>
        </w:rPr>
        <w:br w:type="column"/>
      </w:r>
    </w:p>
    <w:p>
      <w:pPr>
        <w:ind w:left="291" w:right="859"/>
        <w:spacing w:after="0" w:line="283" w:lineRule="auto"/>
        <w:rPr>
          <w:sz w:val="20"/>
          <w:szCs w:val="20"/>
          <w:color w:val="auto"/>
        </w:rPr>
      </w:pPr>
      <w:r>
        <w:rPr>
          <w:rFonts w:ascii="Arial" w:cs="Arial" w:eastAsia="Arial" w:hAnsi="Arial"/>
          <w:sz w:val="11"/>
          <w:szCs w:val="11"/>
          <w:color w:val="auto"/>
        </w:rPr>
        <w:t>angemessenen Frist nach Ablauf des Ausübungszeitraumes, in dem die Bezugsrechte ausgeübt wurden, erfolgt sind. Eine Frist von zwei Wochen gilt als angemessen. Die Bezugserklärung oder die Ausübungserklärung können für die Zahlung des Ausübungspreises eine Lastschriftvereinbarung sowie einen Abbuchungsauftrag für Lastschriften enthalten.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-996315</wp:posOffset>
            </wp:positionV>
            <wp:extent cx="1285875" cy="3714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7" w:lineRule="exact"/>
        <w:rPr>
          <w:sz w:val="20"/>
          <w:szCs w:val="20"/>
          <w:color w:val="auto"/>
        </w:rPr>
      </w:pPr>
    </w:p>
    <w:p>
      <w:pPr>
        <w:ind w:left="291" w:right="859" w:hanging="299"/>
        <w:spacing w:after="0" w:line="277" w:lineRule="auto"/>
        <w:tabs>
          <w:tab w:leader="none" w:pos="27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1"/>
          <w:szCs w:val="11"/>
          <w:color w:val="auto"/>
        </w:rPr>
        <w:t>Mynaric erfüllt ihre Verpflichtung zur Übereignung von Aktien mit neuen Aktien unter Inanspruchnahme des Bedingten Kapitals 2021. Ihr steht, soweit gesetzlich zulässig, die Befugnis zu, anstatt neuer Aktien ganz oder teilweise eigene Aktien zu liefern. Der Bezugsrechtsinhaber ist verpflichtet, die von der Mynaric angebotenen Aktien in Erfüllung seiner Bezugsrechte anzunehmen. Ferner ist die Gesellschaft berechtigt, ganz oder teilweise an Stelle der Lieferung von (neuen oder eigenen) Aktien den Wert der bei Ausübung von Bezugsrechten zu liefernden Aktien abzüglich des Ausübungspreises in bar auszuzahlen. Die Entscheidung, welche Alternative von der Gesellschaft im Einzelfall gewählt wird, trifft der Vorstand der Gesellschaft bzw., soweit Mitlieder des Vorstands der Gesellschaft betroffen sind, der Aufsichtsrat der Gesellschaft.</w:t>
      </w:r>
    </w:p>
    <w:p>
      <w:pPr>
        <w:spacing w:after="0" w:line="44" w:lineRule="exact"/>
        <w:rPr>
          <w:sz w:val="20"/>
          <w:szCs w:val="20"/>
          <w:color w:val="auto"/>
        </w:rPr>
      </w:pPr>
    </w:p>
    <w:p>
      <w:pPr>
        <w:ind w:left="291" w:right="879" w:hanging="299"/>
        <w:spacing w:after="0" w:line="285" w:lineRule="auto"/>
        <w:tabs>
          <w:tab w:leader="none" w:pos="27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1"/>
          <w:szCs w:val="11"/>
          <w:color w:val="auto"/>
        </w:rPr>
        <w:t>Die neuen, auf den Inhaber oder den Namen lautenden Stückaktien nehmen vom Beginn des Geschäftsjahres an, für das zum Zeitpunkt der Ausübung des Bezugsrechts noch kein Beschluss der Hauptversammlung über die Verwendung des Bilanzgewinns gefasst worden ist, am Gewinn teil.</w:t>
      </w:r>
    </w:p>
    <w:p>
      <w:pPr>
        <w:spacing w:after="0" w:line="41" w:lineRule="exact"/>
        <w:rPr>
          <w:sz w:val="20"/>
          <w:szCs w:val="20"/>
          <w:color w:val="auto"/>
        </w:rPr>
      </w:pPr>
    </w:p>
    <w:p>
      <w:pPr>
        <w:ind w:left="291" w:right="1439" w:hanging="291"/>
        <w:spacing w:after="0" w:line="375" w:lineRule="auto"/>
        <w:tabs>
          <w:tab w:leader="none" w:pos="285" w:val="left"/>
        </w:tabs>
        <w:numPr>
          <w:ilvl w:val="0"/>
          <w:numId w:val="270"/>
        </w:numPr>
        <w:rPr>
          <w:rFonts w:ascii="Arial" w:cs="Arial" w:eastAsia="Arial" w:hAnsi="Arial"/>
          <w:sz w:val="10"/>
          <w:szCs w:val="10"/>
          <w:b w:val="1"/>
          <w:bCs w:val="1"/>
          <w:color w:val="auto"/>
        </w:rPr>
      </w:pPr>
      <w:r>
        <w:rPr>
          <w:rFonts w:ascii="Arial" w:cs="Arial" w:eastAsia="Arial" w:hAnsi="Arial"/>
          <w:sz w:val="10"/>
          <w:szCs w:val="10"/>
          <w:b w:val="1"/>
          <w:bCs w:val="1"/>
          <w:color w:val="auto"/>
        </w:rPr>
        <w:t>Beendigung des Dienst- oder Arbeitsverhältnisses, Ausscheiden von Betrieben</w:t>
      </w:r>
    </w:p>
    <w:p>
      <w:pPr>
        <w:spacing w:after="0" w:line="1" w:lineRule="exact"/>
        <w:rPr>
          <w:sz w:val="20"/>
          <w:szCs w:val="20"/>
          <w:color w:val="auto"/>
        </w:rPr>
      </w:pPr>
    </w:p>
    <w:p>
      <w:pPr>
        <w:ind w:left="291" w:right="879" w:hanging="299"/>
        <w:spacing w:after="0" w:line="255" w:lineRule="auto"/>
        <w:tabs>
          <w:tab w:leader="none" w:pos="27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2"/>
          <w:szCs w:val="12"/>
          <w:color w:val="auto"/>
        </w:rPr>
        <w:t xml:space="preserve">Vorbehaltlich nachfolgender Bestimmungen und Ziffer 7.2 dürfen Bezugsrechte nur vom Bezugsrechtsinhaber und nur dann ausgeübt werden, wenn der Bezugsrechtsinhaber zum Zeitpunkt der Ausübung in einem ungekündigten Dienst- oder Arbeitsverhältnis zu einem beteiligten Unternehmen steht </w:t>
      </w:r>
      <w:r>
        <w:rPr>
          <w:rFonts w:ascii="Arial" w:cs="Arial" w:eastAsia="Arial" w:hAnsi="Arial"/>
          <w:sz w:val="12"/>
          <w:szCs w:val="12"/>
          <w:u w:val="single" w:color="auto"/>
          <w:color w:val="auto"/>
        </w:rPr>
        <w:t>oder</w:t>
      </w:r>
      <w:r>
        <w:rPr>
          <w:rFonts w:ascii="Arial" w:cs="Arial" w:eastAsia="Arial" w:hAnsi="Arial"/>
          <w:sz w:val="12"/>
          <w:szCs w:val="12"/>
          <w:color w:val="auto"/>
        </w:rPr>
        <w:t xml:space="preserve"> das</w:t>
      </w:r>
    </w:p>
    <w:p>
      <w:pPr>
        <w:spacing w:after="0" w:line="87" w:lineRule="exact"/>
        <w:rPr>
          <w:sz w:val="20"/>
          <w:szCs w:val="20"/>
          <w:color w:val="auto"/>
        </w:rPr>
      </w:pPr>
    </w:p>
    <w:p>
      <w:pPr>
        <w:sectPr>
          <w:pgSz w:w="11900" w:h="16838" w:orient="portrait"/>
          <w:cols w:equalWidth="0" w:num="2">
            <w:col w:w="4440" w:space="289"/>
            <w:col w:w="4290"/>
          </w:cols>
          <w:pgMar w:left="1440" w:top="914" w:right="1440" w:bottom="1440" w:gutter="0" w:footer="0" w:header="0"/>
        </w:sectPr>
      </w:pPr>
    </w:p>
    <w:p>
      <w:pPr>
        <w:jc w:val="center"/>
        <w:ind w:right="19"/>
        <w:spacing w:after="0"/>
        <w:rPr>
          <w:sz w:val="20"/>
          <w:szCs w:val="20"/>
          <w:color w:val="auto"/>
        </w:rPr>
      </w:pPr>
      <w:r>
        <w:rPr>
          <w:rFonts w:ascii="Arial" w:cs="Arial" w:eastAsia="Arial" w:hAnsi="Arial"/>
          <w:sz w:val="10"/>
          <w:szCs w:val="10"/>
          <w:color w:val="auto"/>
        </w:rPr>
        <w:t>Page 8/18</w:t>
      </w:r>
    </w:p>
    <w:p>
      <w:pPr>
        <w:sectPr>
          <w:pgSz w:w="11900" w:h="16838" w:orient="portrait"/>
          <w:cols w:equalWidth="0" w:num="1">
            <w:col w:w="9019"/>
          </w:cols>
          <w:pgMar w:left="1440" w:top="914" w:right="1440" w:bottom="1440" w:gutter="0" w:footer="0" w:header="0"/>
          <w:type w:val="continuous"/>
        </w:sectPr>
      </w:pPr>
    </w:p>
    <w:bookmarkStart w:id="325" w:name="page326"/>
    <w:bookmarkEnd w:id="325"/>
    <w:p>
      <w:pPr>
        <w:ind w:left="1140" w:right="440"/>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granting of the subscription rights due to the expiry of a specified time limit, retirement or amicable termination.</w:t>
      </w:r>
    </w:p>
    <w:p>
      <w:pPr>
        <w:spacing w:after="0" w:line="304" w:lineRule="exact"/>
        <w:rPr>
          <w:sz w:val="20"/>
          <w:szCs w:val="20"/>
          <w:color w:val="auto"/>
        </w:rPr>
      </w:pPr>
    </w:p>
    <w:p>
      <w:pPr>
        <w:ind w:left="1140" w:hanging="299"/>
        <w:spacing w:after="0" w:line="278" w:lineRule="auto"/>
        <w:rPr>
          <w:sz w:val="20"/>
          <w:szCs w:val="20"/>
          <w:color w:val="auto"/>
        </w:rPr>
      </w:pPr>
      <w:r>
        <w:rPr>
          <w:rFonts w:ascii="Arial" w:cs="Arial" w:eastAsia="Arial" w:hAnsi="Arial"/>
          <w:sz w:val="11"/>
          <w:szCs w:val="11"/>
          <w:b w:val="1"/>
          <w:bCs w:val="1"/>
          <w:color w:val="auto"/>
        </w:rPr>
        <w:t xml:space="preserve">6.1.1 </w:t>
      </w:r>
      <w:r>
        <w:rPr>
          <w:rFonts w:ascii="Arial" w:cs="Arial" w:eastAsia="Arial" w:hAnsi="Arial"/>
          <w:sz w:val="11"/>
          <w:szCs w:val="11"/>
          <w:color w:val="auto"/>
        </w:rPr>
        <w:t>If the service or employment relationship of the beneficiary ends</w:t>
      </w:r>
      <w:r>
        <w:rPr>
          <w:rFonts w:ascii="Arial" w:cs="Arial" w:eastAsia="Arial" w:hAnsi="Arial"/>
          <w:sz w:val="11"/>
          <w:szCs w:val="11"/>
          <w:b w:val="1"/>
          <w:bCs w:val="1"/>
          <w:color w:val="auto"/>
        </w:rPr>
        <w:t xml:space="preserve"> after the end of the waiting period </w:t>
      </w:r>
      <w:r>
        <w:rPr>
          <w:rFonts w:ascii="Arial" w:cs="Arial" w:eastAsia="Arial" w:hAnsi="Arial"/>
          <w:sz w:val="11"/>
          <w:szCs w:val="11"/>
          <w:color w:val="auto"/>
        </w:rPr>
        <w:t>but before the subscription</w:t>
      </w:r>
      <w:r>
        <w:rPr>
          <w:rFonts w:ascii="Arial" w:cs="Arial" w:eastAsia="Arial" w:hAnsi="Arial"/>
          <w:sz w:val="11"/>
          <w:szCs w:val="11"/>
          <w:b w:val="1"/>
          <w:bCs w:val="1"/>
          <w:color w:val="auto"/>
        </w:rPr>
        <w:t xml:space="preserve"> </w:t>
      </w:r>
      <w:r>
        <w:rPr>
          <w:rFonts w:ascii="Arial" w:cs="Arial" w:eastAsia="Arial" w:hAnsi="Arial"/>
          <w:sz w:val="11"/>
          <w:szCs w:val="11"/>
          <w:color w:val="auto"/>
        </w:rPr>
        <w:t>rights are exercised and if this termination is for reasons other than the expiry of a specified time limit, retirement or termination by mutual consent, the subscription rights lapse without replacement at the end of the next exercise period, irrespective of whether the conditions for exercise were met at that time. In the event of an extraordinary termination of the service or employment relationship by Mynaric or the respective employing company for a reason in the person or behaviour of the holder of the subscription rights, the subscription rights expire at the time of the termination of the service or employment relationship without replacement or compensation.</w:t>
      </w:r>
    </w:p>
    <w:p>
      <w:pPr>
        <w:spacing w:after="0" w:line="183" w:lineRule="exact"/>
        <w:rPr>
          <w:sz w:val="20"/>
          <w:szCs w:val="20"/>
          <w:color w:val="auto"/>
        </w:rPr>
      </w:pPr>
    </w:p>
    <w:p>
      <w:pPr>
        <w:ind w:left="1140" w:right="40" w:hanging="299"/>
        <w:spacing w:after="0" w:line="282" w:lineRule="auto"/>
        <w:rPr>
          <w:sz w:val="20"/>
          <w:szCs w:val="20"/>
          <w:color w:val="auto"/>
        </w:rPr>
      </w:pPr>
      <w:r>
        <w:rPr>
          <w:rFonts w:ascii="Arial" w:cs="Arial" w:eastAsia="Arial" w:hAnsi="Arial"/>
          <w:sz w:val="11"/>
          <w:szCs w:val="11"/>
          <w:b w:val="1"/>
          <w:bCs w:val="1"/>
          <w:color w:val="auto"/>
        </w:rPr>
        <w:t xml:space="preserve">6.1.2 </w:t>
      </w:r>
      <w:r>
        <w:rPr>
          <w:rFonts w:ascii="Arial" w:cs="Arial" w:eastAsia="Arial" w:hAnsi="Arial"/>
          <w:sz w:val="11"/>
          <w:szCs w:val="11"/>
          <w:color w:val="auto"/>
        </w:rPr>
        <w:t>If the beneficiary’s service or employment relationship ends</w:t>
      </w:r>
      <w:r>
        <w:rPr>
          <w:rFonts w:ascii="Arial" w:cs="Arial" w:eastAsia="Arial" w:hAnsi="Arial"/>
          <w:sz w:val="11"/>
          <w:szCs w:val="11"/>
          <w:b w:val="1"/>
          <w:bCs w:val="1"/>
          <w:color w:val="auto"/>
        </w:rPr>
        <w:t xml:space="preserve"> before the end of the waiting period </w:t>
      </w:r>
      <w:r>
        <w:rPr>
          <w:rFonts w:ascii="Arial" w:cs="Arial" w:eastAsia="Arial" w:hAnsi="Arial"/>
          <w:sz w:val="11"/>
          <w:szCs w:val="11"/>
          <w:color w:val="auto"/>
        </w:rPr>
        <w:t>and if this termination occurs for</w:t>
      </w:r>
      <w:r>
        <w:rPr>
          <w:rFonts w:ascii="Arial" w:cs="Arial" w:eastAsia="Arial" w:hAnsi="Arial"/>
          <w:sz w:val="11"/>
          <w:szCs w:val="11"/>
          <w:b w:val="1"/>
          <w:bCs w:val="1"/>
          <w:color w:val="auto"/>
        </w:rPr>
        <w:t xml:space="preserve"> </w:t>
      </w:r>
      <w:r>
        <w:rPr>
          <w:rFonts w:ascii="Arial" w:cs="Arial" w:eastAsia="Arial" w:hAnsi="Arial"/>
          <w:sz w:val="11"/>
          <w:szCs w:val="11"/>
          <w:color w:val="auto"/>
        </w:rPr>
        <w:t>reasons other than the expiry of a specified time limit, retirement or termination by mutual consent, the subscription rights lapse at the time when one or more of the conditions specified therein cease to apply, i.e. they lapse without replacement or compensation as soon as notice of termination is given.</w:t>
      </w:r>
    </w:p>
    <w:p>
      <w:pPr>
        <w:spacing w:after="0" w:line="184" w:lineRule="exact"/>
        <w:rPr>
          <w:sz w:val="20"/>
          <w:szCs w:val="20"/>
          <w:color w:val="auto"/>
        </w:rPr>
      </w:pPr>
    </w:p>
    <w:p>
      <w:pPr>
        <w:ind w:left="1140" w:right="20" w:hanging="299"/>
        <w:spacing w:after="0" w:line="283" w:lineRule="auto"/>
        <w:rPr>
          <w:sz w:val="20"/>
          <w:szCs w:val="20"/>
          <w:color w:val="auto"/>
        </w:rPr>
      </w:pPr>
      <w:r>
        <w:rPr>
          <w:rFonts w:ascii="Arial" w:cs="Arial" w:eastAsia="Arial" w:hAnsi="Arial"/>
          <w:sz w:val="12"/>
          <w:szCs w:val="12"/>
          <w:b w:val="1"/>
          <w:bCs w:val="1"/>
          <w:color w:val="auto"/>
        </w:rPr>
        <w:t xml:space="preserve">6.1.3 </w:t>
      </w:r>
      <w:r>
        <w:rPr>
          <w:rFonts w:ascii="Arial" w:cs="Arial" w:eastAsia="Arial" w:hAnsi="Arial"/>
          <w:sz w:val="12"/>
          <w:szCs w:val="12"/>
          <w:color w:val="auto"/>
        </w:rPr>
        <w:t>The right to terminate the service or employment relationship by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remains unaffected by the above provisions.</w:t>
      </w:r>
    </w:p>
    <w:p>
      <w:pPr>
        <w:spacing w:after="0" w:line="179" w:lineRule="exact"/>
        <w:rPr>
          <w:sz w:val="20"/>
          <w:szCs w:val="20"/>
          <w:color w:val="auto"/>
        </w:rPr>
      </w:pPr>
    </w:p>
    <w:p>
      <w:pPr>
        <w:ind w:left="1120" w:right="100" w:hanging="299"/>
        <w:spacing w:after="0" w:line="298" w:lineRule="auto"/>
        <w:tabs>
          <w:tab w:leader="none" w:pos="1100"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1"/>
          <w:szCs w:val="11"/>
          <w:color w:val="auto"/>
        </w:rPr>
        <w:t>If a company or part of a company with which the holder of subscription rights is in a service or employment relationship or to which he is assigned leaves the group of companies in the</w:t>
      </w:r>
    </w:p>
    <w:p>
      <w:pPr>
        <w:spacing w:after="0" w:line="20" w:lineRule="exact"/>
        <w:rPr>
          <w:sz w:val="20"/>
          <w:szCs w:val="20"/>
          <w:color w:val="auto"/>
        </w:rPr>
      </w:pPr>
      <w:r>
        <w:rPr>
          <w:sz w:val="20"/>
          <w:szCs w:val="20"/>
          <w:color w:val="auto"/>
        </w:rPr>
        <w:br w:type="column"/>
      </w:r>
    </w:p>
    <w:p>
      <w:pPr>
        <w:ind w:right="859"/>
        <w:spacing w:after="0" w:line="259" w:lineRule="auto"/>
        <w:rPr>
          <w:sz w:val="20"/>
          <w:szCs w:val="20"/>
          <w:color w:val="auto"/>
        </w:rPr>
      </w:pPr>
      <w:r>
        <w:rPr>
          <w:rFonts w:ascii="Arial" w:cs="Arial" w:eastAsia="Arial" w:hAnsi="Arial"/>
          <w:sz w:val="12"/>
          <w:szCs w:val="12"/>
          <w:color w:val="auto"/>
        </w:rPr>
        <w:t>Dienst- oder Arbeitsverhältnis zu einem nach der Gewährung der Bezugsrechte liegenden Zeitpunkt aufgrund Ablaufs einer vorgesehenen Befristung, Eintritts in den Ruhestand oder einvernehmlich endet.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-806450</wp:posOffset>
            </wp:positionV>
            <wp:extent cx="1285875" cy="3714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8" w:lineRule="exact"/>
        <w:rPr>
          <w:sz w:val="20"/>
          <w:szCs w:val="20"/>
          <w:color w:val="auto"/>
        </w:rPr>
      </w:pPr>
    </w:p>
    <w:p>
      <w:pPr>
        <w:ind w:right="859" w:hanging="299"/>
        <w:spacing w:after="0" w:line="307" w:lineRule="auto"/>
        <w:rPr>
          <w:sz w:val="20"/>
          <w:szCs w:val="20"/>
          <w:color w:val="auto"/>
        </w:rPr>
      </w:pPr>
      <w:r>
        <w:rPr>
          <w:rFonts w:ascii="Arial" w:cs="Arial" w:eastAsia="Arial" w:hAnsi="Arial"/>
          <w:sz w:val="10"/>
          <w:szCs w:val="10"/>
          <w:b w:val="1"/>
          <w:bCs w:val="1"/>
          <w:color w:val="auto"/>
        </w:rPr>
        <w:t xml:space="preserve">6.1.1 </w:t>
      </w:r>
      <w:r>
        <w:rPr>
          <w:rFonts w:ascii="Arial" w:cs="Arial" w:eastAsia="Arial" w:hAnsi="Arial"/>
          <w:sz w:val="10"/>
          <w:szCs w:val="10"/>
          <w:color w:val="auto"/>
        </w:rPr>
        <w:t>Endet das Dienst- oder Arbeitsverhältnis des Bezugsberechtigten</w:t>
      </w:r>
      <w:r>
        <w:rPr>
          <w:rFonts w:ascii="Arial" w:cs="Arial" w:eastAsia="Arial" w:hAnsi="Arial"/>
          <w:sz w:val="10"/>
          <w:szCs w:val="10"/>
          <w:b w:val="1"/>
          <w:bCs w:val="1"/>
          <w:color w:val="auto"/>
        </w:rPr>
        <w:t xml:space="preserve"> nach Ablauf der Wartezeit, </w:t>
      </w:r>
      <w:r>
        <w:rPr>
          <w:rFonts w:ascii="Arial" w:cs="Arial" w:eastAsia="Arial" w:hAnsi="Arial"/>
          <w:sz w:val="10"/>
          <w:szCs w:val="10"/>
          <w:color w:val="auto"/>
        </w:rPr>
        <w:t>aber vor Ausübung der</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Bezugsrechte </w:t>
      </w:r>
      <w:r>
        <w:rPr>
          <w:rFonts w:ascii="Arial" w:cs="Arial" w:eastAsia="Arial" w:hAnsi="Arial"/>
          <w:sz w:val="10"/>
          <w:szCs w:val="10"/>
          <w:u w:val="single" w:color="auto"/>
          <w:color w:val="auto"/>
        </w:rPr>
        <w:t>und</w:t>
      </w:r>
      <w:r>
        <w:rPr>
          <w:rFonts w:ascii="Arial" w:cs="Arial" w:eastAsia="Arial" w:hAnsi="Arial"/>
          <w:sz w:val="10"/>
          <w:szCs w:val="10"/>
          <w:color w:val="auto"/>
        </w:rPr>
        <w:t xml:space="preserve"> erfolgt diese Beendigung aus anderen Gründen als dem Ablauf einer vorgesehenen Befristung, dem Eintritt in den Ruhestand oder einer einvernehmlichen Beendigung, so verfallen die Bezugsrechte mit Ablauf des nächstfolgenden Ausübungszeitraumes ersatzlos, und zwar unabhängig davon, ob zu diesem Zeitpunkt die Voraussetzungen für die Ausübung vorlagen. Im Falle einer außerordentlichen Kündigung des Dienst- oder Arbeitsverhältnisses durch Mynaric bzw. das jeweilige Anstellungsunternehmen aus einem in der Person oder im Verhalten des Bezugsrechtsinhabers liegenden Grund verfallen die Bezugsrechte zum Zeitpunkt der Beendigung des Dienst- oder Arbeitsverhältnisses ersatz-und entschädigungslos.</w:t>
      </w:r>
    </w:p>
    <w:p>
      <w:pPr>
        <w:spacing w:after="0" w:line="176" w:lineRule="exact"/>
        <w:rPr>
          <w:sz w:val="20"/>
          <w:szCs w:val="20"/>
          <w:color w:val="auto"/>
        </w:rPr>
      </w:pPr>
    </w:p>
    <w:p>
      <w:pPr>
        <w:ind w:right="879" w:hanging="299"/>
        <w:spacing w:after="0" w:line="281" w:lineRule="auto"/>
        <w:rPr>
          <w:sz w:val="20"/>
          <w:szCs w:val="20"/>
          <w:color w:val="auto"/>
        </w:rPr>
      </w:pPr>
      <w:r>
        <w:rPr>
          <w:rFonts w:ascii="Arial" w:cs="Arial" w:eastAsia="Arial" w:hAnsi="Arial"/>
          <w:sz w:val="11"/>
          <w:szCs w:val="11"/>
          <w:b w:val="1"/>
          <w:bCs w:val="1"/>
          <w:color w:val="auto"/>
        </w:rPr>
        <w:t xml:space="preserve">6.1.2 </w:t>
      </w:r>
      <w:r>
        <w:rPr>
          <w:rFonts w:ascii="Arial" w:cs="Arial" w:eastAsia="Arial" w:hAnsi="Arial"/>
          <w:sz w:val="11"/>
          <w:szCs w:val="11"/>
          <w:color w:val="auto"/>
        </w:rPr>
        <w:t>Endet das Dienst- oder Arbeitsverhältnis des Bezugsberechtigten</w:t>
      </w:r>
      <w:r>
        <w:rPr>
          <w:rFonts w:ascii="Arial" w:cs="Arial" w:eastAsia="Arial" w:hAnsi="Arial"/>
          <w:sz w:val="11"/>
          <w:szCs w:val="11"/>
          <w:b w:val="1"/>
          <w:bCs w:val="1"/>
          <w:color w:val="auto"/>
        </w:rPr>
        <w:t xml:space="preserve"> vor Ablauf der Wartezeit </w:t>
      </w:r>
      <w:r>
        <w:rPr>
          <w:rFonts w:ascii="Arial" w:cs="Arial" w:eastAsia="Arial" w:hAnsi="Arial"/>
          <w:sz w:val="11"/>
          <w:szCs w:val="11"/>
          <w:u w:val="single" w:color="auto"/>
          <w:color w:val="auto"/>
        </w:rPr>
        <w:t>und</w:t>
      </w:r>
      <w:r>
        <w:rPr>
          <w:rFonts w:ascii="Arial" w:cs="Arial" w:eastAsia="Arial" w:hAnsi="Arial"/>
          <w:sz w:val="11"/>
          <w:szCs w:val="11"/>
          <w:b w:val="1"/>
          <w:bCs w:val="1"/>
          <w:color w:val="auto"/>
        </w:rPr>
        <w:t xml:space="preserve"> </w:t>
      </w:r>
      <w:r>
        <w:rPr>
          <w:rFonts w:ascii="Arial" w:cs="Arial" w:eastAsia="Arial" w:hAnsi="Arial"/>
          <w:sz w:val="11"/>
          <w:szCs w:val="11"/>
          <w:color w:val="auto"/>
        </w:rPr>
        <w:t>erfolgt diese Beendigung aus</w:t>
      </w:r>
      <w:r>
        <w:rPr>
          <w:rFonts w:ascii="Arial" w:cs="Arial" w:eastAsia="Arial" w:hAnsi="Arial"/>
          <w:sz w:val="11"/>
          <w:szCs w:val="11"/>
          <w:b w:val="1"/>
          <w:bCs w:val="1"/>
          <w:color w:val="auto"/>
        </w:rPr>
        <w:t xml:space="preserve"> </w:t>
      </w:r>
      <w:r>
        <w:rPr>
          <w:rFonts w:ascii="Arial" w:cs="Arial" w:eastAsia="Arial" w:hAnsi="Arial"/>
          <w:sz w:val="11"/>
          <w:szCs w:val="11"/>
          <w:color w:val="auto"/>
        </w:rPr>
        <w:t>anderen Gründen als dem Ablauf einer vorgesehenen Befristung, dem Eintritt in den Ruhestand oder einer einvernehmlichen Beendigung, so verfallen die Bezugsrechte im Zeitpunkt des Wegfalls einer oder mehrerer der dort genannten Voraussetzungen, d. h. sie verfallen bereits mit Ausspruch der Kündigung, ersatz-und entschädigungslos.</w:t>
      </w:r>
    </w:p>
    <w:p>
      <w:pPr>
        <w:spacing w:after="0" w:line="39" w:lineRule="exact"/>
        <w:rPr>
          <w:sz w:val="20"/>
          <w:szCs w:val="20"/>
          <w:color w:val="auto"/>
        </w:rPr>
      </w:pPr>
    </w:p>
    <w:p>
      <w:pPr>
        <w:jc w:val="both"/>
        <w:ind w:right="919" w:hanging="299"/>
        <w:spacing w:after="0" w:line="266" w:lineRule="auto"/>
        <w:rPr>
          <w:sz w:val="20"/>
          <w:szCs w:val="20"/>
          <w:color w:val="auto"/>
        </w:rPr>
      </w:pPr>
      <w:r>
        <w:rPr>
          <w:rFonts w:ascii="Arial" w:cs="Arial" w:eastAsia="Arial" w:hAnsi="Arial"/>
          <w:sz w:val="12"/>
          <w:szCs w:val="12"/>
          <w:b w:val="1"/>
          <w:bCs w:val="1"/>
          <w:color w:val="auto"/>
        </w:rPr>
        <w:t xml:space="preserve">6.1.3 </w:t>
      </w:r>
      <w:r>
        <w:rPr>
          <w:rFonts w:ascii="Arial" w:cs="Arial" w:eastAsia="Arial" w:hAnsi="Arial"/>
          <w:sz w:val="12"/>
          <w:szCs w:val="12"/>
          <w:color w:val="auto"/>
        </w:rPr>
        <w:t>Das Recht zur Kündigung des Dienst-oder Arbeitsverhältnisses</w:t>
      </w:r>
      <w:r>
        <w:rPr>
          <w:rFonts w:ascii="Arial" w:cs="Arial" w:eastAsia="Arial" w:hAnsi="Arial"/>
          <w:sz w:val="12"/>
          <w:szCs w:val="12"/>
          <w:b w:val="1"/>
          <w:bCs w:val="1"/>
          <w:color w:val="auto"/>
        </w:rPr>
        <w:t xml:space="preserve"> </w:t>
      </w:r>
      <w:r>
        <w:rPr>
          <w:rFonts w:ascii="Arial" w:cs="Arial" w:eastAsia="Arial" w:hAnsi="Arial"/>
          <w:sz w:val="12"/>
          <w:szCs w:val="12"/>
          <w:color w:val="auto"/>
        </w:rPr>
        <w:t>durch die Gesellschaft bleibt von den vorstehenden Vorschriften unberührt.</w:t>
      </w:r>
    </w:p>
    <w:p>
      <w:pPr>
        <w:spacing w:after="0" w:line="45" w:lineRule="exact"/>
        <w:rPr>
          <w:sz w:val="20"/>
          <w:szCs w:val="20"/>
          <w:color w:val="auto"/>
        </w:rPr>
      </w:pPr>
    </w:p>
    <w:p>
      <w:pPr>
        <w:ind w:right="1059" w:hanging="299"/>
        <w:spacing w:after="0" w:line="259" w:lineRule="auto"/>
        <w:rPr>
          <w:sz w:val="20"/>
          <w:szCs w:val="20"/>
          <w:color w:val="auto"/>
        </w:rPr>
      </w:pPr>
      <w:r>
        <w:rPr>
          <w:rFonts w:ascii="Arial" w:cs="Arial" w:eastAsia="Arial" w:hAnsi="Arial"/>
          <w:sz w:val="12"/>
          <w:szCs w:val="12"/>
          <w:b w:val="1"/>
          <w:bCs w:val="1"/>
          <w:color w:val="auto"/>
        </w:rPr>
        <w:t>6.2</w:t>
      </w:r>
      <w:r>
        <w:rPr>
          <w:sz w:val="20"/>
          <w:szCs w:val="20"/>
          <w:color w:val="auto"/>
        </w:rPr>
        <w:t xml:space="preserve"> </w:t>
      </w:r>
      <w:r>
        <w:rPr>
          <w:rFonts w:ascii="Arial" w:cs="Arial" w:eastAsia="Arial" w:hAnsi="Arial"/>
          <w:sz w:val="12"/>
          <w:szCs w:val="12"/>
          <w:color w:val="auto"/>
        </w:rPr>
        <w:t>Scheidet ein Betrieb oder ein Betriebsteil, mit dem der Bezugsrechtsinhaber in einem Dienst- oder Arbeitsverhältnis steht oder dem er zuzuordnen ist, aus dem Kreis der gemäß Beschluss der</w:t>
      </w:r>
    </w:p>
    <w:p>
      <w:pPr>
        <w:spacing w:after="0" w:line="83" w:lineRule="exact"/>
        <w:rPr>
          <w:sz w:val="20"/>
          <w:szCs w:val="20"/>
          <w:color w:val="auto"/>
        </w:rPr>
      </w:pPr>
    </w:p>
    <w:p>
      <w:pPr>
        <w:sectPr>
          <w:pgSz w:w="11900" w:h="16838" w:orient="portrait"/>
          <w:cols w:equalWidth="0" w:num="2">
            <w:col w:w="4420" w:space="600"/>
            <w:col w:w="3999"/>
          </w:cols>
          <w:pgMar w:left="1440" w:top="914" w:right="1440" w:bottom="1440" w:gutter="0" w:footer="0" w:header="0"/>
        </w:sectPr>
      </w:pPr>
    </w:p>
    <w:p>
      <w:pPr>
        <w:jc w:val="center"/>
        <w:ind w:right="19"/>
        <w:spacing w:after="0"/>
        <w:rPr>
          <w:sz w:val="20"/>
          <w:szCs w:val="20"/>
          <w:color w:val="auto"/>
        </w:rPr>
      </w:pPr>
      <w:r>
        <w:rPr>
          <w:rFonts w:ascii="Arial" w:cs="Arial" w:eastAsia="Arial" w:hAnsi="Arial"/>
          <w:sz w:val="10"/>
          <w:szCs w:val="10"/>
          <w:color w:val="auto"/>
        </w:rPr>
        <w:t>Page 9/18</w:t>
      </w:r>
    </w:p>
    <w:p>
      <w:pPr>
        <w:sectPr>
          <w:pgSz w:w="11900" w:h="16838" w:orient="portrait"/>
          <w:cols w:equalWidth="0" w:num="1">
            <w:col w:w="9019"/>
          </w:cols>
          <w:pgMar w:left="1440" w:top="914" w:right="1440" w:bottom="1440" w:gutter="0" w:footer="0" w:header="0"/>
          <w:type w:val="continuous"/>
        </w:sectPr>
      </w:pPr>
    </w:p>
    <w:bookmarkStart w:id="326" w:name="page327"/>
    <w:bookmarkEnd w:id="326"/>
    <w:p>
      <w:pPr>
        <w:ind w:left="1140" w:right="14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Mynaric Group included in the stock option programme in accordance with the resolution of the Annual General Meeting, the subscription rights expire at the end of the next exercise period.</w:t>
      </w:r>
    </w:p>
    <w:p>
      <w:pPr>
        <w:spacing w:after="0" w:line="48" w:lineRule="exact"/>
        <w:rPr>
          <w:sz w:val="20"/>
          <w:szCs w:val="20"/>
          <w:color w:val="auto"/>
        </w:rPr>
      </w:pPr>
    </w:p>
    <w:p>
      <w:pPr>
        <w:ind w:left="1120" w:right="120" w:hanging="299"/>
        <w:spacing w:after="0" w:line="283" w:lineRule="auto"/>
        <w:tabs>
          <w:tab w:leader="none" w:pos="110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1"/>
          <w:szCs w:val="11"/>
          <w:color w:val="auto"/>
        </w:rPr>
        <w:t>Exceptions to the regulations in Item 6.1 and Item 6.2 can be determined in favour of the holders of subscription rights in individual cases or generally by Mynaric through written declaration. If such a determination is made, Mynaric can also determine that the exercise of subscription rights can take place under the conditions of the last expired exercise period.</w:t>
      </w:r>
    </w:p>
    <w:p>
      <w:pPr>
        <w:spacing w:after="0" w:line="185" w:lineRule="exact"/>
        <w:rPr>
          <w:sz w:val="20"/>
          <w:szCs w:val="20"/>
          <w:color w:val="auto"/>
        </w:rPr>
      </w:pPr>
    </w:p>
    <w:p>
      <w:pPr>
        <w:ind w:left="1120" w:hanging="288"/>
        <w:spacing w:after="0"/>
        <w:tabs>
          <w:tab w:leader="none" w:pos="1120" w:val="left"/>
        </w:tabs>
        <w:numPr>
          <w:ilvl w:val="0"/>
          <w:numId w:val="271"/>
        </w:numPr>
        <w:rPr>
          <w:rFonts w:ascii="Arial" w:cs="Arial" w:eastAsia="Arial" w:hAnsi="Arial"/>
          <w:sz w:val="12"/>
          <w:szCs w:val="12"/>
          <w:b w:val="1"/>
          <w:bCs w:val="1"/>
          <w:color w:val="auto"/>
        </w:rPr>
      </w:pPr>
      <w:r>
        <w:rPr>
          <w:rFonts w:ascii="Arial" w:cs="Arial" w:eastAsia="Arial" w:hAnsi="Arial"/>
          <w:sz w:val="12"/>
          <w:szCs w:val="12"/>
          <w:b w:val="1"/>
          <w:bCs w:val="1"/>
          <w:color w:val="auto"/>
        </w:rPr>
        <w:t>No transferability of subscription rights/heritage</w:t>
      </w:r>
    </w:p>
    <w:p>
      <w:pPr>
        <w:spacing w:after="0" w:line="78"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0"/>
          <w:szCs w:val="10"/>
          <w:color w:val="auto"/>
        </w:rPr>
        <w:t>Subscription rights are not transferable by legal transaction.</w:t>
      </w:r>
    </w:p>
    <w:p>
      <w:pPr>
        <w:spacing w:after="0" w:line="78" w:lineRule="exact"/>
        <w:rPr>
          <w:sz w:val="20"/>
          <w:szCs w:val="20"/>
          <w:color w:val="auto"/>
        </w:rPr>
      </w:pPr>
    </w:p>
    <w:p>
      <w:pPr>
        <w:ind w:left="1120" w:right="20" w:hanging="299"/>
        <w:spacing w:after="0" w:line="279" w:lineRule="auto"/>
        <w:tabs>
          <w:tab w:leader="none" w:pos="110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1"/>
          <w:szCs w:val="11"/>
          <w:color w:val="auto"/>
        </w:rPr>
        <w:t>However, subscription rights are hereditary. A transfer for the fulfilment of legacies is also permissible. The subscription rights may only be exercised by the respective beneficiary himself or by his heirs or legatees. If subscription rights can no longer be exercised in accordance with the above provision, they shall expire without replacement or compensation. This does not affect the provision on the authorisation to reissue lapsed subscription rights to beneficiaries. Mynaric is entitled to demand sufficient proof of inheritance and legal succession.</w:t>
      </w:r>
    </w:p>
    <w:p>
      <w:pPr>
        <w:spacing w:after="0" w:line="200" w:lineRule="exact"/>
        <w:rPr>
          <w:sz w:val="20"/>
          <w:szCs w:val="20"/>
          <w:color w:val="auto"/>
        </w:rPr>
      </w:pPr>
    </w:p>
    <w:p>
      <w:pPr>
        <w:spacing w:after="0" w:line="277" w:lineRule="exact"/>
        <w:rPr>
          <w:sz w:val="20"/>
          <w:szCs w:val="20"/>
          <w:color w:val="auto"/>
        </w:rPr>
      </w:pPr>
    </w:p>
    <w:p>
      <w:pPr>
        <w:ind w:left="1120" w:hanging="288"/>
        <w:spacing w:after="0"/>
        <w:tabs>
          <w:tab w:leader="none" w:pos="1120" w:val="left"/>
        </w:tabs>
        <w:numPr>
          <w:ilvl w:val="0"/>
          <w:numId w:val="272"/>
        </w:numPr>
        <w:rPr>
          <w:rFonts w:ascii="Arial" w:cs="Arial" w:eastAsia="Arial" w:hAnsi="Arial"/>
          <w:sz w:val="12"/>
          <w:szCs w:val="12"/>
          <w:b w:val="1"/>
          <w:bCs w:val="1"/>
          <w:color w:val="auto"/>
        </w:rPr>
      </w:pPr>
      <w:r>
        <w:rPr>
          <w:rFonts w:ascii="Arial" w:cs="Arial" w:eastAsia="Arial" w:hAnsi="Arial"/>
          <w:sz w:val="12"/>
          <w:szCs w:val="12"/>
          <w:b w:val="1"/>
          <w:bCs w:val="1"/>
          <w:color w:val="auto"/>
        </w:rPr>
        <w:t>Taxes and other expenses</w:t>
      </w:r>
    </w:p>
    <w:p>
      <w:pPr>
        <w:spacing w:after="0" w:line="78" w:lineRule="exact"/>
        <w:rPr>
          <w:sz w:val="20"/>
          <w:szCs w:val="20"/>
          <w:color w:val="auto"/>
        </w:rPr>
      </w:pPr>
    </w:p>
    <w:p>
      <w:pPr>
        <w:ind w:left="1120" w:hanging="299"/>
        <w:spacing w:after="0" w:line="298" w:lineRule="auto"/>
        <w:tabs>
          <w:tab w:leader="none" w:pos="1100"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1"/>
          <w:szCs w:val="11"/>
          <w:color w:val="auto"/>
        </w:rPr>
        <w:t>Any taxes or other expenses incurred by the beneficiary in connection with the exercise of subscription rights, the delivery of shares or payments shall be borne by the beneficiary.</w:t>
      </w:r>
    </w:p>
    <w:p>
      <w:pPr>
        <w:spacing w:after="0" w:line="177" w:lineRule="exact"/>
        <w:rPr>
          <w:sz w:val="20"/>
          <w:szCs w:val="20"/>
          <w:color w:val="auto"/>
        </w:rPr>
      </w:pPr>
    </w:p>
    <w:p>
      <w:pPr>
        <w:ind w:left="1120" w:right="20" w:hanging="299"/>
        <w:spacing w:after="0" w:line="256" w:lineRule="auto"/>
        <w:tabs>
          <w:tab w:leader="none" w:pos="1100" w:val="left"/>
        </w:tabs>
        <w:rPr>
          <w:sz w:val="20"/>
          <w:szCs w:val="20"/>
          <w:color w:val="auto"/>
        </w:rPr>
      </w:pPr>
      <w:r>
        <w:rPr>
          <w:rFonts w:ascii="Arial" w:cs="Arial" w:eastAsia="Arial" w:hAnsi="Arial"/>
          <w:sz w:val="12"/>
          <w:szCs w:val="12"/>
          <w:b w:val="1"/>
          <w:bCs w:val="1"/>
          <w:color w:val="auto"/>
        </w:rPr>
        <w:t>8.2</w:t>
      </w:r>
      <w:r>
        <w:rPr>
          <w:sz w:val="20"/>
          <w:szCs w:val="20"/>
          <w:color w:val="auto"/>
        </w:rPr>
        <w:tab/>
      </w:r>
      <w:r>
        <w:rPr>
          <w:rFonts w:ascii="Arial" w:cs="Arial" w:eastAsia="Arial" w:hAnsi="Arial"/>
          <w:sz w:val="12"/>
          <w:szCs w:val="12"/>
          <w:color w:val="auto"/>
        </w:rPr>
        <w:t>After the exercise of subscription rights, wage tax and other taxes and duties, including social security contributions, shall be withheld from the monetary advantage of the persons entitled to subscribe in accordance with the law applicable at the relevant time.</w:t>
      </w:r>
    </w:p>
    <w:p>
      <w:pPr>
        <w:spacing w:after="0" w:line="20" w:lineRule="exact"/>
        <w:rPr>
          <w:sz w:val="20"/>
          <w:szCs w:val="20"/>
          <w:color w:val="auto"/>
        </w:rPr>
      </w:pPr>
      <w:r>
        <w:rPr>
          <w:sz w:val="20"/>
          <w:szCs w:val="20"/>
          <w:color w:val="auto"/>
        </w:rPr>
        <w:br w:type="column"/>
      </w:r>
    </w:p>
    <w:p>
      <w:pPr>
        <w:ind w:left="297" w:right="1099"/>
        <w:spacing w:after="0" w:line="259" w:lineRule="auto"/>
        <w:rPr>
          <w:sz w:val="20"/>
          <w:szCs w:val="20"/>
          <w:color w:val="auto"/>
        </w:rPr>
      </w:pPr>
      <w:r>
        <w:rPr>
          <w:rFonts w:ascii="Arial" w:cs="Arial" w:eastAsia="Arial" w:hAnsi="Arial"/>
          <w:sz w:val="12"/>
          <w:szCs w:val="12"/>
          <w:color w:val="auto"/>
        </w:rPr>
        <w:t>Hauptversammlung in das Aktienoptionsprogramm einbezogenen Unternehmen des Mynaric-Konzerns aus, so verfallen die Bezugsrechte mit Ablauf des nächstfolgenden Ausübungszeitraumes.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-806450</wp:posOffset>
            </wp:positionV>
            <wp:extent cx="1285875" cy="3714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8" w:lineRule="exact"/>
        <w:rPr>
          <w:sz w:val="20"/>
          <w:szCs w:val="20"/>
          <w:color w:val="auto"/>
        </w:rPr>
      </w:pPr>
    </w:p>
    <w:p>
      <w:pPr>
        <w:ind w:left="297" w:right="899" w:hanging="299"/>
        <w:spacing w:after="0" w:line="281" w:lineRule="auto"/>
        <w:tabs>
          <w:tab w:leader="none" w:pos="277"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1"/>
          <w:szCs w:val="11"/>
          <w:color w:val="auto"/>
        </w:rPr>
        <w:t>Ausnahmen von den Regelungen in Ziffer 6.1 und Ziffer 6.2 können zugunsten der Bezugsrechtsinhaber im Einzelfall oder generell von Mynaric durch schriftliche Erklärung bestimmt werden. Wird eine solche Bestimmung getroffen, so kann Mynaric auch bestimmen, dass die Ausübung der Bezugsrechte zu den Bedingungen des letzten abgelaufenen Ausübungszeitraumes erfolgen kann.</w:t>
      </w:r>
    </w:p>
    <w:p>
      <w:pPr>
        <w:spacing w:after="0" w:line="43" w:lineRule="exact"/>
        <w:rPr>
          <w:sz w:val="20"/>
          <w:szCs w:val="20"/>
          <w:color w:val="auto"/>
        </w:rPr>
      </w:pPr>
    </w:p>
    <w:p>
      <w:pPr>
        <w:ind w:left="-3" w:right="1099" w:firstLine="3"/>
        <w:spacing w:after="0" w:line="450" w:lineRule="auto"/>
        <w:tabs>
          <w:tab w:leader="none" w:pos="291" w:val="left"/>
        </w:tabs>
        <w:numPr>
          <w:ilvl w:val="0"/>
          <w:numId w:val="27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Keine Übertragbarkeit der Bezugsrechte/Vererblichkeit 7.1 </w:t>
      </w:r>
      <w:r>
        <w:rPr>
          <w:rFonts w:ascii="Arial" w:cs="Arial" w:eastAsia="Arial" w:hAnsi="Arial"/>
          <w:sz w:val="10"/>
          <w:szCs w:val="10"/>
          <w:color w:val="auto"/>
        </w:rPr>
        <w:t>Bezugsrechte sind rechtsgeschäftlich nicht übertragbar.</w:t>
      </w:r>
    </w:p>
    <w:p>
      <w:pPr>
        <w:spacing w:after="0" w:line="1" w:lineRule="exact"/>
        <w:rPr>
          <w:sz w:val="20"/>
          <w:szCs w:val="20"/>
          <w:color w:val="auto"/>
        </w:rPr>
      </w:pPr>
    </w:p>
    <w:p>
      <w:pPr>
        <w:ind w:left="297" w:right="879" w:hanging="299"/>
        <w:spacing w:after="0" w:line="277" w:lineRule="auto"/>
        <w:tabs>
          <w:tab w:leader="none" w:pos="277"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1"/>
          <w:szCs w:val="11"/>
          <w:color w:val="auto"/>
        </w:rPr>
        <w:t>Bezugsrechte sind jedoch vererblich. Ebenfalls ist eine Übertragung zur Erfüllung von Vermächtnissen zulässig. Die Bezugsrechte können nur durch den jeweiligen Bezugsberechtigten selbst oder seine Erben oder Vermächtnisnehmer ausgeübt werden. Können Bezugsrechte nach Maßgabe der vorstehenden Regelung nicht mehr ausgeübt werden, so verfallen sie ersatz-und entschädigungslos. Die Bestimmung über die Ermächtigung zur erneuten Ausgabe von verfallenen Bezugsrechten an Bezugsberechtigte bleibt davon unberührt. Mynaric ist berechtigt, einen ausreichenden Nachweis für den Erbfall und die Rechtsnachfolge zu verlangen.</w:t>
      </w:r>
    </w:p>
    <w:p>
      <w:pPr>
        <w:spacing w:after="0" w:line="48" w:lineRule="exact"/>
        <w:rPr>
          <w:sz w:val="20"/>
          <w:szCs w:val="20"/>
          <w:color w:val="auto"/>
        </w:rPr>
      </w:pPr>
    </w:p>
    <w:p>
      <w:pPr>
        <w:ind w:left="297" w:hanging="297"/>
        <w:spacing w:after="0"/>
        <w:tabs>
          <w:tab w:leader="none" w:pos="297" w:val="left"/>
        </w:tabs>
        <w:numPr>
          <w:ilvl w:val="0"/>
          <w:numId w:val="274"/>
        </w:numPr>
        <w:rPr>
          <w:rFonts w:ascii="Arial" w:cs="Arial" w:eastAsia="Arial" w:hAnsi="Arial"/>
          <w:sz w:val="12"/>
          <w:szCs w:val="12"/>
          <w:b w:val="1"/>
          <w:bCs w:val="1"/>
          <w:color w:val="auto"/>
        </w:rPr>
      </w:pPr>
      <w:r>
        <w:rPr>
          <w:rFonts w:ascii="Arial" w:cs="Arial" w:eastAsia="Arial" w:hAnsi="Arial"/>
          <w:sz w:val="12"/>
          <w:szCs w:val="12"/>
          <w:b w:val="1"/>
          <w:bCs w:val="1"/>
          <w:color w:val="auto"/>
        </w:rPr>
        <w:t>Steuern und sonstige Aufwendungen</w:t>
      </w:r>
    </w:p>
    <w:p>
      <w:pPr>
        <w:spacing w:after="0" w:line="78" w:lineRule="exact"/>
        <w:rPr>
          <w:sz w:val="20"/>
          <w:szCs w:val="20"/>
          <w:color w:val="auto"/>
        </w:rPr>
      </w:pPr>
    </w:p>
    <w:p>
      <w:pPr>
        <w:ind w:left="297" w:right="859" w:hanging="299"/>
        <w:spacing w:after="0" w:line="289" w:lineRule="auto"/>
        <w:tabs>
          <w:tab w:leader="none" w:pos="277"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1"/>
          <w:szCs w:val="11"/>
          <w:color w:val="auto"/>
        </w:rPr>
        <w:t>Etwaige Steuern oder sonstige Aufwendungen, die im Zusammenhang mit der Ausübung von Bezugsrechten, der Lieferung von Aktien oder Zahlungen beim Bezugsberechtigten anfallen, sind vom Bezugsberechtigten zu tragen.</w:t>
      </w:r>
    </w:p>
    <w:p>
      <w:pPr>
        <w:spacing w:after="0" w:line="39" w:lineRule="exact"/>
        <w:rPr>
          <w:sz w:val="20"/>
          <w:szCs w:val="20"/>
          <w:color w:val="auto"/>
        </w:rPr>
      </w:pPr>
    </w:p>
    <w:p>
      <w:pPr>
        <w:ind w:left="297" w:right="1039" w:hanging="299"/>
        <w:spacing w:after="0" w:line="256" w:lineRule="auto"/>
        <w:tabs>
          <w:tab w:leader="none" w:pos="277" w:val="left"/>
        </w:tabs>
        <w:rPr>
          <w:sz w:val="20"/>
          <w:szCs w:val="20"/>
          <w:color w:val="auto"/>
        </w:rPr>
      </w:pPr>
      <w:r>
        <w:rPr>
          <w:rFonts w:ascii="Arial" w:cs="Arial" w:eastAsia="Arial" w:hAnsi="Arial"/>
          <w:sz w:val="12"/>
          <w:szCs w:val="12"/>
          <w:b w:val="1"/>
          <w:bCs w:val="1"/>
          <w:color w:val="auto"/>
        </w:rPr>
        <w:t>8.2</w:t>
      </w:r>
      <w:r>
        <w:rPr>
          <w:sz w:val="20"/>
          <w:szCs w:val="20"/>
          <w:color w:val="auto"/>
        </w:rPr>
        <w:tab/>
      </w:r>
      <w:r>
        <w:rPr>
          <w:rFonts w:ascii="Arial" w:cs="Arial" w:eastAsia="Arial" w:hAnsi="Arial"/>
          <w:sz w:val="12"/>
          <w:szCs w:val="12"/>
          <w:color w:val="auto"/>
        </w:rPr>
        <w:t>Auf den geldwerten Vorteil der Bezugsberechtigten werden nach Ausübung der Bezugsrechte nach Maßgabe des im maßgeblichen Zeitpunkt geltenden Rechts Lohnsteuer sowie andere Steuern und Abgaben, einschließlich Sozialabgaben, einbehalten.</w:t>
      </w:r>
    </w:p>
    <w:p>
      <w:pPr>
        <w:spacing w:after="0" w:line="87" w:lineRule="exact"/>
        <w:rPr>
          <w:sz w:val="20"/>
          <w:szCs w:val="20"/>
          <w:color w:val="auto"/>
        </w:rPr>
      </w:pPr>
    </w:p>
    <w:p>
      <w:pPr>
        <w:sectPr>
          <w:pgSz w:w="11900" w:h="16838" w:orient="portrait"/>
          <w:cols w:equalWidth="0" w:num="2">
            <w:col w:w="4300" w:space="483"/>
            <w:col w:w="4236"/>
          </w:cols>
          <w:pgMar w:left="1440" w:top="914" w:right="1440" w:bottom="1440" w:gutter="0" w:footer="0" w:header="0"/>
        </w:sectPr>
      </w:pPr>
    </w:p>
    <w:p>
      <w:pPr>
        <w:jc w:val="center"/>
        <w:spacing w:after="0"/>
        <w:rPr>
          <w:sz w:val="20"/>
          <w:szCs w:val="20"/>
          <w:color w:val="auto"/>
        </w:rPr>
      </w:pPr>
      <w:r>
        <w:rPr>
          <w:rFonts w:ascii="Arial" w:cs="Arial" w:eastAsia="Arial" w:hAnsi="Arial"/>
          <w:sz w:val="10"/>
          <w:szCs w:val="10"/>
          <w:color w:val="auto"/>
        </w:rPr>
        <w:t>Page 10/18</w:t>
      </w:r>
    </w:p>
    <w:p>
      <w:pPr>
        <w:sectPr>
          <w:pgSz w:w="11900" w:h="16838" w:orient="portrait"/>
          <w:cols w:equalWidth="0" w:num="1">
            <w:col w:w="9019"/>
          </w:cols>
          <w:pgMar w:left="1440" w:top="914" w:right="1440" w:bottom="1440" w:gutter="0" w:footer="0" w:header="0"/>
          <w:type w:val="continuous"/>
        </w:sectPr>
      </w:pPr>
    </w:p>
    <w:bookmarkStart w:id="327" w:name="page328"/>
    <w:bookmarkEnd w:id="327"/>
    <w:p>
      <w:pPr>
        <w:ind w:left="1140" w:hanging="308"/>
        <w:spacing w:after="0" w:line="387" w:lineRule="auto"/>
        <w:tabs>
          <w:tab w:leader="none" w:pos="1134" w:val="left"/>
        </w:tabs>
        <w:numPr>
          <w:ilvl w:val="0"/>
          <w:numId w:val="275"/>
        </w:numPr>
        <w:rPr>
          <w:rFonts w:ascii="Arial" w:cs="Arial" w:eastAsia="Arial" w:hAnsi="Arial"/>
          <w:sz w:val="10"/>
          <w:szCs w:val="10"/>
          <w:b w:val="1"/>
          <w:bCs w:val="1"/>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Adjustments due to changes in share capital or structural measures; entitlement to cash compensation in certain cases</w:t>
      </w:r>
    </w:p>
    <w:p>
      <w:pPr>
        <w:spacing w:after="0" w:line="20" w:lineRule="exact"/>
        <w:rPr>
          <w:sz w:val="20"/>
          <w:szCs w:val="20"/>
          <w:color w:val="auto"/>
        </w:rPr>
      </w:pPr>
      <w:r>
        <w:rPr>
          <w:sz w:val="20"/>
          <w:szCs w:val="20"/>
          <w:color w:val="auto"/>
        </w:rPr>
        <w:br w:type="column"/>
      </w:r>
    </w:p>
    <w:p>
      <w:pPr>
        <w:ind w:left="305" w:right="959" w:hanging="305"/>
        <w:spacing w:after="0" w:line="266" w:lineRule="auto"/>
        <w:tabs>
          <w:tab w:leader="none" w:pos="299" w:val="left"/>
        </w:tabs>
        <w:numPr>
          <w:ilvl w:val="0"/>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Anpassungen aufgrund von Änderungen des Grundkapitals oder Strukturmaßnahmen; Anspruch auf Barausgleich in bestimmten Fällen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-716915</wp:posOffset>
            </wp:positionV>
            <wp:extent cx="1285875" cy="3714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4200" w:space="655"/>
            <w:col w:w="4164"/>
          </w:cols>
          <w:pgMar w:left="1440" w:top="910" w:right="1440" w:bottom="1440" w:gutter="0" w:footer="0" w:header="0"/>
        </w:sectPr>
      </w:pPr>
    </w:p>
    <w:p>
      <w:pPr>
        <w:spacing w:after="0" w:line="4" w:lineRule="exact"/>
        <w:rPr>
          <w:sz w:val="20"/>
          <w:szCs w:val="20"/>
          <w:color w:val="auto"/>
        </w:rPr>
      </w:pPr>
    </w:p>
    <w:p>
      <w:pPr>
        <w:ind w:left="1120" w:right="300" w:hanging="299"/>
        <w:spacing w:after="0" w:line="298" w:lineRule="auto"/>
        <w:tabs>
          <w:tab w:leader="none" w:pos="1100" w:val="left"/>
        </w:tabs>
        <w:rPr>
          <w:sz w:val="20"/>
          <w:szCs w:val="20"/>
          <w:color w:val="auto"/>
        </w:rPr>
      </w:pPr>
      <w:r>
        <w:rPr>
          <w:rFonts w:ascii="Arial" w:cs="Arial" w:eastAsia="Arial" w:hAnsi="Arial"/>
          <w:sz w:val="12"/>
          <w:szCs w:val="12"/>
          <w:color w:val="auto"/>
        </w:rPr>
        <w:t>9.1</w:t>
      </w:r>
      <w:r>
        <w:rPr>
          <w:sz w:val="20"/>
          <w:szCs w:val="20"/>
          <w:color w:val="auto"/>
        </w:rPr>
        <w:tab/>
      </w:r>
      <w:r>
        <w:rPr>
          <w:rFonts w:ascii="Arial" w:cs="Arial" w:eastAsia="Arial" w:hAnsi="Arial"/>
          <w:sz w:val="11"/>
          <w:szCs w:val="11"/>
          <w:color w:val="auto"/>
        </w:rPr>
        <w:t>If Mynaric carries out capital or structural measures within the term of the subscription rights or if third parties acquire a significant share in Mynaric, the following regulations apply:</w:t>
      </w:r>
    </w:p>
    <w:p>
      <w:pPr>
        <w:spacing w:after="0" w:line="20" w:lineRule="exact"/>
        <w:rPr>
          <w:sz w:val="20"/>
          <w:szCs w:val="20"/>
          <w:color w:val="auto"/>
        </w:rPr>
      </w:pPr>
      <w:r>
        <w:rPr>
          <w:sz w:val="20"/>
          <w:szCs w:val="20"/>
          <w:color w:val="auto"/>
        </w:rPr>
        <w:br w:type="column"/>
      </w:r>
    </w:p>
    <w:p>
      <w:pPr>
        <w:ind w:right="879" w:hanging="299"/>
        <w:spacing w:after="0" w:line="259" w:lineRule="auto"/>
        <w:rPr>
          <w:sz w:val="20"/>
          <w:szCs w:val="20"/>
          <w:color w:val="auto"/>
        </w:rPr>
      </w:pPr>
      <w:r>
        <w:rPr>
          <w:rFonts w:ascii="Arial" w:cs="Arial" w:eastAsia="Arial" w:hAnsi="Arial"/>
          <w:sz w:val="12"/>
          <w:szCs w:val="12"/>
          <w:b w:val="1"/>
          <w:bCs w:val="1"/>
          <w:color w:val="auto"/>
        </w:rPr>
        <w:t>9.1</w:t>
      </w:r>
      <w:r>
        <w:rPr>
          <w:sz w:val="20"/>
          <w:szCs w:val="20"/>
          <w:color w:val="auto"/>
        </w:rPr>
        <w:t xml:space="preserve"> </w:t>
      </w:r>
      <w:r>
        <w:rPr>
          <w:rFonts w:ascii="Arial" w:cs="Arial" w:eastAsia="Arial" w:hAnsi="Arial"/>
          <w:sz w:val="12"/>
          <w:szCs w:val="12"/>
          <w:color w:val="auto"/>
        </w:rPr>
        <w:t>Führt die Mynaric innerhalb der Laufzeit der Bezugsrechte Kapital- oder Strukturmaßnahmen durch oder erwerben Dritte eine wesentliche Beteiligung an der Mynaric, gelten die nachfolgenden Regelungen:</w:t>
      </w:r>
    </w:p>
    <w:p>
      <w:pPr>
        <w:spacing w:after="0" w:line="52" w:lineRule="exact"/>
        <w:rPr>
          <w:sz w:val="20"/>
          <w:szCs w:val="20"/>
          <w:color w:val="auto"/>
        </w:rPr>
      </w:pPr>
    </w:p>
    <w:p>
      <w:pPr>
        <w:sectPr>
          <w:pgSz w:w="11900" w:h="16838" w:orient="portrait"/>
          <w:cols w:equalWidth="0" w:num="2">
            <w:col w:w="4420" w:space="720"/>
            <w:col w:w="3879"/>
          </w:cols>
          <w:pgMar w:left="1440" w:top="910" w:right="1440" w:bottom="1440" w:gutter="0" w:footer="0" w:header="0"/>
          <w:type w:val="continuous"/>
        </w:sectPr>
      </w:pPr>
    </w:p>
    <w:p>
      <w:pPr>
        <w:ind w:left="1120" w:right="480" w:hanging="299"/>
        <w:spacing w:after="0" w:line="318" w:lineRule="auto"/>
        <w:tabs>
          <w:tab w:leader="none" w:pos="1100" w:val="left"/>
        </w:tabs>
        <w:rPr>
          <w:sz w:val="20"/>
          <w:szCs w:val="20"/>
          <w:color w:val="auto"/>
        </w:rPr>
      </w:pPr>
      <w:r>
        <w:rPr>
          <w:rFonts w:ascii="Arial" w:cs="Arial" w:eastAsia="Arial" w:hAnsi="Arial"/>
          <w:sz w:val="12"/>
          <w:szCs w:val="12"/>
          <w:color w:val="auto"/>
        </w:rPr>
        <w:t>9.2</w:t>
      </w:r>
      <w:r>
        <w:rPr>
          <w:sz w:val="20"/>
          <w:szCs w:val="20"/>
          <w:color w:val="auto"/>
        </w:rPr>
        <w:tab/>
      </w:r>
      <w:r>
        <w:rPr>
          <w:rFonts w:ascii="Arial" w:cs="Arial" w:eastAsia="Arial" w:hAnsi="Arial"/>
          <w:sz w:val="10"/>
          <w:szCs w:val="10"/>
          <w:color w:val="auto"/>
        </w:rPr>
        <w:t xml:space="preserve">In the event of a </w:t>
      </w:r>
      <w:r>
        <w:rPr>
          <w:rFonts w:ascii="Arial" w:cs="Arial" w:eastAsia="Arial" w:hAnsi="Arial"/>
          <w:sz w:val="10"/>
          <w:szCs w:val="10"/>
          <w:b w:val="1"/>
          <w:bCs w:val="1"/>
          <w:color w:val="auto"/>
        </w:rPr>
        <w:t>capital increase from company funds</w:t>
      </w:r>
      <w:r>
        <w:rPr>
          <w:rFonts w:ascii="Arial" w:cs="Arial" w:eastAsia="Arial" w:hAnsi="Arial"/>
          <w:sz w:val="10"/>
          <w:szCs w:val="10"/>
          <w:color w:val="auto"/>
        </w:rPr>
        <w:t xml:space="preserve"> through the issue of new shares, instead of a reduction of the exercise price, the conditional capital in accordance with § 218 German Stock Corporation Act will be increased in the same proportion as the share capital. The number of shares that can be subscribed per subscription right is increased in the same proportion.</w:t>
      </w:r>
    </w:p>
    <w:p>
      <w:pPr>
        <w:spacing w:after="0" w:line="22" w:lineRule="exact"/>
        <w:rPr>
          <w:sz w:val="20"/>
          <w:szCs w:val="20"/>
          <w:color w:val="auto"/>
        </w:rPr>
      </w:pPr>
    </w:p>
    <w:p>
      <w:pPr>
        <w:ind w:left="1120" w:right="460" w:hanging="299"/>
        <w:spacing w:after="0" w:line="277" w:lineRule="auto"/>
        <w:tabs>
          <w:tab w:leader="none" w:pos="1100" w:val="left"/>
        </w:tabs>
        <w:rPr>
          <w:sz w:val="20"/>
          <w:szCs w:val="20"/>
          <w:color w:val="auto"/>
        </w:rPr>
      </w:pPr>
      <w:r>
        <w:rPr>
          <w:rFonts w:ascii="Arial" w:cs="Arial" w:eastAsia="Arial" w:hAnsi="Arial"/>
          <w:sz w:val="12"/>
          <w:szCs w:val="12"/>
          <w:color w:val="auto"/>
        </w:rPr>
        <w:t>9.3</w:t>
      </w:r>
      <w:r>
        <w:rPr>
          <w:sz w:val="20"/>
          <w:szCs w:val="20"/>
          <w:color w:val="auto"/>
        </w:rPr>
        <w:tab/>
      </w:r>
      <w:r>
        <w:rPr>
          <w:rFonts w:ascii="Arial" w:cs="Arial" w:eastAsia="Arial" w:hAnsi="Arial"/>
          <w:sz w:val="11"/>
          <w:szCs w:val="11"/>
          <w:color w:val="auto"/>
        </w:rPr>
        <w:t xml:space="preserve">In the event of a </w:t>
      </w:r>
      <w:r>
        <w:rPr>
          <w:rFonts w:ascii="Arial" w:cs="Arial" w:eastAsia="Arial" w:hAnsi="Arial"/>
          <w:sz w:val="11"/>
          <w:szCs w:val="11"/>
          <w:b w:val="1"/>
          <w:bCs w:val="1"/>
          <w:color w:val="auto"/>
        </w:rPr>
        <w:t>capital increase against contributions or an</w:t>
      </w:r>
      <w:r>
        <w:rPr>
          <w:rFonts w:ascii="Arial" w:cs="Arial" w:eastAsia="Arial" w:hAnsi="Arial"/>
          <w:sz w:val="11"/>
          <w:szCs w:val="11"/>
          <w:color w:val="auto"/>
        </w:rPr>
        <w:t xml:space="preserve"> </w:t>
      </w:r>
      <w:r>
        <w:rPr>
          <w:rFonts w:ascii="Arial" w:cs="Arial" w:eastAsia="Arial" w:hAnsi="Arial"/>
          <w:sz w:val="11"/>
          <w:szCs w:val="11"/>
          <w:b w:val="1"/>
          <w:bCs w:val="1"/>
          <w:color w:val="auto"/>
        </w:rPr>
        <w:t>issue of securities with conversion or option rights</w:t>
      </w:r>
      <w:r>
        <w:rPr>
          <w:rFonts w:ascii="Arial" w:cs="Arial" w:eastAsia="Arial" w:hAnsi="Arial"/>
          <w:sz w:val="11"/>
          <w:szCs w:val="11"/>
          <w:color w:val="auto"/>
        </w:rPr>
        <w:t>, the exercise</w:t>
      </w:r>
      <w:r>
        <w:rPr>
          <w:rFonts w:ascii="Arial" w:cs="Arial" w:eastAsia="Arial" w:hAnsi="Arial"/>
          <w:sz w:val="11"/>
          <w:szCs w:val="11"/>
          <w:b w:val="1"/>
          <w:bCs w:val="1"/>
          <w:color w:val="auto"/>
        </w:rPr>
        <w:t xml:space="preserve"> </w:t>
      </w:r>
      <w:r>
        <w:rPr>
          <w:rFonts w:ascii="Arial" w:cs="Arial" w:eastAsia="Arial" w:hAnsi="Arial"/>
          <w:sz w:val="11"/>
          <w:szCs w:val="11"/>
          <w:color w:val="auto"/>
        </w:rPr>
        <w:t>price per share is reduced by the amount calculated from the arithmetic mean of the subscription right prices of the subscription rights to which the shareholders are entitled as a result of the capital increase, based on one share, on all days of their trading in Xetra on the Frankfurt Stock Exchange. There is no reduction in the exercise price if, as a result of the capital increase, the beneficiaries are granted direct or indirect subscription rights that place them in the same position as if they had already exercised their subscription rights under the stock option programme. If no subscription rights are traded, § 216 (3) German Stock Corporation Act applies accordingly. § Section 9 (1) of the German Stock Corporation Act remains unaffected.</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11/18</w:t>
      </w:r>
    </w:p>
    <w:p>
      <w:pPr>
        <w:spacing w:after="0" w:line="20" w:lineRule="exact"/>
        <w:rPr>
          <w:sz w:val="20"/>
          <w:szCs w:val="20"/>
          <w:color w:val="auto"/>
        </w:rPr>
      </w:pPr>
      <w:r>
        <w:rPr>
          <w:sz w:val="20"/>
          <w:szCs w:val="20"/>
          <w:color w:val="auto"/>
        </w:rPr>
        <w:br w:type="column"/>
      </w:r>
    </w:p>
    <w:p>
      <w:pPr>
        <w:ind w:left="280" w:right="859" w:hanging="299"/>
        <w:spacing w:after="0" w:line="318" w:lineRule="auto"/>
        <w:tabs>
          <w:tab w:leader="none" w:pos="260" w:val="left"/>
        </w:tabs>
        <w:rPr>
          <w:sz w:val="20"/>
          <w:szCs w:val="20"/>
          <w:color w:val="auto"/>
        </w:rPr>
      </w:pPr>
      <w:r>
        <w:rPr>
          <w:rFonts w:ascii="Arial" w:cs="Arial" w:eastAsia="Arial" w:hAnsi="Arial"/>
          <w:sz w:val="12"/>
          <w:szCs w:val="12"/>
          <w:b w:val="1"/>
          <w:bCs w:val="1"/>
          <w:color w:val="auto"/>
        </w:rPr>
        <w:t>9.2</w:t>
      </w:r>
      <w:r>
        <w:rPr>
          <w:sz w:val="20"/>
          <w:szCs w:val="20"/>
          <w:color w:val="auto"/>
        </w:rPr>
        <w:tab/>
      </w:r>
      <w:r>
        <w:rPr>
          <w:rFonts w:ascii="Arial" w:cs="Arial" w:eastAsia="Arial" w:hAnsi="Arial"/>
          <w:sz w:val="10"/>
          <w:szCs w:val="10"/>
          <w:color w:val="auto"/>
        </w:rPr>
        <w:t xml:space="preserve">Im Falle einer </w:t>
      </w:r>
      <w:r>
        <w:rPr>
          <w:rFonts w:ascii="Arial" w:cs="Arial" w:eastAsia="Arial" w:hAnsi="Arial"/>
          <w:sz w:val="10"/>
          <w:szCs w:val="10"/>
          <w:b w:val="1"/>
          <w:bCs w:val="1"/>
          <w:color w:val="auto"/>
        </w:rPr>
        <w:t>Kapitalerhöhung aus Gesellschaftsmitteln</w:t>
      </w:r>
      <w:r>
        <w:rPr>
          <w:rFonts w:ascii="Arial" w:cs="Arial" w:eastAsia="Arial" w:hAnsi="Arial"/>
          <w:sz w:val="10"/>
          <w:szCs w:val="10"/>
          <w:color w:val="auto"/>
        </w:rPr>
        <w:t xml:space="preserve"> durch Ausgabe neuer Aktien wird – anstelle einer Ermäßigung des Ausübungspreises – das Bedingte Kapital gemäß § 218 AktG im gleichen Verhältnis wie das Grundkapital erhöht. Im gleichen Verhältnis erhöht sich die Anzahl der Aktien, die je Bezugsrecht bezogen werden können.</w:t>
      </w:r>
    </w:p>
    <w:p>
      <w:pPr>
        <w:spacing w:after="0" w:line="22" w:lineRule="exact"/>
        <w:rPr>
          <w:sz w:val="20"/>
          <w:szCs w:val="20"/>
          <w:color w:val="auto"/>
        </w:rPr>
      </w:pPr>
    </w:p>
    <w:p>
      <w:pPr>
        <w:jc w:val="center"/>
        <w:ind w:right="979"/>
        <w:spacing w:after="0"/>
        <w:tabs>
          <w:tab w:leader="none" w:pos="120" w:val="left"/>
        </w:tabs>
        <w:rPr>
          <w:sz w:val="20"/>
          <w:szCs w:val="20"/>
          <w:color w:val="auto"/>
        </w:rPr>
      </w:pPr>
      <w:r>
        <w:rPr>
          <w:rFonts w:ascii="Arial" w:cs="Arial" w:eastAsia="Arial" w:hAnsi="Arial"/>
          <w:sz w:val="12"/>
          <w:szCs w:val="12"/>
          <w:b w:val="1"/>
          <w:bCs w:val="1"/>
          <w:color w:val="auto"/>
        </w:rPr>
        <w:t>9.3</w:t>
      </w:r>
      <w:r>
        <w:rPr>
          <w:sz w:val="20"/>
          <w:szCs w:val="20"/>
          <w:color w:val="auto"/>
        </w:rPr>
        <w:tab/>
      </w:r>
      <w:r>
        <w:rPr>
          <w:rFonts w:ascii="Arial" w:cs="Arial" w:eastAsia="Arial" w:hAnsi="Arial"/>
          <w:sz w:val="10"/>
          <w:szCs w:val="10"/>
          <w:color w:val="auto"/>
        </w:rPr>
        <w:t xml:space="preserve">Im Fall einer </w:t>
      </w:r>
      <w:r>
        <w:rPr>
          <w:rFonts w:ascii="Arial" w:cs="Arial" w:eastAsia="Arial" w:hAnsi="Arial"/>
          <w:sz w:val="10"/>
          <w:szCs w:val="10"/>
          <w:b w:val="1"/>
          <w:bCs w:val="1"/>
          <w:color w:val="auto"/>
        </w:rPr>
        <w:t>Kapitalerhöhung gegen Einlagen oder einer</w:t>
      </w:r>
    </w:p>
    <w:p>
      <w:pPr>
        <w:spacing w:after="0" w:line="19" w:lineRule="exact"/>
        <w:rPr>
          <w:sz w:val="20"/>
          <w:szCs w:val="20"/>
          <w:color w:val="auto"/>
        </w:rPr>
      </w:pPr>
    </w:p>
    <w:p>
      <w:pPr>
        <w:ind w:left="300" w:right="879"/>
        <w:spacing w:after="0" w:line="275" w:lineRule="auto"/>
        <w:rPr>
          <w:sz w:val="20"/>
          <w:szCs w:val="20"/>
          <w:color w:val="auto"/>
        </w:rPr>
      </w:pPr>
      <w:r>
        <w:rPr>
          <w:rFonts w:ascii="Arial" w:cs="Arial" w:eastAsia="Arial" w:hAnsi="Arial"/>
          <w:sz w:val="11"/>
          <w:szCs w:val="11"/>
          <w:b w:val="1"/>
          <w:bCs w:val="1"/>
          <w:color w:val="auto"/>
        </w:rPr>
        <w:t xml:space="preserve">Begebung von Wertpapieren mit Wandlungs- oder Optionsrechten </w:t>
      </w:r>
      <w:r>
        <w:rPr>
          <w:rFonts w:ascii="Arial" w:cs="Arial" w:eastAsia="Arial" w:hAnsi="Arial"/>
          <w:sz w:val="11"/>
          <w:szCs w:val="11"/>
          <w:color w:val="auto"/>
        </w:rPr>
        <w:t>ermäßigt sich der Ausübungspreis je Aktie</w:t>
      </w:r>
      <w:r>
        <w:rPr>
          <w:rFonts w:ascii="Arial" w:cs="Arial" w:eastAsia="Arial" w:hAnsi="Arial"/>
          <w:sz w:val="11"/>
          <w:szCs w:val="11"/>
          <w:b w:val="1"/>
          <w:bCs w:val="1"/>
          <w:color w:val="auto"/>
        </w:rPr>
        <w:t xml:space="preserve"> </w:t>
      </w:r>
      <w:r>
        <w:rPr>
          <w:rFonts w:ascii="Arial" w:cs="Arial" w:eastAsia="Arial" w:hAnsi="Arial"/>
          <w:sz w:val="11"/>
          <w:szCs w:val="11"/>
          <w:color w:val="auto"/>
        </w:rPr>
        <w:t>um den Betrag, der sich aus dem arithmetischen Mittel der Bezugsrechtskurse der den Aktionären auf Grund der Kapitalerhöhung zustehenden Bezugsrechte, bezogen auf eine Aktie, an allen Tagen ihres Handels im Xetra- Handel (oder einem vergleichbaren Nachfolgesystem) an der Frankfurter Wertpapierbörse errechnet. Eine Ermäßigung des Ausübungspreises tritt nicht ein, wenn den Bezugsberechtigten auf Grund der Kapitalerhöhung ein mittelbares oder unmittelbares Bezugsrecht eingeräumt wird, das sie so stellt, als hätten sie ihre Bezugsrechte aus dem Aktienoptionsprogramm bereits ausgeübt. Findet kein Bezugsrechtshandel statt, gilt § 216 Abs. 3 AktG entsprechend. § 9 Abs. 1 AktG bleibt unberührt.</w:t>
      </w:r>
    </w:p>
    <w:p>
      <w:pPr>
        <w:sectPr>
          <w:pgSz w:w="11900" w:h="16838" w:orient="portrait"/>
          <w:cols w:equalWidth="0" w:num="2">
            <w:col w:w="4780" w:space="80"/>
            <w:col w:w="4159"/>
          </w:cols>
          <w:pgMar w:left="1440" w:top="910" w:right="1440" w:bottom="1440" w:gutter="0" w:footer="0" w:header="0"/>
          <w:type w:val="continuous"/>
        </w:sectPr>
      </w:pPr>
    </w:p>
    <w:bookmarkStart w:id="328" w:name="page329"/>
    <w:bookmarkEnd w:id="328"/>
    <w:p>
      <w:pPr>
        <w:ind w:left="1120" w:right="20" w:hanging="299"/>
        <w:spacing w:after="0" w:line="309" w:lineRule="auto"/>
        <w:tabs>
          <w:tab w:leader="none" w:pos="1100" w:val="left"/>
        </w:tabs>
        <w:rPr>
          <w:sz w:val="20"/>
          <w:szCs w:val="20"/>
          <w:color w:val="auto"/>
        </w:rPr>
      </w:pPr>
      <w:r>
        <w:rPr>
          <w:rFonts w:ascii="Arial" w:cs="Arial" w:eastAsia="Arial" w:hAnsi="Arial"/>
          <w:sz w:val="12"/>
          <w:szCs w:val="12"/>
          <w:b w:val="1"/>
          <w:bCs w:val="1"/>
          <w:color w:val="auto"/>
        </w:rPr>
        <w:t>9.4</w:t>
      </w:r>
      <w:r>
        <w:rPr>
          <w:sz w:val="20"/>
          <w:szCs w:val="20"/>
          <w:color w:val="auto"/>
        </w:rPr>
        <w:tab/>
      </w:r>
      <w:r>
        <w:rPr>
          <w:rFonts w:ascii="Arial" w:cs="Arial" w:eastAsia="Arial" w:hAnsi="Arial"/>
          <w:sz w:val="10"/>
          <w:szCs w:val="10"/>
          <w:color w:val="auto"/>
        </w:rPr>
        <w:t xml:space="preserve">In the event of a </w:t>
      </w:r>
      <w:r>
        <w:rPr>
          <w:rFonts w:ascii="Arial" w:cs="Arial" w:eastAsia="Arial" w:hAnsi="Arial"/>
          <w:sz w:val="10"/>
          <w:szCs w:val="10"/>
          <w:b w:val="1"/>
          <w:bCs w:val="1"/>
          <w:color w:val="auto"/>
        </w:rPr>
        <w:t>capital reduction</w:t>
      </w:r>
      <w:r>
        <w:rPr>
          <w:rFonts w:ascii="Arial" w:cs="Arial" w:eastAsia="Arial" w:hAnsi="Arial"/>
          <w:sz w:val="10"/>
          <w:szCs w:val="10"/>
          <w:color w:val="auto"/>
        </w:rPr>
        <w:t>, the exercise price remains unchanged if the number of shares remains unchanged as a result of the capital reduction or if the capital reduction is linked to a capital repayment or a purchase of own shares against payment. In the event of a capital reduction by combining shares without capital repayment or acquisition of own shares against payment and in the event of an increase in shares without capital change (share split), the subscription right is adjusted in such a way that the number of shares to be granted for a subscription right is reduced or increased accordingly in proportion to the capital reduction or share split. The exercise price remains unaffected.</w:t>
      </w:r>
    </w:p>
    <w:p>
      <w:pPr>
        <w:spacing w:after="0" w:line="315" w:lineRule="exact"/>
        <w:rPr>
          <w:sz w:val="20"/>
          <w:szCs w:val="20"/>
          <w:color w:val="auto"/>
        </w:rPr>
      </w:pPr>
    </w:p>
    <w:p>
      <w:pPr>
        <w:ind w:left="1120" w:right="180" w:hanging="299"/>
        <w:spacing w:after="0" w:line="263" w:lineRule="auto"/>
        <w:tabs>
          <w:tab w:leader="none" w:pos="1100" w:val="left"/>
        </w:tabs>
        <w:rPr>
          <w:sz w:val="20"/>
          <w:szCs w:val="20"/>
          <w:color w:val="auto"/>
        </w:rPr>
      </w:pPr>
      <w:r>
        <w:rPr>
          <w:rFonts w:ascii="Arial" w:cs="Arial" w:eastAsia="Arial" w:hAnsi="Arial"/>
          <w:sz w:val="12"/>
          <w:szCs w:val="12"/>
          <w:b w:val="1"/>
          <w:bCs w:val="1"/>
          <w:color w:val="auto"/>
        </w:rPr>
        <w:t>9.5</w:t>
      </w:r>
      <w:r>
        <w:rPr>
          <w:sz w:val="20"/>
          <w:szCs w:val="20"/>
          <w:color w:val="auto"/>
        </w:rPr>
        <w:tab/>
      </w:r>
      <w:r>
        <w:rPr>
          <w:rFonts w:ascii="Arial" w:cs="Arial" w:eastAsia="Arial" w:hAnsi="Arial"/>
          <w:sz w:val="12"/>
          <w:szCs w:val="12"/>
          <w:color w:val="auto"/>
        </w:rPr>
        <w:t>In the event of a change of control (acquisition of more than 50% of the shares of the Company by a new shareholder), the following shall apply:</w:t>
      </w:r>
    </w:p>
    <w:p>
      <w:pPr>
        <w:spacing w:after="0" w:line="50" w:lineRule="exact"/>
        <w:rPr>
          <w:sz w:val="20"/>
          <w:szCs w:val="20"/>
          <w:color w:val="auto"/>
        </w:rPr>
      </w:pPr>
    </w:p>
    <w:p>
      <w:pPr>
        <w:ind w:left="1140" w:right="180" w:hanging="299"/>
        <w:spacing w:after="0" w:line="266" w:lineRule="auto"/>
        <w:rPr>
          <w:sz w:val="20"/>
          <w:szCs w:val="20"/>
          <w:color w:val="auto"/>
        </w:rPr>
      </w:pPr>
      <w:r>
        <w:rPr>
          <w:rFonts w:ascii="Arial" w:cs="Arial" w:eastAsia="Arial" w:hAnsi="Arial"/>
          <w:sz w:val="12"/>
          <w:szCs w:val="12"/>
          <w:b w:val="1"/>
          <w:bCs w:val="1"/>
          <w:color w:val="auto"/>
        </w:rPr>
        <w:t xml:space="preserve">9.5.1 </w:t>
      </w:r>
      <w:r>
        <w:rPr>
          <w:rFonts w:ascii="Arial" w:cs="Arial" w:eastAsia="Arial" w:hAnsi="Arial"/>
          <w:sz w:val="12"/>
          <w:szCs w:val="12"/>
          <w:color w:val="auto"/>
        </w:rPr>
        <w:t>If the</w:t>
      </w:r>
      <w:r>
        <w:rPr>
          <w:rFonts w:ascii="Arial" w:cs="Arial" w:eastAsia="Arial" w:hAnsi="Arial"/>
          <w:sz w:val="12"/>
          <w:szCs w:val="12"/>
          <w:b w:val="1"/>
          <w:bCs w:val="1"/>
          <w:color w:val="auto"/>
        </w:rPr>
        <w:t xml:space="preserve"> waiting period (item 2.4) has expired </w:t>
      </w:r>
      <w:r>
        <w:rPr>
          <w:rFonts w:ascii="Arial" w:cs="Arial" w:eastAsia="Arial" w:hAnsi="Arial"/>
          <w:sz w:val="12"/>
          <w:szCs w:val="12"/>
          <w:color w:val="auto"/>
        </w:rPr>
        <w:t>at the time the</w:t>
      </w:r>
      <w:r>
        <w:rPr>
          <w:rFonts w:ascii="Arial" w:cs="Arial" w:eastAsia="Arial" w:hAnsi="Arial"/>
          <w:sz w:val="12"/>
          <w:szCs w:val="12"/>
          <w:b w:val="1"/>
          <w:bCs w:val="1"/>
          <w:color w:val="auto"/>
        </w:rPr>
        <w:t xml:space="preserve"> </w:t>
      </w:r>
      <w:r>
        <w:rPr>
          <w:rFonts w:ascii="Arial" w:cs="Arial" w:eastAsia="Arial" w:hAnsi="Arial"/>
          <w:sz w:val="12"/>
          <w:szCs w:val="12"/>
          <w:color w:val="auto"/>
        </w:rPr>
        <w:t>Change of Control takes effect, option rights can be exercised within the next exercise period.</w:t>
      </w:r>
    </w:p>
    <w:p>
      <w:pPr>
        <w:spacing w:after="0" w:line="193" w:lineRule="exact"/>
        <w:rPr>
          <w:sz w:val="20"/>
          <w:szCs w:val="20"/>
          <w:color w:val="auto"/>
        </w:rPr>
      </w:pPr>
    </w:p>
    <w:p>
      <w:pPr>
        <w:ind w:left="1140" w:right="220"/>
        <w:spacing w:after="0" w:line="289" w:lineRule="auto"/>
        <w:rPr>
          <w:sz w:val="20"/>
          <w:szCs w:val="20"/>
          <w:color w:val="auto"/>
        </w:rPr>
      </w:pPr>
      <w:r>
        <w:rPr>
          <w:rFonts w:ascii="Arial" w:cs="Arial" w:eastAsia="Arial" w:hAnsi="Arial"/>
          <w:sz w:val="11"/>
          <w:szCs w:val="11"/>
          <w:color w:val="auto"/>
        </w:rPr>
        <w:t>If the conditions for exercising the options are not met, the beneficiary and Mynaric can declare their resignation in accordance with item 9.5.2, in which case a value adjustment must be paid in accordance with item 9.5.2.</w:t>
      </w:r>
    </w:p>
    <w:p>
      <w:pPr>
        <w:spacing w:after="0" w:line="35" w:lineRule="exact"/>
        <w:rPr>
          <w:sz w:val="20"/>
          <w:szCs w:val="20"/>
          <w:color w:val="auto"/>
        </w:rPr>
      </w:pPr>
    </w:p>
    <w:p>
      <w:pPr>
        <w:ind w:left="1140" w:right="80" w:hanging="299"/>
        <w:spacing w:after="0" w:line="277" w:lineRule="auto"/>
        <w:rPr>
          <w:sz w:val="20"/>
          <w:szCs w:val="20"/>
          <w:color w:val="auto"/>
        </w:rPr>
      </w:pPr>
      <w:r>
        <w:rPr>
          <w:rFonts w:ascii="Arial" w:cs="Arial" w:eastAsia="Arial" w:hAnsi="Arial"/>
          <w:sz w:val="11"/>
          <w:szCs w:val="11"/>
          <w:b w:val="1"/>
          <w:bCs w:val="1"/>
          <w:color w:val="auto"/>
        </w:rPr>
        <w:t xml:space="preserve">9.5.2 </w:t>
      </w:r>
      <w:r>
        <w:rPr>
          <w:rFonts w:ascii="Arial" w:cs="Arial" w:eastAsia="Arial" w:hAnsi="Arial"/>
          <w:sz w:val="11"/>
          <w:szCs w:val="11"/>
          <w:color w:val="auto"/>
        </w:rPr>
        <w:t>If the</w:t>
      </w:r>
      <w:r>
        <w:rPr>
          <w:rFonts w:ascii="Arial" w:cs="Arial" w:eastAsia="Arial" w:hAnsi="Arial"/>
          <w:sz w:val="11"/>
          <w:szCs w:val="11"/>
          <w:b w:val="1"/>
          <w:bCs w:val="1"/>
          <w:color w:val="auto"/>
        </w:rPr>
        <w:t xml:space="preserve"> waiting period (item 2.5) has not yet expired </w:t>
      </w:r>
      <w:r>
        <w:rPr>
          <w:rFonts w:ascii="Arial" w:cs="Arial" w:eastAsia="Arial" w:hAnsi="Arial"/>
          <w:sz w:val="11"/>
          <w:szCs w:val="11"/>
          <w:color w:val="auto"/>
        </w:rPr>
        <w:t>at the time</w:t>
      </w:r>
      <w:r>
        <w:rPr>
          <w:rFonts w:ascii="Arial" w:cs="Arial" w:eastAsia="Arial" w:hAnsi="Arial"/>
          <w:sz w:val="11"/>
          <w:szCs w:val="11"/>
          <w:b w:val="1"/>
          <w:bCs w:val="1"/>
          <w:color w:val="auto"/>
        </w:rPr>
        <w:t xml:space="preserve"> </w:t>
      </w:r>
      <w:r>
        <w:rPr>
          <w:rFonts w:ascii="Arial" w:cs="Arial" w:eastAsia="Arial" w:hAnsi="Arial"/>
          <w:sz w:val="11"/>
          <w:szCs w:val="11"/>
          <w:color w:val="auto"/>
        </w:rPr>
        <w:t>the change of control takes effect, the rightful claimant is entitled to waive the subscription rights granted to him/her by the granted subscription rights by means of a unilateral declaration to Mynaric (withdrawal). Such a declaration of withdrawal must be received by the company within a period of two weeks from the publication of the Change of Control. It must be in writing, whereby transmission by fax within the deadline is sufficient if the original of the declaration follows within one week of receipt of the fax. A declaration by e-mail is also permissible within the deadline if it contains the original of the signed reference declaration as a file attachment (e.g. in pdf or tif format) and the original follows the declaration within one week of receipt of the e-mail.</w:t>
      </w:r>
    </w:p>
    <w:p>
      <w:pPr>
        <w:spacing w:after="0" w:line="20" w:lineRule="exact"/>
        <w:rPr>
          <w:sz w:val="20"/>
          <w:szCs w:val="20"/>
          <w:color w:val="auto"/>
        </w:rPr>
      </w:pPr>
      <w:r>
        <w:rPr>
          <w:sz w:val="20"/>
          <w:szCs w:val="20"/>
          <w:color w:val="auto"/>
        </w:rPr>
        <w:br w:type="column"/>
      </w:r>
    </w:p>
    <w:p>
      <w:pPr>
        <w:ind w:right="879" w:hanging="299"/>
        <w:spacing w:after="0" w:line="278" w:lineRule="auto"/>
        <w:rPr>
          <w:sz w:val="20"/>
          <w:szCs w:val="20"/>
          <w:color w:val="auto"/>
        </w:rPr>
      </w:pPr>
      <w:r>
        <w:rPr>
          <w:rFonts w:ascii="Arial" w:cs="Arial" w:eastAsia="Arial" w:hAnsi="Arial"/>
          <w:sz w:val="12"/>
          <w:szCs w:val="12"/>
          <w:b w:val="1"/>
          <w:bCs w:val="1"/>
          <w:color w:val="auto"/>
        </w:rPr>
        <w:t>9.4</w:t>
      </w:r>
      <w:r>
        <w:rPr>
          <w:sz w:val="20"/>
          <w:szCs w:val="20"/>
          <w:color w:val="auto"/>
        </w:rPr>
        <w:t xml:space="preserve"> </w:t>
      </w:r>
      <w:r>
        <w:rPr>
          <w:rFonts w:ascii="Arial" w:cs="Arial" w:eastAsia="Arial" w:hAnsi="Arial"/>
          <w:sz w:val="11"/>
          <w:szCs w:val="11"/>
          <w:color w:val="auto"/>
        </w:rPr>
        <w:t xml:space="preserve">Im Falle einer </w:t>
      </w:r>
      <w:r>
        <w:rPr>
          <w:rFonts w:ascii="Arial" w:cs="Arial" w:eastAsia="Arial" w:hAnsi="Arial"/>
          <w:sz w:val="11"/>
          <w:szCs w:val="11"/>
          <w:b w:val="1"/>
          <w:bCs w:val="1"/>
          <w:color w:val="auto"/>
        </w:rPr>
        <w:t>Kapitalherabsetzung</w:t>
      </w:r>
      <w:r>
        <w:rPr>
          <w:rFonts w:ascii="Arial" w:cs="Arial" w:eastAsia="Arial" w:hAnsi="Arial"/>
          <w:sz w:val="11"/>
          <w:szCs w:val="11"/>
          <w:color w:val="auto"/>
        </w:rPr>
        <w:t xml:space="preserve"> bleibt der Ausübungspreis unverändert, wenn durch die Kapitalherabsetzung die Anzahl der Aktien unverändert bleibt oder die Kapitalherabsetzung mit einer Kapitalrückzahlung oder einem entgeltlichen Erwerb eigener Aktien verbunden ist. Im Falle einer Kapitalherabsetzung durch Zusammenlegung von Aktien ohne Kapitalrückzahlung oder entgeltlichem Erwerb eigener Aktien und im Falle einer Erhöhung der Aktien ohne Kapitalveränderung (Aktiensplitt) wird das Bezugsrecht so angepasst, dass die Anzahl der für ein Bezugsrecht zu gewährenden Aktien im Verhältnis der Kapitalherabsetzung oder des Aktiensplitts entsprechend verringert oder erhöht werden. Der Ausübungspreis bleibt hiervon unberührt.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-1697990</wp:posOffset>
            </wp:positionV>
            <wp:extent cx="7214870" cy="4343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14870" cy="434340"/>
                    </a:xfrm>
                    <a:prstGeom prst="rect">
                      <a:avLst/>
                    </a:prstGeom>
                    <a:noFill/>
                  </pic:spPr>
                </pic:pic>
              </a:graphicData>
            </a:graphic>
          </wp:anchor>
        </w:drawing>
      </w:r>
    </w:p>
    <w:p>
      <w:pPr>
        <w:spacing w:after="0" w:line="19" w:lineRule="exact"/>
        <w:rPr>
          <w:sz w:val="20"/>
          <w:szCs w:val="20"/>
          <w:color w:val="auto"/>
        </w:rPr>
      </w:pPr>
    </w:p>
    <w:p>
      <w:pPr>
        <w:ind w:right="999" w:hanging="299"/>
        <w:spacing w:after="0" w:line="266" w:lineRule="auto"/>
        <w:rPr>
          <w:sz w:val="20"/>
          <w:szCs w:val="20"/>
          <w:color w:val="auto"/>
        </w:rPr>
      </w:pPr>
      <w:r>
        <w:rPr>
          <w:rFonts w:ascii="Arial" w:cs="Arial" w:eastAsia="Arial" w:hAnsi="Arial"/>
          <w:sz w:val="12"/>
          <w:szCs w:val="12"/>
          <w:b w:val="1"/>
          <w:bCs w:val="1"/>
          <w:color w:val="auto"/>
        </w:rPr>
        <w:t>9.5</w:t>
      </w:r>
      <w:r>
        <w:rPr>
          <w:sz w:val="20"/>
          <w:szCs w:val="20"/>
          <w:color w:val="auto"/>
        </w:rPr>
        <w:t xml:space="preserve"> </w:t>
      </w:r>
      <w:r>
        <w:rPr>
          <w:rFonts w:ascii="Arial" w:cs="Arial" w:eastAsia="Arial" w:hAnsi="Arial"/>
          <w:sz w:val="12"/>
          <w:szCs w:val="12"/>
          <w:color w:val="auto"/>
        </w:rPr>
        <w:t xml:space="preserve">Im Falle eines </w:t>
      </w:r>
      <w:r>
        <w:rPr>
          <w:rFonts w:ascii="Arial" w:cs="Arial" w:eastAsia="Arial" w:hAnsi="Arial"/>
          <w:sz w:val="12"/>
          <w:szCs w:val="12"/>
          <w:b w:val="1"/>
          <w:bCs w:val="1"/>
          <w:color w:val="auto"/>
        </w:rPr>
        <w:t>Change of Control</w:t>
      </w:r>
      <w:r>
        <w:rPr>
          <w:rFonts w:ascii="Arial" w:cs="Arial" w:eastAsia="Arial" w:hAnsi="Arial"/>
          <w:sz w:val="12"/>
          <w:szCs w:val="12"/>
          <w:color w:val="auto"/>
        </w:rPr>
        <w:t xml:space="preserve"> (Erwerb von mehr als 50 % der Aktien der Gesellschaft durch einen neuen Aktionär) gilt folgendes:</w:t>
      </w:r>
    </w:p>
    <w:p>
      <w:pPr>
        <w:spacing w:after="0" w:line="45" w:lineRule="exact"/>
        <w:rPr>
          <w:sz w:val="20"/>
          <w:szCs w:val="20"/>
          <w:color w:val="auto"/>
        </w:rPr>
      </w:pPr>
    </w:p>
    <w:p>
      <w:pPr>
        <w:jc w:val="both"/>
        <w:ind w:left="20" w:right="1159" w:hanging="299"/>
        <w:spacing w:after="0" w:line="261" w:lineRule="auto"/>
        <w:rPr>
          <w:sz w:val="20"/>
          <w:szCs w:val="20"/>
          <w:color w:val="auto"/>
        </w:rPr>
      </w:pPr>
      <w:r>
        <w:rPr>
          <w:rFonts w:ascii="Arial" w:cs="Arial" w:eastAsia="Arial" w:hAnsi="Arial"/>
          <w:sz w:val="12"/>
          <w:szCs w:val="12"/>
          <w:b w:val="1"/>
          <w:bCs w:val="1"/>
          <w:color w:val="auto"/>
        </w:rPr>
        <w:t xml:space="preserve">9.5.1 </w:t>
      </w:r>
      <w:r>
        <w:rPr>
          <w:rFonts w:ascii="Arial" w:cs="Arial" w:eastAsia="Arial" w:hAnsi="Arial"/>
          <w:sz w:val="12"/>
          <w:szCs w:val="12"/>
          <w:color w:val="auto"/>
        </w:rPr>
        <w:t>Soweit zum Zeitpunkt des Wirksamwerdens des Change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Controls die </w:t>
      </w:r>
      <w:r>
        <w:rPr>
          <w:rFonts w:ascii="Arial" w:cs="Arial" w:eastAsia="Arial" w:hAnsi="Arial"/>
          <w:sz w:val="12"/>
          <w:szCs w:val="12"/>
          <w:b w:val="1"/>
          <w:bCs w:val="1"/>
          <w:color w:val="auto"/>
        </w:rPr>
        <w:t>Wartezeit (Ziffer 2.4) abgelaufen</w:t>
      </w:r>
      <w:r>
        <w:rPr>
          <w:rFonts w:ascii="Arial" w:cs="Arial" w:eastAsia="Arial" w:hAnsi="Arial"/>
          <w:sz w:val="12"/>
          <w:szCs w:val="12"/>
          <w:color w:val="auto"/>
        </w:rPr>
        <w:t xml:space="preserve"> ist, können Optionsrechte innerhalb des nächsten Ausübungszeitraums ausgeübt werden.</w:t>
      </w:r>
    </w:p>
    <w:p>
      <w:pPr>
        <w:spacing w:after="0" w:line="52" w:lineRule="exact"/>
        <w:rPr>
          <w:sz w:val="20"/>
          <w:szCs w:val="20"/>
          <w:color w:val="auto"/>
        </w:rPr>
      </w:pPr>
    </w:p>
    <w:p>
      <w:pPr>
        <w:ind w:left="20" w:right="979"/>
        <w:spacing w:after="0" w:line="289" w:lineRule="auto"/>
        <w:rPr>
          <w:sz w:val="20"/>
          <w:szCs w:val="20"/>
          <w:color w:val="auto"/>
        </w:rPr>
      </w:pPr>
      <w:r>
        <w:rPr>
          <w:rFonts w:ascii="Arial" w:cs="Arial" w:eastAsia="Arial" w:hAnsi="Arial"/>
          <w:sz w:val="11"/>
          <w:szCs w:val="11"/>
          <w:color w:val="auto"/>
        </w:rPr>
        <w:t>Liegen die Ausübungsvoraussetzungen nicht vor, können der Bezugsberechtigte und Mynaric nach Maßgabe des Ziffer 9.5.2 den Rücktritt erklären, in diesem Fall ist ein Wertausgleich gemäß Ziffer 9.5.2 zu zahlen.</w:t>
      </w:r>
    </w:p>
    <w:p>
      <w:pPr>
        <w:spacing w:after="0" w:line="35" w:lineRule="exact"/>
        <w:rPr>
          <w:sz w:val="20"/>
          <w:szCs w:val="20"/>
          <w:color w:val="auto"/>
        </w:rPr>
      </w:pPr>
    </w:p>
    <w:p>
      <w:pPr>
        <w:ind w:left="20" w:right="859" w:hanging="299"/>
        <w:spacing w:after="0" w:line="280" w:lineRule="auto"/>
        <w:rPr>
          <w:sz w:val="20"/>
          <w:szCs w:val="20"/>
          <w:color w:val="auto"/>
        </w:rPr>
      </w:pPr>
      <w:r>
        <w:rPr>
          <w:rFonts w:ascii="Arial" w:cs="Arial" w:eastAsia="Arial" w:hAnsi="Arial"/>
          <w:sz w:val="11"/>
          <w:szCs w:val="11"/>
          <w:b w:val="1"/>
          <w:bCs w:val="1"/>
          <w:color w:val="auto"/>
        </w:rPr>
        <w:t xml:space="preserve">9.5.2 </w:t>
      </w:r>
      <w:r>
        <w:rPr>
          <w:rFonts w:ascii="Arial" w:cs="Arial" w:eastAsia="Arial" w:hAnsi="Arial"/>
          <w:sz w:val="11"/>
          <w:szCs w:val="11"/>
          <w:color w:val="auto"/>
        </w:rPr>
        <w:t>Ist die</w:t>
      </w:r>
      <w:r>
        <w:rPr>
          <w:rFonts w:ascii="Arial" w:cs="Arial" w:eastAsia="Arial" w:hAnsi="Arial"/>
          <w:sz w:val="11"/>
          <w:szCs w:val="11"/>
          <w:b w:val="1"/>
          <w:bCs w:val="1"/>
          <w:color w:val="auto"/>
        </w:rPr>
        <w:t xml:space="preserve"> Wartezeit (Ziffer 2.5) </w:t>
      </w:r>
      <w:r>
        <w:rPr>
          <w:rFonts w:ascii="Arial" w:cs="Arial" w:eastAsia="Arial" w:hAnsi="Arial"/>
          <w:sz w:val="11"/>
          <w:szCs w:val="11"/>
          <w:color w:val="auto"/>
        </w:rPr>
        <w:t>zum Zeitpunkt des Wirksamwerden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des Change of Control </w:t>
      </w:r>
      <w:r>
        <w:rPr>
          <w:rFonts w:ascii="Arial" w:cs="Arial" w:eastAsia="Arial" w:hAnsi="Arial"/>
          <w:sz w:val="11"/>
          <w:szCs w:val="11"/>
          <w:b w:val="1"/>
          <w:bCs w:val="1"/>
          <w:color w:val="auto"/>
        </w:rPr>
        <w:t>noch nicht abgelaufen</w:t>
      </w:r>
      <w:r>
        <w:rPr>
          <w:rFonts w:ascii="Arial" w:cs="Arial" w:eastAsia="Arial" w:hAnsi="Arial"/>
          <w:sz w:val="11"/>
          <w:szCs w:val="11"/>
          <w:color w:val="auto"/>
        </w:rPr>
        <w:t>, steht dem Bezugsberechtigten das Recht zu, auf die ihm durch die gewährten Bezugsrechte eingeräumten Bezugsrechte durch einseitige Erklärung gegenüber der Mynaric zu verzichten (Rücktritt). Eine solche Rücktrittserklärung muss der Gesellschaft innerhalb einer Frist von zwei Wochen seit der Veröffentlichung des Change of Control zugehen. Sie bedarf der Schriftform, wobei eine Übersendung per Telefax innerhalb der</w:t>
      </w:r>
    </w:p>
    <w:p>
      <w:pPr>
        <w:spacing w:after="0" w:line="790" w:lineRule="exact"/>
        <w:rPr>
          <w:sz w:val="20"/>
          <w:szCs w:val="20"/>
          <w:color w:val="auto"/>
        </w:rPr>
      </w:pPr>
    </w:p>
    <w:p>
      <w:pPr>
        <w:sectPr>
          <w:pgSz w:w="11900" w:h="16838" w:orient="portrait"/>
          <w:cols w:equalWidth="0" w:num="2">
            <w:col w:w="4280" w:space="720"/>
            <w:col w:w="4019"/>
          </w:cols>
          <w:pgMar w:left="1440" w:top="910" w:right="1440" w:bottom="1440" w:gutter="0" w:footer="0" w:header="0"/>
        </w:sectPr>
      </w:pPr>
    </w:p>
    <w:p>
      <w:pPr>
        <w:jc w:val="center"/>
        <w:spacing w:after="0"/>
        <w:rPr>
          <w:sz w:val="20"/>
          <w:szCs w:val="20"/>
          <w:color w:val="auto"/>
        </w:rPr>
      </w:pPr>
      <w:r>
        <w:rPr>
          <w:rFonts w:ascii="Arial" w:cs="Arial" w:eastAsia="Arial" w:hAnsi="Arial"/>
          <w:sz w:val="10"/>
          <w:szCs w:val="10"/>
          <w:color w:val="auto"/>
        </w:rPr>
        <w:t>Page 12/18</w:t>
      </w:r>
    </w:p>
    <w:p>
      <w:pPr>
        <w:sectPr>
          <w:pgSz w:w="11900" w:h="16838" w:orient="portrait"/>
          <w:cols w:equalWidth="0" w:num="1">
            <w:col w:w="9019"/>
          </w:cols>
          <w:pgMar w:left="1440" w:top="910" w:right="1440" w:bottom="1440" w:gutter="0" w:footer="0" w:header="0"/>
          <w:type w:val="continuous"/>
        </w:sectPr>
      </w:pPr>
    </w:p>
    <w:bookmarkStart w:id="329" w:name="page330"/>
    <w:bookmarkEnd w:id="3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40" w:right="60"/>
        <w:spacing w:after="0" w:line="280" w:lineRule="auto"/>
        <w:rPr>
          <w:sz w:val="20"/>
          <w:szCs w:val="20"/>
          <w:color w:val="auto"/>
        </w:rPr>
      </w:pPr>
      <w:r>
        <w:rPr>
          <w:rFonts w:ascii="Arial" w:cs="Arial" w:eastAsia="Arial" w:hAnsi="Arial"/>
          <w:sz w:val="11"/>
          <w:szCs w:val="11"/>
          <w:color w:val="auto"/>
        </w:rPr>
        <w:t>If a subscription right holder withdraws in accordance with this provision, he is entitled to payment of a full value compensation for each subscription right against Mynaric. This claim is calculated as follows: The purchase price paid for a no-par value share in the company is decisive, less the exercise price to be paid by the person entitled to subscribe. If the buyer increases the purchase price at a later date, the value of the shares will be increased accordingly.</w:t>
      </w:r>
    </w:p>
    <w:p>
      <w:pPr>
        <w:spacing w:after="0" w:line="20" w:lineRule="exact"/>
        <w:rPr>
          <w:sz w:val="20"/>
          <w:szCs w:val="20"/>
          <w:color w:val="auto"/>
        </w:rPr>
      </w:pPr>
      <w:r>
        <w:rPr>
          <w:sz w:val="20"/>
          <w:szCs w:val="20"/>
          <w:color w:val="auto"/>
        </w:rPr>
        <w:br w:type="column"/>
      </w:r>
    </w:p>
    <w:p>
      <w:pPr>
        <w:ind w:right="859"/>
        <w:spacing w:after="0" w:line="316" w:lineRule="auto"/>
        <w:rPr>
          <w:sz w:val="20"/>
          <w:szCs w:val="20"/>
          <w:color w:val="auto"/>
        </w:rPr>
      </w:pPr>
      <w:r>
        <w:rPr>
          <w:rFonts w:ascii="Arial" w:cs="Arial" w:eastAsia="Arial" w:hAnsi="Arial"/>
          <w:sz w:val="10"/>
          <w:szCs w:val="10"/>
          <w:color w:val="auto"/>
        </w:rPr>
        <w:t>Frist ausreicht, wenn das Original der Erklärung innerhalb einer Woche seit Zugang des Telefaxes folgt. Eine Erklärung per E-Mail ist ebenfalls fristwahrend zulässig, wenn sie das Original der unterzeichneten Bezugserklärung als Dateianhang (z. B. im pdf- oder tif-Format) enthält und das Original der Erklärung innerhalb einer Woche seit Zugang des E-Mails folgt.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-1005205</wp:posOffset>
            </wp:positionV>
            <wp:extent cx="1285875" cy="3714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7" w:lineRule="exact"/>
        <w:rPr>
          <w:sz w:val="20"/>
          <w:szCs w:val="20"/>
          <w:color w:val="auto"/>
        </w:rPr>
      </w:pPr>
    </w:p>
    <w:p>
      <w:pPr>
        <w:ind w:right="879"/>
        <w:spacing w:after="0" w:line="253" w:lineRule="auto"/>
        <w:rPr>
          <w:sz w:val="20"/>
          <w:szCs w:val="20"/>
          <w:color w:val="auto"/>
        </w:rPr>
      </w:pPr>
      <w:r>
        <w:rPr>
          <w:rFonts w:ascii="Arial" w:cs="Arial" w:eastAsia="Arial" w:hAnsi="Arial"/>
          <w:sz w:val="12"/>
          <w:szCs w:val="12"/>
          <w:color w:val="auto"/>
        </w:rPr>
        <w:t>Tritt ein Bezugsrechtsinhaber nach Maßgabe dieser Bestimmung zurück, steht ihm ein Anspruch auf Zahlung eines vollen Wertausgleichs für jedes Bezugsrecht gegen die Mynaric zu. Dieser Anspruch berechnet sich wie folgt: Maßgeblich ist der bezahlte Kaufpreis für eine Stückaktie der Gesellschaft, abzüglich des vom Bezugsberechtigten zu zahlenden Ausübungspreises. Soweit der Käufer den Kaufpreis zu einem späteren Zeitpunkt erhöht, erhöht sich der Wertausgleich entsprechend.</w:t>
      </w:r>
    </w:p>
    <w:p>
      <w:pPr>
        <w:spacing w:after="0" w:line="59" w:lineRule="exact"/>
        <w:rPr>
          <w:sz w:val="20"/>
          <w:szCs w:val="20"/>
          <w:color w:val="auto"/>
        </w:rPr>
      </w:pPr>
    </w:p>
    <w:p>
      <w:pPr>
        <w:sectPr>
          <w:pgSz w:w="11900" w:h="16838" w:orient="portrait"/>
          <w:cols w:equalWidth="0" w:num="2">
            <w:col w:w="4360" w:space="720"/>
            <w:col w:w="3939"/>
          </w:cols>
          <w:pgMar w:left="1440" w:top="914" w:right="1440" w:bottom="1440" w:gutter="0" w:footer="0" w:header="0"/>
        </w:sectPr>
      </w:pPr>
    </w:p>
    <w:p>
      <w:pPr>
        <w:ind w:left="1140" w:right="43"/>
        <w:spacing w:after="0" w:line="263" w:lineRule="auto"/>
        <w:rPr>
          <w:sz w:val="20"/>
          <w:szCs w:val="20"/>
          <w:color w:val="auto"/>
        </w:rPr>
      </w:pPr>
      <w:r>
        <w:rPr>
          <w:rFonts w:ascii="Arial" w:cs="Arial" w:eastAsia="Arial" w:hAnsi="Arial"/>
          <w:sz w:val="12"/>
          <w:szCs w:val="12"/>
          <w:color w:val="auto"/>
        </w:rPr>
        <w:t>It is clarified that the claim to payment of the value adjustment can arise independently of the fulfilment of the performance targets (item 4).</w:t>
      </w:r>
    </w:p>
    <w:p>
      <w:pPr>
        <w:spacing w:after="0" w:line="46" w:lineRule="exact"/>
        <w:rPr>
          <w:sz w:val="20"/>
          <w:szCs w:val="20"/>
          <w:color w:val="auto"/>
        </w:rPr>
      </w:pPr>
    </w:p>
    <w:p>
      <w:pPr>
        <w:ind w:left="1120" w:right="303" w:hanging="299"/>
        <w:spacing w:after="0" w:line="276" w:lineRule="auto"/>
        <w:tabs>
          <w:tab w:leader="none" w:pos="1100" w:val="left"/>
        </w:tabs>
        <w:rPr>
          <w:sz w:val="20"/>
          <w:szCs w:val="20"/>
          <w:color w:val="auto"/>
        </w:rPr>
      </w:pPr>
      <w:r>
        <w:rPr>
          <w:rFonts w:ascii="Arial" w:cs="Arial" w:eastAsia="Arial" w:hAnsi="Arial"/>
          <w:sz w:val="12"/>
          <w:szCs w:val="12"/>
          <w:b w:val="1"/>
          <w:bCs w:val="1"/>
          <w:color w:val="auto"/>
        </w:rPr>
        <w:t>9.6</w:t>
      </w:r>
      <w:r>
        <w:rPr>
          <w:sz w:val="20"/>
          <w:szCs w:val="20"/>
          <w:color w:val="auto"/>
        </w:rPr>
        <w:tab/>
      </w:r>
      <w:r>
        <w:rPr>
          <w:rFonts w:ascii="Arial" w:cs="Arial" w:eastAsia="Arial" w:hAnsi="Arial"/>
          <w:sz w:val="12"/>
          <w:szCs w:val="12"/>
          <w:color w:val="auto"/>
        </w:rPr>
        <w:t>The provisions of item 9.5.2 above shall also apply in the following cases:</w:t>
      </w:r>
    </w:p>
    <w:p>
      <w:pPr>
        <w:spacing w:after="0" w:line="43" w:lineRule="exact"/>
        <w:rPr>
          <w:sz w:val="20"/>
          <w:szCs w:val="20"/>
          <w:color w:val="auto"/>
        </w:rPr>
      </w:pPr>
    </w:p>
    <w:p>
      <w:pPr>
        <w:ind w:left="1140" w:right="63" w:hanging="299"/>
        <w:spacing w:after="0" w:line="283" w:lineRule="auto"/>
        <w:rPr>
          <w:sz w:val="20"/>
          <w:szCs w:val="20"/>
          <w:color w:val="auto"/>
        </w:rPr>
      </w:pPr>
      <w:r>
        <w:rPr>
          <w:rFonts w:ascii="Arial" w:cs="Arial" w:eastAsia="Arial" w:hAnsi="Arial"/>
          <w:sz w:val="12"/>
          <w:szCs w:val="12"/>
          <w:b w:val="1"/>
          <w:bCs w:val="1"/>
          <w:color w:val="auto"/>
        </w:rPr>
        <w:t xml:space="preserve">9.6.1 Resolution of the annual general meeting of Mynaric </w:t>
      </w:r>
      <w:r>
        <w:rPr>
          <w:rFonts w:ascii="Arial" w:cs="Arial" w:eastAsia="Arial" w:hAnsi="Arial"/>
          <w:sz w:val="12"/>
          <w:szCs w:val="12"/>
          <w:color w:val="auto"/>
        </w:rPr>
        <w:t>in the</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cases:</w:t>
      </w:r>
    </w:p>
    <w:p>
      <w:pPr>
        <w:spacing w:after="0" w:line="39" w:lineRule="exact"/>
        <w:rPr>
          <w:sz w:val="20"/>
          <w:szCs w:val="20"/>
          <w:color w:val="auto"/>
        </w:rPr>
      </w:pPr>
    </w:p>
    <w:p>
      <w:pPr>
        <w:ind w:left="1120" w:hanging="168"/>
        <w:spacing w:after="0"/>
        <w:tabs>
          <w:tab w:leader="none" w:pos="1120" w:val="left"/>
        </w:tabs>
        <w:numPr>
          <w:ilvl w:val="0"/>
          <w:numId w:val="277"/>
        </w:numPr>
        <w:rPr>
          <w:rFonts w:ascii="Arial" w:cs="Arial" w:eastAsia="Arial" w:hAnsi="Arial"/>
          <w:sz w:val="11"/>
          <w:szCs w:val="11"/>
          <w:color w:val="auto"/>
        </w:rPr>
      </w:pPr>
      <w:r>
        <w:rPr>
          <w:rFonts w:ascii="Arial" w:cs="Arial" w:eastAsia="Arial" w:hAnsi="Arial"/>
          <w:sz w:val="11"/>
          <w:szCs w:val="11"/>
          <w:color w:val="auto"/>
        </w:rPr>
        <w:t>Approval of the merger of Mynaric with another company;</w:t>
      </w:r>
    </w:p>
    <w:p>
      <w:pPr>
        <w:spacing w:after="0" w:line="20" w:lineRule="exact"/>
        <w:rPr>
          <w:sz w:val="20"/>
          <w:szCs w:val="20"/>
          <w:color w:val="auto"/>
        </w:rPr>
      </w:pPr>
      <w:r>
        <w:rPr>
          <w:sz w:val="20"/>
          <w:szCs w:val="20"/>
          <w:color w:val="auto"/>
        </w:rPr>
        <w:br w:type="column"/>
      </w:r>
    </w:p>
    <w:p>
      <w:pPr>
        <w:ind w:left="177" w:right="939"/>
        <w:spacing w:after="0" w:line="263" w:lineRule="auto"/>
        <w:rPr>
          <w:sz w:val="20"/>
          <w:szCs w:val="20"/>
          <w:color w:val="auto"/>
        </w:rPr>
      </w:pPr>
      <w:r>
        <w:rPr>
          <w:rFonts w:ascii="Arial" w:cs="Arial" w:eastAsia="Arial" w:hAnsi="Arial"/>
          <w:sz w:val="12"/>
          <w:szCs w:val="12"/>
          <w:color w:val="auto"/>
        </w:rPr>
        <w:t>Es wird klargestellt, dass der Anspruch auf Zahlung des Wertausgleichs unabhängig von der Erfüllung der Erfolgsziele (Ziffer 4) entstehen kann.</w:t>
      </w:r>
    </w:p>
    <w:p>
      <w:pPr>
        <w:spacing w:after="0" w:line="46" w:lineRule="exact"/>
        <w:rPr>
          <w:sz w:val="20"/>
          <w:szCs w:val="20"/>
          <w:color w:val="auto"/>
        </w:rPr>
      </w:pPr>
    </w:p>
    <w:p>
      <w:pPr>
        <w:ind w:left="177" w:right="879" w:hanging="299"/>
        <w:spacing w:after="0" w:line="276" w:lineRule="auto"/>
        <w:tabs>
          <w:tab w:leader="none" w:pos="157" w:val="left"/>
        </w:tabs>
        <w:rPr>
          <w:sz w:val="20"/>
          <w:szCs w:val="20"/>
          <w:color w:val="auto"/>
        </w:rPr>
      </w:pPr>
      <w:r>
        <w:rPr>
          <w:rFonts w:ascii="Arial" w:cs="Arial" w:eastAsia="Arial" w:hAnsi="Arial"/>
          <w:sz w:val="12"/>
          <w:szCs w:val="12"/>
          <w:b w:val="1"/>
          <w:bCs w:val="1"/>
          <w:color w:val="auto"/>
        </w:rPr>
        <w:t>9.6</w:t>
      </w:r>
      <w:r>
        <w:rPr>
          <w:sz w:val="20"/>
          <w:szCs w:val="20"/>
          <w:color w:val="auto"/>
        </w:rPr>
        <w:tab/>
      </w:r>
      <w:r>
        <w:rPr>
          <w:rFonts w:ascii="Arial" w:cs="Arial" w:eastAsia="Arial" w:hAnsi="Arial"/>
          <w:sz w:val="12"/>
          <w:szCs w:val="12"/>
          <w:color w:val="auto"/>
        </w:rPr>
        <w:t>Die Bestimmungen des vorstehenden Ziffer 9.5.2 gelten auch in folgenden Fällen:</w:t>
      </w:r>
    </w:p>
    <w:p>
      <w:pPr>
        <w:spacing w:after="0" w:line="43" w:lineRule="exact"/>
        <w:rPr>
          <w:sz w:val="20"/>
          <w:szCs w:val="20"/>
          <w:color w:val="auto"/>
        </w:rPr>
      </w:pPr>
    </w:p>
    <w:p>
      <w:pPr>
        <w:ind w:left="177" w:right="1019" w:hanging="299"/>
        <w:spacing w:after="0" w:line="283" w:lineRule="auto"/>
        <w:rPr>
          <w:sz w:val="20"/>
          <w:szCs w:val="20"/>
          <w:color w:val="auto"/>
        </w:rPr>
      </w:pPr>
      <w:r>
        <w:rPr>
          <w:rFonts w:ascii="Arial" w:cs="Arial" w:eastAsia="Arial" w:hAnsi="Arial"/>
          <w:sz w:val="12"/>
          <w:szCs w:val="12"/>
          <w:b w:val="1"/>
          <w:bCs w:val="1"/>
          <w:color w:val="auto"/>
        </w:rPr>
        <w:t xml:space="preserve">9.6.1 Beschlussfassung der Hauptversammlung der Mynaric </w:t>
      </w:r>
      <w:r>
        <w:rPr>
          <w:rFonts w:ascii="Arial" w:cs="Arial" w:eastAsia="Arial" w:hAnsi="Arial"/>
          <w:sz w:val="12"/>
          <w:szCs w:val="12"/>
          <w:color w:val="auto"/>
        </w:rPr>
        <w:t>in</w:t>
      </w:r>
      <w:r>
        <w:rPr>
          <w:rFonts w:ascii="Arial" w:cs="Arial" w:eastAsia="Arial" w:hAnsi="Arial"/>
          <w:sz w:val="12"/>
          <w:szCs w:val="12"/>
          <w:b w:val="1"/>
          <w:bCs w:val="1"/>
          <w:color w:val="auto"/>
        </w:rPr>
        <w:t xml:space="preserve"> </w:t>
      </w:r>
      <w:r>
        <w:rPr>
          <w:rFonts w:ascii="Arial" w:cs="Arial" w:eastAsia="Arial" w:hAnsi="Arial"/>
          <w:sz w:val="12"/>
          <w:szCs w:val="12"/>
          <w:color w:val="auto"/>
        </w:rPr>
        <w:t>folgenden Fällen:</w:t>
      </w:r>
    </w:p>
    <w:p>
      <w:pPr>
        <w:spacing w:after="0" w:line="39" w:lineRule="exact"/>
        <w:rPr>
          <w:sz w:val="20"/>
          <w:szCs w:val="20"/>
          <w:color w:val="auto"/>
        </w:rPr>
      </w:pPr>
    </w:p>
    <w:p>
      <w:pPr>
        <w:ind w:left="177" w:right="999" w:hanging="177"/>
        <w:spacing w:after="0" w:line="276" w:lineRule="auto"/>
        <w:tabs>
          <w:tab w:leader="none" w:pos="166" w:val="left"/>
        </w:tabs>
        <w:numPr>
          <w:ilvl w:val="0"/>
          <w:numId w:val="278"/>
        </w:numPr>
        <w:rPr>
          <w:rFonts w:ascii="Arial" w:cs="Arial" w:eastAsia="Arial" w:hAnsi="Arial"/>
          <w:sz w:val="12"/>
          <w:szCs w:val="12"/>
          <w:color w:val="auto"/>
        </w:rPr>
      </w:pPr>
      <w:r>
        <w:rPr>
          <w:rFonts w:ascii="Arial" w:cs="Arial" w:eastAsia="Arial" w:hAnsi="Arial"/>
          <w:sz w:val="12"/>
          <w:szCs w:val="12"/>
          <w:color w:val="auto"/>
        </w:rPr>
        <w:t>Zustimmung zur Verschmelzung der Mynaric auf eine andere Gesellschaft;</w:t>
      </w:r>
    </w:p>
    <w:p>
      <w:pPr>
        <w:spacing w:after="0" w:line="43" w:lineRule="exact"/>
        <w:rPr>
          <w:sz w:val="20"/>
          <w:szCs w:val="20"/>
          <w:color w:val="auto"/>
        </w:rPr>
      </w:pPr>
    </w:p>
    <w:p>
      <w:pPr>
        <w:sectPr>
          <w:pgSz w:w="11900" w:h="16838" w:orient="portrait"/>
          <w:cols w:equalWidth="0" w:num="2">
            <w:col w:w="4183" w:space="720"/>
            <w:col w:w="4116"/>
          </w:cols>
          <w:pgMar w:left="1440" w:top="914" w:right="1440" w:bottom="1440" w:gutter="0" w:footer="0" w:header="0"/>
          <w:type w:val="continuous"/>
        </w:sectPr>
      </w:pPr>
    </w:p>
    <w:p>
      <w:pPr>
        <w:ind w:left="1140" w:right="880" w:hanging="188"/>
        <w:spacing w:after="0" w:line="276" w:lineRule="auto"/>
        <w:tabs>
          <w:tab w:leader="none" w:pos="1129" w:val="left"/>
        </w:tabs>
        <w:numPr>
          <w:ilvl w:val="0"/>
          <w:numId w:val="279"/>
        </w:numPr>
        <w:rPr>
          <w:rFonts w:ascii="Arial" w:cs="Arial" w:eastAsia="Arial" w:hAnsi="Arial"/>
          <w:sz w:val="12"/>
          <w:szCs w:val="12"/>
          <w:color w:val="auto"/>
        </w:rPr>
      </w:pPr>
      <w:r>
        <w:rPr>
          <w:rFonts w:ascii="Arial" w:cs="Arial" w:eastAsia="Arial" w:hAnsi="Arial"/>
          <w:sz w:val="12"/>
          <w:szCs w:val="12"/>
          <w:color w:val="auto"/>
        </w:rPr>
        <w:t>Consent to the transfer of the assets of Mynaric to another company;</w:t>
      </w:r>
    </w:p>
    <w:p>
      <w:pPr>
        <w:spacing w:after="0" w:line="42" w:lineRule="exact"/>
        <w:rPr>
          <w:rFonts w:ascii="Arial" w:cs="Arial" w:eastAsia="Arial" w:hAnsi="Arial"/>
          <w:sz w:val="12"/>
          <w:szCs w:val="12"/>
          <w:color w:val="auto"/>
        </w:rPr>
      </w:pPr>
    </w:p>
    <w:p>
      <w:pPr>
        <w:ind w:left="1140" w:right="600" w:hanging="188"/>
        <w:spacing w:after="0" w:line="323" w:lineRule="auto"/>
        <w:tabs>
          <w:tab w:leader="none" w:pos="1123" w:val="left"/>
        </w:tabs>
        <w:numPr>
          <w:ilvl w:val="0"/>
          <w:numId w:val="279"/>
        </w:numPr>
        <w:rPr>
          <w:rFonts w:ascii="Arial" w:cs="Arial" w:eastAsia="Arial" w:hAnsi="Arial"/>
          <w:sz w:val="11"/>
          <w:szCs w:val="11"/>
          <w:color w:val="auto"/>
        </w:rPr>
      </w:pPr>
      <w:r>
        <w:rPr>
          <w:rFonts w:ascii="Arial" w:cs="Arial" w:eastAsia="Arial" w:hAnsi="Arial"/>
          <w:sz w:val="11"/>
          <w:szCs w:val="11"/>
          <w:color w:val="auto"/>
        </w:rPr>
        <w:t>Approval of the change of Mynaric’s legal form into a company form whose shares are not tradable on the stock exchange;</w:t>
      </w:r>
    </w:p>
    <w:p>
      <w:pPr>
        <w:spacing w:after="0" w:line="163" w:lineRule="exact"/>
        <w:rPr>
          <w:rFonts w:ascii="Arial" w:cs="Arial" w:eastAsia="Arial" w:hAnsi="Arial"/>
          <w:sz w:val="11"/>
          <w:szCs w:val="11"/>
          <w:color w:val="auto"/>
        </w:rPr>
      </w:pPr>
    </w:p>
    <w:p>
      <w:pPr>
        <w:ind w:left="1140" w:right="460" w:hanging="188"/>
        <w:spacing w:after="0" w:line="263" w:lineRule="auto"/>
        <w:tabs>
          <w:tab w:leader="none" w:pos="1129" w:val="left"/>
        </w:tabs>
        <w:numPr>
          <w:ilvl w:val="0"/>
          <w:numId w:val="279"/>
        </w:numPr>
        <w:rPr>
          <w:rFonts w:ascii="Arial" w:cs="Arial" w:eastAsia="Arial" w:hAnsi="Arial"/>
          <w:sz w:val="12"/>
          <w:szCs w:val="12"/>
          <w:color w:val="auto"/>
        </w:rPr>
      </w:pPr>
      <w:r>
        <w:rPr>
          <w:rFonts w:ascii="Arial" w:cs="Arial" w:eastAsia="Arial" w:hAnsi="Arial"/>
          <w:sz w:val="12"/>
          <w:szCs w:val="12"/>
          <w:color w:val="auto"/>
        </w:rPr>
        <w:t>Consent to the conclusion of an affiliation agreement, in particular a profit transfer and/or control agreement by Mynaric as a sub-company;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13/18</w:t>
      </w:r>
    </w:p>
    <w:p>
      <w:pPr>
        <w:spacing w:after="0" w:line="20" w:lineRule="exact"/>
        <w:rPr>
          <w:sz w:val="20"/>
          <w:szCs w:val="20"/>
          <w:color w:val="auto"/>
        </w:rPr>
      </w:pPr>
      <w:r>
        <w:rPr>
          <w:sz w:val="20"/>
          <w:szCs w:val="20"/>
          <w:color w:val="auto"/>
        </w:rPr>
        <w:br w:type="column"/>
      </w:r>
    </w:p>
    <w:p>
      <w:pPr>
        <w:ind w:left="177" w:right="959" w:hanging="177"/>
        <w:spacing w:after="0" w:line="276" w:lineRule="auto"/>
        <w:tabs>
          <w:tab w:leader="none" w:pos="166" w:val="left"/>
        </w:tabs>
        <w:numPr>
          <w:ilvl w:val="0"/>
          <w:numId w:val="280"/>
        </w:numPr>
        <w:rPr>
          <w:rFonts w:ascii="Arial" w:cs="Arial" w:eastAsia="Arial" w:hAnsi="Arial"/>
          <w:sz w:val="12"/>
          <w:szCs w:val="12"/>
          <w:color w:val="auto"/>
        </w:rPr>
      </w:pPr>
      <w:r>
        <w:rPr>
          <w:rFonts w:ascii="Arial" w:cs="Arial" w:eastAsia="Arial" w:hAnsi="Arial"/>
          <w:sz w:val="12"/>
          <w:szCs w:val="12"/>
          <w:color w:val="auto"/>
        </w:rPr>
        <w:t>Zustimmung zur Übertragung des Vermögens der Mynaric auf eine andere Gesellschaft;</w:t>
      </w:r>
    </w:p>
    <w:p>
      <w:pPr>
        <w:spacing w:after="0" w:line="42" w:lineRule="exact"/>
        <w:rPr>
          <w:rFonts w:ascii="Arial" w:cs="Arial" w:eastAsia="Arial" w:hAnsi="Arial"/>
          <w:sz w:val="12"/>
          <w:szCs w:val="12"/>
          <w:color w:val="auto"/>
        </w:rPr>
      </w:pPr>
    </w:p>
    <w:p>
      <w:pPr>
        <w:ind w:left="177" w:right="959" w:hanging="177"/>
        <w:spacing w:after="0" w:line="263" w:lineRule="auto"/>
        <w:tabs>
          <w:tab w:leader="none" w:pos="166" w:val="left"/>
        </w:tabs>
        <w:numPr>
          <w:ilvl w:val="0"/>
          <w:numId w:val="280"/>
        </w:numPr>
        <w:rPr>
          <w:rFonts w:ascii="Arial" w:cs="Arial" w:eastAsia="Arial" w:hAnsi="Arial"/>
          <w:sz w:val="12"/>
          <w:szCs w:val="12"/>
          <w:color w:val="auto"/>
        </w:rPr>
      </w:pPr>
      <w:r>
        <w:rPr>
          <w:rFonts w:ascii="Arial" w:cs="Arial" w:eastAsia="Arial" w:hAnsi="Arial"/>
          <w:sz w:val="12"/>
          <w:szCs w:val="12"/>
          <w:color w:val="auto"/>
        </w:rPr>
        <w:t>Zustimmung zum Formwechsel der Mynaric in eine Gesellschaftsform, deren Anteile nicht an der Börse handelbar sind;</w:t>
      </w:r>
    </w:p>
    <w:p>
      <w:pPr>
        <w:spacing w:after="0" w:line="50" w:lineRule="exact"/>
        <w:rPr>
          <w:rFonts w:ascii="Arial" w:cs="Arial" w:eastAsia="Arial" w:hAnsi="Arial"/>
          <w:sz w:val="12"/>
          <w:szCs w:val="12"/>
          <w:color w:val="auto"/>
        </w:rPr>
      </w:pPr>
    </w:p>
    <w:p>
      <w:pPr>
        <w:ind w:left="177" w:right="1099" w:hanging="177"/>
        <w:spacing w:after="0" w:line="289" w:lineRule="auto"/>
        <w:tabs>
          <w:tab w:leader="none" w:pos="166" w:val="left"/>
        </w:tabs>
        <w:numPr>
          <w:ilvl w:val="0"/>
          <w:numId w:val="280"/>
        </w:numPr>
        <w:rPr>
          <w:rFonts w:ascii="Arial" w:cs="Arial" w:eastAsia="Arial" w:hAnsi="Arial"/>
          <w:sz w:val="11"/>
          <w:szCs w:val="11"/>
          <w:color w:val="auto"/>
        </w:rPr>
      </w:pPr>
      <w:r>
        <w:rPr>
          <w:rFonts w:ascii="Arial" w:cs="Arial" w:eastAsia="Arial" w:hAnsi="Arial"/>
          <w:sz w:val="11"/>
          <w:szCs w:val="11"/>
          <w:color w:val="auto"/>
        </w:rPr>
        <w:t>Zustimmung zum Abschluss eines Unternehmensvertrages, insbesondere eines Gewinnabführungs- und/oder Beherrschungsvertrages durch die Mynaric als Untergesellschaft;</w:t>
      </w:r>
    </w:p>
    <w:p>
      <w:pPr>
        <w:sectPr>
          <w:pgSz w:w="11900" w:h="16838" w:orient="portrait"/>
          <w:cols w:equalWidth="0" w:num="2">
            <w:col w:w="4780" w:space="123"/>
            <w:col w:w="4116"/>
          </w:cols>
          <w:pgMar w:left="1440" w:top="914" w:right="1440" w:bottom="1440" w:gutter="0" w:footer="0" w:header="0"/>
          <w:type w:val="continuous"/>
        </w:sectPr>
      </w:pPr>
    </w:p>
    <w:bookmarkStart w:id="330" w:name="page331"/>
    <w:bookmarkEnd w:id="330"/>
    <w:p>
      <w:pPr>
        <w:ind w:left="1140" w:right="140" w:hanging="248"/>
        <w:spacing w:after="0" w:line="323" w:lineRule="auto"/>
        <w:tabs>
          <w:tab w:leader="none" w:pos="1129" w:val="left"/>
        </w:tabs>
        <w:numPr>
          <w:ilvl w:val="0"/>
          <w:numId w:val="28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Resolution on the integration of Mynaric into another company in accordance with §§ 319 et seq. German Stock Corporation Act.</w:t>
      </w:r>
    </w:p>
    <w:p>
      <w:pPr>
        <w:spacing w:after="0" w:line="19" w:lineRule="exact"/>
        <w:rPr>
          <w:rFonts w:ascii="Arial" w:cs="Arial" w:eastAsia="Arial" w:hAnsi="Arial"/>
          <w:sz w:val="11"/>
          <w:szCs w:val="11"/>
          <w:color w:val="auto"/>
        </w:rPr>
      </w:pPr>
    </w:p>
    <w:p>
      <w:pPr>
        <w:jc w:val="both"/>
        <w:ind w:left="1140" w:right="20"/>
        <w:spacing w:after="0" w:line="298" w:lineRule="auto"/>
        <w:rPr>
          <w:rFonts w:ascii="Arial" w:cs="Arial" w:eastAsia="Arial" w:hAnsi="Arial"/>
          <w:sz w:val="11"/>
          <w:szCs w:val="11"/>
          <w:color w:val="auto"/>
        </w:rPr>
      </w:pPr>
      <w:r>
        <w:rPr>
          <w:rFonts w:ascii="Arial" w:cs="Arial" w:eastAsia="Arial" w:hAnsi="Arial"/>
          <w:sz w:val="11"/>
          <w:szCs w:val="11"/>
          <w:color w:val="auto"/>
        </w:rPr>
        <w:t>In this case, the two-week period begins on the day of the resolution of the annual general meeting. A later cancellation of the resolution does not affect a right of withdrawal already exercised.</w:t>
      </w:r>
    </w:p>
    <w:p>
      <w:pPr>
        <w:spacing w:after="0" w:line="173" w:lineRule="exact"/>
        <w:rPr>
          <w:sz w:val="20"/>
          <w:szCs w:val="20"/>
          <w:color w:val="auto"/>
        </w:rPr>
      </w:pPr>
    </w:p>
    <w:p>
      <w:pPr>
        <w:ind w:left="1140" w:right="120" w:hanging="299"/>
        <w:spacing w:after="0" w:line="302" w:lineRule="auto"/>
        <w:rPr>
          <w:sz w:val="20"/>
          <w:szCs w:val="20"/>
          <w:color w:val="auto"/>
        </w:rPr>
      </w:pPr>
      <w:r>
        <w:rPr>
          <w:rFonts w:ascii="Arial" w:cs="Arial" w:eastAsia="Arial" w:hAnsi="Arial"/>
          <w:sz w:val="11"/>
          <w:szCs w:val="11"/>
          <w:b w:val="1"/>
          <w:bCs w:val="1"/>
          <w:color w:val="auto"/>
        </w:rPr>
        <w:t xml:space="preserve">9.6.2 Discontinuation of trading </w:t>
      </w:r>
      <w:r>
        <w:rPr>
          <w:rFonts w:ascii="Arial" w:cs="Arial" w:eastAsia="Arial" w:hAnsi="Arial"/>
          <w:sz w:val="11"/>
          <w:szCs w:val="11"/>
          <w:color w:val="auto"/>
        </w:rPr>
        <w:t>of Mynaric shares (delisting). It is</w:t>
      </w:r>
      <w:r>
        <w:rPr>
          <w:rFonts w:ascii="Arial" w:cs="Arial" w:eastAsia="Arial" w:hAnsi="Arial"/>
          <w:sz w:val="11"/>
          <w:szCs w:val="11"/>
          <w:b w:val="1"/>
          <w:bCs w:val="1"/>
          <w:color w:val="auto"/>
        </w:rPr>
        <w:t xml:space="preserve"> </w:t>
      </w:r>
      <w:r>
        <w:rPr>
          <w:rFonts w:ascii="Arial" w:cs="Arial" w:eastAsia="Arial" w:hAnsi="Arial"/>
          <w:sz w:val="11"/>
          <w:szCs w:val="11"/>
          <w:color w:val="auto"/>
        </w:rPr>
        <w:t>clarified that a change of the market segment does not constitute a right of withdrawal in the sense of this provision.</w:t>
      </w:r>
    </w:p>
    <w:p>
      <w:pPr>
        <w:spacing w:after="0" w:line="171" w:lineRule="exact"/>
        <w:rPr>
          <w:sz w:val="20"/>
          <w:szCs w:val="20"/>
          <w:color w:val="auto"/>
        </w:rPr>
      </w:pPr>
    </w:p>
    <w:p>
      <w:pPr>
        <w:ind w:left="1120" w:hanging="299"/>
        <w:spacing w:after="0" w:line="266" w:lineRule="auto"/>
        <w:tabs>
          <w:tab w:leader="none" w:pos="1100" w:val="left"/>
        </w:tabs>
        <w:rPr>
          <w:sz w:val="20"/>
          <w:szCs w:val="20"/>
          <w:color w:val="auto"/>
        </w:rPr>
      </w:pPr>
      <w:r>
        <w:rPr>
          <w:rFonts w:ascii="Arial" w:cs="Arial" w:eastAsia="Arial" w:hAnsi="Arial"/>
          <w:sz w:val="12"/>
          <w:szCs w:val="12"/>
          <w:b w:val="1"/>
          <w:bCs w:val="1"/>
          <w:color w:val="auto"/>
        </w:rPr>
        <w:t>9.7</w:t>
      </w:r>
      <w:r>
        <w:rPr>
          <w:sz w:val="20"/>
          <w:szCs w:val="20"/>
          <w:color w:val="auto"/>
        </w:rPr>
        <w:tab/>
      </w:r>
      <w:r>
        <w:rPr>
          <w:rFonts w:ascii="Arial" w:cs="Arial" w:eastAsia="Arial" w:hAnsi="Arial"/>
          <w:sz w:val="12"/>
          <w:szCs w:val="12"/>
          <w:color w:val="auto"/>
        </w:rPr>
        <w:t xml:space="preserve">In the event of a </w:t>
      </w:r>
      <w:r>
        <w:rPr>
          <w:rFonts w:ascii="Arial" w:cs="Arial" w:eastAsia="Arial" w:hAnsi="Arial"/>
          <w:sz w:val="12"/>
          <w:szCs w:val="12"/>
          <w:b w:val="1"/>
          <w:bCs w:val="1"/>
          <w:color w:val="auto"/>
        </w:rPr>
        <w:t>squeeze-out of minority shareholders of Mynaric</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by a major shareholder (squeeze-out, §§ 327a et seq. German Stock Corporation Act), </w:t>
      </w:r>
      <w:r>
        <w:rPr>
          <w:rFonts w:ascii="Arial" w:cs="Arial" w:eastAsia="Arial" w:hAnsi="Arial"/>
          <w:sz w:val="12"/>
          <w:szCs w:val="12"/>
          <w:color w:val="auto"/>
        </w:rPr>
        <w:t>the following applies:</w:t>
      </w:r>
    </w:p>
    <w:p>
      <w:pPr>
        <w:spacing w:after="0" w:line="45" w:lineRule="exact"/>
        <w:rPr>
          <w:sz w:val="20"/>
          <w:szCs w:val="20"/>
          <w:color w:val="auto"/>
        </w:rPr>
      </w:pPr>
    </w:p>
    <w:p>
      <w:pPr>
        <w:ind w:left="1140" w:right="60" w:hanging="299"/>
        <w:spacing w:after="0" w:line="313" w:lineRule="auto"/>
        <w:rPr>
          <w:sz w:val="20"/>
          <w:szCs w:val="20"/>
          <w:color w:val="auto"/>
        </w:rPr>
      </w:pPr>
      <w:r>
        <w:rPr>
          <w:rFonts w:ascii="Arial" w:cs="Arial" w:eastAsia="Arial" w:hAnsi="Arial"/>
          <w:sz w:val="10"/>
          <w:szCs w:val="10"/>
          <w:b w:val="1"/>
          <w:bCs w:val="1"/>
          <w:color w:val="auto"/>
        </w:rPr>
        <w:t xml:space="preserve">9.7.1 </w:t>
      </w:r>
      <w:r>
        <w:rPr>
          <w:rFonts w:ascii="Arial" w:cs="Arial" w:eastAsia="Arial" w:hAnsi="Arial"/>
          <w:sz w:val="10"/>
          <w:szCs w:val="10"/>
          <w:color w:val="auto"/>
        </w:rPr>
        <w:t>To the extent that the</w:t>
      </w:r>
      <w:r>
        <w:rPr>
          <w:rFonts w:ascii="Arial" w:cs="Arial" w:eastAsia="Arial" w:hAnsi="Arial"/>
          <w:sz w:val="10"/>
          <w:szCs w:val="10"/>
          <w:b w:val="1"/>
          <w:bCs w:val="1"/>
          <w:color w:val="auto"/>
        </w:rPr>
        <w:t xml:space="preserve"> waiting period (item 2.5) has expired </w:t>
      </w:r>
      <w:r>
        <w:rPr>
          <w:rFonts w:ascii="Arial" w:cs="Arial" w:eastAsia="Arial" w:hAnsi="Arial"/>
          <w:sz w:val="10"/>
          <w:szCs w:val="10"/>
          <w:color w:val="auto"/>
        </w:rPr>
        <w:t>at the</w:t>
      </w:r>
      <w:r>
        <w:rPr>
          <w:rFonts w:ascii="Arial" w:cs="Arial" w:eastAsia="Arial" w:hAnsi="Arial"/>
          <w:sz w:val="10"/>
          <w:szCs w:val="10"/>
          <w:b w:val="1"/>
          <w:bCs w:val="1"/>
          <w:color w:val="auto"/>
        </w:rPr>
        <w:t xml:space="preserve"> </w:t>
      </w:r>
      <w:r>
        <w:rPr>
          <w:rFonts w:ascii="Arial" w:cs="Arial" w:eastAsia="Arial" w:hAnsi="Arial"/>
          <w:sz w:val="10"/>
          <w:szCs w:val="10"/>
          <w:color w:val="auto"/>
        </w:rPr>
        <w:t>time of the entry of the transfer resolution by the annual general meeting of shareholders in the commercial register of Mynaric, the subscription rights are deemed to have been exercised upon the entry of the transfer resolution. Instead of a claim to the delivery of shares, the holder of subscription rights is only entitled to payment of a cash settlement against the principal shareholder. The cash settlement is calculated according to the following formula:</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Cash settlement per no-par value share of Mynaric ./. exercise price.</w:t>
      </w:r>
    </w:p>
    <w:p>
      <w:pPr>
        <w:spacing w:after="0" w:line="101" w:lineRule="exact"/>
        <w:rPr>
          <w:sz w:val="20"/>
          <w:szCs w:val="20"/>
          <w:color w:val="auto"/>
        </w:rPr>
      </w:pPr>
    </w:p>
    <w:p>
      <w:pPr>
        <w:ind w:left="1140" w:right="40"/>
        <w:spacing w:after="0" w:line="280" w:lineRule="auto"/>
        <w:rPr>
          <w:sz w:val="20"/>
          <w:szCs w:val="20"/>
          <w:color w:val="auto"/>
        </w:rPr>
      </w:pPr>
      <w:r>
        <w:rPr>
          <w:rFonts w:ascii="Arial" w:cs="Arial" w:eastAsia="Arial" w:hAnsi="Arial"/>
          <w:sz w:val="11"/>
          <w:szCs w:val="11"/>
          <w:color w:val="auto"/>
        </w:rPr>
        <w:t>The entitlement to payment of the cash settlement is due at the time the transfer resolution is entered in the commercial register of Mynaric. Mynaric already now declares to the beneficiary in a binding manner that it will be liable for the payment of the above cash settlement by the main shareholder as if it were its own debt (joining of debt). If the cash settlement for the transferred shares is increased (e.g. due to a judicial appraisal procedure), this increase also applies to the subscription rights.</w:t>
      </w:r>
    </w:p>
    <w:p>
      <w:pPr>
        <w:spacing w:after="0" w:line="20" w:lineRule="exact"/>
        <w:rPr>
          <w:sz w:val="20"/>
          <w:szCs w:val="20"/>
          <w:color w:val="auto"/>
        </w:rPr>
      </w:pPr>
      <w:r>
        <w:rPr>
          <w:sz w:val="20"/>
          <w:szCs w:val="20"/>
          <w:color w:val="auto"/>
        </w:rPr>
        <w:br w:type="column"/>
      </w:r>
    </w:p>
    <w:p>
      <w:pPr>
        <w:ind w:left="240" w:right="1119" w:hanging="171"/>
        <w:spacing w:after="0" w:line="276" w:lineRule="auto"/>
        <w:tabs>
          <w:tab w:leader="none" w:pos="229" w:val="left"/>
        </w:tabs>
        <w:numPr>
          <w:ilvl w:val="0"/>
          <w:numId w:val="282"/>
        </w:numPr>
        <w:rPr>
          <w:rFonts w:ascii="Arial" w:cs="Arial" w:eastAsia="Arial" w:hAnsi="Arial"/>
          <w:sz w:val="12"/>
          <w:szCs w:val="12"/>
          <w:color w:val="auto"/>
        </w:rPr>
      </w:pPr>
      <w:r>
        <w:rPr>
          <w:rFonts w:ascii="Arial" w:cs="Arial" w:eastAsia="Arial" w:hAnsi="Arial"/>
          <w:sz w:val="12"/>
          <w:szCs w:val="12"/>
          <w:color w:val="auto"/>
        </w:rPr>
        <w:t>Beschlussfassung über die Eingliederung der Mynaric in eine andere Gesellschaft gemäß §§ 319 ff. AktG.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-629920</wp:posOffset>
            </wp:positionV>
            <wp:extent cx="1285875" cy="3714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3" w:lineRule="exact"/>
        <w:rPr>
          <w:sz w:val="20"/>
          <w:szCs w:val="20"/>
          <w:color w:val="auto"/>
        </w:rPr>
      </w:pPr>
    </w:p>
    <w:p>
      <w:pPr>
        <w:ind w:left="300" w:right="1119"/>
        <w:spacing w:after="0" w:line="259" w:lineRule="auto"/>
        <w:rPr>
          <w:sz w:val="20"/>
          <w:szCs w:val="20"/>
          <w:color w:val="auto"/>
        </w:rPr>
      </w:pPr>
      <w:r>
        <w:rPr>
          <w:rFonts w:ascii="Arial" w:cs="Arial" w:eastAsia="Arial" w:hAnsi="Arial"/>
          <w:sz w:val="12"/>
          <w:szCs w:val="12"/>
          <w:color w:val="auto"/>
        </w:rPr>
        <w:t>Die 2-Wochen-Frist beginnt in diesem Fall an dem Tag der Beschlussfassung der Hauptversammlung. Eine spätere Aufhebung des Beschlusses ist ohne Einfluss auf ein bereits ausgeübtes Rücktrittsrecht.</w:t>
      </w:r>
    </w:p>
    <w:p>
      <w:pPr>
        <w:spacing w:after="0" w:line="48" w:lineRule="exact"/>
        <w:rPr>
          <w:sz w:val="20"/>
          <w:szCs w:val="20"/>
          <w:color w:val="auto"/>
        </w:rPr>
      </w:pPr>
    </w:p>
    <w:p>
      <w:pPr>
        <w:ind w:left="300" w:right="979" w:hanging="299"/>
        <w:spacing w:after="0" w:line="261" w:lineRule="auto"/>
        <w:rPr>
          <w:sz w:val="20"/>
          <w:szCs w:val="20"/>
          <w:color w:val="auto"/>
        </w:rPr>
      </w:pPr>
      <w:r>
        <w:rPr>
          <w:rFonts w:ascii="Arial" w:cs="Arial" w:eastAsia="Arial" w:hAnsi="Arial"/>
          <w:sz w:val="12"/>
          <w:szCs w:val="12"/>
          <w:b w:val="1"/>
          <w:bCs w:val="1"/>
          <w:color w:val="auto"/>
        </w:rPr>
        <w:t xml:space="preserve">9.6.2 Einstellung des Börsenhandels </w:t>
      </w:r>
      <w:r>
        <w:rPr>
          <w:rFonts w:ascii="Arial" w:cs="Arial" w:eastAsia="Arial" w:hAnsi="Arial"/>
          <w:sz w:val="12"/>
          <w:szCs w:val="12"/>
          <w:color w:val="auto"/>
        </w:rPr>
        <w:t>der Aktien der Mynaric</w:t>
      </w:r>
      <w:r>
        <w:rPr>
          <w:rFonts w:ascii="Arial" w:cs="Arial" w:eastAsia="Arial" w:hAnsi="Arial"/>
          <w:sz w:val="12"/>
          <w:szCs w:val="12"/>
          <w:b w:val="1"/>
          <w:bCs w:val="1"/>
          <w:color w:val="auto"/>
        </w:rPr>
        <w:t xml:space="preserve"> </w:t>
      </w:r>
      <w:r>
        <w:rPr>
          <w:rFonts w:ascii="Arial" w:cs="Arial" w:eastAsia="Arial" w:hAnsi="Arial"/>
          <w:sz w:val="12"/>
          <w:szCs w:val="12"/>
          <w:color w:val="auto"/>
        </w:rPr>
        <w:t>(Delisting). Es wird klargestellt, dass ein Wechsel des Marktsegments kein Rücktrittsrecht im Sinne dieser Vorschrift begründet.</w:t>
      </w:r>
    </w:p>
    <w:p>
      <w:pPr>
        <w:spacing w:after="0" w:line="48"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9.7.</w:t>
      </w:r>
      <w:r>
        <w:rPr>
          <w:sz w:val="20"/>
          <w:szCs w:val="20"/>
          <w:color w:val="auto"/>
        </w:rPr>
        <w:tab/>
      </w:r>
      <w:r>
        <w:rPr>
          <w:rFonts w:ascii="Arial" w:cs="Arial" w:eastAsia="Arial" w:hAnsi="Arial"/>
          <w:sz w:val="10"/>
          <w:szCs w:val="10"/>
          <w:color w:val="auto"/>
        </w:rPr>
        <w:t xml:space="preserve">Im Falle eines </w:t>
      </w:r>
      <w:r>
        <w:rPr>
          <w:rFonts w:ascii="Arial" w:cs="Arial" w:eastAsia="Arial" w:hAnsi="Arial"/>
          <w:sz w:val="10"/>
          <w:szCs w:val="10"/>
          <w:b w:val="1"/>
          <w:bCs w:val="1"/>
          <w:color w:val="auto"/>
        </w:rPr>
        <w:t>Ausschlusses von Minderheitsaktionären der</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1"/>
          <w:szCs w:val="11"/>
          <w:b w:val="1"/>
          <w:bCs w:val="1"/>
          <w:color w:val="auto"/>
        </w:rPr>
        <w:t>Mynaric durch einen Hauptaktionär (Squeeze-Out, §§ 327a</w:t>
      </w:r>
    </w:p>
    <w:p>
      <w:pPr>
        <w:spacing w:after="0" w:line="18" w:lineRule="exact"/>
        <w:rPr>
          <w:sz w:val="20"/>
          <w:szCs w:val="20"/>
          <w:color w:val="auto"/>
        </w:rPr>
      </w:pPr>
    </w:p>
    <w:p>
      <w:pPr>
        <w:ind w:left="440" w:hanging="131"/>
        <w:spacing w:after="0"/>
        <w:tabs>
          <w:tab w:leader="none" w:pos="440" w:val="left"/>
        </w:tabs>
        <w:numPr>
          <w:ilvl w:val="0"/>
          <w:numId w:val="28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AktG) </w:t>
      </w:r>
      <w:r>
        <w:rPr>
          <w:rFonts w:ascii="Arial" w:cs="Arial" w:eastAsia="Arial" w:hAnsi="Arial"/>
          <w:sz w:val="12"/>
          <w:szCs w:val="12"/>
          <w:color w:val="auto"/>
        </w:rPr>
        <w:t>gilt folgendes:</w:t>
      </w:r>
    </w:p>
    <w:p>
      <w:pPr>
        <w:spacing w:after="0" w:line="65" w:lineRule="exact"/>
        <w:rPr>
          <w:sz w:val="20"/>
          <w:szCs w:val="20"/>
          <w:color w:val="auto"/>
        </w:rPr>
      </w:pPr>
    </w:p>
    <w:p>
      <w:pPr>
        <w:ind w:left="300" w:right="879" w:hanging="299"/>
        <w:spacing w:after="0" w:line="254" w:lineRule="auto"/>
        <w:rPr>
          <w:sz w:val="20"/>
          <w:szCs w:val="20"/>
          <w:color w:val="auto"/>
        </w:rPr>
      </w:pPr>
      <w:r>
        <w:rPr>
          <w:rFonts w:ascii="Arial" w:cs="Arial" w:eastAsia="Arial" w:hAnsi="Arial"/>
          <w:sz w:val="12"/>
          <w:szCs w:val="12"/>
          <w:b w:val="1"/>
          <w:bCs w:val="1"/>
          <w:color w:val="auto"/>
        </w:rPr>
        <w:t xml:space="preserve">9.7.1 </w:t>
      </w:r>
      <w:r>
        <w:rPr>
          <w:rFonts w:ascii="Arial" w:cs="Arial" w:eastAsia="Arial" w:hAnsi="Arial"/>
          <w:sz w:val="12"/>
          <w:szCs w:val="12"/>
          <w:color w:val="auto"/>
        </w:rPr>
        <w:t>Soweit zum Zeitpunkt der Eintragung des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Übertragungsbeschlusses durch die Hauptversammlung in das Handelsregister der Mynaric die </w:t>
      </w:r>
      <w:r>
        <w:rPr>
          <w:rFonts w:ascii="Arial" w:cs="Arial" w:eastAsia="Arial" w:hAnsi="Arial"/>
          <w:sz w:val="12"/>
          <w:szCs w:val="12"/>
          <w:b w:val="1"/>
          <w:bCs w:val="1"/>
          <w:color w:val="auto"/>
        </w:rPr>
        <w:t>Wartezeit (Ziffer 2.5)</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abgelaufen </w:t>
      </w:r>
      <w:r>
        <w:rPr>
          <w:rFonts w:ascii="Arial" w:cs="Arial" w:eastAsia="Arial" w:hAnsi="Arial"/>
          <w:sz w:val="12"/>
          <w:szCs w:val="12"/>
          <w:color w:val="auto"/>
        </w:rPr>
        <w:t>ist, gelten die Bezugsrechte mit der Eintragung des</w:t>
      </w:r>
      <w:r>
        <w:rPr>
          <w:rFonts w:ascii="Arial" w:cs="Arial" w:eastAsia="Arial" w:hAnsi="Arial"/>
          <w:sz w:val="12"/>
          <w:szCs w:val="12"/>
          <w:b w:val="1"/>
          <w:bCs w:val="1"/>
          <w:color w:val="auto"/>
        </w:rPr>
        <w:t xml:space="preserve"> </w:t>
      </w:r>
      <w:r>
        <w:rPr>
          <w:rFonts w:ascii="Arial" w:cs="Arial" w:eastAsia="Arial" w:hAnsi="Arial"/>
          <w:sz w:val="12"/>
          <w:szCs w:val="12"/>
          <w:color w:val="auto"/>
        </w:rPr>
        <w:t>Übertragungsbeschlusses als ausgeübt. Statt eines Anspruchs auf Lieferung von Aktien steht dem Bezugsrechtsinhaber ausschließlich ein Anspruch auf Zahlung eines Barausgleichs gegen den Hauptaktionär zu. Der Barausgleich berechnet sich nach folgender Formel:</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Barabfindung je Stückaktie der Mynaric ./. Ausübungspreis.</w:t>
      </w:r>
    </w:p>
    <w:p>
      <w:pPr>
        <w:spacing w:after="0" w:line="90" w:lineRule="exact"/>
        <w:rPr>
          <w:sz w:val="20"/>
          <w:szCs w:val="20"/>
          <w:color w:val="auto"/>
        </w:rPr>
      </w:pPr>
    </w:p>
    <w:p>
      <w:pPr>
        <w:ind w:left="300" w:right="1039"/>
        <w:spacing w:after="0" w:line="278" w:lineRule="auto"/>
        <w:rPr>
          <w:sz w:val="20"/>
          <w:szCs w:val="20"/>
          <w:color w:val="auto"/>
        </w:rPr>
      </w:pPr>
      <w:r>
        <w:rPr>
          <w:rFonts w:ascii="Arial" w:cs="Arial" w:eastAsia="Arial" w:hAnsi="Arial"/>
          <w:sz w:val="11"/>
          <w:szCs w:val="11"/>
          <w:color w:val="auto"/>
        </w:rPr>
        <w:t>Der Anspruch auf Zahlung des Barausgleichs wird fällig zum Zeitpunkt der Eintragung des Übertragungsbeschlusses in das Handelsregister der Mynaric. Die Mynaric erklärt gegenüber dem Bezugsberechtigten bereits jetzt verbindlich, für die Zahlung des vorstehenden Barausgleichs durch den Hauptaktionär wie für eine eigene Schuld einzustehen (Schuldbeitritt). Soweit sich die Barabfindung für die übertragenen Aktien erhöht (z. B. aufgrund eines Spruchverfahrens), gilt diese Erhöhung auch für die Bezugsrechte.</w:t>
      </w:r>
    </w:p>
    <w:p>
      <w:pPr>
        <w:spacing w:after="0" w:line="74" w:lineRule="exact"/>
        <w:rPr>
          <w:sz w:val="20"/>
          <w:szCs w:val="20"/>
          <w:color w:val="auto"/>
        </w:rPr>
      </w:pPr>
    </w:p>
    <w:p>
      <w:pPr>
        <w:sectPr>
          <w:pgSz w:w="11900" w:h="16838" w:orient="portrait"/>
          <w:cols w:equalWidth="0" w:num="2">
            <w:col w:w="4420" w:space="300"/>
            <w:col w:w="4299"/>
          </w:cols>
          <w:pgMar w:left="1440" w:top="914" w:right="1440" w:bottom="1440" w:gutter="0" w:footer="0" w:header="0"/>
        </w:sectPr>
      </w:pPr>
    </w:p>
    <w:p>
      <w:pPr>
        <w:jc w:val="center"/>
        <w:spacing w:after="0"/>
        <w:rPr>
          <w:sz w:val="20"/>
          <w:szCs w:val="20"/>
          <w:color w:val="auto"/>
        </w:rPr>
      </w:pPr>
      <w:r>
        <w:rPr>
          <w:rFonts w:ascii="Arial" w:cs="Arial" w:eastAsia="Arial" w:hAnsi="Arial"/>
          <w:sz w:val="10"/>
          <w:szCs w:val="10"/>
          <w:color w:val="auto"/>
        </w:rPr>
        <w:t>Page 14/18</w:t>
      </w:r>
    </w:p>
    <w:p>
      <w:pPr>
        <w:sectPr>
          <w:pgSz w:w="11900" w:h="16838" w:orient="portrait"/>
          <w:cols w:equalWidth="0" w:num="1">
            <w:col w:w="9019"/>
          </w:cols>
          <w:pgMar w:left="1440" w:top="914" w:right="1440" w:bottom="1440" w:gutter="0" w:footer="0" w:header="0"/>
          <w:type w:val="continuous"/>
        </w:sectPr>
      </w:pPr>
    </w:p>
    <w:bookmarkStart w:id="331" w:name="page332"/>
    <w:bookmarkEnd w:id="331"/>
    <w:p>
      <w:pPr>
        <w:ind w:left="1140" w:hanging="299"/>
        <w:spacing w:after="0" w:line="254"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9.7.2 </w:t>
      </w:r>
      <w:r>
        <w:rPr>
          <w:rFonts w:ascii="Arial" w:cs="Arial" w:eastAsia="Arial" w:hAnsi="Arial"/>
          <w:sz w:val="12"/>
          <w:szCs w:val="12"/>
          <w:color w:val="auto"/>
        </w:rPr>
        <w:t>If the</w:t>
      </w:r>
      <w:r>
        <w:rPr>
          <w:rFonts w:ascii="Arial" w:cs="Arial" w:eastAsia="Arial" w:hAnsi="Arial"/>
          <w:sz w:val="12"/>
          <w:szCs w:val="12"/>
          <w:b w:val="1"/>
          <w:bCs w:val="1"/>
          <w:color w:val="auto"/>
        </w:rPr>
        <w:t xml:space="preserve"> waiting period (Item 2.4) has not yet expired </w:t>
      </w:r>
      <w:r>
        <w:rPr>
          <w:rFonts w:ascii="Arial" w:cs="Arial" w:eastAsia="Arial" w:hAnsi="Arial"/>
          <w:sz w:val="12"/>
          <w:szCs w:val="12"/>
          <w:color w:val="auto"/>
        </w:rPr>
        <w:t>at the time of</w:t>
      </w:r>
      <w:r>
        <w:rPr>
          <w:rFonts w:ascii="Arial" w:cs="Arial" w:eastAsia="Arial" w:hAnsi="Arial"/>
          <w:sz w:val="12"/>
          <w:szCs w:val="12"/>
          <w:b w:val="1"/>
          <w:bCs w:val="1"/>
          <w:color w:val="auto"/>
        </w:rPr>
        <w:t xml:space="preserve"> </w:t>
      </w:r>
      <w:r>
        <w:rPr>
          <w:rFonts w:ascii="Arial" w:cs="Arial" w:eastAsia="Arial" w:hAnsi="Arial"/>
          <w:sz w:val="12"/>
          <w:szCs w:val="12"/>
          <w:color w:val="auto"/>
        </w:rPr>
        <w:t>the entry of the transfer resolution in the commercial register of Mynaric, the above provision shall apply with the proviso that the subscription rights shall expire upon entry of the transfer resolution in the commercial register of Mynaric, i.e. the person entitled to subscription rights shall also in this case be entitled to payment of a cash settlement against Mynaric. In this case the value of the subscription rights is also calculated according to the above item 9.7.1.</w:t>
      </w:r>
    </w:p>
    <w:p>
      <w:pPr>
        <w:spacing w:after="0" w:line="54" w:lineRule="exact"/>
        <w:rPr>
          <w:sz w:val="20"/>
          <w:szCs w:val="20"/>
          <w:color w:val="auto"/>
        </w:rPr>
      </w:pPr>
    </w:p>
    <w:p>
      <w:pPr>
        <w:ind w:left="1120" w:hanging="288"/>
        <w:spacing w:after="0"/>
        <w:tabs>
          <w:tab w:leader="none" w:pos="1120" w:val="left"/>
        </w:tabs>
        <w:numPr>
          <w:ilvl w:val="0"/>
          <w:numId w:val="284"/>
        </w:numPr>
        <w:rPr>
          <w:rFonts w:ascii="Arial" w:cs="Arial" w:eastAsia="Arial" w:hAnsi="Arial"/>
          <w:sz w:val="12"/>
          <w:szCs w:val="12"/>
          <w:b w:val="1"/>
          <w:bCs w:val="1"/>
          <w:color w:val="auto"/>
        </w:rPr>
      </w:pPr>
      <w:r>
        <w:rPr>
          <w:rFonts w:ascii="Arial" w:cs="Arial" w:eastAsia="Arial" w:hAnsi="Arial"/>
          <w:sz w:val="12"/>
          <w:szCs w:val="12"/>
          <w:b w:val="1"/>
          <w:bCs w:val="1"/>
          <w:color w:val="auto"/>
        </w:rPr>
        <w:t>Limitations of liability</w:t>
      </w:r>
    </w:p>
    <w:p>
      <w:pPr>
        <w:spacing w:after="0" w:line="20" w:lineRule="exact"/>
        <w:rPr>
          <w:sz w:val="20"/>
          <w:szCs w:val="20"/>
          <w:color w:val="auto"/>
        </w:rPr>
      </w:pPr>
      <w:r>
        <w:rPr>
          <w:sz w:val="20"/>
          <w:szCs w:val="20"/>
          <w:color w:val="auto"/>
        </w:rPr>
        <w:br w:type="column"/>
      </w:r>
    </w:p>
    <w:p>
      <w:pPr>
        <w:ind w:left="291" w:right="859" w:hanging="299"/>
        <w:spacing w:after="0" w:line="280" w:lineRule="auto"/>
        <w:rPr>
          <w:sz w:val="20"/>
          <w:szCs w:val="20"/>
          <w:color w:val="auto"/>
        </w:rPr>
      </w:pPr>
      <w:r>
        <w:rPr>
          <w:rFonts w:ascii="Arial" w:cs="Arial" w:eastAsia="Arial" w:hAnsi="Arial"/>
          <w:sz w:val="11"/>
          <w:szCs w:val="11"/>
          <w:b w:val="1"/>
          <w:bCs w:val="1"/>
          <w:color w:val="auto"/>
        </w:rPr>
        <w:t xml:space="preserve">9.7.2 </w:t>
      </w:r>
      <w:r>
        <w:rPr>
          <w:rFonts w:ascii="Arial" w:cs="Arial" w:eastAsia="Arial" w:hAnsi="Arial"/>
          <w:sz w:val="11"/>
          <w:szCs w:val="11"/>
          <w:color w:val="auto"/>
        </w:rPr>
        <w:t>Ist die</w:t>
      </w:r>
      <w:r>
        <w:rPr>
          <w:rFonts w:ascii="Arial" w:cs="Arial" w:eastAsia="Arial" w:hAnsi="Arial"/>
          <w:sz w:val="11"/>
          <w:szCs w:val="11"/>
          <w:b w:val="1"/>
          <w:bCs w:val="1"/>
          <w:color w:val="auto"/>
        </w:rPr>
        <w:t xml:space="preserve"> Wartezeit (Ziffer 2.4) </w:t>
      </w:r>
      <w:r>
        <w:rPr>
          <w:rFonts w:ascii="Arial" w:cs="Arial" w:eastAsia="Arial" w:hAnsi="Arial"/>
          <w:sz w:val="11"/>
          <w:szCs w:val="11"/>
          <w:color w:val="auto"/>
        </w:rPr>
        <w:t>zum Zeitpunkt der Eintragung des</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Übertragungsbeschlusses in das Handelsregister der Mynaric </w:t>
      </w:r>
      <w:r>
        <w:rPr>
          <w:rFonts w:ascii="Arial" w:cs="Arial" w:eastAsia="Arial" w:hAnsi="Arial"/>
          <w:sz w:val="11"/>
          <w:szCs w:val="11"/>
          <w:b w:val="1"/>
          <w:bCs w:val="1"/>
          <w:color w:val="auto"/>
        </w:rPr>
        <w:t>noch nicht abgelaufen</w:t>
      </w:r>
      <w:r>
        <w:rPr>
          <w:rFonts w:ascii="Arial" w:cs="Arial" w:eastAsia="Arial" w:hAnsi="Arial"/>
          <w:sz w:val="11"/>
          <w:szCs w:val="11"/>
          <w:color w:val="auto"/>
        </w:rPr>
        <w:t>, gilt die vorstehende Vorschrift mit der</w:t>
      </w:r>
      <w:r>
        <w:rPr>
          <w:rFonts w:ascii="Arial" w:cs="Arial" w:eastAsia="Arial" w:hAnsi="Arial"/>
          <w:sz w:val="11"/>
          <w:szCs w:val="11"/>
          <w:b w:val="1"/>
          <w:bCs w:val="1"/>
          <w:color w:val="auto"/>
        </w:rPr>
        <w:t xml:space="preserve"> </w:t>
      </w:r>
      <w:r>
        <w:rPr>
          <w:rFonts w:ascii="Arial" w:cs="Arial" w:eastAsia="Arial" w:hAnsi="Arial"/>
          <w:sz w:val="11"/>
          <w:szCs w:val="11"/>
          <w:color w:val="auto"/>
        </w:rPr>
        <w:t>Maßgabe, dass die Bezugsrechte mit Eintragung des Übertragungsbeschlusses in das Handelsregister der Mynaric verfallen, d. h. dem Bezugsberechtigten steht auch in diesem Fall ein Anspruch auf Zahlung eines Barausgleichs gegen die Mynaric zu. Der Wert der Bezugsrechte berechnet sich in diesem Fall ebenfalls nach vorstehender Ziffer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-1268730</wp:posOffset>
            </wp:positionV>
            <wp:extent cx="1285875" cy="3714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0" w:lineRule="exact"/>
        <w:rPr>
          <w:sz w:val="20"/>
          <w:szCs w:val="20"/>
          <w:color w:val="auto"/>
        </w:rPr>
      </w:pPr>
    </w:p>
    <w:p>
      <w:pPr>
        <w:ind w:left="291" w:hanging="291"/>
        <w:spacing w:after="0"/>
        <w:tabs>
          <w:tab w:leader="none" w:pos="291" w:val="left"/>
        </w:tabs>
        <w:numPr>
          <w:ilvl w:val="0"/>
          <w:numId w:val="285"/>
        </w:numPr>
        <w:rPr>
          <w:rFonts w:ascii="Arial" w:cs="Arial" w:eastAsia="Arial" w:hAnsi="Arial"/>
          <w:sz w:val="12"/>
          <w:szCs w:val="12"/>
          <w:b w:val="1"/>
          <w:bCs w:val="1"/>
          <w:color w:val="auto"/>
        </w:rPr>
      </w:pPr>
      <w:r>
        <w:rPr>
          <w:rFonts w:ascii="Arial" w:cs="Arial" w:eastAsia="Arial" w:hAnsi="Arial"/>
          <w:sz w:val="12"/>
          <w:szCs w:val="12"/>
          <w:b w:val="1"/>
          <w:bCs w:val="1"/>
          <w:color w:val="auto"/>
        </w:rPr>
        <w:t>Haftungsbeschränkungen</w:t>
      </w:r>
    </w:p>
    <w:p>
      <w:pPr>
        <w:spacing w:after="0" w:line="91" w:lineRule="exact"/>
        <w:rPr>
          <w:sz w:val="20"/>
          <w:szCs w:val="20"/>
          <w:color w:val="auto"/>
        </w:rPr>
      </w:pPr>
    </w:p>
    <w:p>
      <w:pPr>
        <w:sectPr>
          <w:pgSz w:w="11900" w:h="16838" w:orient="portrait"/>
          <w:cols w:equalWidth="0" w:num="2">
            <w:col w:w="4380" w:space="349"/>
            <w:col w:w="4290"/>
          </w:cols>
          <w:pgMar w:left="1440" w:top="910" w:right="1440" w:bottom="1440" w:gutter="0" w:footer="0" w:header="0"/>
        </w:sectPr>
      </w:pPr>
    </w:p>
    <w:p>
      <w:pPr>
        <w:ind w:left="1140"/>
        <w:spacing w:after="0" w:line="289" w:lineRule="auto"/>
        <w:rPr>
          <w:sz w:val="20"/>
          <w:szCs w:val="20"/>
          <w:color w:val="auto"/>
        </w:rPr>
      </w:pPr>
      <w:r>
        <w:rPr>
          <w:rFonts w:ascii="Arial" w:cs="Arial" w:eastAsia="Arial" w:hAnsi="Arial"/>
          <w:sz w:val="11"/>
          <w:szCs w:val="11"/>
          <w:color w:val="auto"/>
        </w:rPr>
        <w:t>The liability of Mynaric or the companies belonging to the Mynaric group, their legal representatives, employees and vicarious agents is limited to intent and gross negligence. Liability for consequential damages and loss of profit is excluded.</w:t>
      </w:r>
    </w:p>
    <w:p>
      <w:pPr>
        <w:spacing w:after="0" w:line="188" w:lineRule="exact"/>
        <w:rPr>
          <w:sz w:val="20"/>
          <w:szCs w:val="20"/>
          <w:color w:val="auto"/>
        </w:rPr>
      </w:pPr>
    </w:p>
    <w:p>
      <w:pPr>
        <w:ind w:left="1120" w:hanging="288"/>
        <w:spacing w:after="0"/>
        <w:tabs>
          <w:tab w:leader="none" w:pos="1120" w:val="left"/>
        </w:tabs>
        <w:numPr>
          <w:ilvl w:val="0"/>
          <w:numId w:val="286"/>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risks, tax risks</w:t>
      </w:r>
    </w:p>
    <w:p>
      <w:pPr>
        <w:spacing w:after="0" w:line="78" w:lineRule="exact"/>
        <w:rPr>
          <w:sz w:val="20"/>
          <w:szCs w:val="20"/>
          <w:color w:val="auto"/>
        </w:rPr>
      </w:pPr>
    </w:p>
    <w:p>
      <w:pPr>
        <w:ind w:left="1140" w:hanging="299"/>
        <w:spacing w:after="0" w:line="279" w:lineRule="auto"/>
        <w:rPr>
          <w:sz w:val="20"/>
          <w:szCs w:val="20"/>
          <w:color w:val="auto"/>
        </w:rPr>
      </w:pPr>
      <w:r>
        <w:rPr>
          <w:rFonts w:ascii="Arial" w:cs="Arial" w:eastAsia="Arial" w:hAnsi="Arial"/>
          <w:sz w:val="11"/>
          <w:szCs w:val="11"/>
          <w:b w:val="1"/>
          <w:bCs w:val="1"/>
          <w:color w:val="auto"/>
        </w:rPr>
        <w:t xml:space="preserve">11.1 </w:t>
      </w:r>
      <w:r>
        <w:rPr>
          <w:rFonts w:ascii="Arial" w:cs="Arial" w:eastAsia="Arial" w:hAnsi="Arial"/>
          <w:sz w:val="11"/>
          <w:szCs w:val="11"/>
          <w:color w:val="auto"/>
        </w:rPr>
        <w:t>Mynaric and/or the companies involved do not accept any liability</w:t>
      </w:r>
      <w:r>
        <w:rPr>
          <w:rFonts w:ascii="Arial" w:cs="Arial" w:eastAsia="Arial" w:hAnsi="Arial"/>
          <w:sz w:val="11"/>
          <w:szCs w:val="11"/>
          <w:b w:val="1"/>
          <w:bCs w:val="1"/>
          <w:color w:val="auto"/>
        </w:rPr>
        <w:t xml:space="preserve"> </w:t>
      </w:r>
      <w:r>
        <w:rPr>
          <w:rFonts w:ascii="Arial" w:cs="Arial" w:eastAsia="Arial" w:hAnsi="Arial"/>
          <w:sz w:val="11"/>
          <w:szCs w:val="11"/>
          <w:color w:val="auto"/>
        </w:rPr>
        <w:t>for the general market development and the price development of the company’s shares after the issue of subscription rights or the exercise of subscription rights or for any other time or period. In particular, there is therefore no guarantee that beneficiaries who exercise subscription rights will receive an economic advantage amounting to the difference between the exercise price and the current market price or that they will be able to sell the subscribed shares at a profit. The acceptance and exercise of subscription rights is therefore solely at the risk of the respective beneficiary.</w:t>
      </w:r>
    </w:p>
    <w:p>
      <w:pPr>
        <w:spacing w:after="0" w:line="20" w:lineRule="exact"/>
        <w:rPr>
          <w:sz w:val="20"/>
          <w:szCs w:val="20"/>
          <w:color w:val="auto"/>
        </w:rPr>
      </w:pPr>
      <w:r>
        <w:rPr>
          <w:sz w:val="20"/>
          <w:szCs w:val="20"/>
          <w:color w:val="auto"/>
        </w:rPr>
        <w:br w:type="column"/>
      </w:r>
    </w:p>
    <w:p>
      <w:pPr>
        <w:ind w:left="291" w:right="899"/>
        <w:spacing w:after="0" w:line="285" w:lineRule="auto"/>
        <w:rPr>
          <w:sz w:val="20"/>
          <w:szCs w:val="20"/>
          <w:color w:val="auto"/>
        </w:rPr>
      </w:pPr>
      <w:r>
        <w:rPr>
          <w:rFonts w:ascii="Arial" w:cs="Arial" w:eastAsia="Arial" w:hAnsi="Arial"/>
          <w:sz w:val="11"/>
          <w:szCs w:val="11"/>
          <w:color w:val="auto"/>
        </w:rPr>
        <w:t>Die Haftung von Mynaric oder den zum Mynaric-Konzern gehörenden Unternehmen, ihren gesetzlichen Vertretern, Arbeitnehmern und Erfüllungsgehilfen ist auf Vorsatz und grobe Fahrlässigkeit beschränkt. Die Haftung für Folgeschäden und entgangenen Gewinn ist ausgeschlossen.</w:t>
      </w:r>
    </w:p>
    <w:p>
      <w:pPr>
        <w:spacing w:after="0" w:line="46" w:lineRule="exact"/>
        <w:rPr>
          <w:sz w:val="20"/>
          <w:szCs w:val="20"/>
          <w:color w:val="auto"/>
        </w:rPr>
      </w:pPr>
    </w:p>
    <w:p>
      <w:pPr>
        <w:ind w:left="291" w:hanging="291"/>
        <w:spacing w:after="0"/>
        <w:tabs>
          <w:tab w:leader="none" w:pos="291" w:val="left"/>
        </w:tabs>
        <w:numPr>
          <w:ilvl w:val="0"/>
          <w:numId w:val="287"/>
        </w:numPr>
        <w:rPr>
          <w:rFonts w:ascii="Arial" w:cs="Arial" w:eastAsia="Arial" w:hAnsi="Arial"/>
          <w:sz w:val="12"/>
          <w:szCs w:val="12"/>
          <w:b w:val="1"/>
          <w:bCs w:val="1"/>
          <w:color w:val="auto"/>
        </w:rPr>
      </w:pPr>
      <w:r>
        <w:rPr>
          <w:rFonts w:ascii="Arial" w:cs="Arial" w:eastAsia="Arial" w:hAnsi="Arial"/>
          <w:sz w:val="12"/>
          <w:szCs w:val="12"/>
          <w:b w:val="1"/>
          <w:bCs w:val="1"/>
          <w:color w:val="auto"/>
        </w:rPr>
        <w:t>Kursrisiken, Steuerliche Risiken</w:t>
      </w:r>
    </w:p>
    <w:p>
      <w:pPr>
        <w:spacing w:after="0" w:line="78" w:lineRule="exact"/>
        <w:rPr>
          <w:sz w:val="20"/>
          <w:szCs w:val="20"/>
          <w:color w:val="auto"/>
        </w:rPr>
      </w:pPr>
    </w:p>
    <w:p>
      <w:pPr>
        <w:ind w:left="291" w:right="839" w:hanging="299"/>
        <w:spacing w:after="0" w:line="278" w:lineRule="auto"/>
        <w:rPr>
          <w:sz w:val="20"/>
          <w:szCs w:val="20"/>
          <w:color w:val="auto"/>
        </w:rPr>
      </w:pPr>
      <w:r>
        <w:rPr>
          <w:rFonts w:ascii="Arial" w:cs="Arial" w:eastAsia="Arial" w:hAnsi="Arial"/>
          <w:sz w:val="11"/>
          <w:szCs w:val="11"/>
          <w:b w:val="1"/>
          <w:bCs w:val="1"/>
          <w:color w:val="auto"/>
        </w:rPr>
        <w:t xml:space="preserve">11.1 </w:t>
      </w:r>
      <w:r>
        <w:rPr>
          <w:rFonts w:ascii="Arial" w:cs="Arial" w:eastAsia="Arial" w:hAnsi="Arial"/>
          <w:sz w:val="11"/>
          <w:szCs w:val="11"/>
          <w:color w:val="auto"/>
        </w:rPr>
        <w:t>Mynaric und/oder die beteiligten Unternehmen übernehmen</w:t>
      </w:r>
      <w:r>
        <w:rPr>
          <w:rFonts w:ascii="Arial" w:cs="Arial" w:eastAsia="Arial" w:hAnsi="Arial"/>
          <w:sz w:val="11"/>
          <w:szCs w:val="11"/>
          <w:b w:val="1"/>
          <w:bCs w:val="1"/>
          <w:color w:val="auto"/>
        </w:rPr>
        <w:t xml:space="preserve"> </w:t>
      </w:r>
      <w:r>
        <w:rPr>
          <w:rFonts w:ascii="Arial" w:cs="Arial" w:eastAsia="Arial" w:hAnsi="Arial"/>
          <w:sz w:val="11"/>
          <w:szCs w:val="11"/>
          <w:color w:val="auto"/>
        </w:rPr>
        <w:t>keinerlei Gewähr für die allgemeine Marktentwicklung und die Kursentwicklung der Aktie der Gesellschaft nach der Ausgabe von Bezugsrechten oder der Ausübung von Bezugsrechten oder für irgendeinen anderen Zeitpunkt oder Zeitraum. Es besteht daher insbesondere keine Gewähr, dass Bezugsberechtigte, die Bezugsrechte ausüben, einen wirtschaftlichen Vorteil in Höhe der Differenz zwischen Ausübungspreis und aktuellem Börsenkurs erhalten oder in der Lage sind, die bezogenen Aktien mit Gewinn zu veräußern. Die Annahme und die Ausübung von Bezugsrechten erfolgt daher allein auf Risiko des jeweiligen Bezugsberechtigten.</w:t>
      </w:r>
    </w:p>
    <w:p>
      <w:pPr>
        <w:spacing w:after="0" w:line="73" w:lineRule="exact"/>
        <w:rPr>
          <w:sz w:val="20"/>
          <w:szCs w:val="20"/>
          <w:color w:val="auto"/>
        </w:rPr>
      </w:pPr>
    </w:p>
    <w:p>
      <w:pPr>
        <w:sectPr>
          <w:pgSz w:w="11900" w:h="16838" w:orient="portrait"/>
          <w:cols w:equalWidth="0" w:num="2">
            <w:col w:w="4400" w:space="329"/>
            <w:col w:w="4290"/>
          </w:cols>
          <w:pgMar w:left="1440" w:top="910" w:right="1440"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Page 15/18</w:t>
      </w:r>
    </w:p>
    <w:p>
      <w:pPr>
        <w:sectPr>
          <w:pgSz w:w="11900" w:h="16838" w:orient="portrait"/>
          <w:cols w:equalWidth="0" w:num="1">
            <w:col w:w="9019"/>
          </w:cols>
          <w:pgMar w:left="1440" w:top="910" w:right="1440" w:bottom="1440" w:gutter="0" w:footer="0" w:header="0"/>
          <w:type w:val="continuous"/>
        </w:sectPr>
      </w:pPr>
    </w:p>
    <w:bookmarkStart w:id="332" w:name="page333"/>
    <w:bookmarkEnd w:id="332"/>
    <w:p>
      <w:pPr>
        <w:ind w:left="1140" w:hanging="299"/>
        <w:spacing w:after="0" w:line="255"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11.2 </w:t>
      </w:r>
      <w:r>
        <w:rPr>
          <w:rFonts w:ascii="Arial" w:cs="Arial" w:eastAsia="Arial" w:hAnsi="Arial"/>
          <w:sz w:val="12"/>
          <w:szCs w:val="12"/>
          <w:color w:val="auto"/>
        </w:rPr>
        <w:t>Mynaric and/or the companies involved do not guarantee that</w:t>
      </w:r>
      <w:r>
        <w:rPr>
          <w:rFonts w:ascii="Arial" w:cs="Arial" w:eastAsia="Arial" w:hAnsi="Arial"/>
          <w:sz w:val="12"/>
          <w:szCs w:val="12"/>
          <w:b w:val="1"/>
          <w:bCs w:val="1"/>
          <w:color w:val="auto"/>
        </w:rPr>
        <w:t xml:space="preserve"> </w:t>
      </w:r>
      <w:r>
        <w:rPr>
          <w:rFonts w:ascii="Arial" w:cs="Arial" w:eastAsia="Arial" w:hAnsi="Arial"/>
          <w:sz w:val="12"/>
          <w:szCs w:val="12"/>
          <w:color w:val="auto"/>
        </w:rPr>
        <w:t>taxes and duties to be withheld in accordance with item 8 or taxes and duties to be paid by the beneficiary will only be levied on the difference between the exercise price and the current stock exchange price when the subscription rights are exercised or when the shares are delivered, on a profit actually achieved through sale or on another specific amount. Beneficiaries are requested to seek tax advice.</w:t>
      </w:r>
    </w:p>
    <w:p>
      <w:pPr>
        <w:spacing w:after="0" w:line="339" w:lineRule="exact"/>
        <w:rPr>
          <w:sz w:val="20"/>
          <w:szCs w:val="20"/>
          <w:color w:val="auto"/>
        </w:rPr>
      </w:pPr>
    </w:p>
    <w:p>
      <w:pPr>
        <w:ind w:left="1120" w:hanging="288"/>
        <w:spacing w:after="0"/>
        <w:tabs>
          <w:tab w:leader="none" w:pos="1120" w:val="left"/>
        </w:tabs>
        <w:numPr>
          <w:ilvl w:val="0"/>
          <w:numId w:val="288"/>
        </w:numPr>
        <w:rPr>
          <w:rFonts w:ascii="Arial" w:cs="Arial" w:eastAsia="Arial" w:hAnsi="Arial"/>
          <w:sz w:val="12"/>
          <w:szCs w:val="12"/>
          <w:b w:val="1"/>
          <w:bCs w:val="1"/>
          <w:color w:val="auto"/>
        </w:rPr>
      </w:pPr>
      <w:r>
        <w:rPr>
          <w:rFonts w:ascii="Arial" w:cs="Arial" w:eastAsia="Arial" w:hAnsi="Arial"/>
          <w:sz w:val="12"/>
          <w:szCs w:val="12"/>
          <w:b w:val="1"/>
          <w:bCs w:val="1"/>
          <w:color w:val="auto"/>
        </w:rPr>
        <w:t>Prohibition of insider trading</w:t>
      </w:r>
    </w:p>
    <w:p>
      <w:pPr>
        <w:spacing w:after="0" w:line="78" w:lineRule="exact"/>
        <w:rPr>
          <w:sz w:val="20"/>
          <w:szCs w:val="20"/>
          <w:color w:val="auto"/>
        </w:rPr>
      </w:pPr>
    </w:p>
    <w:p>
      <w:pPr>
        <w:ind w:left="1140" w:hanging="299"/>
        <w:spacing w:after="0" w:line="279" w:lineRule="auto"/>
        <w:rPr>
          <w:sz w:val="20"/>
          <w:szCs w:val="20"/>
          <w:color w:val="auto"/>
        </w:rPr>
      </w:pPr>
      <w:r>
        <w:rPr>
          <w:rFonts w:ascii="Arial" w:cs="Arial" w:eastAsia="Arial" w:hAnsi="Arial"/>
          <w:sz w:val="11"/>
          <w:szCs w:val="11"/>
          <w:b w:val="1"/>
          <w:bCs w:val="1"/>
          <w:color w:val="auto"/>
        </w:rPr>
        <w:t xml:space="preserve">12.1 </w:t>
      </w:r>
      <w:r>
        <w:rPr>
          <w:rFonts w:ascii="Arial" w:cs="Arial" w:eastAsia="Arial" w:hAnsi="Arial"/>
          <w:sz w:val="11"/>
          <w:szCs w:val="11"/>
          <w:color w:val="auto"/>
        </w:rPr>
        <w:t>In accordance with Article 7 of the Market Abuse Regulation</w:t>
      </w:r>
      <w:r>
        <w:rPr>
          <w:rFonts w:ascii="Arial" w:cs="Arial" w:eastAsia="Arial" w:hAnsi="Arial"/>
          <w:sz w:val="11"/>
          <w:szCs w:val="11"/>
          <w:b w:val="1"/>
          <w:bCs w:val="1"/>
          <w:color w:val="auto"/>
        </w:rPr>
        <w:t xml:space="preserve"> </w:t>
      </w:r>
      <w:r>
        <w:rPr>
          <w:rFonts w:ascii="Arial" w:cs="Arial" w:eastAsia="Arial" w:hAnsi="Arial"/>
          <w:sz w:val="11"/>
          <w:szCs w:val="11"/>
          <w:color w:val="auto"/>
        </w:rPr>
        <w:t>(Regulation (EU) 596/2014), some of the beneficiaries are considered to be insiders due to their function as a member of Mynaric’s Management Board or due to the proper knowledge of non-publicly known insider information as a result of their activities or duties. Among other things, insiders are prohibited from acquiring or selling shares in Mynaric using their knowledge of insider information. This applies even after the holders of subscription rights have left the employment relationship, provided they have inside information for whatever reason.</w:t>
      </w:r>
    </w:p>
    <w:p>
      <w:pPr>
        <w:spacing w:after="0" w:line="186" w:lineRule="exact"/>
        <w:rPr>
          <w:sz w:val="20"/>
          <w:szCs w:val="20"/>
          <w:color w:val="auto"/>
        </w:rPr>
      </w:pPr>
    </w:p>
    <w:p>
      <w:pPr>
        <w:ind w:left="1140" w:hanging="299"/>
        <w:spacing w:after="0" w:line="315" w:lineRule="auto"/>
        <w:rPr>
          <w:sz w:val="20"/>
          <w:szCs w:val="20"/>
          <w:color w:val="auto"/>
        </w:rPr>
      </w:pPr>
      <w:r>
        <w:rPr>
          <w:rFonts w:ascii="Arial" w:cs="Arial" w:eastAsia="Arial" w:hAnsi="Arial"/>
          <w:sz w:val="10"/>
          <w:szCs w:val="10"/>
          <w:b w:val="1"/>
          <w:bCs w:val="1"/>
          <w:color w:val="auto"/>
        </w:rPr>
        <w:t xml:space="preserve">12.2 </w:t>
      </w:r>
      <w:r>
        <w:rPr>
          <w:rFonts w:ascii="Arial" w:cs="Arial" w:eastAsia="Arial" w:hAnsi="Arial"/>
          <w:sz w:val="10"/>
          <w:szCs w:val="10"/>
          <w:color w:val="auto"/>
        </w:rPr>
        <w:t>Each holder of subscription rights is personally responsible for</w:t>
      </w:r>
      <w:r>
        <w:rPr>
          <w:rFonts w:ascii="Arial" w:cs="Arial" w:eastAsia="Arial" w:hAnsi="Arial"/>
          <w:sz w:val="10"/>
          <w:szCs w:val="10"/>
          <w:b w:val="1"/>
          <w:bCs w:val="1"/>
          <w:color w:val="auto"/>
        </w:rPr>
        <w:t xml:space="preserve"> </w:t>
      </w:r>
      <w:r>
        <w:rPr>
          <w:rFonts w:ascii="Arial" w:cs="Arial" w:eastAsia="Arial" w:hAnsi="Arial"/>
          <w:sz w:val="10"/>
          <w:szCs w:val="10"/>
          <w:color w:val="auto"/>
        </w:rPr>
        <w:t>ensuring that he/she does not sell shares in Mynaric which he/she acquires as a result of exercising subscription rights in violation of insider trading prohibitions. The determination of exercise periods in accordance with item 2.4 does not constitute a guarantee that a sale of Mynaric shares within the exercise periods or subsequently does not violate insider trading prohibitions.</w:t>
      </w:r>
    </w:p>
    <w:p>
      <w:pPr>
        <w:spacing w:after="0" w:line="167" w:lineRule="exact"/>
        <w:rPr>
          <w:sz w:val="20"/>
          <w:szCs w:val="20"/>
          <w:color w:val="auto"/>
        </w:rPr>
      </w:pPr>
    </w:p>
    <w:p>
      <w:pPr>
        <w:ind w:left="1140" w:hanging="299"/>
        <w:spacing w:after="0" w:line="257" w:lineRule="auto"/>
        <w:rPr>
          <w:sz w:val="20"/>
          <w:szCs w:val="20"/>
          <w:color w:val="auto"/>
        </w:rPr>
      </w:pPr>
      <w:r>
        <w:rPr>
          <w:rFonts w:ascii="Arial" w:cs="Arial" w:eastAsia="Arial" w:hAnsi="Arial"/>
          <w:sz w:val="12"/>
          <w:szCs w:val="12"/>
          <w:b w:val="1"/>
          <w:bCs w:val="1"/>
          <w:color w:val="auto"/>
        </w:rPr>
        <w:t xml:space="preserve">12.3 </w:t>
      </w:r>
      <w:r>
        <w:rPr>
          <w:rFonts w:ascii="Arial" w:cs="Arial" w:eastAsia="Arial" w:hAnsi="Arial"/>
          <w:sz w:val="12"/>
          <w:szCs w:val="12"/>
          <w:color w:val="auto"/>
        </w:rPr>
        <w:t>Before exercising subscription rights or selling shares, each holder</w:t>
      </w:r>
      <w:r>
        <w:rPr>
          <w:rFonts w:ascii="Arial" w:cs="Arial" w:eastAsia="Arial" w:hAnsi="Arial"/>
          <w:sz w:val="12"/>
          <w:szCs w:val="12"/>
          <w:b w:val="1"/>
          <w:bCs w:val="1"/>
          <w:color w:val="auto"/>
        </w:rPr>
        <w:t xml:space="preserve"> </w:t>
      </w:r>
      <w:r>
        <w:rPr>
          <w:rFonts w:ascii="Arial" w:cs="Arial" w:eastAsia="Arial" w:hAnsi="Arial"/>
          <w:sz w:val="12"/>
          <w:szCs w:val="12"/>
          <w:color w:val="auto"/>
        </w:rPr>
        <w:t>of subscription rights is obliged to inform himself about the respective legal situation regarding insider trading prohibitions under German law as well as insider trading prohibitions under other than German legal norms that could affect the holder of subscription rights.</w:t>
      </w:r>
    </w:p>
    <w:p>
      <w:pPr>
        <w:spacing w:after="0" w:line="20" w:lineRule="exact"/>
        <w:rPr>
          <w:sz w:val="20"/>
          <w:szCs w:val="20"/>
          <w:color w:val="auto"/>
        </w:rPr>
      </w:pPr>
      <w:r>
        <w:rPr>
          <w:sz w:val="20"/>
          <w:szCs w:val="20"/>
          <w:color w:val="auto"/>
        </w:rPr>
        <w:br w:type="column"/>
      </w:r>
    </w:p>
    <w:p>
      <w:pPr>
        <w:ind w:left="297" w:right="859" w:hanging="299"/>
        <w:spacing w:after="0" w:line="279" w:lineRule="auto"/>
        <w:rPr>
          <w:sz w:val="20"/>
          <w:szCs w:val="20"/>
          <w:color w:val="auto"/>
        </w:rPr>
      </w:pPr>
      <w:r>
        <w:rPr>
          <w:rFonts w:ascii="Arial" w:cs="Arial" w:eastAsia="Arial" w:hAnsi="Arial"/>
          <w:sz w:val="11"/>
          <w:szCs w:val="11"/>
          <w:b w:val="1"/>
          <w:bCs w:val="1"/>
          <w:color w:val="auto"/>
        </w:rPr>
        <w:t xml:space="preserve">11.2 </w:t>
      </w:r>
      <w:r>
        <w:rPr>
          <w:rFonts w:ascii="Arial" w:cs="Arial" w:eastAsia="Arial" w:hAnsi="Arial"/>
          <w:sz w:val="11"/>
          <w:szCs w:val="11"/>
          <w:color w:val="auto"/>
        </w:rPr>
        <w:t>Mynaric und/oder die beteiligten Unternehmen übernehmen</w:t>
      </w:r>
      <w:r>
        <w:rPr>
          <w:rFonts w:ascii="Arial" w:cs="Arial" w:eastAsia="Arial" w:hAnsi="Arial"/>
          <w:sz w:val="11"/>
          <w:szCs w:val="11"/>
          <w:b w:val="1"/>
          <w:bCs w:val="1"/>
          <w:color w:val="auto"/>
        </w:rPr>
        <w:t xml:space="preserve"> </w:t>
      </w:r>
      <w:r>
        <w:rPr>
          <w:rFonts w:ascii="Arial" w:cs="Arial" w:eastAsia="Arial" w:hAnsi="Arial"/>
          <w:sz w:val="11"/>
          <w:szCs w:val="11"/>
          <w:color w:val="auto"/>
        </w:rPr>
        <w:t>keinerlei Gewähr dafür, dass gemäß Ziffer 8 einzubehaltende Steuern und Abgaben oder vom Bezugsberechtigten zu zahlende Steuern und Abgaben nur auf den Differenzbetrag zwischen Ausübungspreis und aktuellem Börsenkurs bei Ausübung der Bezugsrechte oder bei Lieferung der Aktien, auf einen durch Veräußerung tatsächlich erzielten Gewinn oder auf einen anderen bestimmten Betrag, erhoben werden. Die Bezugsberechtigten sind aufgefordert, sich steuerlich beraten zu lassen.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-1359535</wp:posOffset>
            </wp:positionV>
            <wp:extent cx="1285875" cy="3714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22" w:lineRule="exact"/>
        <w:rPr>
          <w:sz w:val="20"/>
          <w:szCs w:val="20"/>
          <w:color w:val="auto"/>
        </w:rPr>
      </w:pPr>
    </w:p>
    <w:p>
      <w:pPr>
        <w:ind w:left="297" w:hanging="297"/>
        <w:spacing w:after="0"/>
        <w:tabs>
          <w:tab w:leader="none" w:pos="297" w:val="left"/>
        </w:tabs>
        <w:numPr>
          <w:ilvl w:val="0"/>
          <w:numId w:val="289"/>
        </w:numPr>
        <w:rPr>
          <w:rFonts w:ascii="Arial" w:cs="Arial" w:eastAsia="Arial" w:hAnsi="Arial"/>
          <w:sz w:val="12"/>
          <w:szCs w:val="12"/>
          <w:b w:val="1"/>
          <w:bCs w:val="1"/>
          <w:color w:val="auto"/>
        </w:rPr>
      </w:pPr>
      <w:r>
        <w:rPr>
          <w:rFonts w:ascii="Arial" w:cs="Arial" w:eastAsia="Arial" w:hAnsi="Arial"/>
          <w:sz w:val="12"/>
          <w:szCs w:val="12"/>
          <w:b w:val="1"/>
          <w:bCs w:val="1"/>
          <w:color w:val="auto"/>
        </w:rPr>
        <w:t>Insiderhandelsverbot</w:t>
      </w:r>
    </w:p>
    <w:p>
      <w:pPr>
        <w:spacing w:after="0" w:line="78" w:lineRule="exact"/>
        <w:rPr>
          <w:sz w:val="20"/>
          <w:szCs w:val="20"/>
          <w:color w:val="auto"/>
        </w:rPr>
      </w:pPr>
    </w:p>
    <w:p>
      <w:pPr>
        <w:ind w:left="297" w:right="899" w:hanging="299"/>
        <w:spacing w:after="0" w:line="309" w:lineRule="auto"/>
        <w:rPr>
          <w:sz w:val="20"/>
          <w:szCs w:val="20"/>
          <w:color w:val="auto"/>
        </w:rPr>
      </w:pPr>
      <w:r>
        <w:rPr>
          <w:rFonts w:ascii="Arial" w:cs="Arial" w:eastAsia="Arial" w:hAnsi="Arial"/>
          <w:sz w:val="10"/>
          <w:szCs w:val="10"/>
          <w:b w:val="1"/>
          <w:bCs w:val="1"/>
          <w:color w:val="auto"/>
        </w:rPr>
        <w:t xml:space="preserve">12.1 </w:t>
      </w:r>
      <w:r>
        <w:rPr>
          <w:rFonts w:ascii="Arial" w:cs="Arial" w:eastAsia="Arial" w:hAnsi="Arial"/>
          <w:sz w:val="10"/>
          <w:szCs w:val="10"/>
          <w:color w:val="auto"/>
        </w:rPr>
        <w:t>Gemäß Artikel 7 Marktmissbrauchsverordnung (VO (EU)</w:t>
      </w:r>
      <w:r>
        <w:rPr>
          <w:rFonts w:ascii="Arial" w:cs="Arial" w:eastAsia="Arial" w:hAnsi="Arial"/>
          <w:sz w:val="10"/>
          <w:szCs w:val="10"/>
          <w:b w:val="1"/>
          <w:bCs w:val="1"/>
          <w:color w:val="auto"/>
        </w:rPr>
        <w:t xml:space="preserve"> </w:t>
      </w:r>
      <w:r>
        <w:rPr>
          <w:rFonts w:ascii="Arial" w:cs="Arial" w:eastAsia="Arial" w:hAnsi="Arial"/>
          <w:sz w:val="10"/>
          <w:szCs w:val="10"/>
          <w:color w:val="auto"/>
        </w:rPr>
        <w:t>596/2014) gelten Teile der Bezugsberechtigten aufgrund ihrer Funktion als Mitglied des Vorstandes der Mynaric oder auf Grund der bestimmungsgemäßen Kenntnis von nicht öffentlich bekannten Insider-Informationen durch ihre Tätigkeit oder Aufgabe als Insider. Insidern ist es unter anderem verboten, unter Ausnutzung ihrer Kenntnis von Insider-Informationen, Aktien der Mynaric zu erwerben oder zu veräußern. Dies gilt auch noch nach dem Ausscheiden der Bezugsrechtsinhaber aus dem Anstellungsverhältnis, soweit sie gleich aus welchen Gründen über Insider-Informationen verfügen.</w:t>
      </w:r>
    </w:p>
    <w:p>
      <w:pPr>
        <w:spacing w:after="0" w:line="175" w:lineRule="exact"/>
        <w:rPr>
          <w:sz w:val="20"/>
          <w:szCs w:val="20"/>
          <w:color w:val="auto"/>
        </w:rPr>
      </w:pPr>
    </w:p>
    <w:p>
      <w:pPr>
        <w:ind w:left="297" w:right="919" w:hanging="299"/>
        <w:spacing w:after="0" w:line="281" w:lineRule="auto"/>
        <w:rPr>
          <w:sz w:val="20"/>
          <w:szCs w:val="20"/>
          <w:color w:val="auto"/>
        </w:rPr>
      </w:pPr>
      <w:r>
        <w:rPr>
          <w:rFonts w:ascii="Arial" w:cs="Arial" w:eastAsia="Arial" w:hAnsi="Arial"/>
          <w:sz w:val="11"/>
          <w:szCs w:val="11"/>
          <w:b w:val="1"/>
          <w:bCs w:val="1"/>
          <w:color w:val="auto"/>
        </w:rPr>
        <w:t xml:space="preserve">12.2 </w:t>
      </w:r>
      <w:r>
        <w:rPr>
          <w:rFonts w:ascii="Arial" w:cs="Arial" w:eastAsia="Arial" w:hAnsi="Arial"/>
          <w:sz w:val="11"/>
          <w:szCs w:val="11"/>
          <w:color w:val="auto"/>
        </w:rPr>
        <w:t>Jeder Bezugsrechtsinhaber ist persönlich verantwortlich dafür,</w:t>
      </w:r>
      <w:r>
        <w:rPr>
          <w:rFonts w:ascii="Arial" w:cs="Arial" w:eastAsia="Arial" w:hAnsi="Arial"/>
          <w:sz w:val="11"/>
          <w:szCs w:val="11"/>
          <w:b w:val="1"/>
          <w:bCs w:val="1"/>
          <w:color w:val="auto"/>
        </w:rPr>
        <w:t xml:space="preserve"> </w:t>
      </w:r>
      <w:r>
        <w:rPr>
          <w:rFonts w:ascii="Arial" w:cs="Arial" w:eastAsia="Arial" w:hAnsi="Arial"/>
          <w:sz w:val="11"/>
          <w:szCs w:val="11"/>
          <w:color w:val="auto"/>
        </w:rPr>
        <w:t>dass er Aktien der Mynaric, die er aufgrund der Ausübung von Bezugsrechten erwirbt, nicht unter Verstoß gegen Insiderhandelsverbote veräußert. Die Festlegung von Ausübungszeiträumen gemäß Ziffer 2.4 stellt keine Gewähr dafür dar, dass eine Veräußerung von Aktien der Mynaric innerhalb der Ausübungszeiträume oder im Anschluss hieran nicht gegen Insiderhandelsverbote verstößt.</w:t>
      </w:r>
    </w:p>
    <w:p>
      <w:pPr>
        <w:spacing w:after="0" w:line="39" w:lineRule="exact"/>
        <w:rPr>
          <w:sz w:val="20"/>
          <w:szCs w:val="20"/>
          <w:color w:val="auto"/>
        </w:rPr>
      </w:pPr>
    </w:p>
    <w:p>
      <w:pPr>
        <w:ind w:left="297" w:right="859" w:hanging="299"/>
        <w:spacing w:after="0" w:line="318" w:lineRule="auto"/>
        <w:rPr>
          <w:sz w:val="20"/>
          <w:szCs w:val="20"/>
          <w:color w:val="auto"/>
        </w:rPr>
      </w:pPr>
      <w:r>
        <w:rPr>
          <w:rFonts w:ascii="Arial" w:cs="Arial" w:eastAsia="Arial" w:hAnsi="Arial"/>
          <w:sz w:val="10"/>
          <w:szCs w:val="10"/>
          <w:b w:val="1"/>
          <w:bCs w:val="1"/>
          <w:color w:val="auto"/>
        </w:rPr>
        <w:t xml:space="preserve">12.3 </w:t>
      </w:r>
      <w:r>
        <w:rPr>
          <w:rFonts w:ascii="Arial" w:cs="Arial" w:eastAsia="Arial" w:hAnsi="Arial"/>
          <w:sz w:val="10"/>
          <w:szCs w:val="10"/>
          <w:color w:val="auto"/>
        </w:rPr>
        <w:t>Jeder Bezugsrechtsinhaber ist verpflichtet, sich vor der</w:t>
      </w:r>
      <w:r>
        <w:rPr>
          <w:rFonts w:ascii="Arial" w:cs="Arial" w:eastAsia="Arial" w:hAnsi="Arial"/>
          <w:sz w:val="10"/>
          <w:szCs w:val="10"/>
          <w:b w:val="1"/>
          <w:bCs w:val="1"/>
          <w:color w:val="auto"/>
        </w:rPr>
        <w:t xml:space="preserve"> </w:t>
      </w:r>
      <w:r>
        <w:rPr>
          <w:rFonts w:ascii="Arial" w:cs="Arial" w:eastAsia="Arial" w:hAnsi="Arial"/>
          <w:sz w:val="10"/>
          <w:szCs w:val="10"/>
          <w:color w:val="auto"/>
        </w:rPr>
        <w:t>Ausübung von Bezugsrechten oder der Veräußerung von Aktien über die jeweilige Rechtslage betreffend Insiderhandelsverbote nach deutschem Recht sowie über Insiderhandelsverbote nach anderen als den deutschen Rechtsnormen, die den Bezugsrechtsinhaber betreffen könnten, zu informieren.</w:t>
      </w:r>
    </w:p>
    <w:p>
      <w:pPr>
        <w:spacing w:after="0" w:line="53" w:lineRule="exact"/>
        <w:rPr>
          <w:sz w:val="20"/>
          <w:szCs w:val="20"/>
          <w:color w:val="auto"/>
        </w:rPr>
      </w:pPr>
    </w:p>
    <w:p>
      <w:pPr>
        <w:sectPr>
          <w:pgSz w:w="11900" w:h="16838" w:orient="portrait"/>
          <w:cols w:equalWidth="0" w:num="2">
            <w:col w:w="4320" w:space="463"/>
            <w:col w:w="4236"/>
          </w:cols>
          <w:pgMar w:left="1440" w:top="910" w:right="1440" w:bottom="1440" w:gutter="0" w:footer="0" w:header="0"/>
        </w:sectPr>
      </w:pPr>
    </w:p>
    <w:p>
      <w:pPr>
        <w:jc w:val="center"/>
        <w:spacing w:after="0"/>
        <w:rPr>
          <w:sz w:val="20"/>
          <w:szCs w:val="20"/>
          <w:color w:val="auto"/>
        </w:rPr>
      </w:pPr>
      <w:r>
        <w:rPr>
          <w:rFonts w:ascii="Arial" w:cs="Arial" w:eastAsia="Arial" w:hAnsi="Arial"/>
          <w:sz w:val="10"/>
          <w:szCs w:val="10"/>
          <w:color w:val="auto"/>
        </w:rPr>
        <w:t>Page 16/18</w:t>
      </w:r>
    </w:p>
    <w:p>
      <w:pPr>
        <w:sectPr>
          <w:pgSz w:w="11900" w:h="16838" w:orient="portrait"/>
          <w:cols w:equalWidth="0" w:num="1">
            <w:col w:w="9019"/>
          </w:cols>
          <w:pgMar w:left="1440" w:top="910" w:right="1440" w:bottom="1440" w:gutter="0" w:footer="0" w:header="0"/>
          <w:type w:val="continuous"/>
        </w:sectPr>
      </w:pPr>
    </w:p>
    <w:bookmarkStart w:id="333" w:name="page334"/>
    <w:bookmarkEnd w:id="333"/>
    <w:p>
      <w:pPr>
        <w:ind w:left="1120" w:hanging="288"/>
        <w:spacing w:after="0"/>
        <w:tabs>
          <w:tab w:leader="none" w:pos="1120" w:val="left"/>
        </w:tabs>
        <w:numPr>
          <w:ilvl w:val="0"/>
          <w:numId w:val="290"/>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 company practice or entitlement to repeated grant</w:t>
      </w:r>
    </w:p>
    <w:p>
      <w:pPr>
        <w:spacing w:after="0" w:line="91" w:lineRule="exact"/>
        <w:rPr>
          <w:rFonts w:ascii="Arial" w:cs="Arial" w:eastAsia="Arial" w:hAnsi="Arial"/>
          <w:sz w:val="12"/>
          <w:szCs w:val="12"/>
          <w:b w:val="1"/>
          <w:bCs w:val="1"/>
          <w:color w:val="auto"/>
        </w:rPr>
      </w:pPr>
    </w:p>
    <w:p>
      <w:pPr>
        <w:ind w:left="1140"/>
        <w:spacing w:after="0" w:line="280" w:lineRule="auto"/>
        <w:rPr>
          <w:rFonts w:ascii="Arial" w:cs="Arial" w:eastAsia="Arial" w:hAnsi="Arial"/>
          <w:sz w:val="12"/>
          <w:szCs w:val="12"/>
          <w:b w:val="1"/>
          <w:bCs w:val="1"/>
          <w:color w:val="auto"/>
        </w:rPr>
      </w:pPr>
      <w:r>
        <w:rPr>
          <w:rFonts w:ascii="Arial" w:cs="Arial" w:eastAsia="Arial" w:hAnsi="Arial"/>
          <w:sz w:val="11"/>
          <w:szCs w:val="11"/>
          <w:color w:val="auto"/>
        </w:rPr>
        <w:t>The subscription rights are granted as a voluntary benefit by the respective participating company in cooperation with Mynaric. Therefore, even in the case of repeated granting of subscription rights (even without a voluntary reservation), no claims whatsoever arise against the participating company or Mynaric for the renewed granting of subscription rights or for similar or equivalent services. This also applies if subscription rights expire for whatever reason without being exercised.</w:t>
      </w:r>
    </w:p>
    <w:p>
      <w:pPr>
        <w:spacing w:after="0" w:line="20" w:lineRule="exact"/>
        <w:rPr>
          <w:sz w:val="20"/>
          <w:szCs w:val="20"/>
          <w:color w:val="auto"/>
        </w:rPr>
      </w:pPr>
      <w:r>
        <w:rPr>
          <w:sz w:val="20"/>
          <w:szCs w:val="20"/>
          <w:color w:val="auto"/>
        </w:rPr>
        <w:br w:type="column"/>
      </w:r>
    </w:p>
    <w:p>
      <w:pPr>
        <w:ind w:left="297" w:right="999" w:hanging="297"/>
        <w:spacing w:after="0" w:line="283" w:lineRule="auto"/>
        <w:tabs>
          <w:tab w:leader="none" w:pos="291" w:val="left"/>
        </w:tabs>
        <w:numPr>
          <w:ilvl w:val="0"/>
          <w:numId w:val="291"/>
        </w:numPr>
        <w:rPr>
          <w:rFonts w:ascii="Arial" w:cs="Arial" w:eastAsia="Arial" w:hAnsi="Arial"/>
          <w:sz w:val="12"/>
          <w:szCs w:val="12"/>
          <w:b w:val="1"/>
          <w:bCs w:val="1"/>
          <w:color w:val="auto"/>
        </w:rPr>
      </w:pPr>
      <w:r>
        <w:rPr>
          <w:rFonts w:ascii="Arial" w:cs="Arial" w:eastAsia="Arial" w:hAnsi="Arial"/>
          <w:sz w:val="12"/>
          <w:szCs w:val="12"/>
          <w:b w:val="1"/>
          <w:bCs w:val="1"/>
          <w:color w:val="auto"/>
        </w:rPr>
        <w:t>Keine betriebliche Übung oder Anspruch auf wiederholte Gewährung</w:t>
      </w:r>
    </w:p>
    <w:p>
      <w:pPr>
        <w:spacing w:after="0" w:line="47" w:lineRule="exact"/>
        <w:rPr>
          <w:rFonts w:ascii="Arial" w:cs="Arial" w:eastAsia="Arial" w:hAnsi="Arial"/>
          <w:sz w:val="12"/>
          <w:szCs w:val="12"/>
          <w:b w:val="1"/>
          <w:bCs w:val="1"/>
          <w:color w:val="auto"/>
        </w:rPr>
      </w:pPr>
    </w:p>
    <w:p>
      <w:pPr>
        <w:ind w:left="297" w:right="919"/>
        <w:spacing w:after="0" w:line="253" w:lineRule="auto"/>
        <w:rPr>
          <w:rFonts w:ascii="Arial" w:cs="Arial" w:eastAsia="Arial" w:hAnsi="Arial"/>
          <w:sz w:val="12"/>
          <w:szCs w:val="12"/>
          <w:b w:val="1"/>
          <w:bCs w:val="1"/>
          <w:color w:val="auto"/>
        </w:rPr>
      </w:pPr>
      <w:r>
        <w:rPr>
          <w:rFonts w:ascii="Arial" w:cs="Arial" w:eastAsia="Arial" w:hAnsi="Arial"/>
          <w:sz w:val="12"/>
          <w:szCs w:val="12"/>
          <w:color w:val="auto"/>
        </w:rPr>
        <w:t>Die Gewährung der Bezugsrechte erfolgt als freiwillige Leistung des jeweiligen beteiligten Unternehmens in Zusammenarbeit mit der Mynaric. Auch bei wiederholter Gewährung von Bezugsrechten (selbst ohne Freiwilligkeitsvorbehalt) entstehen daher keinerlei Ansprüche gegen das beteiligte Unternehmen oder die Mynaric auf die erneute Gewährung von Bezugsrechten oder auf ähnliche oder gleichwertige Leistungen. Dies gilt auch dann, wenn Bezugsrechte gleich aus welchen Gründen verfallen sind, ohne dass sie ausgeübt wurden.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-1586230</wp:posOffset>
            </wp:positionV>
            <wp:extent cx="1285875" cy="3714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4320" w:space="463"/>
            <w:col w:w="4236"/>
          </w:cols>
          <w:pgMar w:left="1440" w:top="910" w:right="1440" w:bottom="1440" w:gutter="0" w:footer="0" w:header="0"/>
        </w:sectPr>
      </w:pPr>
    </w:p>
    <w:p>
      <w:pPr>
        <w:ind w:left="1120" w:hanging="288"/>
        <w:spacing w:after="0"/>
        <w:tabs>
          <w:tab w:leader="none" w:pos="1120" w:val="left"/>
        </w:tabs>
        <w:numPr>
          <w:ilvl w:val="0"/>
          <w:numId w:val="292"/>
        </w:numPr>
        <w:rPr>
          <w:rFonts w:ascii="Arial" w:cs="Arial" w:eastAsia="Arial" w:hAnsi="Arial"/>
          <w:sz w:val="12"/>
          <w:szCs w:val="12"/>
          <w:b w:val="1"/>
          <w:bCs w:val="1"/>
          <w:color w:val="auto"/>
        </w:rPr>
      </w:pPr>
      <w:r>
        <w:rPr>
          <w:rFonts w:ascii="Arial" w:cs="Arial" w:eastAsia="Arial" w:hAnsi="Arial"/>
          <w:sz w:val="12"/>
          <w:szCs w:val="12"/>
          <w:b w:val="1"/>
          <w:bCs w:val="1"/>
          <w:color w:val="auto"/>
        </w:rPr>
        <w:t>Applicable law, place of performance and jurisdiction</w:t>
      </w:r>
    </w:p>
    <w:p>
      <w:pPr>
        <w:spacing w:after="0" w:line="78" w:lineRule="exact"/>
        <w:rPr>
          <w:sz w:val="20"/>
          <w:szCs w:val="20"/>
          <w:color w:val="auto"/>
        </w:rPr>
      </w:pPr>
    </w:p>
    <w:p>
      <w:pPr>
        <w:ind w:left="1140" w:hanging="299"/>
        <w:spacing w:after="0" w:line="255" w:lineRule="auto"/>
        <w:rPr>
          <w:sz w:val="20"/>
          <w:szCs w:val="20"/>
          <w:color w:val="auto"/>
        </w:rPr>
      </w:pPr>
      <w:r>
        <w:rPr>
          <w:rFonts w:ascii="Arial" w:cs="Arial" w:eastAsia="Arial" w:hAnsi="Arial"/>
          <w:sz w:val="12"/>
          <w:szCs w:val="12"/>
          <w:b w:val="1"/>
          <w:bCs w:val="1"/>
          <w:color w:val="auto"/>
        </w:rPr>
        <w:t xml:space="preserve">14.1 </w:t>
      </w:r>
      <w:r>
        <w:rPr>
          <w:rFonts w:ascii="Arial" w:cs="Arial" w:eastAsia="Arial" w:hAnsi="Arial"/>
          <w:sz w:val="12"/>
          <w:szCs w:val="12"/>
          <w:color w:val="auto"/>
        </w:rPr>
        <w:t>The form and content of the subscription rights, the option</w:t>
      </w:r>
      <w:r>
        <w:rPr>
          <w:rFonts w:ascii="Arial" w:cs="Arial" w:eastAsia="Arial" w:hAnsi="Arial"/>
          <w:sz w:val="12"/>
          <w:szCs w:val="12"/>
          <w:b w:val="1"/>
          <w:bCs w:val="1"/>
          <w:color w:val="auto"/>
        </w:rPr>
        <w:t xml:space="preserve"> </w:t>
      </w:r>
      <w:r>
        <w:rPr>
          <w:rFonts w:ascii="Arial" w:cs="Arial" w:eastAsia="Arial" w:hAnsi="Arial"/>
          <w:sz w:val="12"/>
          <w:szCs w:val="12"/>
          <w:color w:val="auto"/>
        </w:rPr>
        <w:t>conditions and the individual agreement as well as all resulting rights and obligations of the holders of subscription rights, the companies involved or Mynaric are determined in every respect according to the law of the Federal Republic of Germany, excluding the regulations of international private law and the uniform UN Convention on Contracts for the International Sale of Goods.</w:t>
      </w:r>
    </w:p>
    <w:p>
      <w:pPr>
        <w:spacing w:after="0" w:line="20" w:lineRule="exact"/>
        <w:rPr>
          <w:sz w:val="20"/>
          <w:szCs w:val="20"/>
          <w:color w:val="auto"/>
        </w:rPr>
      </w:pPr>
      <w:r>
        <w:rPr>
          <w:sz w:val="20"/>
          <w:szCs w:val="20"/>
          <w:color w:val="auto"/>
        </w:rPr>
        <w:br w:type="column"/>
      </w:r>
    </w:p>
    <w:p>
      <w:pPr>
        <w:ind w:left="297" w:hanging="297"/>
        <w:spacing w:after="0"/>
        <w:tabs>
          <w:tab w:leader="none" w:pos="297" w:val="left"/>
        </w:tabs>
        <w:numPr>
          <w:ilvl w:val="0"/>
          <w:numId w:val="293"/>
        </w:numPr>
        <w:rPr>
          <w:rFonts w:ascii="Arial" w:cs="Arial" w:eastAsia="Arial" w:hAnsi="Arial"/>
          <w:sz w:val="12"/>
          <w:szCs w:val="12"/>
          <w:b w:val="1"/>
          <w:bCs w:val="1"/>
          <w:color w:val="auto"/>
        </w:rPr>
      </w:pPr>
      <w:r>
        <w:rPr>
          <w:rFonts w:ascii="Arial" w:cs="Arial" w:eastAsia="Arial" w:hAnsi="Arial"/>
          <w:sz w:val="12"/>
          <w:szCs w:val="12"/>
          <w:b w:val="1"/>
          <w:bCs w:val="1"/>
          <w:color w:val="auto"/>
        </w:rPr>
        <w:t>Anwendbares Recht, Erfüllungsort und Gerichtsstand</w:t>
      </w:r>
    </w:p>
    <w:p>
      <w:pPr>
        <w:spacing w:after="0" w:line="78" w:lineRule="exact"/>
        <w:rPr>
          <w:sz w:val="20"/>
          <w:szCs w:val="20"/>
          <w:color w:val="auto"/>
        </w:rPr>
      </w:pPr>
    </w:p>
    <w:p>
      <w:pPr>
        <w:ind w:left="297" w:right="839" w:hanging="299"/>
        <w:spacing w:after="0" w:line="282" w:lineRule="auto"/>
        <w:rPr>
          <w:sz w:val="20"/>
          <w:szCs w:val="20"/>
          <w:color w:val="auto"/>
        </w:rPr>
      </w:pPr>
      <w:r>
        <w:rPr>
          <w:rFonts w:ascii="Arial" w:cs="Arial" w:eastAsia="Arial" w:hAnsi="Arial"/>
          <w:sz w:val="11"/>
          <w:szCs w:val="11"/>
          <w:b w:val="1"/>
          <w:bCs w:val="1"/>
          <w:color w:val="auto"/>
        </w:rPr>
        <w:t xml:space="preserve">14.1 </w:t>
      </w:r>
      <w:r>
        <w:rPr>
          <w:rFonts w:ascii="Arial" w:cs="Arial" w:eastAsia="Arial" w:hAnsi="Arial"/>
          <w:sz w:val="11"/>
          <w:szCs w:val="11"/>
          <w:color w:val="auto"/>
        </w:rPr>
        <w:t>Form und Inhalt der Bezugsrechte, der Optionsbedingungen und</w:t>
      </w:r>
      <w:r>
        <w:rPr>
          <w:rFonts w:ascii="Arial" w:cs="Arial" w:eastAsia="Arial" w:hAnsi="Arial"/>
          <w:sz w:val="11"/>
          <w:szCs w:val="11"/>
          <w:b w:val="1"/>
          <w:bCs w:val="1"/>
          <w:color w:val="auto"/>
        </w:rPr>
        <w:t xml:space="preserve"> </w:t>
      </w:r>
      <w:r>
        <w:rPr>
          <w:rFonts w:ascii="Arial" w:cs="Arial" w:eastAsia="Arial" w:hAnsi="Arial"/>
          <w:sz w:val="11"/>
          <w:szCs w:val="11"/>
          <w:color w:val="auto"/>
        </w:rPr>
        <w:t>der Individualvereinbarung sowie alle sich daraus ergebenden Rechte und Pflichten der Bezugsrechtsinhaber, der beteiligten Unternehmen oder der Mynaric bestimmen sich in jeder Hinsicht nach dem Recht der Bundesrepublik Deutschland unter Ausschluss der Regelungen des internationalen Privatrechts und des einheitlichen UN-Kaufrechts.</w:t>
      </w:r>
    </w:p>
    <w:p>
      <w:pPr>
        <w:spacing w:after="0" w:line="183" w:lineRule="exact"/>
        <w:rPr>
          <w:sz w:val="20"/>
          <w:szCs w:val="20"/>
          <w:color w:val="auto"/>
        </w:rPr>
      </w:pPr>
    </w:p>
    <w:p>
      <w:pPr>
        <w:sectPr>
          <w:pgSz w:w="11900" w:h="16838" w:orient="portrait"/>
          <w:cols w:equalWidth="0" w:num="2">
            <w:col w:w="4300" w:space="483"/>
            <w:col w:w="4236"/>
          </w:cols>
          <w:pgMar w:left="1440" w:top="910" w:right="1440" w:bottom="1440" w:gutter="0" w:footer="0" w:header="0"/>
          <w:type w:val="continuous"/>
        </w:sectPr>
      </w:pPr>
    </w:p>
    <w:p>
      <w:pPr>
        <w:ind w:left="1140" w:right="520" w:hanging="299"/>
        <w:spacing w:after="0" w:line="261" w:lineRule="auto"/>
        <w:rPr>
          <w:sz w:val="20"/>
          <w:szCs w:val="20"/>
          <w:color w:val="auto"/>
        </w:rPr>
      </w:pPr>
      <w:r>
        <w:rPr>
          <w:rFonts w:ascii="Arial" w:cs="Arial" w:eastAsia="Arial" w:hAnsi="Arial"/>
          <w:sz w:val="12"/>
          <w:szCs w:val="12"/>
          <w:b w:val="1"/>
          <w:bCs w:val="1"/>
          <w:color w:val="auto"/>
        </w:rPr>
        <w:t xml:space="preserve">14.2 </w:t>
      </w:r>
      <w:r>
        <w:rPr>
          <w:rFonts w:ascii="Arial" w:cs="Arial" w:eastAsia="Arial" w:hAnsi="Arial"/>
          <w:sz w:val="12"/>
          <w:szCs w:val="12"/>
          <w:color w:val="auto"/>
        </w:rPr>
        <w:t>Place of performance as well as non-exclusive jurisdiction for all</w:t>
      </w:r>
      <w:r>
        <w:rPr>
          <w:rFonts w:ascii="Arial" w:cs="Arial" w:eastAsia="Arial" w:hAnsi="Arial"/>
          <w:sz w:val="12"/>
          <w:szCs w:val="12"/>
          <w:b w:val="1"/>
          <w:bCs w:val="1"/>
          <w:color w:val="auto"/>
        </w:rPr>
        <w:t xml:space="preserve"> </w:t>
      </w:r>
      <w:r>
        <w:rPr>
          <w:rFonts w:ascii="Arial" w:cs="Arial" w:eastAsia="Arial" w:hAnsi="Arial"/>
          <w:sz w:val="12"/>
          <w:szCs w:val="12"/>
          <w:color w:val="auto"/>
        </w:rPr>
        <w:t>legal disputes arising from or in connection with the subscription rights and the matters regulated in these option conditions is Munich.</w:t>
      </w:r>
    </w:p>
    <w:p>
      <w:pPr>
        <w:spacing w:after="0" w:line="48" w:lineRule="exact"/>
        <w:rPr>
          <w:sz w:val="20"/>
          <w:szCs w:val="20"/>
          <w:color w:val="auto"/>
        </w:rPr>
      </w:pPr>
    </w:p>
    <w:p>
      <w:pPr>
        <w:ind w:left="1120" w:hanging="288"/>
        <w:spacing w:after="0"/>
        <w:tabs>
          <w:tab w:leader="none" w:pos="1120" w:val="left"/>
        </w:tabs>
        <w:numPr>
          <w:ilvl w:val="0"/>
          <w:numId w:val="294"/>
        </w:numPr>
        <w:rPr>
          <w:rFonts w:ascii="Arial" w:cs="Arial" w:eastAsia="Arial" w:hAnsi="Arial"/>
          <w:sz w:val="12"/>
          <w:szCs w:val="12"/>
          <w:b w:val="1"/>
          <w:bCs w:val="1"/>
          <w:color w:val="auto"/>
        </w:rPr>
      </w:pPr>
      <w:r>
        <w:rPr>
          <w:rFonts w:ascii="Arial" w:cs="Arial" w:eastAsia="Arial" w:hAnsi="Arial"/>
          <w:sz w:val="12"/>
          <w:szCs w:val="12"/>
          <w:b w:val="1"/>
          <w:bCs w:val="1"/>
          <w:color w:val="auto"/>
        </w:rPr>
        <w:t>Miscellaneous</w:t>
      </w:r>
    </w:p>
    <w:p>
      <w:pPr>
        <w:spacing w:after="0" w:line="78" w:lineRule="exact"/>
        <w:rPr>
          <w:sz w:val="20"/>
          <w:szCs w:val="20"/>
          <w:color w:val="auto"/>
        </w:rPr>
      </w:pPr>
    </w:p>
    <w:p>
      <w:pPr>
        <w:ind w:left="1140" w:right="600" w:hanging="299"/>
        <w:spacing w:after="0" w:line="387" w:lineRule="auto"/>
        <w:rPr>
          <w:sz w:val="20"/>
          <w:szCs w:val="20"/>
          <w:color w:val="auto"/>
        </w:rPr>
      </w:pPr>
      <w:r>
        <w:rPr>
          <w:rFonts w:ascii="Arial" w:cs="Arial" w:eastAsia="Arial" w:hAnsi="Arial"/>
          <w:sz w:val="10"/>
          <w:szCs w:val="10"/>
          <w:b w:val="1"/>
          <w:bCs w:val="1"/>
          <w:color w:val="auto"/>
        </w:rPr>
        <w:t xml:space="preserve">15.1 </w:t>
      </w:r>
      <w:r>
        <w:rPr>
          <w:rFonts w:ascii="Arial" w:cs="Arial" w:eastAsia="Arial" w:hAnsi="Arial"/>
          <w:sz w:val="10"/>
          <w:szCs w:val="10"/>
          <w:color w:val="auto"/>
        </w:rPr>
        <w:t>The subscription rights are not securitised. The transfer of</w:t>
      </w:r>
      <w:r>
        <w:rPr>
          <w:rFonts w:ascii="Arial" w:cs="Arial" w:eastAsia="Arial" w:hAnsi="Arial"/>
          <w:sz w:val="10"/>
          <w:szCs w:val="10"/>
          <w:b w:val="1"/>
          <w:bCs w:val="1"/>
          <w:color w:val="auto"/>
        </w:rPr>
        <w:t xml:space="preserve"> </w:t>
      </w:r>
      <w:r>
        <w:rPr>
          <w:rFonts w:ascii="Arial" w:cs="Arial" w:eastAsia="Arial" w:hAnsi="Arial"/>
          <w:sz w:val="10"/>
          <w:szCs w:val="10"/>
          <w:color w:val="auto"/>
        </w:rPr>
        <w:t>subscription rights to a securities account at a bank is excluded.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17/18</w:t>
      </w:r>
    </w:p>
    <w:p>
      <w:pPr>
        <w:spacing w:after="0" w:line="20" w:lineRule="exact"/>
        <w:rPr>
          <w:sz w:val="20"/>
          <w:szCs w:val="20"/>
          <w:color w:val="auto"/>
        </w:rPr>
      </w:pPr>
      <w:r>
        <w:rPr>
          <w:sz w:val="20"/>
          <w:szCs w:val="20"/>
          <w:color w:val="auto"/>
        </w:rPr>
        <w:br w:type="column"/>
      </w:r>
    </w:p>
    <w:p>
      <w:pPr>
        <w:ind w:left="300" w:right="859" w:hanging="299"/>
        <w:spacing w:after="0" w:line="292" w:lineRule="auto"/>
        <w:rPr>
          <w:sz w:val="20"/>
          <w:szCs w:val="20"/>
          <w:color w:val="auto"/>
        </w:rPr>
      </w:pPr>
      <w:r>
        <w:rPr>
          <w:rFonts w:ascii="Arial" w:cs="Arial" w:eastAsia="Arial" w:hAnsi="Arial"/>
          <w:sz w:val="11"/>
          <w:szCs w:val="11"/>
          <w:b w:val="1"/>
          <w:bCs w:val="1"/>
          <w:color w:val="auto"/>
        </w:rPr>
        <w:t xml:space="preserve">14.2 </w:t>
      </w:r>
      <w:r>
        <w:rPr>
          <w:rFonts w:ascii="Arial" w:cs="Arial" w:eastAsia="Arial" w:hAnsi="Arial"/>
          <w:sz w:val="11"/>
          <w:szCs w:val="11"/>
          <w:color w:val="auto"/>
        </w:rPr>
        <w:t>Erfüllungsort sowie nicht ausschließlicher Gerichtsstand für alle</w:t>
      </w:r>
      <w:r>
        <w:rPr>
          <w:rFonts w:ascii="Arial" w:cs="Arial" w:eastAsia="Arial" w:hAnsi="Arial"/>
          <w:sz w:val="11"/>
          <w:szCs w:val="11"/>
          <w:b w:val="1"/>
          <w:bCs w:val="1"/>
          <w:color w:val="auto"/>
        </w:rPr>
        <w:t xml:space="preserve"> </w:t>
      </w:r>
      <w:r>
        <w:rPr>
          <w:rFonts w:ascii="Arial" w:cs="Arial" w:eastAsia="Arial" w:hAnsi="Arial"/>
          <w:sz w:val="11"/>
          <w:szCs w:val="11"/>
          <w:color w:val="auto"/>
        </w:rPr>
        <w:t>Rechtsstreitigkeiten aus oder im Zusammenhang mit den Bezugsrechte und den in diesen Optionsbedingungen geregelten Angelegenheiten ist München.</w:t>
      </w:r>
    </w:p>
    <w:p>
      <w:pPr>
        <w:spacing w:after="0" w:line="32" w:lineRule="exact"/>
        <w:rPr>
          <w:sz w:val="20"/>
          <w:szCs w:val="20"/>
          <w:color w:val="auto"/>
        </w:rPr>
      </w:pPr>
    </w:p>
    <w:p>
      <w:pPr>
        <w:ind w:left="300" w:hanging="297"/>
        <w:spacing w:after="0"/>
        <w:tabs>
          <w:tab w:leader="none" w:pos="300" w:val="left"/>
        </w:tabs>
        <w:numPr>
          <w:ilvl w:val="0"/>
          <w:numId w:val="295"/>
        </w:numPr>
        <w:rPr>
          <w:rFonts w:ascii="Arial" w:cs="Arial" w:eastAsia="Arial" w:hAnsi="Arial"/>
          <w:sz w:val="12"/>
          <w:szCs w:val="12"/>
          <w:b w:val="1"/>
          <w:bCs w:val="1"/>
          <w:color w:val="auto"/>
        </w:rPr>
      </w:pPr>
      <w:r>
        <w:rPr>
          <w:rFonts w:ascii="Arial" w:cs="Arial" w:eastAsia="Arial" w:hAnsi="Arial"/>
          <w:sz w:val="12"/>
          <w:szCs w:val="12"/>
          <w:b w:val="1"/>
          <w:bCs w:val="1"/>
          <w:color w:val="auto"/>
        </w:rPr>
        <w:t>Sonstiges</w:t>
      </w:r>
    </w:p>
    <w:p>
      <w:pPr>
        <w:spacing w:after="0" w:line="78" w:lineRule="exact"/>
        <w:rPr>
          <w:sz w:val="20"/>
          <w:szCs w:val="20"/>
          <w:color w:val="auto"/>
        </w:rPr>
      </w:pPr>
    </w:p>
    <w:p>
      <w:pPr>
        <w:jc w:val="right"/>
        <w:ind w:right="939"/>
        <w:spacing w:after="0" w:line="330" w:lineRule="auto"/>
        <w:rPr>
          <w:sz w:val="20"/>
          <w:szCs w:val="20"/>
          <w:color w:val="auto"/>
        </w:rPr>
      </w:pPr>
      <w:r>
        <w:rPr>
          <w:rFonts w:ascii="Arial" w:cs="Arial" w:eastAsia="Arial" w:hAnsi="Arial"/>
          <w:sz w:val="11"/>
          <w:szCs w:val="11"/>
          <w:b w:val="1"/>
          <w:bCs w:val="1"/>
          <w:color w:val="auto"/>
        </w:rPr>
        <w:t xml:space="preserve">15.1 </w:t>
      </w:r>
      <w:r>
        <w:rPr>
          <w:rFonts w:ascii="Arial" w:cs="Arial" w:eastAsia="Arial" w:hAnsi="Arial"/>
          <w:sz w:val="11"/>
          <w:szCs w:val="11"/>
          <w:color w:val="auto"/>
        </w:rPr>
        <w:t>Die Bezugsrechte werden nicht verbrieft. Die Übertragung der</w:t>
      </w:r>
      <w:r>
        <w:rPr>
          <w:rFonts w:ascii="Arial" w:cs="Arial" w:eastAsia="Arial" w:hAnsi="Arial"/>
          <w:sz w:val="11"/>
          <w:szCs w:val="11"/>
          <w:b w:val="1"/>
          <w:bCs w:val="1"/>
          <w:color w:val="auto"/>
        </w:rPr>
        <w:t xml:space="preserve"> </w:t>
      </w:r>
      <w:r>
        <w:rPr>
          <w:rFonts w:ascii="Arial" w:cs="Arial" w:eastAsia="Arial" w:hAnsi="Arial"/>
          <w:sz w:val="11"/>
          <w:szCs w:val="11"/>
          <w:color w:val="auto"/>
        </w:rPr>
        <w:t>Bezugsrechte auf ein Depot bei einer Bank ist ausgeschlossen.</w:t>
      </w:r>
    </w:p>
    <w:p>
      <w:pPr>
        <w:sectPr>
          <w:pgSz w:w="11900" w:h="16838" w:orient="portrait"/>
          <w:cols w:equalWidth="0" w:num="2">
            <w:col w:w="4780" w:space="0"/>
            <w:col w:w="4239"/>
          </w:cols>
          <w:pgMar w:left="1440" w:top="910" w:right="1440" w:bottom="1440" w:gutter="0" w:footer="0" w:header="0"/>
          <w:type w:val="continuous"/>
        </w:sectPr>
      </w:pPr>
    </w:p>
    <w:bookmarkStart w:id="334" w:name="page335"/>
    <w:bookmarkEnd w:id="334"/>
    <w:p>
      <w:pPr>
        <w:ind w:left="1140" w:right="40" w:hanging="299"/>
        <w:spacing w:after="0" w:line="258"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15.2 </w:t>
      </w:r>
      <w:r>
        <w:rPr>
          <w:rFonts w:ascii="Arial" w:cs="Arial" w:eastAsia="Arial" w:hAnsi="Arial"/>
          <w:sz w:val="12"/>
          <w:szCs w:val="12"/>
          <w:color w:val="auto"/>
        </w:rPr>
        <w:t>If, during the term of the subscription rights, changes in stock</w:t>
      </w:r>
      <w:r>
        <w:rPr>
          <w:rFonts w:ascii="Arial" w:cs="Arial" w:eastAsia="Arial" w:hAnsi="Arial"/>
          <w:sz w:val="12"/>
          <w:szCs w:val="12"/>
          <w:b w:val="1"/>
          <w:bCs w:val="1"/>
          <w:color w:val="auto"/>
        </w:rPr>
        <w:t xml:space="preserve"> </w:t>
      </w:r>
      <w:r>
        <w:rPr>
          <w:rFonts w:ascii="Arial" w:cs="Arial" w:eastAsia="Arial" w:hAnsi="Arial"/>
          <w:sz w:val="12"/>
          <w:szCs w:val="12"/>
          <w:color w:val="auto"/>
        </w:rPr>
        <w:t>exchange practices occur which make the implementation of these exercise conditions or individual provisions significantly more difficult or impossible, Mynaric is entitled to make an appropriate adjustment.</w:t>
      </w:r>
    </w:p>
    <w:p>
      <w:pPr>
        <w:spacing w:after="0" w:line="50" w:lineRule="exact"/>
        <w:rPr>
          <w:sz w:val="20"/>
          <w:szCs w:val="20"/>
          <w:color w:val="auto"/>
        </w:rPr>
      </w:pPr>
    </w:p>
    <w:p>
      <w:pPr>
        <w:ind w:left="1140" w:right="60" w:hanging="299"/>
        <w:spacing w:after="0" w:line="279" w:lineRule="auto"/>
        <w:rPr>
          <w:sz w:val="20"/>
          <w:szCs w:val="20"/>
          <w:color w:val="auto"/>
        </w:rPr>
      </w:pPr>
      <w:r>
        <w:rPr>
          <w:rFonts w:ascii="Arial" w:cs="Arial" w:eastAsia="Arial" w:hAnsi="Arial"/>
          <w:sz w:val="11"/>
          <w:szCs w:val="11"/>
          <w:b w:val="1"/>
          <w:bCs w:val="1"/>
          <w:color w:val="auto"/>
        </w:rPr>
        <w:t xml:space="preserve">15.3 </w:t>
      </w:r>
      <w:r>
        <w:rPr>
          <w:rFonts w:ascii="Arial" w:cs="Arial" w:eastAsia="Arial" w:hAnsi="Arial"/>
          <w:sz w:val="11"/>
          <w:szCs w:val="11"/>
          <w:color w:val="auto"/>
        </w:rPr>
        <w:t>Should one of the provisions of these option conditions be or</w:t>
      </w:r>
      <w:r>
        <w:rPr>
          <w:rFonts w:ascii="Arial" w:cs="Arial" w:eastAsia="Arial" w:hAnsi="Arial"/>
          <w:sz w:val="11"/>
          <w:szCs w:val="11"/>
          <w:b w:val="1"/>
          <w:bCs w:val="1"/>
          <w:color w:val="auto"/>
        </w:rPr>
        <w:t xml:space="preserve"> </w:t>
      </w:r>
      <w:r>
        <w:rPr>
          <w:rFonts w:ascii="Arial" w:cs="Arial" w:eastAsia="Arial" w:hAnsi="Arial"/>
          <w:sz w:val="11"/>
          <w:szCs w:val="11"/>
          <w:color w:val="auto"/>
        </w:rPr>
        <w:t>become invalid or impracticable, the validity or practicability of the remaining provisions shall remain unaffected. A gap resulting from the invalidity or impracticability of a provision as well as any other gaps will be filled in analogously by way of supplementary interpretation of the contract taking into account the interests of the parties involved. This shall also apply insofar as the measure of a service or time (deadline, dates) is affected; in such cases, a legally permissible measure of the service or time (deadline, date) which comes as close as possible to the intended measure shall replace the measure initially agreed.</w:t>
      </w:r>
    </w:p>
    <w:p>
      <w:pPr>
        <w:spacing w:after="0" w:line="20" w:lineRule="exact"/>
        <w:rPr>
          <w:sz w:val="20"/>
          <w:szCs w:val="20"/>
          <w:color w:val="auto"/>
        </w:rPr>
      </w:pPr>
      <w:r>
        <w:rPr>
          <w:sz w:val="20"/>
          <w:szCs w:val="20"/>
          <w:color w:val="auto"/>
        </w:rPr>
        <w:br w:type="column"/>
      </w:r>
    </w:p>
    <w:p>
      <w:pPr>
        <w:ind w:right="919" w:hanging="299"/>
        <w:spacing w:after="0" w:line="322" w:lineRule="auto"/>
        <w:rPr>
          <w:sz w:val="20"/>
          <w:szCs w:val="20"/>
          <w:color w:val="auto"/>
        </w:rPr>
      </w:pPr>
      <w:r>
        <w:rPr>
          <w:rFonts w:ascii="Arial" w:cs="Arial" w:eastAsia="Arial" w:hAnsi="Arial"/>
          <w:sz w:val="10"/>
          <w:szCs w:val="10"/>
          <w:b w:val="1"/>
          <w:bCs w:val="1"/>
          <w:color w:val="auto"/>
        </w:rPr>
        <w:t xml:space="preserve">15.2 </w:t>
      </w:r>
      <w:r>
        <w:rPr>
          <w:rFonts w:ascii="Arial" w:cs="Arial" w:eastAsia="Arial" w:hAnsi="Arial"/>
          <w:sz w:val="10"/>
          <w:szCs w:val="10"/>
          <w:color w:val="auto"/>
        </w:rPr>
        <w:t>Kommt es während der Laufzeit der Bezugsrechte zu</w:t>
      </w:r>
      <w:r>
        <w:rPr>
          <w:rFonts w:ascii="Arial" w:cs="Arial" w:eastAsia="Arial" w:hAnsi="Arial"/>
          <w:sz w:val="10"/>
          <w:szCs w:val="10"/>
          <w:b w:val="1"/>
          <w:bCs w:val="1"/>
          <w:color w:val="auto"/>
        </w:rPr>
        <w:t xml:space="preserve"> </w:t>
      </w:r>
      <w:r>
        <w:rPr>
          <w:rFonts w:ascii="Arial" w:cs="Arial" w:eastAsia="Arial" w:hAnsi="Arial"/>
          <w:sz w:val="10"/>
          <w:szCs w:val="10"/>
          <w:color w:val="auto"/>
        </w:rPr>
        <w:t>Änderungen der Börsenusancen, die eine Durchführung dieser Ausübungsbedingungen oder einzelner Bestimmungen wesentlich erschweren oder unmöglich machen, so ist Mynaric berechtigt, eine angemessene Anpassung vorzunehmen.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-915670</wp:posOffset>
            </wp:positionV>
            <wp:extent cx="1285875" cy="3714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85875" cy="371475"/>
                    </a:xfrm>
                    <a:prstGeom prst="rect">
                      <a:avLst/>
                    </a:prstGeom>
                    <a:noFill/>
                  </pic:spPr>
                </pic:pic>
              </a:graphicData>
            </a:graphic>
          </wp:anchor>
        </w:drawing>
      </w:r>
    </w:p>
    <w:p>
      <w:pPr>
        <w:spacing w:after="0" w:line="1" w:lineRule="exact"/>
        <w:rPr>
          <w:sz w:val="20"/>
          <w:szCs w:val="20"/>
          <w:color w:val="auto"/>
        </w:rPr>
      </w:pPr>
    </w:p>
    <w:p>
      <w:pPr>
        <w:ind w:right="859" w:hanging="299"/>
        <w:spacing w:after="0" w:line="278" w:lineRule="auto"/>
        <w:rPr>
          <w:sz w:val="20"/>
          <w:szCs w:val="20"/>
          <w:color w:val="auto"/>
        </w:rPr>
      </w:pPr>
      <w:r>
        <w:rPr>
          <w:rFonts w:ascii="Arial" w:cs="Arial" w:eastAsia="Arial" w:hAnsi="Arial"/>
          <w:sz w:val="11"/>
          <w:szCs w:val="11"/>
          <w:b w:val="1"/>
          <w:bCs w:val="1"/>
          <w:color w:val="auto"/>
        </w:rPr>
        <w:t xml:space="preserve">15.3 </w:t>
      </w:r>
      <w:r>
        <w:rPr>
          <w:rFonts w:ascii="Arial" w:cs="Arial" w:eastAsia="Arial" w:hAnsi="Arial"/>
          <w:sz w:val="11"/>
          <w:szCs w:val="11"/>
          <w:color w:val="auto"/>
        </w:rPr>
        <w:t>Sollte eine der Bestimmungen dieser Optionsbedingungen</w:t>
      </w:r>
      <w:r>
        <w:rPr>
          <w:rFonts w:ascii="Arial" w:cs="Arial" w:eastAsia="Arial" w:hAnsi="Arial"/>
          <w:sz w:val="11"/>
          <w:szCs w:val="11"/>
          <w:b w:val="1"/>
          <w:bCs w:val="1"/>
          <w:color w:val="auto"/>
        </w:rPr>
        <w:t xml:space="preserve"> </w:t>
      </w:r>
      <w:r>
        <w:rPr>
          <w:rFonts w:ascii="Arial" w:cs="Arial" w:eastAsia="Arial" w:hAnsi="Arial"/>
          <w:sz w:val="11"/>
          <w:szCs w:val="11"/>
          <w:color w:val="auto"/>
        </w:rPr>
        <w:t>unwirksam oder undurchführbar sein oder werden, so bleibt die Wirksamkeit oder die Durchführbarkeit der übrigen Bestimmungen davon unberührt. Eine durch die Unwirksamkeit oder Undurchführbarkeit einer Bestimmung entstehende Lücke sowie etwaige andere Lücken werden im Wege ergänzender Vertragsauslegung unter Berücksichtigung der Interessen der Beteiligten sinngemäß ausgefüllt. Dies gilt auch, soweit das Maß einer Leistung oder Zeit (Frist, Termine) betroffen ist; es tritt in solchen Fällen ein dem Gewollten möglichst nahe kommendes rechtlich zulässiges Maß der Leistung oder Zeit (Frist, Termin) an die Stelle des zunächst Vereinbarten.</w:t>
      </w:r>
    </w:p>
    <w:p>
      <w:pPr>
        <w:spacing w:after="0" w:line="42" w:lineRule="exact"/>
        <w:rPr>
          <w:sz w:val="20"/>
          <w:szCs w:val="20"/>
          <w:color w:val="auto"/>
        </w:rPr>
      </w:pPr>
    </w:p>
    <w:p>
      <w:pPr>
        <w:sectPr>
          <w:pgSz w:w="11900" w:h="16838" w:orient="portrait"/>
          <w:cols w:equalWidth="0" w:num="2">
            <w:col w:w="4360" w:space="720"/>
            <w:col w:w="3939"/>
          </w:cols>
          <w:pgMar w:left="1440" w:top="910" w:right="1440" w:bottom="1440" w:gutter="0" w:footer="0" w:header="0"/>
        </w:sectPr>
      </w:pPr>
    </w:p>
    <w:p>
      <w:pPr>
        <w:ind w:left="1140" w:hanging="299"/>
        <w:spacing w:after="0" w:line="283" w:lineRule="auto"/>
        <w:rPr>
          <w:sz w:val="20"/>
          <w:szCs w:val="20"/>
          <w:color w:val="auto"/>
        </w:rPr>
      </w:pPr>
      <w:r>
        <w:rPr>
          <w:rFonts w:ascii="Arial" w:cs="Arial" w:eastAsia="Arial" w:hAnsi="Arial"/>
          <w:sz w:val="12"/>
          <w:szCs w:val="12"/>
          <w:b w:val="1"/>
          <w:bCs w:val="1"/>
          <w:color w:val="auto"/>
        </w:rPr>
        <w:t xml:space="preserve">15.4 </w:t>
      </w:r>
      <w:r>
        <w:rPr>
          <w:rFonts w:ascii="Arial" w:cs="Arial" w:eastAsia="Arial" w:hAnsi="Arial"/>
          <w:sz w:val="12"/>
          <w:szCs w:val="12"/>
          <w:color w:val="auto"/>
        </w:rPr>
        <w:t>Headings are for guidance only and shall not be used in the</w:t>
      </w:r>
      <w:r>
        <w:rPr>
          <w:rFonts w:ascii="Arial" w:cs="Arial" w:eastAsia="Arial" w:hAnsi="Arial"/>
          <w:sz w:val="12"/>
          <w:szCs w:val="12"/>
          <w:b w:val="1"/>
          <w:bCs w:val="1"/>
          <w:color w:val="auto"/>
        </w:rPr>
        <w:t xml:space="preserve"> </w:t>
      </w:r>
      <w:r>
        <w:rPr>
          <w:rFonts w:ascii="Arial" w:cs="Arial" w:eastAsia="Arial" w:hAnsi="Arial"/>
          <w:sz w:val="12"/>
          <w:szCs w:val="12"/>
          <w:color w:val="auto"/>
        </w:rPr>
        <w:t>interpretation.</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15.5 </w:t>
      </w:r>
      <w:r>
        <w:rPr>
          <w:rFonts w:ascii="Arial" w:cs="Arial" w:eastAsia="Arial" w:hAnsi="Arial"/>
          <w:sz w:val="11"/>
          <w:szCs w:val="11"/>
          <w:color w:val="auto"/>
        </w:rPr>
        <w:t>The German wording of this option conditions is decisive.</w:t>
      </w:r>
    </w:p>
    <w:p>
      <w:pPr>
        <w:spacing w:after="0" w:line="31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Gilching, June 2021</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Mynaric AG – Supervisory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203835</wp:posOffset>
            </wp:positionV>
            <wp:extent cx="186309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30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Dr. Manfred Krischke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Chairman of the Supervisory Board -</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Aufsichtsratsvorsitzender</w:t>
      </w:r>
    </w:p>
    <w:p>
      <w:pPr>
        <w:spacing w:after="0" w:line="20" w:lineRule="exact"/>
        <w:rPr>
          <w:sz w:val="20"/>
          <w:szCs w:val="20"/>
          <w:color w:val="auto"/>
        </w:rPr>
      </w:pPr>
      <w:r>
        <w:rPr>
          <w:sz w:val="20"/>
          <w:szCs w:val="20"/>
          <w:color w:val="auto"/>
        </w:rPr>
        <w:br w:type="column"/>
      </w:r>
    </w:p>
    <w:p>
      <w:pPr>
        <w:ind w:left="840" w:right="859" w:hanging="299"/>
        <w:spacing w:after="0" w:line="283" w:lineRule="auto"/>
        <w:rPr>
          <w:sz w:val="20"/>
          <w:szCs w:val="20"/>
          <w:color w:val="auto"/>
        </w:rPr>
      </w:pPr>
      <w:r>
        <w:rPr>
          <w:rFonts w:ascii="Arial" w:cs="Arial" w:eastAsia="Arial" w:hAnsi="Arial"/>
          <w:sz w:val="12"/>
          <w:szCs w:val="12"/>
          <w:b w:val="1"/>
          <w:bCs w:val="1"/>
          <w:color w:val="auto"/>
        </w:rPr>
        <w:t xml:space="preserve">15.4 </w:t>
      </w:r>
      <w:r>
        <w:rPr>
          <w:rFonts w:ascii="Arial" w:cs="Arial" w:eastAsia="Arial" w:hAnsi="Arial"/>
          <w:sz w:val="12"/>
          <w:szCs w:val="12"/>
          <w:color w:val="auto"/>
        </w:rPr>
        <w:t>Überschriften dienen lediglich der Orientierung und sind bei der</w:t>
      </w:r>
      <w:r>
        <w:rPr>
          <w:rFonts w:ascii="Arial" w:cs="Arial" w:eastAsia="Arial" w:hAnsi="Arial"/>
          <w:sz w:val="12"/>
          <w:szCs w:val="12"/>
          <w:b w:val="1"/>
          <w:bCs w:val="1"/>
          <w:color w:val="auto"/>
        </w:rPr>
        <w:t xml:space="preserve"> </w:t>
      </w:r>
      <w:r>
        <w:rPr>
          <w:rFonts w:ascii="Arial" w:cs="Arial" w:eastAsia="Arial" w:hAnsi="Arial"/>
          <w:sz w:val="12"/>
          <w:szCs w:val="12"/>
          <w:color w:val="auto"/>
        </w:rPr>
        <w:t>Auslegung nicht heranzuziehen.</w:t>
      </w:r>
    </w:p>
    <w:p>
      <w:pPr>
        <w:spacing w:after="0" w:line="35" w:lineRule="exact"/>
        <w:rPr>
          <w:sz w:val="20"/>
          <w:szCs w:val="20"/>
          <w:color w:val="auto"/>
        </w:rPr>
      </w:pPr>
    </w:p>
    <w:p>
      <w:pPr>
        <w:ind w:left="840" w:right="1399" w:hanging="299"/>
        <w:spacing w:after="0" w:line="283" w:lineRule="auto"/>
        <w:rPr>
          <w:sz w:val="20"/>
          <w:szCs w:val="20"/>
          <w:color w:val="auto"/>
        </w:rPr>
      </w:pPr>
      <w:r>
        <w:rPr>
          <w:rFonts w:ascii="Arial" w:cs="Arial" w:eastAsia="Arial" w:hAnsi="Arial"/>
          <w:sz w:val="12"/>
          <w:szCs w:val="12"/>
          <w:b w:val="1"/>
          <w:bCs w:val="1"/>
          <w:color w:val="auto"/>
        </w:rPr>
        <w:t xml:space="preserve">15.5 </w:t>
      </w:r>
      <w:r>
        <w:rPr>
          <w:rFonts w:ascii="Arial" w:cs="Arial" w:eastAsia="Arial" w:hAnsi="Arial"/>
          <w:sz w:val="12"/>
          <w:szCs w:val="12"/>
          <w:color w:val="auto"/>
        </w:rPr>
        <w:t>Die deutsche Fassung dieser Optionsbedingungen ist</w:t>
      </w:r>
      <w:r>
        <w:rPr>
          <w:rFonts w:ascii="Arial" w:cs="Arial" w:eastAsia="Arial" w:hAnsi="Arial"/>
          <w:sz w:val="12"/>
          <w:szCs w:val="12"/>
          <w:b w:val="1"/>
          <w:bCs w:val="1"/>
          <w:color w:val="auto"/>
        </w:rPr>
        <w:t xml:space="preserve"> </w:t>
      </w:r>
      <w:r>
        <w:rPr>
          <w:rFonts w:ascii="Arial" w:cs="Arial" w:eastAsia="Arial" w:hAnsi="Arial"/>
          <w:sz w:val="12"/>
          <w:szCs w:val="12"/>
          <w:color w:val="auto"/>
        </w:rPr>
        <w:t>ausschlaggebend.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color w:val="auto"/>
        </w:rPr>
        <w:t>Page 18/18</w:t>
      </w:r>
    </w:p>
    <w:p>
      <w:pPr>
        <w:sectPr>
          <w:pgSz w:w="11900" w:h="16838" w:orient="portrait"/>
          <w:cols w:equalWidth="0" w:num="2">
            <w:col w:w="3960" w:space="280"/>
            <w:col w:w="4779"/>
          </w:cols>
          <w:pgMar w:left="1440" w:top="910" w:right="1440" w:bottom="1440" w:gutter="0" w:footer="0" w:header="0"/>
          <w:type w:val="continuous"/>
        </w:sectPr>
      </w:pPr>
    </w:p>
    <w:bookmarkStart w:id="335" w:name="page336"/>
    <w:bookmarkEnd w:id="335"/>
    <w:p>
      <w:pPr>
        <w:jc w:val="right"/>
        <w:ind w:right="839"/>
        <w:spacing w:after="0"/>
        <w:rPr>
          <w:sz w:val="20"/>
          <w:szCs w:val="20"/>
          <w:color w:val="auto"/>
        </w:rPr>
      </w:pPr>
      <w:r>
        <w:rPr>
          <w:rFonts w:ascii="Arial" w:cs="Arial" w:eastAsia="Arial" w:hAnsi="Arial"/>
          <w:sz w:val="12"/>
          <w:szCs w:val="1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114935</wp:posOffset>
            </wp:positionV>
            <wp:extent cx="771525" cy="7715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w:t>
      </w:r>
      <w:r>
        <w:rPr>
          <w:rFonts w:ascii="Arial" w:cs="Arial" w:eastAsia="Arial" w:hAnsi="Arial"/>
          <w:sz w:val="9"/>
          <w:szCs w:val="9"/>
          <w:b w:val="1"/>
          <w:bCs w:val="1"/>
          <w:color w:val="auto"/>
        </w:rPr>
        <w:t>ESTRICTED</w:t>
      </w:r>
      <w:r>
        <w:rPr>
          <w:rFonts w:ascii="Arial" w:cs="Arial" w:eastAsia="Arial" w:hAnsi="Arial"/>
          <w:sz w:val="12"/>
          <w:szCs w:val="12"/>
          <w:b w:val="1"/>
          <w:bCs w:val="1"/>
          <w:color w:val="auto"/>
        </w:rPr>
        <w:t xml:space="preserve"> S</w:t>
      </w:r>
      <w:r>
        <w:rPr>
          <w:rFonts w:ascii="Arial" w:cs="Arial" w:eastAsia="Arial" w:hAnsi="Arial"/>
          <w:sz w:val="9"/>
          <w:szCs w:val="9"/>
          <w:b w:val="1"/>
          <w:bCs w:val="1"/>
          <w:color w:val="auto"/>
        </w:rPr>
        <w:t>TOCK</w:t>
      </w:r>
      <w:r>
        <w:rPr>
          <w:rFonts w:ascii="Arial" w:cs="Arial" w:eastAsia="Arial" w:hAnsi="Arial"/>
          <w:sz w:val="12"/>
          <w:szCs w:val="12"/>
          <w:b w:val="1"/>
          <w:bCs w:val="1"/>
          <w:color w:val="auto"/>
        </w:rPr>
        <w:t xml:space="preserve"> U</w:t>
      </w:r>
      <w:r>
        <w:rPr>
          <w:rFonts w:ascii="Arial" w:cs="Arial" w:eastAsia="Arial" w:hAnsi="Arial"/>
          <w:sz w:val="9"/>
          <w:szCs w:val="9"/>
          <w:b w:val="1"/>
          <w:bCs w:val="1"/>
          <w:color w:val="auto"/>
        </w:rPr>
        <w:t>NIT</w:t>
      </w:r>
      <w:r>
        <w:rPr>
          <w:rFonts w:ascii="Arial" w:cs="Arial" w:eastAsia="Arial" w:hAnsi="Arial"/>
          <w:sz w:val="12"/>
          <w:szCs w:val="12"/>
          <w:b w:val="1"/>
          <w:bCs w:val="1"/>
          <w:color w:val="auto"/>
        </w:rPr>
        <w:t xml:space="preserve"> P</w:t>
      </w:r>
      <w:r>
        <w:rPr>
          <w:rFonts w:ascii="Arial" w:cs="Arial" w:eastAsia="Arial" w:hAnsi="Arial"/>
          <w:sz w:val="9"/>
          <w:szCs w:val="9"/>
          <w:b w:val="1"/>
          <w:bCs w:val="1"/>
          <w:color w:val="auto"/>
        </w:rPr>
        <w:t>ROGRAM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Terms and Conditions –</w:t>
      </w:r>
    </w:p>
    <w:p>
      <w:pPr>
        <w:sectPr>
          <w:pgSz w:w="11900" w:h="16838" w:orient="portrait"/>
          <w:cols w:equalWidth="0" w:num="1">
            <w:col w:w="9019"/>
          </w:cols>
          <w:pgMar w:left="1440" w:top="127" w:right="1440" w:bottom="1440" w:gutter="0" w:footer="0" w:header="0"/>
        </w:sectPr>
      </w:pPr>
    </w:p>
    <w:bookmarkStart w:id="336" w:name="page337"/>
    <w:bookmarkEnd w:id="336"/>
    <w:tbl>
      <w:tblPr>
        <w:tblLayout w:type="fixed"/>
        <w:tblInd w:w="840" w:type="dxa"/>
        <w:tblCellMar>
          <w:top w:w="0" w:type="dxa"/>
          <w:left w:w="0" w:type="dxa"/>
          <w:bottom w:w="0" w:type="dxa"/>
          <w:right w:w="0" w:type="dxa"/>
        </w:tblCellMar>
      </w:tblPr>
      <w:tr>
        <w:trPr>
          <w:trHeight w:val="157"/>
        </w:trPr>
        <w:tc>
          <w:tcPr>
            <w:tcW w:w="6680" w:type="dxa"/>
            <w:vAlign w:val="bottom"/>
          </w:tcPr>
          <w:p>
            <w:pPr>
              <w:ind w:left="3060"/>
              <w:spacing w:after="0"/>
              <w:rPr>
                <w:sz w:val="20"/>
                <w:szCs w:val="20"/>
                <w:color w:val="auto"/>
              </w:rPr>
            </w:pPr>
            <w:r>
              <w:rPr>
                <w:rFonts w:ascii="Arial" w:cs="Arial" w:eastAsia="Arial" w:hAnsi="Arial"/>
                <w:sz w:val="12"/>
                <w:szCs w:val="12"/>
                <w:b w:val="1"/>
                <w:bCs w:val="1"/>
                <w:color w:val="auto"/>
              </w:rPr>
              <w:t>TABLE OF CONTENT</w:t>
            </w:r>
          </w:p>
        </w:tc>
        <w:tc>
          <w:tcPr>
            <w:tcW w:w="620" w:type="dxa"/>
            <w:vAlign w:val="bottom"/>
          </w:tcPr>
          <w:p>
            <w:pPr>
              <w:spacing w:after="0"/>
              <w:rPr>
                <w:sz w:val="13"/>
                <w:szCs w:val="13"/>
                <w:color w:val="auto"/>
              </w:rPr>
            </w:pPr>
          </w:p>
        </w:tc>
      </w:tr>
      <w:tr>
        <w:trPr>
          <w:trHeight w:val="297"/>
        </w:trPr>
        <w:tc>
          <w:tcPr>
            <w:tcW w:w="6680" w:type="dxa"/>
            <w:vAlign w:val="bottom"/>
          </w:tcPr>
          <w:p>
            <w:pPr>
              <w:spacing w:after="0"/>
              <w:rPr>
                <w:sz w:val="20"/>
                <w:szCs w:val="20"/>
                <w:color w:val="auto"/>
              </w:rPr>
            </w:pPr>
            <w:r>
              <w:rPr>
                <w:rFonts w:ascii="Arial" w:cs="Arial" w:eastAsia="Arial" w:hAnsi="Arial"/>
                <w:sz w:val="12"/>
                <w:szCs w:val="12"/>
                <w:color w:val="auto"/>
              </w:rPr>
              <w:t>TABLE OF CONTENT</w:t>
            </w:r>
          </w:p>
        </w:tc>
        <w:tc>
          <w:tcPr>
            <w:tcW w:w="6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DEFINITIONS</w:t>
            </w:r>
          </w:p>
        </w:tc>
        <w:tc>
          <w:tcPr>
            <w:tcW w:w="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RECITALS</w:t>
            </w:r>
          </w:p>
        </w:tc>
        <w:tc>
          <w:tcPr>
            <w:tcW w:w="6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1 ELIGIBILITY</w:t>
            </w:r>
          </w:p>
        </w:tc>
        <w:tc>
          <w:tcPr>
            <w:tcW w:w="6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2 PLAN VOLUME AND GRANT OF RSUs</w:t>
            </w:r>
          </w:p>
        </w:tc>
        <w:tc>
          <w:tcPr>
            <w:tcW w:w="6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3 VESTING</w:t>
            </w:r>
          </w:p>
        </w:tc>
        <w:tc>
          <w:tcPr>
            <w:tcW w:w="6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4 CONSEQUENCES OF A TERMINATION OF EMPLOYMENT</w:t>
            </w:r>
          </w:p>
        </w:tc>
        <w:tc>
          <w:tcPr>
            <w:tcW w:w="62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5 CASH PAYMENT CLAIM RESULTING FROM RSUs AND SETTLEMENT OF RSUs, CASHLESS EXERCISE OPTION</w:t>
            </w:r>
          </w:p>
        </w:tc>
        <w:tc>
          <w:tcPr>
            <w:tcW w:w="6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6 TRANSFERABILlTY</w:t>
            </w:r>
          </w:p>
        </w:tc>
        <w:tc>
          <w:tcPr>
            <w:tcW w:w="62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7 ADJUSTMENT IN CASE OF SPECIFIC CAPITAL AND OTHER STRUCTURAL MEASURES</w:t>
            </w:r>
          </w:p>
        </w:tc>
        <w:tc>
          <w:tcPr>
            <w:tcW w:w="62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8 EXTRAORDINARY DEVELOPMENTS</w:t>
            </w:r>
          </w:p>
        </w:tc>
        <w:tc>
          <w:tcPr>
            <w:tcW w:w="62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9 INSIDER TRADING AND BLACK-OUT PERIODS</w:t>
            </w:r>
          </w:p>
        </w:tc>
        <w:tc>
          <w:tcPr>
            <w:tcW w:w="62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10 LIMITATION OF LIABILITY</w:t>
            </w:r>
          </w:p>
        </w:tc>
        <w:tc>
          <w:tcPr>
            <w:tcW w:w="62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11 TAXES, SOCIAL SECURITY AND COSTS</w:t>
            </w:r>
          </w:p>
        </w:tc>
        <w:tc>
          <w:tcPr>
            <w:tcW w:w="6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12 FORM REQUIREMENTS</w:t>
            </w:r>
          </w:p>
        </w:tc>
        <w:tc>
          <w:tcPr>
            <w:tcW w:w="62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13 PROCESSING OF PERSONAL DATA</w:t>
            </w:r>
          </w:p>
        </w:tc>
        <w:tc>
          <w:tcPr>
            <w:tcW w:w="62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 14 GOVERNING LAW AND JURISDICTION</w:t>
            </w:r>
          </w:p>
        </w:tc>
        <w:tc>
          <w:tcPr>
            <w:tcW w:w="62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 15 FINAL PROVISIONS</w:t>
            </w:r>
          </w:p>
        </w:tc>
        <w:tc>
          <w:tcPr>
            <w:tcW w:w="620" w:type="dxa"/>
            <w:vAlign w:val="bottom"/>
          </w:tcPr>
          <w:p>
            <w:pPr>
              <w:jc w:val="right"/>
              <w:spacing w:after="0"/>
              <w:rPr>
                <w:sz w:val="20"/>
                <w:szCs w:val="20"/>
                <w:color w:val="auto"/>
              </w:rPr>
            </w:pPr>
            <w:r>
              <w:rPr>
                <w:rFonts w:ascii="Arial" w:cs="Arial" w:eastAsia="Arial" w:hAnsi="Arial"/>
                <w:sz w:val="12"/>
                <w:szCs w:val="12"/>
                <w:color w:val="auto"/>
              </w:rPr>
              <w:t>19</w:t>
            </w:r>
          </w:p>
        </w:tc>
      </w:tr>
    </w:tbl>
    <w:p>
      <w:pPr>
        <w:jc w:val="right"/>
        <w:spacing w:after="0"/>
        <w:rPr>
          <w:sz w:val="20"/>
          <w:szCs w:val="20"/>
          <w:color w:val="auto"/>
        </w:rPr>
        <w:sectPr>
          <w:pgSz w:w="11900" w:h="16838" w:orient="portrait"/>
          <w:cols w:equalWidth="0" w:num="1">
            <w:col w:w="9019"/>
          </w:cols>
          <w:pgMar w:left="1440" w:top="226"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337" w:name="page338"/>
    <w:bookmarkEnd w:id="337"/>
    <w:tbl>
      <w:tblPr>
        <w:tblLayout w:type="fixed"/>
        <w:tblInd w:w="840" w:type="dxa"/>
        <w:tblCellMar>
          <w:top w:w="0" w:type="dxa"/>
          <w:left w:w="0" w:type="dxa"/>
          <w:bottom w:w="0" w:type="dxa"/>
          <w:right w:w="0" w:type="dxa"/>
        </w:tblCellMar>
      </w:tblPr>
      <w:tr>
        <w:trPr>
          <w:trHeight w:val="157"/>
        </w:trPr>
        <w:tc>
          <w:tcPr>
            <w:tcW w:w="2560" w:type="dxa"/>
            <w:vAlign w:val="bottom"/>
          </w:tcPr>
          <w:p>
            <w:pPr>
              <w:spacing w:after="0"/>
              <w:rPr>
                <w:sz w:val="13"/>
                <w:szCs w:val="13"/>
                <w:color w:val="auto"/>
              </w:rPr>
            </w:pPr>
          </w:p>
        </w:tc>
        <w:tc>
          <w:tcPr>
            <w:tcW w:w="3720" w:type="dxa"/>
            <w:vAlign w:val="bottom"/>
            <w:gridSpan w:val="2"/>
          </w:tcPr>
          <w:p>
            <w:pPr>
              <w:ind w:left="700"/>
              <w:spacing w:after="0"/>
              <w:rPr>
                <w:sz w:val="20"/>
                <w:szCs w:val="20"/>
                <w:color w:val="auto"/>
              </w:rPr>
            </w:pPr>
            <w:r>
              <w:rPr>
                <w:rFonts w:ascii="Arial" w:cs="Arial" w:eastAsia="Arial" w:hAnsi="Arial"/>
                <w:sz w:val="12"/>
                <w:szCs w:val="12"/>
                <w:b w:val="1"/>
                <w:bCs w:val="1"/>
                <w:color w:val="auto"/>
              </w:rPr>
              <w:t>DEFINITIONS</w:t>
            </w:r>
          </w:p>
        </w:tc>
        <w:tc>
          <w:tcPr>
            <w:tcW w:w="1020" w:type="dxa"/>
            <w:vAlign w:val="bottom"/>
          </w:tcPr>
          <w:p>
            <w:pPr>
              <w:spacing w:after="0"/>
              <w:rPr>
                <w:sz w:val="13"/>
                <w:szCs w:val="13"/>
                <w:color w:val="auto"/>
              </w:rPr>
            </w:pPr>
          </w:p>
        </w:tc>
      </w:tr>
      <w:tr>
        <w:trPr>
          <w:trHeight w:val="333"/>
        </w:trPr>
        <w:tc>
          <w:tcPr>
            <w:tcW w:w="2560" w:type="dxa"/>
            <w:vAlign w:val="bottom"/>
          </w:tcPr>
          <w:p>
            <w:pPr>
              <w:spacing w:after="0"/>
              <w:rPr>
                <w:sz w:val="20"/>
                <w:szCs w:val="20"/>
                <w:color w:val="auto"/>
              </w:rPr>
            </w:pPr>
            <w:r>
              <w:rPr>
                <w:rFonts w:ascii="Arial" w:cs="Arial" w:eastAsia="Arial" w:hAnsi="Arial"/>
                <w:sz w:val="12"/>
                <w:szCs w:val="12"/>
                <w:color w:val="auto"/>
              </w:rPr>
              <w:t>Adjustment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2680" w:type="dxa"/>
            <w:vAlign w:val="bottom"/>
          </w:tcPr>
          <w:p>
            <w:pPr>
              <w:ind w:left="140"/>
              <w:spacing w:after="0"/>
              <w:rPr>
                <w:sz w:val="20"/>
                <w:szCs w:val="20"/>
                <w:color w:val="auto"/>
              </w:rPr>
            </w:pPr>
            <w:r>
              <w:rPr>
                <w:rFonts w:ascii="Arial" w:cs="Arial" w:eastAsia="Arial" w:hAnsi="Arial"/>
                <w:sz w:val="12"/>
                <w:szCs w:val="12"/>
                <w:color w:val="auto"/>
              </w:rPr>
              <w:t>Grant Date</w:t>
            </w: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Adjustment Event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2680" w:type="dxa"/>
            <w:vAlign w:val="bottom"/>
          </w:tcPr>
          <w:p>
            <w:pPr>
              <w:ind w:left="140"/>
              <w:spacing w:after="0"/>
              <w:rPr>
                <w:sz w:val="20"/>
                <w:szCs w:val="20"/>
                <w:color w:val="auto"/>
              </w:rPr>
            </w:pPr>
            <w:r>
              <w:rPr>
                <w:rFonts w:ascii="Arial" w:cs="Arial" w:eastAsia="Arial" w:hAnsi="Arial"/>
                <w:sz w:val="12"/>
                <w:szCs w:val="12"/>
                <w:color w:val="auto"/>
              </w:rPr>
              <w:t>Initial Number of RSUs</w:t>
            </w:r>
          </w:p>
        </w:tc>
        <w:tc>
          <w:tcPr>
            <w:tcW w:w="10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Affiliated Companies</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2680" w:type="dxa"/>
            <w:vAlign w:val="bottom"/>
          </w:tcPr>
          <w:p>
            <w:pPr>
              <w:ind w:left="140"/>
              <w:spacing w:after="0"/>
              <w:rPr>
                <w:sz w:val="20"/>
                <w:szCs w:val="20"/>
                <w:color w:val="auto"/>
              </w:rPr>
            </w:pPr>
            <w:r>
              <w:rPr>
                <w:rFonts w:ascii="Arial" w:cs="Arial" w:eastAsia="Arial" w:hAnsi="Arial"/>
                <w:sz w:val="12"/>
                <w:szCs w:val="12"/>
                <w:color w:val="auto"/>
              </w:rPr>
              <w:t>Insider Trading Rules</w:t>
            </w:r>
          </w:p>
        </w:tc>
        <w:tc>
          <w:tcPr>
            <w:tcW w:w="102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Affiliated Companies’ Employees</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2680" w:type="dxa"/>
            <w:vAlign w:val="bottom"/>
          </w:tcPr>
          <w:p>
            <w:pPr>
              <w:ind w:left="140"/>
              <w:spacing w:after="0"/>
              <w:rPr>
                <w:sz w:val="20"/>
                <w:szCs w:val="20"/>
                <w:color w:val="auto"/>
              </w:rPr>
            </w:pPr>
            <w:r>
              <w:rPr>
                <w:rFonts w:ascii="Arial" w:cs="Arial" w:eastAsia="Arial" w:hAnsi="Arial"/>
                <w:sz w:val="12"/>
                <w:szCs w:val="12"/>
                <w:color w:val="auto"/>
              </w:rPr>
              <w:t>Managing Director</w:t>
            </w:r>
          </w:p>
        </w:tc>
        <w:tc>
          <w:tcPr>
            <w:tcW w:w="10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AktG</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2680" w:type="dxa"/>
            <w:vAlign w:val="bottom"/>
          </w:tcPr>
          <w:p>
            <w:pPr>
              <w:ind w:left="140"/>
              <w:spacing w:after="0"/>
              <w:rPr>
                <w:sz w:val="20"/>
                <w:szCs w:val="20"/>
                <w:color w:val="auto"/>
              </w:rPr>
            </w:pPr>
            <w:r>
              <w:rPr>
                <w:rFonts w:ascii="Arial" w:cs="Arial" w:eastAsia="Arial" w:hAnsi="Arial"/>
                <w:sz w:val="12"/>
                <w:szCs w:val="12"/>
                <w:color w:val="auto"/>
              </w:rPr>
              <w:t>MAR</w:t>
            </w:r>
          </w:p>
        </w:tc>
        <w:tc>
          <w:tcPr>
            <w:tcW w:w="102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Authorized Capital 2021/II</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2680" w:type="dxa"/>
            <w:vAlign w:val="bottom"/>
          </w:tcPr>
          <w:p>
            <w:pPr>
              <w:ind w:left="140"/>
              <w:spacing w:after="0"/>
              <w:rPr>
                <w:sz w:val="20"/>
                <w:szCs w:val="20"/>
                <w:color w:val="auto"/>
              </w:rPr>
            </w:pPr>
            <w:r>
              <w:rPr>
                <w:rFonts w:ascii="Arial" w:cs="Arial" w:eastAsia="Arial" w:hAnsi="Arial"/>
                <w:sz w:val="12"/>
                <w:szCs w:val="12"/>
                <w:color w:val="auto"/>
              </w:rPr>
              <w:t>Mynaric</w:t>
            </w:r>
          </w:p>
        </w:tc>
        <w:tc>
          <w:tcPr>
            <w:tcW w:w="10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Bad Leaver</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9</w:t>
            </w:r>
          </w:p>
        </w:tc>
        <w:tc>
          <w:tcPr>
            <w:tcW w:w="2680" w:type="dxa"/>
            <w:vAlign w:val="bottom"/>
          </w:tcPr>
          <w:p>
            <w:pPr>
              <w:ind w:left="140"/>
              <w:spacing w:after="0"/>
              <w:rPr>
                <w:sz w:val="20"/>
                <w:szCs w:val="20"/>
                <w:color w:val="auto"/>
              </w:rPr>
            </w:pPr>
            <w:r>
              <w:rPr>
                <w:rFonts w:ascii="Arial" w:cs="Arial" w:eastAsia="Arial" w:hAnsi="Arial"/>
                <w:sz w:val="12"/>
                <w:szCs w:val="12"/>
                <w:color w:val="auto"/>
              </w:rPr>
              <w:t>Notices</w:t>
            </w:r>
          </w:p>
        </w:tc>
        <w:tc>
          <w:tcPr>
            <w:tcW w:w="10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Beneficiaries</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2680" w:type="dxa"/>
            <w:vAlign w:val="bottom"/>
          </w:tcPr>
          <w:p>
            <w:pPr>
              <w:ind w:left="140"/>
              <w:spacing w:after="0"/>
              <w:rPr>
                <w:sz w:val="20"/>
                <w:szCs w:val="20"/>
                <w:color w:val="auto"/>
              </w:rPr>
            </w:pPr>
            <w:r>
              <w:rPr>
                <w:rFonts w:ascii="Arial" w:cs="Arial" w:eastAsia="Arial" w:hAnsi="Arial"/>
                <w:sz w:val="12"/>
                <w:szCs w:val="12"/>
                <w:color w:val="auto"/>
              </w:rPr>
              <w:t>Primary Stock Exchange</w:t>
            </w:r>
          </w:p>
        </w:tc>
        <w:tc>
          <w:tcPr>
            <w:tcW w:w="102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Beneficiary</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2680" w:type="dxa"/>
            <w:vAlign w:val="bottom"/>
          </w:tcPr>
          <w:p>
            <w:pPr>
              <w:ind w:left="140"/>
              <w:spacing w:after="0"/>
              <w:rPr>
                <w:sz w:val="20"/>
                <w:szCs w:val="20"/>
                <w:color w:val="auto"/>
              </w:rPr>
            </w:pPr>
            <w:r>
              <w:rPr>
                <w:rFonts w:ascii="Arial" w:cs="Arial" w:eastAsia="Arial" w:hAnsi="Arial"/>
                <w:sz w:val="12"/>
                <w:szCs w:val="12"/>
                <w:color w:val="auto"/>
              </w:rPr>
              <w:t>Relevant Closing Price</w:t>
            </w:r>
          </w:p>
        </w:tc>
        <w:tc>
          <w:tcPr>
            <w:tcW w:w="10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Black-Out Periods</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15</w:t>
            </w:r>
          </w:p>
        </w:tc>
        <w:tc>
          <w:tcPr>
            <w:tcW w:w="2680" w:type="dxa"/>
            <w:vAlign w:val="bottom"/>
          </w:tcPr>
          <w:p>
            <w:pPr>
              <w:ind w:left="140"/>
              <w:spacing w:after="0"/>
              <w:rPr>
                <w:sz w:val="20"/>
                <w:szCs w:val="20"/>
                <w:color w:val="auto"/>
              </w:rPr>
            </w:pPr>
            <w:r>
              <w:rPr>
                <w:rFonts w:ascii="Arial" w:cs="Arial" w:eastAsia="Arial" w:hAnsi="Arial"/>
                <w:sz w:val="12"/>
                <w:szCs w:val="12"/>
                <w:color w:val="auto"/>
              </w:rPr>
              <w:t>RSU</w:t>
            </w:r>
          </w:p>
        </w:tc>
        <w:tc>
          <w:tcPr>
            <w:tcW w:w="10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Capital Increase Resolution Date</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2680" w:type="dxa"/>
            <w:vAlign w:val="bottom"/>
          </w:tcPr>
          <w:p>
            <w:pPr>
              <w:ind w:left="140"/>
              <w:spacing w:after="0"/>
              <w:rPr>
                <w:sz w:val="20"/>
                <w:szCs w:val="20"/>
                <w:color w:val="auto"/>
              </w:rPr>
            </w:pPr>
            <w:r>
              <w:rPr>
                <w:rFonts w:ascii="Arial" w:cs="Arial" w:eastAsia="Arial" w:hAnsi="Arial"/>
                <w:sz w:val="12"/>
                <w:szCs w:val="12"/>
                <w:color w:val="auto"/>
              </w:rPr>
              <w:t>RSUP</w:t>
            </w:r>
          </w:p>
        </w:tc>
        <w:tc>
          <w:tcPr>
            <w:tcW w:w="10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Cash Payment Claim</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9</w:t>
            </w:r>
          </w:p>
        </w:tc>
        <w:tc>
          <w:tcPr>
            <w:tcW w:w="2680" w:type="dxa"/>
            <w:vAlign w:val="bottom"/>
          </w:tcPr>
          <w:p>
            <w:pPr>
              <w:ind w:left="140"/>
              <w:spacing w:after="0"/>
              <w:rPr>
                <w:sz w:val="20"/>
                <w:szCs w:val="20"/>
                <w:color w:val="auto"/>
              </w:rPr>
            </w:pPr>
            <w:r>
              <w:rPr>
                <w:rFonts w:ascii="Arial" w:cs="Arial" w:eastAsia="Arial" w:hAnsi="Arial"/>
                <w:sz w:val="12"/>
                <w:szCs w:val="12"/>
                <w:color w:val="auto"/>
              </w:rPr>
              <w:t>RSUP Resolution</w:t>
            </w:r>
          </w:p>
        </w:tc>
        <w:tc>
          <w:tcPr>
            <w:tcW w:w="10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Cash Settlement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2680" w:type="dxa"/>
            <w:vAlign w:val="bottom"/>
          </w:tcPr>
          <w:p>
            <w:pPr>
              <w:ind w:left="140"/>
              <w:spacing w:after="0"/>
              <w:rPr>
                <w:sz w:val="20"/>
                <w:szCs w:val="20"/>
                <w:color w:val="auto"/>
              </w:rPr>
            </w:pPr>
            <w:r>
              <w:rPr>
                <w:rFonts w:ascii="Arial" w:cs="Arial" w:eastAsia="Arial" w:hAnsi="Arial"/>
                <w:sz w:val="12"/>
                <w:szCs w:val="12"/>
                <w:color w:val="auto"/>
              </w:rPr>
              <w:t>RSUP Terms &amp; Conditions</w:t>
            </w:r>
          </w:p>
        </w:tc>
        <w:tc>
          <w:tcPr>
            <w:tcW w:w="10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Cash Settlement Closing Price</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2680" w:type="dxa"/>
            <w:vAlign w:val="bottom"/>
          </w:tcPr>
          <w:p>
            <w:pPr>
              <w:ind w:left="140"/>
              <w:spacing w:after="0"/>
              <w:rPr>
                <w:sz w:val="20"/>
                <w:szCs w:val="20"/>
                <w:color w:val="auto"/>
              </w:rPr>
            </w:pPr>
            <w:r>
              <w:rPr>
                <w:rFonts w:ascii="Arial" w:cs="Arial" w:eastAsia="Arial" w:hAnsi="Arial"/>
                <w:sz w:val="12"/>
                <w:szCs w:val="12"/>
                <w:color w:val="auto"/>
              </w:rPr>
              <w:t>RSUs</w:t>
            </w:r>
          </w:p>
        </w:tc>
        <w:tc>
          <w:tcPr>
            <w:tcW w:w="10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Cash Settlement Date</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2680" w:type="dxa"/>
            <w:vAlign w:val="bottom"/>
          </w:tcPr>
          <w:p>
            <w:pPr>
              <w:ind w:left="140"/>
              <w:spacing w:after="0"/>
              <w:rPr>
                <w:sz w:val="20"/>
                <w:szCs w:val="20"/>
                <w:color w:val="auto"/>
              </w:rPr>
            </w:pPr>
            <w:r>
              <w:rPr>
                <w:rFonts w:ascii="Arial" w:cs="Arial" w:eastAsia="Arial" w:hAnsi="Arial"/>
                <w:sz w:val="12"/>
                <w:szCs w:val="12"/>
                <w:color w:val="auto"/>
              </w:rPr>
              <w:t>Service Provider</w:t>
            </w:r>
          </w:p>
        </w:tc>
        <w:tc>
          <w:tcPr>
            <w:tcW w:w="10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Cashless Exercise Option</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2680" w:type="dxa"/>
            <w:vAlign w:val="bottom"/>
          </w:tcPr>
          <w:p>
            <w:pPr>
              <w:ind w:left="140"/>
              <w:spacing w:after="0"/>
              <w:rPr>
                <w:sz w:val="20"/>
                <w:szCs w:val="20"/>
                <w:color w:val="auto"/>
              </w:rPr>
            </w:pPr>
            <w:r>
              <w:rPr>
                <w:rFonts w:ascii="Arial" w:cs="Arial" w:eastAsia="Arial" w:hAnsi="Arial"/>
                <w:sz w:val="12"/>
                <w:szCs w:val="12"/>
                <w:color w:val="auto"/>
              </w:rPr>
              <w:t>Share Settlement</w:t>
            </w:r>
          </w:p>
        </w:tc>
        <w:tc>
          <w:tcPr>
            <w:tcW w:w="10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Cliff Period</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7</w:t>
            </w:r>
          </w:p>
        </w:tc>
        <w:tc>
          <w:tcPr>
            <w:tcW w:w="2680" w:type="dxa"/>
            <w:vAlign w:val="bottom"/>
          </w:tcPr>
          <w:p>
            <w:pPr>
              <w:ind w:left="140"/>
              <w:spacing w:after="0"/>
              <w:rPr>
                <w:sz w:val="20"/>
                <w:szCs w:val="20"/>
                <w:color w:val="auto"/>
              </w:rPr>
            </w:pPr>
            <w:r>
              <w:rPr>
                <w:rFonts w:ascii="Arial" w:cs="Arial" w:eastAsia="Arial" w:hAnsi="Arial"/>
                <w:sz w:val="12"/>
                <w:szCs w:val="12"/>
                <w:color w:val="auto"/>
              </w:rPr>
              <w:t>Share Settlement Closing Price</w:t>
            </w:r>
          </w:p>
        </w:tc>
        <w:tc>
          <w:tcPr>
            <w:tcW w:w="10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Closed Period</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2680" w:type="dxa"/>
            <w:vAlign w:val="bottom"/>
          </w:tcPr>
          <w:p>
            <w:pPr>
              <w:ind w:left="140"/>
              <w:spacing w:after="0"/>
              <w:rPr>
                <w:sz w:val="20"/>
                <w:szCs w:val="20"/>
                <w:color w:val="auto"/>
              </w:rPr>
            </w:pPr>
            <w:r>
              <w:rPr>
                <w:rFonts w:ascii="Arial" w:cs="Arial" w:eastAsia="Arial" w:hAnsi="Arial"/>
                <w:sz w:val="12"/>
                <w:szCs w:val="12"/>
                <w:color w:val="auto"/>
              </w:rPr>
              <w:t>Share Settlement Date</w:t>
            </w:r>
          </w:p>
        </w:tc>
        <w:tc>
          <w:tcPr>
            <w:tcW w:w="10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Company</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2680" w:type="dxa"/>
            <w:vAlign w:val="bottom"/>
          </w:tcPr>
          <w:p>
            <w:pPr>
              <w:ind w:left="140"/>
              <w:spacing w:after="0"/>
              <w:rPr>
                <w:sz w:val="20"/>
                <w:szCs w:val="20"/>
                <w:color w:val="auto"/>
              </w:rPr>
            </w:pPr>
            <w:r>
              <w:rPr>
                <w:rFonts w:ascii="Arial" w:cs="Arial" w:eastAsia="Arial" w:hAnsi="Arial"/>
                <w:sz w:val="12"/>
                <w:szCs w:val="12"/>
                <w:color w:val="auto"/>
              </w:rPr>
              <w:t>Shares</w:t>
            </w:r>
          </w:p>
        </w:tc>
        <w:tc>
          <w:tcPr>
            <w:tcW w:w="10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Employees</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2680" w:type="dxa"/>
            <w:vAlign w:val="bottom"/>
          </w:tcPr>
          <w:p>
            <w:pPr>
              <w:ind w:left="140"/>
              <w:spacing w:after="0"/>
              <w:rPr>
                <w:sz w:val="20"/>
                <w:szCs w:val="20"/>
                <w:color w:val="auto"/>
              </w:rPr>
            </w:pPr>
            <w:r>
              <w:rPr>
                <w:rFonts w:ascii="Arial" w:cs="Arial" w:eastAsia="Arial" w:hAnsi="Arial"/>
                <w:sz w:val="12"/>
                <w:szCs w:val="12"/>
                <w:color w:val="auto"/>
              </w:rPr>
              <w:t>Six-week Period</w:t>
            </w: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Extraordinary Events or Developments</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2680" w:type="dxa"/>
            <w:vAlign w:val="bottom"/>
          </w:tcPr>
          <w:p>
            <w:pPr>
              <w:ind w:left="140"/>
              <w:spacing w:after="0"/>
              <w:rPr>
                <w:sz w:val="20"/>
                <w:szCs w:val="20"/>
                <w:color w:val="auto"/>
              </w:rPr>
            </w:pPr>
            <w:r>
              <w:rPr>
                <w:rFonts w:ascii="Arial" w:cs="Arial" w:eastAsia="Arial" w:hAnsi="Arial"/>
                <w:sz w:val="12"/>
                <w:szCs w:val="12"/>
                <w:color w:val="auto"/>
              </w:rPr>
              <w:t>Temporary Exemption from Work</w:t>
            </w: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Good Leaver</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9</w:t>
            </w:r>
          </w:p>
        </w:tc>
        <w:tc>
          <w:tcPr>
            <w:tcW w:w="2680" w:type="dxa"/>
            <w:vAlign w:val="bottom"/>
          </w:tcPr>
          <w:p>
            <w:pPr>
              <w:ind w:left="140"/>
              <w:spacing w:after="0"/>
              <w:rPr>
                <w:sz w:val="20"/>
                <w:szCs w:val="20"/>
                <w:color w:val="auto"/>
              </w:rPr>
            </w:pPr>
            <w:r>
              <w:rPr>
                <w:rFonts w:ascii="Arial" w:cs="Arial" w:eastAsia="Arial" w:hAnsi="Arial"/>
                <w:sz w:val="12"/>
                <w:szCs w:val="12"/>
                <w:color w:val="auto"/>
              </w:rPr>
              <w:t>Transaction</w:t>
            </w:r>
          </w:p>
        </w:tc>
        <w:tc>
          <w:tcPr>
            <w:tcW w:w="102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Grant Agreement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2680" w:type="dxa"/>
            <w:vAlign w:val="bottom"/>
          </w:tcPr>
          <w:p>
            <w:pPr>
              <w:ind w:left="140"/>
              <w:spacing w:after="0"/>
              <w:rPr>
                <w:sz w:val="20"/>
                <w:szCs w:val="20"/>
                <w:color w:val="auto"/>
              </w:rPr>
            </w:pPr>
            <w:r>
              <w:rPr>
                <w:rFonts w:ascii="Arial" w:cs="Arial" w:eastAsia="Arial" w:hAnsi="Arial"/>
                <w:sz w:val="12"/>
                <w:szCs w:val="12"/>
                <w:color w:val="auto"/>
              </w:rPr>
              <w:t>US-Beneficiary</w:t>
            </w:r>
          </w:p>
        </w:tc>
        <w:tc>
          <w:tcPr>
            <w:tcW w:w="102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Grant Amount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2680" w:type="dxa"/>
            <w:vAlign w:val="bottom"/>
          </w:tcPr>
          <w:p>
            <w:pPr>
              <w:ind w:left="140"/>
              <w:spacing w:after="0"/>
              <w:rPr>
                <w:sz w:val="20"/>
                <w:szCs w:val="20"/>
                <w:color w:val="auto"/>
              </w:rPr>
            </w:pPr>
            <w:r>
              <w:rPr>
                <w:rFonts w:ascii="Arial" w:cs="Arial" w:eastAsia="Arial" w:hAnsi="Arial"/>
                <w:sz w:val="12"/>
                <w:szCs w:val="12"/>
                <w:color w:val="auto"/>
              </w:rPr>
              <w:t>Vested RSUs</w:t>
            </w: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2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80" w:type="dxa"/>
            <w:vAlign w:val="bottom"/>
          </w:tcPr>
          <w:p>
            <w:pPr>
              <w:ind w:left="140"/>
              <w:spacing w:after="0"/>
              <w:rPr>
                <w:sz w:val="20"/>
                <w:szCs w:val="20"/>
                <w:color w:val="auto"/>
              </w:rPr>
            </w:pPr>
            <w:r>
              <w:rPr>
                <w:rFonts w:ascii="Arial" w:cs="Arial" w:eastAsia="Arial" w:hAnsi="Arial"/>
                <w:sz w:val="12"/>
                <w:szCs w:val="12"/>
                <w:color w:val="auto"/>
              </w:rPr>
              <w:t>Vesting Period</w:t>
            </w: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2"/>
          <w:szCs w:val="12"/>
          <w:color w:val="auto"/>
        </w:rPr>
        <w:t>Page 3/22</w:t>
      </w:r>
    </w:p>
    <w:p>
      <w:pPr>
        <w:sectPr>
          <w:pgSz w:w="11900" w:h="16838" w:orient="portrait"/>
          <w:cols w:equalWidth="0" w:num="1">
            <w:col w:w="9019"/>
          </w:cols>
          <w:pgMar w:left="1440" w:top="226" w:right="1440" w:bottom="1440" w:gutter="0" w:footer="0" w:header="0"/>
        </w:sectPr>
      </w:pPr>
    </w:p>
    <w:bookmarkStart w:id="338" w:name="page339"/>
    <w:bookmarkEnd w:id="338"/>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RECITALS</w:t>
      </w:r>
    </w:p>
    <w:p>
      <w:pPr>
        <w:spacing w:after="0" w:line="172" w:lineRule="exact"/>
        <w:rPr>
          <w:sz w:val="20"/>
          <w:szCs w:val="20"/>
          <w:color w:val="auto"/>
        </w:rPr>
      </w:pPr>
    </w:p>
    <w:p>
      <w:pPr>
        <w:ind w:left="1120" w:hanging="288"/>
        <w:spacing w:after="0"/>
        <w:tabs>
          <w:tab w:leader="none" w:pos="1120" w:val="left"/>
        </w:tabs>
        <w:numPr>
          <w:ilvl w:val="0"/>
          <w:numId w:val="296"/>
        </w:numPr>
        <w:rPr>
          <w:rFonts w:ascii="Arial" w:cs="Arial" w:eastAsia="Arial" w:hAnsi="Arial"/>
          <w:sz w:val="11"/>
          <w:szCs w:val="11"/>
          <w:color w:val="auto"/>
        </w:rPr>
      </w:pPr>
      <w:r>
        <w:rPr>
          <w:rFonts w:ascii="Arial" w:cs="Arial" w:eastAsia="Arial" w:hAnsi="Arial"/>
          <w:sz w:val="11"/>
          <w:szCs w:val="11"/>
          <w:color w:val="auto"/>
        </w:rPr>
        <w:t>An attractive and competitive remuneration program is essential for the recruitment and long-term commitment of highly qualified employees.</w:t>
      </w:r>
    </w:p>
    <w:p>
      <w:pPr>
        <w:spacing w:after="0" w:line="98" w:lineRule="exact"/>
        <w:rPr>
          <w:rFonts w:ascii="Arial" w:cs="Arial" w:eastAsia="Arial" w:hAnsi="Arial"/>
          <w:sz w:val="11"/>
          <w:szCs w:val="11"/>
          <w:color w:val="auto"/>
        </w:rPr>
      </w:pPr>
    </w:p>
    <w:p>
      <w:pPr>
        <w:ind w:left="1120" w:right="959" w:hanging="288"/>
        <w:spacing w:after="0" w:line="285" w:lineRule="auto"/>
        <w:tabs>
          <w:tab w:leader="none" w:pos="1120" w:val="left"/>
        </w:tabs>
        <w:numPr>
          <w:ilvl w:val="0"/>
          <w:numId w:val="296"/>
        </w:numPr>
        <w:rPr>
          <w:rFonts w:ascii="Arial" w:cs="Arial" w:eastAsia="Arial" w:hAnsi="Arial"/>
          <w:sz w:val="11"/>
          <w:szCs w:val="11"/>
          <w:color w:val="auto"/>
        </w:rPr>
      </w:pPr>
      <w:r>
        <w:rPr>
          <w:rFonts w:ascii="Arial" w:cs="Arial" w:eastAsia="Arial" w:hAnsi="Arial"/>
          <w:sz w:val="11"/>
          <w:szCs w:val="11"/>
          <w:color w:val="auto"/>
        </w:rPr>
        <w:t>For this purpose, Mynaric AG (“</w:t>
      </w:r>
      <w:r>
        <w:rPr>
          <w:rFonts w:ascii="Arial" w:cs="Arial" w:eastAsia="Arial" w:hAnsi="Arial"/>
          <w:sz w:val="11"/>
          <w:szCs w:val="11"/>
          <w:b w:val="1"/>
          <w:bCs w:val="1"/>
          <w:i w:val="1"/>
          <w:iCs w:val="1"/>
          <w:color w:val="auto"/>
        </w:rPr>
        <w:t>Mynaric</w:t>
      </w:r>
      <w:r>
        <w:rPr>
          <w:rFonts w:ascii="Arial" w:cs="Arial" w:eastAsia="Arial" w:hAnsi="Arial"/>
          <w:sz w:val="11"/>
          <w:szCs w:val="11"/>
          <w:color w:val="auto"/>
        </w:rPr>
        <w:t>” or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hereby implements a Restricted Stock Units Program (“</w:t>
      </w:r>
      <w:r>
        <w:rPr>
          <w:rFonts w:ascii="Arial" w:cs="Arial" w:eastAsia="Arial" w:hAnsi="Arial"/>
          <w:sz w:val="11"/>
          <w:szCs w:val="11"/>
          <w:b w:val="1"/>
          <w:bCs w:val="1"/>
          <w:i w:val="1"/>
          <w:iCs w:val="1"/>
          <w:color w:val="auto"/>
        </w:rPr>
        <w:t>RSUP</w:t>
      </w:r>
      <w:r>
        <w:rPr>
          <w:rFonts w:ascii="Arial" w:cs="Arial" w:eastAsia="Arial" w:hAnsi="Arial"/>
          <w:sz w:val="11"/>
          <w:szCs w:val="11"/>
          <w:color w:val="auto"/>
        </w:rPr>
        <w:t>”) under which the Company shall be allowed to grant so-called restricted stock units (“</w:t>
      </w:r>
      <w:r>
        <w:rPr>
          <w:rFonts w:ascii="Arial" w:cs="Arial" w:eastAsia="Arial" w:hAnsi="Arial"/>
          <w:sz w:val="11"/>
          <w:szCs w:val="11"/>
          <w:b w:val="1"/>
          <w:bCs w:val="1"/>
          <w:i w:val="1"/>
          <w:iCs w:val="1"/>
          <w:color w:val="auto"/>
        </w:rPr>
        <w:t>RSUs</w:t>
      </w:r>
      <w:r>
        <w:rPr>
          <w:rFonts w:ascii="Arial" w:cs="Arial" w:eastAsia="Arial" w:hAnsi="Arial"/>
          <w:sz w:val="11"/>
          <w:szCs w:val="11"/>
          <w:color w:val="auto"/>
        </w:rPr>
        <w:t>” and each a “</w:t>
      </w:r>
      <w:r>
        <w:rPr>
          <w:rFonts w:ascii="Arial" w:cs="Arial" w:eastAsia="Arial" w:hAnsi="Arial"/>
          <w:sz w:val="11"/>
          <w:szCs w:val="11"/>
          <w:b w:val="1"/>
          <w:bCs w:val="1"/>
          <w:i w:val="1"/>
          <w:iCs w:val="1"/>
          <w:color w:val="auto"/>
        </w:rPr>
        <w:t>RSU</w:t>
      </w:r>
      <w:r>
        <w:rPr>
          <w:rFonts w:ascii="Arial" w:cs="Arial" w:eastAsia="Arial" w:hAnsi="Arial"/>
          <w:sz w:val="11"/>
          <w:szCs w:val="11"/>
          <w:color w:val="auto"/>
        </w:rPr>
        <w:t>”) to certain eligible beneficiaries which – if certain conditions are met – entitle the beneficiary to a cash payment claim against the Company, the amount of which depends on the stock exchange price of the shares of the Company (the “</w:t>
      </w:r>
      <w:r>
        <w:rPr>
          <w:rFonts w:ascii="Arial" w:cs="Arial" w:eastAsia="Arial" w:hAnsi="Arial"/>
          <w:sz w:val="11"/>
          <w:szCs w:val="11"/>
          <w:b w:val="1"/>
          <w:bCs w:val="1"/>
          <w:i w:val="1"/>
          <w:iCs w:val="1"/>
          <w:color w:val="auto"/>
        </w:rPr>
        <w:t>Shares</w:t>
      </w:r>
      <w:r>
        <w:rPr>
          <w:rFonts w:ascii="Arial" w:cs="Arial" w:eastAsia="Arial" w:hAnsi="Arial"/>
          <w:sz w:val="11"/>
          <w:szCs w:val="11"/>
          <w:color w:val="auto"/>
        </w:rPr>
        <w:t>”), or certificates representing the Company’s Shares. The settlement of the RSUs will generally be made in Shares, or certificates representing the Company’s Shares.</w:t>
      </w:r>
    </w:p>
    <w:p>
      <w:pPr>
        <w:spacing w:after="0" w:line="50" w:lineRule="exact"/>
        <w:rPr>
          <w:rFonts w:ascii="Arial" w:cs="Arial" w:eastAsia="Arial" w:hAnsi="Arial"/>
          <w:sz w:val="11"/>
          <w:szCs w:val="11"/>
          <w:color w:val="auto"/>
        </w:rPr>
      </w:pPr>
    </w:p>
    <w:p>
      <w:pPr>
        <w:ind w:left="1120" w:right="899" w:hanging="288"/>
        <w:spacing w:after="0" w:line="255" w:lineRule="auto"/>
        <w:tabs>
          <w:tab w:leader="none" w:pos="1120" w:val="left"/>
        </w:tabs>
        <w:numPr>
          <w:ilvl w:val="0"/>
          <w:numId w:val="296"/>
        </w:numPr>
        <w:rPr>
          <w:rFonts w:ascii="Arial" w:cs="Arial" w:eastAsia="Arial" w:hAnsi="Arial"/>
          <w:sz w:val="12"/>
          <w:szCs w:val="12"/>
          <w:color w:val="auto"/>
        </w:rPr>
      </w:pPr>
      <w:r>
        <w:rPr>
          <w:rFonts w:ascii="Arial" w:cs="Arial" w:eastAsia="Arial" w:hAnsi="Arial"/>
          <w:sz w:val="12"/>
          <w:szCs w:val="12"/>
          <w:color w:val="auto"/>
        </w:rPr>
        <w:t>With resolution dated 14 May 2021, the Company’s General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has authorized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with the consent of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until 13 May 2026 (including) to increase the Company’s registered share capital by up to € 204,647.00 against cash contributions and/or contributions in kind once or several times by issuing up to 204,647 new no-par 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w:t>
      </w:r>
      <w:r>
        <w:rPr>
          <w:rFonts w:ascii="Arial" w:cs="Arial" w:eastAsia="Arial" w:hAnsi="Arial"/>
          <w:sz w:val="12"/>
          <w:szCs w:val="12"/>
          <w:b w:val="1"/>
          <w:bCs w:val="1"/>
          <w:i w:val="1"/>
          <w:iCs w:val="1"/>
          <w:color w:val="auto"/>
        </w:rPr>
        <w:t>Authorized Capital 2021/II</w:t>
      </w:r>
      <w:r>
        <w:rPr>
          <w:rFonts w:ascii="Arial" w:cs="Arial" w:eastAsia="Arial" w:hAnsi="Arial"/>
          <w:sz w:val="12"/>
          <w:szCs w:val="12"/>
          <w:color w:val="auto"/>
        </w:rPr>
        <w:t>”). The Authorized Capital 2021/II only serves the purpose of delivering Shares of the Company against the contribution of cash payment claims resulting from RSUs, in order to settle RSUs that were granted to Beneficiaries.</w:t>
      </w:r>
    </w:p>
    <w:p>
      <w:pPr>
        <w:spacing w:after="0" w:line="128"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The present terms and conditions (the “</w:t>
      </w:r>
      <w:r>
        <w:rPr>
          <w:rFonts w:ascii="Arial" w:cs="Arial" w:eastAsia="Arial" w:hAnsi="Arial"/>
          <w:sz w:val="12"/>
          <w:szCs w:val="12"/>
          <w:b w:val="1"/>
          <w:bCs w:val="1"/>
          <w:i w:val="1"/>
          <w:iCs w:val="1"/>
          <w:color w:val="auto"/>
        </w:rPr>
        <w:t>RSUP Terms &amp; Conditions</w:t>
      </w:r>
      <w:r>
        <w:rPr>
          <w:rFonts w:ascii="Arial" w:cs="Arial" w:eastAsia="Arial" w:hAnsi="Arial"/>
          <w:sz w:val="12"/>
          <w:szCs w:val="12"/>
          <w:color w:val="auto"/>
        </w:rPr>
        <w:t>”) establish the rules pursuant to which the RSUs under the RSUP can be granted and settled.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4/22</w:t>
      </w:r>
    </w:p>
    <w:p>
      <w:pPr>
        <w:sectPr>
          <w:pgSz w:w="11900" w:h="16838" w:orient="portrait"/>
          <w:cols w:equalWidth="0" w:num="1">
            <w:col w:w="9019"/>
          </w:cols>
          <w:pgMar w:left="1440" w:top="226" w:right="1440" w:bottom="1440" w:gutter="0" w:footer="0" w:header="0"/>
        </w:sectPr>
      </w:pPr>
    </w:p>
    <w:bookmarkStart w:id="339" w:name="page340"/>
    <w:bookmarkEnd w:id="339"/>
    <w:p>
      <w:pPr>
        <w:ind w:left="4520" w:hanging="91"/>
        <w:spacing w:after="0"/>
        <w:tabs>
          <w:tab w:leader="none" w:pos="4520" w:val="left"/>
        </w:tabs>
        <w:numPr>
          <w:ilvl w:val="0"/>
          <w:numId w:val="297"/>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w:t>
      </w:r>
    </w:p>
    <w:p>
      <w:pPr>
        <w:spacing w:after="0" w:line="18" w:lineRule="exact"/>
        <w:rPr>
          <w:rFonts w:ascii="Arial" w:cs="Arial" w:eastAsia="Arial" w:hAnsi="Arial"/>
          <w:sz w:val="12"/>
          <w:szCs w:val="12"/>
          <w:b w:val="1"/>
          <w:bCs w:val="1"/>
          <w:color w:val="auto"/>
        </w:rPr>
      </w:pPr>
    </w:p>
    <w:p>
      <w:pPr>
        <w:ind w:left="412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ELIGIBILITY</w:t>
      </w:r>
    </w:p>
    <w:p>
      <w:pPr>
        <w:spacing w:after="0" w:line="159"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0"/>
          <w:szCs w:val="10"/>
          <w:color w:val="auto"/>
        </w:rPr>
        <w:t>RSUs can be granted to:</w:t>
      </w:r>
    </w:p>
    <w:p>
      <w:pPr>
        <w:spacing w:after="0" w:line="87"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2"/>
          <w:szCs w:val="12"/>
          <w:color w:val="auto"/>
        </w:rPr>
        <w:t>1.1.1</w:t>
      </w:r>
      <w:r>
        <w:rPr>
          <w:sz w:val="20"/>
          <w:szCs w:val="20"/>
          <w:color w:val="auto"/>
        </w:rPr>
        <w:tab/>
      </w:r>
      <w:r>
        <w:rPr>
          <w:rFonts w:ascii="Arial" w:cs="Arial" w:eastAsia="Arial" w:hAnsi="Arial"/>
          <w:sz w:val="10"/>
          <w:szCs w:val="10"/>
          <w:color w:val="auto"/>
        </w:rPr>
        <w:t>selected employees of the Company (“</w:t>
      </w:r>
      <w:r>
        <w:rPr>
          <w:rFonts w:ascii="Arial" w:cs="Arial" w:eastAsia="Arial" w:hAnsi="Arial"/>
          <w:sz w:val="10"/>
          <w:szCs w:val="10"/>
          <w:b w:val="1"/>
          <w:bCs w:val="1"/>
          <w:i w:val="1"/>
          <w:iCs w:val="1"/>
          <w:color w:val="auto"/>
        </w:rPr>
        <w:t>Employees</w:t>
      </w:r>
      <w:r>
        <w:rPr>
          <w:rFonts w:ascii="Arial" w:cs="Arial" w:eastAsia="Arial" w:hAnsi="Arial"/>
          <w:sz w:val="10"/>
          <w:szCs w:val="10"/>
          <w:color w:val="auto"/>
        </w:rPr>
        <w:t>”);</w:t>
      </w:r>
    </w:p>
    <w:p>
      <w:pPr>
        <w:spacing w:after="0" w:line="87"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2"/>
          <w:szCs w:val="12"/>
          <w:color w:val="auto"/>
        </w:rPr>
        <w:t>1.1.2</w:t>
      </w:r>
      <w:r>
        <w:rPr>
          <w:sz w:val="20"/>
          <w:szCs w:val="20"/>
          <w:color w:val="auto"/>
        </w:rPr>
        <w:tab/>
      </w:r>
      <w:r>
        <w:rPr>
          <w:rFonts w:ascii="Arial" w:cs="Arial" w:eastAsia="Arial" w:hAnsi="Arial"/>
          <w:sz w:val="10"/>
          <w:szCs w:val="10"/>
          <w:color w:val="auto"/>
        </w:rPr>
        <w:t>managing directors of companies affiliated with the Company in the meaning of § 15 of the German Stock Corporation Act (</w:t>
      </w:r>
      <w:r>
        <w:rPr>
          <w:rFonts w:ascii="Arial" w:cs="Arial" w:eastAsia="Arial" w:hAnsi="Arial"/>
          <w:sz w:val="10"/>
          <w:szCs w:val="10"/>
          <w:i w:val="1"/>
          <w:iCs w:val="1"/>
          <w:color w:val="auto"/>
        </w:rPr>
        <w:t>Aktiengesetz</w:t>
      </w:r>
      <w:r>
        <w:rPr>
          <w:rFonts w:ascii="Arial" w:cs="Arial" w:eastAsia="Arial" w:hAnsi="Arial"/>
          <w:sz w:val="10"/>
          <w:szCs w:val="10"/>
          <w:color w:val="auto"/>
        </w:rPr>
        <w:t>)</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AktG</w:t>
      </w:r>
      <w:r>
        <w:rPr>
          <w:rFonts w:ascii="Arial" w:cs="Arial" w:eastAsia="Arial" w:hAnsi="Arial"/>
          <w:sz w:val="12"/>
          <w:szCs w:val="12"/>
          <w:color w:val="auto"/>
        </w:rPr>
        <w:t>”) (the “</w:t>
      </w:r>
      <w:r>
        <w:rPr>
          <w:rFonts w:ascii="Arial" w:cs="Arial" w:eastAsia="Arial" w:hAnsi="Arial"/>
          <w:sz w:val="12"/>
          <w:szCs w:val="12"/>
          <w:b w:val="1"/>
          <w:bCs w:val="1"/>
          <w:i w:val="1"/>
          <w:iCs w:val="1"/>
          <w:color w:val="auto"/>
        </w:rPr>
        <w:t>Affiliated Companies</w:t>
      </w:r>
      <w:r>
        <w:rPr>
          <w:rFonts w:ascii="Arial" w:cs="Arial" w:eastAsia="Arial" w:hAnsi="Arial"/>
          <w:sz w:val="12"/>
          <w:szCs w:val="12"/>
          <w:color w:val="auto"/>
        </w:rPr>
        <w:t>” and such managing director a “</w:t>
      </w:r>
      <w:r>
        <w:rPr>
          <w:rFonts w:ascii="Arial" w:cs="Arial" w:eastAsia="Arial" w:hAnsi="Arial"/>
          <w:sz w:val="12"/>
          <w:szCs w:val="12"/>
          <w:b w:val="1"/>
          <w:bCs w:val="1"/>
          <w:i w:val="1"/>
          <w:iCs w:val="1"/>
          <w:color w:val="auto"/>
        </w:rPr>
        <w:t>Managing Director</w:t>
      </w:r>
      <w:r>
        <w:rPr>
          <w:rFonts w:ascii="Arial" w:cs="Arial" w:eastAsia="Arial" w:hAnsi="Arial"/>
          <w:sz w:val="12"/>
          <w:szCs w:val="12"/>
          <w:color w:val="auto"/>
        </w:rPr>
        <w:t>”); and</w:t>
      </w:r>
    </w:p>
    <w:p>
      <w:pPr>
        <w:spacing w:after="0" w:line="78" w:lineRule="exact"/>
        <w:rPr>
          <w:sz w:val="20"/>
          <w:szCs w:val="20"/>
          <w:color w:val="auto"/>
        </w:rPr>
      </w:pPr>
    </w:p>
    <w:p>
      <w:pPr>
        <w:ind w:left="1480" w:right="1179" w:hanging="359"/>
        <w:spacing w:after="0" w:line="276" w:lineRule="auto"/>
        <w:tabs>
          <w:tab w:leader="none" w:pos="1460" w:val="left"/>
        </w:tabs>
        <w:rPr>
          <w:sz w:val="20"/>
          <w:szCs w:val="20"/>
          <w:color w:val="auto"/>
        </w:rPr>
      </w:pPr>
      <w:r>
        <w:rPr>
          <w:rFonts w:ascii="Arial" w:cs="Arial" w:eastAsia="Arial" w:hAnsi="Arial"/>
          <w:sz w:val="12"/>
          <w:szCs w:val="12"/>
          <w:color w:val="auto"/>
        </w:rPr>
        <w:t>1.1.3</w:t>
        <w:tab/>
        <w:t>selected employees of Affiliated Companies (“</w:t>
      </w:r>
      <w:r>
        <w:rPr>
          <w:rFonts w:ascii="Arial" w:cs="Arial" w:eastAsia="Arial" w:hAnsi="Arial"/>
          <w:sz w:val="12"/>
          <w:szCs w:val="12"/>
          <w:b w:val="1"/>
          <w:bCs w:val="1"/>
          <w:i w:val="1"/>
          <w:iCs w:val="1"/>
          <w:color w:val="auto"/>
        </w:rPr>
        <w:t>Affiliated Companies’ Employees</w:t>
      </w:r>
      <w:r>
        <w:rPr>
          <w:rFonts w:ascii="Arial" w:cs="Arial" w:eastAsia="Arial" w:hAnsi="Arial"/>
          <w:sz w:val="12"/>
          <w:szCs w:val="12"/>
          <w:color w:val="auto"/>
        </w:rPr>
        <w:t>” and together with the Managing Directors and the Employees, the “</w:t>
      </w:r>
      <w:r>
        <w:rPr>
          <w:rFonts w:ascii="Arial" w:cs="Arial" w:eastAsia="Arial" w:hAnsi="Arial"/>
          <w:sz w:val="12"/>
          <w:szCs w:val="12"/>
          <w:b w:val="1"/>
          <w:bCs w:val="1"/>
          <w:i w:val="1"/>
          <w:iCs w:val="1"/>
          <w:color w:val="auto"/>
        </w:rPr>
        <w:t>Beneficiaries</w:t>
      </w:r>
      <w:r>
        <w:rPr>
          <w:rFonts w:ascii="Arial" w:cs="Arial" w:eastAsia="Arial" w:hAnsi="Arial"/>
          <w:sz w:val="12"/>
          <w:szCs w:val="12"/>
          <w:color w:val="auto"/>
        </w:rPr>
        <w:t>” and each a “</w:t>
      </w:r>
      <w:r>
        <w:rPr>
          <w:rFonts w:ascii="Arial" w:cs="Arial" w:eastAsia="Arial" w:hAnsi="Arial"/>
          <w:sz w:val="12"/>
          <w:szCs w:val="12"/>
          <w:b w:val="1"/>
          <w:bCs w:val="1"/>
          <w:i w:val="1"/>
          <w:iCs w:val="1"/>
          <w:color w:val="auto"/>
        </w:rPr>
        <w:t>Beneficiary</w:t>
      </w:r>
      <w:r>
        <w:rPr>
          <w:rFonts w:ascii="Arial" w:cs="Arial" w:eastAsia="Arial" w:hAnsi="Arial"/>
          <w:sz w:val="12"/>
          <w:szCs w:val="12"/>
          <w:color w:val="auto"/>
        </w:rPr>
        <w:t>”).</w:t>
      </w:r>
    </w:p>
    <w:p>
      <w:pPr>
        <w:spacing w:after="0" w:line="52"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1"/>
          <w:szCs w:val="11"/>
          <w:color w:val="auto"/>
        </w:rPr>
        <w:t>Eligibility as a Beneficiary is determined by the Company’s Management Board.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VOLUME AND GRANT OF RSUS</w:t>
      </w:r>
    </w:p>
    <w:p>
      <w:pPr>
        <w:spacing w:after="0" w:line="159" w:lineRule="exact"/>
        <w:rPr>
          <w:sz w:val="20"/>
          <w:szCs w:val="20"/>
          <w:color w:val="auto"/>
        </w:rPr>
      </w:pPr>
    </w:p>
    <w:p>
      <w:pPr>
        <w:ind w:left="1120" w:right="1059" w:hanging="287"/>
        <w:spacing w:after="0" w:line="276" w:lineRule="auto"/>
        <w:tabs>
          <w:tab w:leader="none" w:pos="1100" w:val="left"/>
        </w:tabs>
        <w:rPr>
          <w:sz w:val="20"/>
          <w:szCs w:val="20"/>
          <w:color w:val="auto"/>
        </w:rPr>
      </w:pPr>
      <w:r>
        <w:rPr>
          <w:rFonts w:ascii="Arial" w:cs="Arial" w:eastAsia="Arial" w:hAnsi="Arial"/>
          <w:sz w:val="12"/>
          <w:szCs w:val="12"/>
          <w:color w:val="auto"/>
        </w:rPr>
        <w:t>2.1</w:t>
        <w:tab/>
        <w:t>Under the RSUP, up to an aggregate of 204,647 RSUs may be granted. RSUs that are forfeited pursuant to the RSUP Terms &amp; Conditions will once again be available for future grants.</w:t>
      </w:r>
    </w:p>
    <w:p>
      <w:pPr>
        <w:spacing w:after="0" w:line="52" w:lineRule="exact"/>
        <w:rPr>
          <w:sz w:val="20"/>
          <w:szCs w:val="20"/>
          <w:color w:val="auto"/>
        </w:rPr>
      </w:pPr>
    </w:p>
    <w:p>
      <w:pPr>
        <w:jc w:val="both"/>
        <w:ind w:left="1120" w:right="1019" w:hanging="287"/>
        <w:spacing w:after="0" w:line="379" w:lineRule="auto"/>
        <w:tabs>
          <w:tab w:leader="none" w:pos="1100"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0"/>
          <w:szCs w:val="10"/>
          <w:color w:val="auto"/>
        </w:rPr>
        <w:t>The Company’s Management Board will determine an individual Euro grant amount (the “</w:t>
      </w:r>
      <w:r>
        <w:rPr>
          <w:rFonts w:ascii="Arial" w:cs="Arial" w:eastAsia="Arial" w:hAnsi="Arial"/>
          <w:sz w:val="10"/>
          <w:szCs w:val="10"/>
          <w:b w:val="1"/>
          <w:bCs w:val="1"/>
          <w:i w:val="1"/>
          <w:iCs w:val="1"/>
          <w:color w:val="auto"/>
        </w:rPr>
        <w:t>Grant Amount</w:t>
      </w:r>
      <w:r>
        <w:rPr>
          <w:rFonts w:ascii="Arial" w:cs="Arial" w:eastAsia="Arial" w:hAnsi="Arial"/>
          <w:sz w:val="10"/>
          <w:szCs w:val="10"/>
          <w:color w:val="auto"/>
        </w:rPr>
        <w:t>”) to be granted to a Beneficiary by Mynaric by way of a separate grant agreement (“</w:t>
      </w:r>
      <w:r>
        <w:rPr>
          <w:rFonts w:ascii="Arial" w:cs="Arial" w:eastAsia="Arial" w:hAnsi="Arial"/>
          <w:sz w:val="10"/>
          <w:szCs w:val="10"/>
          <w:b w:val="1"/>
          <w:bCs w:val="1"/>
          <w:i w:val="1"/>
          <w:iCs w:val="1"/>
          <w:color w:val="auto"/>
        </w:rPr>
        <w:t>Grant Agreement</w:t>
      </w:r>
      <w:r>
        <w:rPr>
          <w:rFonts w:ascii="Arial" w:cs="Arial" w:eastAsia="Arial" w:hAnsi="Arial"/>
          <w:sz w:val="10"/>
          <w:szCs w:val="10"/>
          <w:color w:val="auto"/>
        </w:rPr>
        <w:t>”) and such Grant Amount will be converted into a certain number of RSUs.</w:t>
      </w:r>
    </w:p>
    <w:p>
      <w:pPr>
        <w:spacing w:after="0" w:line="6" w:lineRule="exact"/>
        <w:rPr>
          <w:sz w:val="20"/>
          <w:szCs w:val="20"/>
          <w:color w:val="auto"/>
        </w:rPr>
      </w:pPr>
    </w:p>
    <w:p>
      <w:pPr>
        <w:jc w:val="both"/>
        <w:ind w:left="1120" w:right="1039" w:hanging="287"/>
        <w:spacing w:after="0" w:line="326" w:lineRule="auto"/>
        <w:tabs>
          <w:tab w:leader="none" w:pos="1100"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0"/>
          <w:szCs w:val="10"/>
          <w:color w:val="auto"/>
        </w:rPr>
        <w:t>With respect to the conversion of the Grant Amount into RSUs, i.e., to calculate the exact number of RSUs to be allocated to a Beneficiary, the Grant Amount is divided by the six-months average closing price (</w:t>
      </w:r>
      <w:r>
        <w:rPr>
          <w:rFonts w:ascii="Arial" w:cs="Arial" w:eastAsia="Arial" w:hAnsi="Arial"/>
          <w:sz w:val="10"/>
          <w:szCs w:val="10"/>
          <w:i w:val="1"/>
          <w:iCs w:val="1"/>
          <w:color w:val="auto"/>
        </w:rPr>
        <w:t>Schlusskurs</w:t>
      </w:r>
      <w:r>
        <w:rPr>
          <w:rFonts w:ascii="Arial" w:cs="Arial" w:eastAsia="Arial" w:hAnsi="Arial"/>
          <w:sz w:val="10"/>
          <w:szCs w:val="10"/>
          <w:color w:val="auto"/>
        </w:rPr>
        <w:t>) prior to the Grant Date (as defined in § 2.5) (exclusive) of the Shares or certificates representing the Company’s Shares on the Company’s Primary Stock Exchange (as defined below) as determined on the basis of the ten trading days prior to the Grant Date (the “</w:t>
      </w:r>
      <w:r>
        <w:rPr>
          <w:rFonts w:ascii="Arial" w:cs="Arial" w:eastAsia="Arial" w:hAnsi="Arial"/>
          <w:sz w:val="10"/>
          <w:szCs w:val="10"/>
          <w:b w:val="1"/>
          <w:bCs w:val="1"/>
          <w:i w:val="1"/>
          <w:iCs w:val="1"/>
          <w:color w:val="auto"/>
        </w:rPr>
        <w:t>Relevant Closing Price</w:t>
      </w:r>
      <w:r>
        <w:rPr>
          <w:rFonts w:ascii="Arial" w:cs="Arial" w:eastAsia="Arial" w:hAnsi="Arial"/>
          <w:sz w:val="10"/>
          <w:szCs w:val="10"/>
          <w:color w:val="auto"/>
        </w:rPr>
        <w:t>”), rounded down to the nearest whole number; the number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5/22</w:t>
      </w:r>
    </w:p>
    <w:p>
      <w:pPr>
        <w:sectPr>
          <w:pgSz w:w="11900" w:h="16838" w:orient="portrait"/>
          <w:cols w:equalWidth="0" w:num="1">
            <w:col w:w="9019"/>
          </w:cols>
          <w:pgMar w:left="1440" w:top="226" w:right="1440" w:bottom="1440" w:gutter="0" w:footer="0" w:header="0"/>
        </w:sectPr>
      </w:pPr>
    </w:p>
    <w:bookmarkStart w:id="340" w:name="page341"/>
    <w:bookmarkEnd w:id="340"/>
    <w:p>
      <w:pPr>
        <w:ind w:left="112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resulting from such calculation equals the number of RSUs to be allocated to a Beneficiary (the “</w:t>
      </w:r>
      <w:r>
        <w:rPr>
          <w:rFonts w:ascii="Arial" w:cs="Arial" w:eastAsia="Arial" w:hAnsi="Arial"/>
          <w:sz w:val="12"/>
          <w:szCs w:val="12"/>
          <w:b w:val="1"/>
          <w:bCs w:val="1"/>
          <w:i w:val="1"/>
          <w:iCs w:val="1"/>
          <w:color w:val="auto"/>
        </w:rPr>
        <w:t>Initial Number of RSUs</w:t>
      </w:r>
      <w:r>
        <w:rPr>
          <w:rFonts w:ascii="Arial" w:cs="Arial" w:eastAsia="Arial" w:hAnsi="Arial"/>
          <w:sz w:val="12"/>
          <w:szCs w:val="12"/>
          <w:color w:val="auto"/>
        </w:rPr>
        <w:t>”). If a closing auction does not take place on the relevant trading day(s) or a price is not determined in the auction, the applicable price will be the last price quoted in continuous trading, provided there was continuous trading on that trading day. “</w:t>
      </w:r>
      <w:r>
        <w:rPr>
          <w:rFonts w:ascii="Arial" w:cs="Arial" w:eastAsia="Arial" w:hAnsi="Arial"/>
          <w:sz w:val="12"/>
          <w:szCs w:val="12"/>
          <w:b w:val="1"/>
          <w:bCs w:val="1"/>
          <w:i w:val="1"/>
          <w:iCs w:val="1"/>
          <w:color w:val="auto"/>
        </w:rPr>
        <w:t>Primary Stock Exchange</w:t>
      </w:r>
      <w:r>
        <w:rPr>
          <w:rFonts w:ascii="Arial" w:cs="Arial" w:eastAsia="Arial" w:hAnsi="Arial"/>
          <w:sz w:val="12"/>
          <w:szCs w:val="12"/>
          <w:color w:val="auto"/>
        </w:rPr>
        <w:t>” is the stock exchange or trading system with the highest total trading volume of Shares or certificates representing the Company’s Shares during the time period as further specified in the respective provision of these RSUP Terms &amp; Conditions.</w:t>
      </w:r>
    </w:p>
    <w:p>
      <w:pPr>
        <w:spacing w:after="0" w:line="56" w:lineRule="exact"/>
        <w:rPr>
          <w:sz w:val="20"/>
          <w:szCs w:val="20"/>
          <w:color w:val="auto"/>
        </w:rPr>
      </w:pPr>
    </w:p>
    <w:p>
      <w:pPr>
        <w:ind w:left="1120" w:right="879"/>
        <w:spacing w:after="0" w:line="256" w:lineRule="auto"/>
        <w:rPr>
          <w:sz w:val="20"/>
          <w:szCs w:val="20"/>
          <w:color w:val="auto"/>
        </w:rPr>
      </w:pPr>
      <w:r>
        <w:rPr>
          <w:rFonts w:ascii="Arial" w:cs="Arial" w:eastAsia="Arial" w:hAnsi="Arial"/>
          <w:sz w:val="12"/>
          <w:szCs w:val="12"/>
          <w:color w:val="auto"/>
        </w:rPr>
        <w:t>For the avoidance of doubt: In case Shares of the Company are listed on the Primary Stock Exchange as determined on the basis of the ten trading days prior to the Grant Date (and therefore Shares are the underline of the RSUs), then one RSU represents the value of one Share; in case certificates representing the Company’s Shares are listed on the Primary Stock Exchange as determined on the basis of the ten trading days prior to the Grant Date (and therefore certificates are the underline of the RSUs), then one RSU represents the value of one certificate representing the Company’s Shares.</w:t>
      </w:r>
    </w:p>
    <w:p>
      <w:pPr>
        <w:spacing w:after="0" w:line="56" w:lineRule="exact"/>
        <w:rPr>
          <w:sz w:val="20"/>
          <w:szCs w:val="20"/>
          <w:color w:val="auto"/>
        </w:rPr>
      </w:pPr>
    </w:p>
    <w:p>
      <w:pPr>
        <w:ind w:left="1120" w:right="859"/>
        <w:spacing w:after="0" w:line="263" w:lineRule="auto"/>
        <w:rPr>
          <w:sz w:val="20"/>
          <w:szCs w:val="20"/>
          <w:color w:val="auto"/>
        </w:rPr>
      </w:pPr>
      <w:r>
        <w:rPr>
          <w:rFonts w:ascii="Arial" w:cs="Arial" w:eastAsia="Arial" w:hAnsi="Arial"/>
          <w:sz w:val="12"/>
          <w:szCs w:val="12"/>
          <w:u w:val="single" w:color="auto"/>
          <w:color w:val="auto"/>
        </w:rPr>
        <w:t>For example</w:t>
      </w:r>
      <w:r>
        <w:rPr>
          <w:rFonts w:ascii="Arial" w:cs="Arial" w:eastAsia="Arial" w:hAnsi="Arial"/>
          <w:sz w:val="12"/>
          <w:szCs w:val="12"/>
          <w:color w:val="auto"/>
        </w:rPr>
        <w:t>: If a Beneficiary is granted a Grant Amount of EUR 10,000.00 and the Relevant Closing Price amounted to EUR 55.00, then the Initial Number of RSUs to be allocated to the Beneficiary amounts to 181 (EUR 10,000 / EUR 55.00 = 181.81, rounded down to the nearest whole number).</w:t>
      </w:r>
    </w:p>
    <w:p>
      <w:pPr>
        <w:spacing w:after="0" w:line="59" w:lineRule="exact"/>
        <w:rPr>
          <w:sz w:val="20"/>
          <w:szCs w:val="20"/>
          <w:color w:val="auto"/>
        </w:rPr>
      </w:pPr>
    </w:p>
    <w:p>
      <w:pPr>
        <w:ind w:left="1120" w:right="859" w:hanging="287"/>
        <w:spacing w:after="0" w:line="275" w:lineRule="auto"/>
        <w:tabs>
          <w:tab w:leader="none" w:pos="1100"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1"/>
          <w:szCs w:val="11"/>
          <w:color w:val="auto"/>
        </w:rPr>
        <w:t>Subject to a continuing and unterminated (</w:t>
      </w:r>
      <w:r>
        <w:rPr>
          <w:rFonts w:ascii="Arial" w:cs="Arial" w:eastAsia="Arial" w:hAnsi="Arial"/>
          <w:sz w:val="11"/>
          <w:szCs w:val="11"/>
          <w:i w:val="1"/>
          <w:iCs w:val="1"/>
          <w:color w:val="auto"/>
        </w:rPr>
        <w:t>ungekündigt</w:t>
      </w:r>
      <w:r>
        <w:rPr>
          <w:rFonts w:ascii="Arial" w:cs="Arial" w:eastAsia="Arial" w:hAnsi="Arial"/>
          <w:sz w:val="11"/>
          <w:szCs w:val="11"/>
          <w:color w:val="auto"/>
        </w:rPr>
        <w:t>) service or employment relationship of the relevant Beneficiary with the Company or an Affiliated Company at the relevant Grant Date (as defined in § 2.5), RSUs may be granted to the Beneficiaries once or several times at any time following June 1, 2021, except (i) during a period of 30 calendar days before the announcement (i.e., publication) of a quarterly financial report (if the Company publishes such report in the future), half-year financial report or the annual financial statements, irrespective of whether the closed period within the meaning of Article 19 para. 11 of the Regulation (EU) No 596/2014 of the European Parliament and of the Council of 16 April 2014 on market abuse (market abuse regulation) (“</w:t>
      </w:r>
      <w:r>
        <w:rPr>
          <w:rFonts w:ascii="Arial" w:cs="Arial" w:eastAsia="Arial" w:hAnsi="Arial"/>
          <w:sz w:val="11"/>
          <w:szCs w:val="11"/>
          <w:b w:val="1"/>
          <w:bCs w:val="1"/>
          <w:i w:val="1"/>
          <w:iCs w:val="1"/>
          <w:color w:val="auto"/>
        </w:rPr>
        <w:t>MAR</w:t>
      </w:r>
      <w:r>
        <w:rPr>
          <w:rFonts w:ascii="Arial" w:cs="Arial" w:eastAsia="Arial" w:hAnsi="Arial"/>
          <w:sz w:val="11"/>
          <w:szCs w:val="11"/>
          <w:color w:val="auto"/>
        </w:rPr>
        <w:t>”) applies to the Company or any such report or financial statement, or (ii) during a time when the Company (a) is aware of any inside information as defined in Article 7 para. 1 MAR with respect to the Company or its securities or</w:t>
      </w:r>
    </w:p>
    <w:p>
      <w:pPr>
        <w:spacing w:after="0" w:line="2" w:lineRule="exact"/>
        <w:rPr>
          <w:sz w:val="20"/>
          <w:szCs w:val="20"/>
          <w:color w:val="auto"/>
        </w:rPr>
      </w:pPr>
    </w:p>
    <w:p>
      <w:pPr>
        <w:ind w:left="1280" w:hanging="160"/>
        <w:spacing w:after="0"/>
        <w:tabs>
          <w:tab w:leader="none" w:pos="1280" w:val="left"/>
        </w:tabs>
        <w:numPr>
          <w:ilvl w:val="0"/>
          <w:numId w:val="298"/>
        </w:numPr>
        <w:rPr>
          <w:rFonts w:ascii="Arial" w:cs="Arial" w:eastAsia="Arial" w:hAnsi="Arial"/>
          <w:sz w:val="11"/>
          <w:szCs w:val="11"/>
          <w:color w:val="auto"/>
        </w:rPr>
      </w:pPr>
      <w:r>
        <w:rPr>
          <w:rFonts w:ascii="Arial" w:cs="Arial" w:eastAsia="Arial" w:hAnsi="Arial"/>
          <w:sz w:val="11"/>
          <w:szCs w:val="11"/>
          <w:color w:val="auto"/>
        </w:rPr>
        <w:t>is relying on a temporary exemption from the ad-hoc disclosure obligation pursuant to Article 17 para. 4 MAR (each a “</w:t>
      </w:r>
      <w:r>
        <w:rPr>
          <w:rFonts w:ascii="Arial" w:cs="Arial" w:eastAsia="Arial" w:hAnsi="Arial"/>
          <w:sz w:val="11"/>
          <w:szCs w:val="11"/>
          <w:b w:val="1"/>
          <w:bCs w:val="1"/>
          <w:i w:val="1"/>
          <w:iCs w:val="1"/>
          <w:color w:val="auto"/>
        </w:rPr>
        <w:t>Closed Period</w:t>
      </w:r>
      <w:r>
        <w:rPr>
          <w:rFonts w:ascii="Arial" w:cs="Arial" w:eastAsia="Arial" w:hAnsi="Arial"/>
          <w:sz w:val="11"/>
          <w:szCs w:val="11"/>
          <w:color w:val="auto"/>
        </w:rPr>
        <w:t>”).</w:t>
      </w:r>
    </w:p>
    <w:p>
      <w:pPr>
        <w:spacing w:after="0" w:line="188" w:lineRule="exact"/>
        <w:rPr>
          <w:rFonts w:ascii="Arial" w:cs="Arial" w:eastAsia="Arial" w:hAnsi="Arial"/>
          <w:sz w:val="11"/>
          <w:szCs w:val="11"/>
          <w:color w:val="auto"/>
        </w:rPr>
      </w:pPr>
    </w:p>
    <w:p>
      <w:pPr>
        <w:ind w:left="4260"/>
        <w:spacing w:after="0"/>
        <w:rPr>
          <w:rFonts w:ascii="Arial" w:cs="Arial" w:eastAsia="Arial" w:hAnsi="Arial"/>
          <w:sz w:val="11"/>
          <w:szCs w:val="11"/>
          <w:color w:val="auto"/>
        </w:rPr>
      </w:pPr>
      <w:r>
        <w:rPr>
          <w:rFonts w:ascii="Arial" w:cs="Arial" w:eastAsia="Arial" w:hAnsi="Arial"/>
          <w:sz w:val="12"/>
          <w:szCs w:val="12"/>
          <w:color w:val="auto"/>
        </w:rPr>
        <w:t>Page 6/22</w:t>
      </w:r>
    </w:p>
    <w:p>
      <w:pPr>
        <w:sectPr>
          <w:pgSz w:w="11900" w:h="16838" w:orient="portrait"/>
          <w:cols w:equalWidth="0" w:num="1">
            <w:col w:w="9019"/>
          </w:cols>
          <w:pgMar w:left="1440" w:top="230" w:right="1440" w:bottom="1440" w:gutter="0" w:footer="0" w:header="0"/>
        </w:sectPr>
      </w:pPr>
    </w:p>
    <w:bookmarkStart w:id="341" w:name="page342"/>
    <w:bookmarkEnd w:id="341"/>
    <w:p>
      <w:pPr>
        <w:ind w:left="1120" w:right="1099" w:hanging="287"/>
        <w:spacing w:after="0" w:line="263" w:lineRule="auto"/>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2.5</w:t>
        <w:tab/>
        <w:t>The date on which the Grant Agreement becomes effective (the “</w:t>
      </w:r>
      <w:r>
        <w:rPr>
          <w:rFonts w:ascii="Arial" w:cs="Arial" w:eastAsia="Arial" w:hAnsi="Arial"/>
          <w:sz w:val="12"/>
          <w:szCs w:val="12"/>
          <w:b w:val="1"/>
          <w:bCs w:val="1"/>
          <w:i w:val="1"/>
          <w:iCs w:val="1"/>
          <w:color w:val="auto"/>
        </w:rPr>
        <w:t>Grant Date</w:t>
      </w:r>
      <w:r>
        <w:rPr>
          <w:rFonts w:ascii="Arial" w:cs="Arial" w:eastAsia="Arial" w:hAnsi="Arial"/>
          <w:sz w:val="12"/>
          <w:szCs w:val="12"/>
          <w:color w:val="auto"/>
        </w:rPr>
        <w:t>”) shall be the date on which the Beneficiary receives the offer to conclude the Grant Agreement (irrespective of the point in time the offer to conclude the Grant Agreement is accepted), unless the Grant Agreement specifies an earlier or a later date as Grant Date.</w:t>
      </w:r>
    </w:p>
    <w:p>
      <w:pPr>
        <w:spacing w:after="0" w:line="262" w:lineRule="exact"/>
        <w:rPr>
          <w:sz w:val="20"/>
          <w:szCs w:val="20"/>
          <w:color w:val="auto"/>
        </w:rPr>
      </w:pPr>
    </w:p>
    <w:p>
      <w:pPr>
        <w:ind w:left="4520" w:hanging="91"/>
        <w:spacing w:after="0"/>
        <w:tabs>
          <w:tab w:leader="none" w:pos="4520" w:val="left"/>
        </w:tabs>
        <w:numPr>
          <w:ilvl w:val="0"/>
          <w:numId w:val="299"/>
        </w:numPr>
        <w:rPr>
          <w:rFonts w:ascii="Arial" w:cs="Arial" w:eastAsia="Arial" w:hAnsi="Arial"/>
          <w:sz w:val="12"/>
          <w:szCs w:val="12"/>
          <w:b w:val="1"/>
          <w:bCs w:val="1"/>
          <w:color w:val="auto"/>
        </w:rPr>
      </w:pPr>
      <w:r>
        <w:rPr>
          <w:rFonts w:ascii="Arial" w:cs="Arial" w:eastAsia="Arial" w:hAnsi="Arial"/>
          <w:sz w:val="12"/>
          <w:szCs w:val="12"/>
          <w:b w:val="1"/>
          <w:bCs w:val="1"/>
          <w:color w:val="auto"/>
        </w:rPr>
        <w:t>3</w:t>
      </w:r>
    </w:p>
    <w:p>
      <w:pPr>
        <w:spacing w:after="0" w:line="18" w:lineRule="exact"/>
        <w:rPr>
          <w:rFonts w:ascii="Arial" w:cs="Arial" w:eastAsia="Arial" w:hAnsi="Arial"/>
          <w:sz w:val="12"/>
          <w:szCs w:val="12"/>
          <w:b w:val="1"/>
          <w:bCs w:val="1"/>
          <w:color w:val="auto"/>
        </w:rPr>
      </w:pPr>
    </w:p>
    <w:p>
      <w:pPr>
        <w:ind w:left="424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VESTING</w:t>
      </w:r>
    </w:p>
    <w:p>
      <w:pPr>
        <w:spacing w:after="0" w:line="159" w:lineRule="exact"/>
        <w:rPr>
          <w:sz w:val="20"/>
          <w:szCs w:val="20"/>
          <w:color w:val="auto"/>
        </w:rPr>
      </w:pPr>
    </w:p>
    <w:p>
      <w:pPr>
        <w:ind w:left="1120" w:right="939" w:hanging="287"/>
        <w:spacing w:after="0" w:line="247" w:lineRule="auto"/>
        <w:tabs>
          <w:tab w:leader="none" w:pos="110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1"/>
          <w:szCs w:val="11"/>
          <w:color w:val="auto"/>
        </w:rPr>
        <w:t>Subject to the forfeitures and adjustments in § 3.2, § 3.3 and § 4 of these RSUP Terms &amp; Conditions, the RSUs granted to a Beneficiary will vest over a four-year vesting period (“</w:t>
      </w:r>
      <w:r>
        <w:rPr>
          <w:rFonts w:ascii="Arial" w:cs="Arial" w:eastAsia="Arial" w:hAnsi="Arial"/>
          <w:sz w:val="11"/>
          <w:szCs w:val="11"/>
          <w:b w:val="1"/>
          <w:bCs w:val="1"/>
          <w:i w:val="1"/>
          <w:iCs w:val="1"/>
          <w:color w:val="auto"/>
        </w:rPr>
        <w:t>Vesting Period</w:t>
      </w:r>
      <w:r>
        <w:rPr>
          <w:rFonts w:ascii="Arial" w:cs="Arial" w:eastAsia="Arial" w:hAnsi="Arial"/>
          <w:sz w:val="11"/>
          <w:szCs w:val="11"/>
          <w:color w:val="auto"/>
        </w:rPr>
        <w:t>”) as follows (the “</w:t>
      </w:r>
      <w:r>
        <w:rPr>
          <w:rFonts w:ascii="Arial" w:cs="Arial" w:eastAsia="Arial" w:hAnsi="Arial"/>
          <w:sz w:val="11"/>
          <w:szCs w:val="11"/>
          <w:b w:val="1"/>
          <w:bCs w:val="1"/>
          <w:i w:val="1"/>
          <w:iCs w:val="1"/>
          <w:color w:val="auto"/>
        </w:rPr>
        <w:t>Vested RSUs</w:t>
      </w:r>
      <w:r>
        <w:rPr>
          <w:rFonts w:ascii="Arial" w:cs="Arial" w:eastAsia="Arial" w:hAnsi="Arial"/>
          <w:sz w:val="11"/>
          <w:szCs w:val="11"/>
          <w:color w:val="auto"/>
        </w:rPr>
        <w:t>”): If the Beneficiary’s service or employment relationship with the Company or an Affiliated Company has continued and remains unterminated (</w:t>
      </w:r>
      <w:r>
        <w:rPr>
          <w:rFonts w:ascii="Arial" w:cs="Arial" w:eastAsia="Arial" w:hAnsi="Arial"/>
          <w:sz w:val="11"/>
          <w:szCs w:val="11"/>
          <w:i w:val="1"/>
          <w:iCs w:val="1"/>
          <w:color w:val="auto"/>
        </w:rPr>
        <w:t>ungekündigt</w:t>
      </w:r>
      <w:r>
        <w:rPr>
          <w:rFonts w:ascii="Arial" w:cs="Arial" w:eastAsia="Arial" w:hAnsi="Arial"/>
          <w:sz w:val="11"/>
          <w:szCs w:val="11"/>
          <w:color w:val="auto"/>
        </w:rPr>
        <w:t>) after expiry of a period of twelve months following the Grant Date (the “</w:t>
      </w:r>
      <w:r>
        <w:rPr>
          <w:rFonts w:ascii="Arial" w:cs="Arial" w:eastAsia="Arial" w:hAnsi="Arial"/>
          <w:sz w:val="11"/>
          <w:szCs w:val="11"/>
          <w:b w:val="1"/>
          <w:bCs w:val="1"/>
          <w:i w:val="1"/>
          <w:iCs w:val="1"/>
          <w:color w:val="auto"/>
        </w:rPr>
        <w:t>Cliff Period</w:t>
      </w:r>
      <w:r>
        <w:rPr>
          <w:rFonts w:ascii="Arial" w:cs="Arial" w:eastAsia="Arial" w:hAnsi="Arial"/>
          <w:sz w:val="11"/>
          <w:szCs w:val="11"/>
          <w:color w:val="auto"/>
        </w:rPr>
        <w:t xml:space="preserve">”) </w:t>
      </w:r>
      <w:r>
        <w:rPr>
          <w:rFonts w:ascii="Arial" w:cs="Arial" w:eastAsia="Arial" w:hAnsi="Arial"/>
          <w:sz w:val="18"/>
          <w:szCs w:val="18"/>
          <w:color w:val="auto"/>
          <w:vertAlign w:val="superscript"/>
        </w:rPr>
        <w:t>1</w:t>
      </w:r>
      <w:r>
        <w:rPr>
          <w:rFonts w:ascii="Arial" w:cs="Arial" w:eastAsia="Arial" w:hAnsi="Arial"/>
          <w:sz w:val="11"/>
          <w:szCs w:val="11"/>
          <w:color w:val="auto"/>
        </w:rPr>
        <w:t>⁄</w:t>
      </w:r>
      <w:r>
        <w:rPr>
          <w:rFonts w:ascii="Arial" w:cs="Arial" w:eastAsia="Arial" w:hAnsi="Arial"/>
          <w:sz w:val="18"/>
          <w:szCs w:val="18"/>
          <w:color w:val="auto"/>
          <w:vertAlign w:val="subscript"/>
        </w:rPr>
        <w:t>4</w:t>
      </w:r>
      <w:r>
        <w:rPr>
          <w:rFonts w:ascii="Arial" w:cs="Arial" w:eastAsia="Arial" w:hAnsi="Arial"/>
          <w:sz w:val="11"/>
          <w:szCs w:val="11"/>
          <w:color w:val="auto"/>
        </w:rPr>
        <w:t xml:space="preserve"> of the Initial Number of RSUs shall vest; following the expiry of the Cliff Period, the remaining RSUs shall vest in instalments of 1/12 over each fully completed quarter of a year.</w:t>
      </w:r>
    </w:p>
    <w:p>
      <w:pPr>
        <w:spacing w:after="0" w:line="67" w:lineRule="exact"/>
        <w:rPr>
          <w:sz w:val="20"/>
          <w:szCs w:val="20"/>
          <w:color w:val="auto"/>
        </w:rPr>
      </w:pPr>
    </w:p>
    <w:p>
      <w:pPr>
        <w:ind w:left="1120" w:right="939" w:hanging="287"/>
        <w:spacing w:after="0" w:line="280" w:lineRule="auto"/>
        <w:tabs>
          <w:tab w:leader="none" w:pos="110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1"/>
          <w:szCs w:val="11"/>
          <w:color w:val="auto"/>
        </w:rPr>
        <w:t>RSUs may forfeit, if a Temporary Exemption from Work occurs during the Vesting Period. A “</w:t>
      </w:r>
      <w:r>
        <w:rPr>
          <w:rFonts w:ascii="Arial" w:cs="Arial" w:eastAsia="Arial" w:hAnsi="Arial"/>
          <w:sz w:val="11"/>
          <w:szCs w:val="11"/>
          <w:b w:val="1"/>
          <w:bCs w:val="1"/>
          <w:i w:val="1"/>
          <w:iCs w:val="1"/>
          <w:color w:val="auto"/>
        </w:rPr>
        <w:t>Temporary Exemption from Work</w:t>
      </w:r>
      <w:r>
        <w:rPr>
          <w:rFonts w:ascii="Arial" w:cs="Arial" w:eastAsia="Arial" w:hAnsi="Arial"/>
          <w:sz w:val="11"/>
          <w:szCs w:val="11"/>
          <w:color w:val="auto"/>
        </w:rPr>
        <w:t>” is any time period lasting more than six weeks during which a Beneficiary is temporarily exempted from his service or employment duties due to, for example, illness, parental leave, unpaid leave, exemption due to further education etc.. The first six weeks of a Temporary Exemption from Work are not counted towards the total duration of the Temporary Exemption from Work (“</w:t>
      </w:r>
      <w:r>
        <w:rPr>
          <w:rFonts w:ascii="Arial" w:cs="Arial" w:eastAsia="Arial" w:hAnsi="Arial"/>
          <w:sz w:val="11"/>
          <w:szCs w:val="11"/>
          <w:b w:val="1"/>
          <w:bCs w:val="1"/>
          <w:i w:val="1"/>
          <w:iCs w:val="1"/>
          <w:color w:val="auto"/>
        </w:rPr>
        <w:t>Six-week Grace Period</w:t>
      </w:r>
      <w:r>
        <w:rPr>
          <w:rFonts w:ascii="Arial" w:cs="Arial" w:eastAsia="Arial" w:hAnsi="Arial"/>
          <w:sz w:val="11"/>
          <w:szCs w:val="11"/>
          <w:color w:val="auto"/>
        </w:rPr>
        <w:t>”). Following the Six-week Grace Period, however, for each full month (in a single piece or summed up) which the Temporary Exemption from Work lasts, 1/48 of the Initial Number of RSUs granted shall forfeit without entitlement to compensation. In case of illness or pregnancy, the Six-week Grace Period shall be calculated pursuant to the statutory rules for wage continuation (</w:t>
      </w:r>
      <w:r>
        <w:rPr>
          <w:rFonts w:ascii="Arial" w:cs="Arial" w:eastAsia="Arial" w:hAnsi="Arial"/>
          <w:sz w:val="11"/>
          <w:szCs w:val="11"/>
          <w:i w:val="1"/>
          <w:iCs w:val="1"/>
          <w:color w:val="auto"/>
        </w:rPr>
        <w:t>Entgeltfortzahlung</w:t>
      </w:r>
      <w:r>
        <w:rPr>
          <w:rFonts w:ascii="Arial" w:cs="Arial" w:eastAsia="Arial" w:hAnsi="Arial"/>
          <w:sz w:val="11"/>
          <w:szCs w:val="11"/>
          <w:color w:val="auto"/>
        </w:rPr>
        <w:t>); in all other cases of a Temporary Exemption from Work the statutory rules for wage continuation (</w:t>
      </w:r>
      <w:r>
        <w:rPr>
          <w:rFonts w:ascii="Arial" w:cs="Arial" w:eastAsia="Arial" w:hAnsi="Arial"/>
          <w:sz w:val="11"/>
          <w:szCs w:val="11"/>
          <w:i w:val="1"/>
          <w:iCs w:val="1"/>
          <w:color w:val="auto"/>
        </w:rPr>
        <w:t>Entgeltfortzahlung</w:t>
      </w:r>
      <w:r>
        <w:rPr>
          <w:rFonts w:ascii="Arial" w:cs="Arial" w:eastAsia="Arial" w:hAnsi="Arial"/>
          <w:sz w:val="11"/>
          <w:szCs w:val="11"/>
          <w:color w:val="auto"/>
        </w:rPr>
        <w:t xml:space="preserve">) and its calculation apply </w:t>
      </w:r>
      <w:r>
        <w:rPr>
          <w:rFonts w:ascii="Arial" w:cs="Arial" w:eastAsia="Arial" w:hAnsi="Arial"/>
          <w:sz w:val="11"/>
          <w:szCs w:val="11"/>
          <w:i w:val="1"/>
          <w:iCs w:val="1"/>
          <w:color w:val="auto"/>
        </w:rPr>
        <w:t>mutatis mutandis</w:t>
      </w:r>
      <w:r>
        <w:rPr>
          <w:rFonts w:ascii="Arial" w:cs="Arial" w:eastAsia="Arial" w:hAnsi="Arial"/>
          <w:sz w:val="11"/>
          <w:szCs w:val="11"/>
          <w:color w:val="auto"/>
        </w:rPr>
        <w: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7/22</w:t>
      </w:r>
    </w:p>
    <w:p>
      <w:pPr>
        <w:sectPr>
          <w:pgSz w:w="11900" w:h="16838" w:orient="portrait"/>
          <w:cols w:equalWidth="0" w:num="1">
            <w:col w:w="9019"/>
          </w:cols>
          <w:pgMar w:left="1440" w:top="230" w:right="1440" w:bottom="1440" w:gutter="0" w:footer="0" w:header="0"/>
        </w:sectPr>
      </w:pPr>
    </w:p>
    <w:bookmarkStart w:id="342" w:name="page343"/>
    <w:bookmarkEnd w:id="342"/>
    <w:p>
      <w:pPr>
        <w:ind w:left="1120" w:right="859" w:hanging="287"/>
        <w:spacing w:after="0" w:line="256" w:lineRule="auto"/>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3.3</w:t>
        <w:tab/>
        <w:t xml:space="preserve">In case a Beneficiary, before the Vesting Period has ended, decreases his/her working time from full-time to part-time, the Grant Amount (and thus the Initial Number of RSUs) of such Beneficiary shall be adjusted accordingly on a </w:t>
      </w:r>
      <w:r>
        <w:rPr>
          <w:rFonts w:ascii="Arial" w:cs="Arial" w:eastAsia="Arial" w:hAnsi="Arial"/>
          <w:sz w:val="12"/>
          <w:szCs w:val="12"/>
          <w:i w:val="1"/>
          <w:iCs w:val="1"/>
          <w:color w:val="auto"/>
        </w:rPr>
        <w:t>pro rata temporis</w:t>
      </w:r>
      <w:r>
        <w:rPr>
          <w:rFonts w:ascii="Arial" w:cs="Arial" w:eastAsia="Arial" w:hAnsi="Arial"/>
          <w:sz w:val="12"/>
          <w:szCs w:val="12"/>
          <w:color w:val="auto"/>
        </w:rPr>
        <w:t xml:space="preserve"> basis by adjusting (decreasing) the number of RSUs not yet vested (“</w:t>
      </w:r>
      <w:r>
        <w:rPr>
          <w:rFonts w:ascii="Arial" w:cs="Arial" w:eastAsia="Arial" w:hAnsi="Arial"/>
          <w:sz w:val="12"/>
          <w:szCs w:val="12"/>
          <w:b w:val="1"/>
          <w:bCs w:val="1"/>
          <w:i w:val="1"/>
          <w:iCs w:val="1"/>
          <w:color w:val="auto"/>
        </w:rPr>
        <w:t>Adjustment</w:t>
      </w:r>
      <w:r>
        <w:rPr>
          <w:rFonts w:ascii="Arial" w:cs="Arial" w:eastAsia="Arial" w:hAnsi="Arial"/>
          <w:sz w:val="12"/>
          <w:szCs w:val="12"/>
          <w:color w:val="auto"/>
        </w:rPr>
        <w:t xml:space="preserve"> ”). The calculation of the Adjustment shall only be performed at the end of the Vesting Period in order to take account of all increases or decreases in working time over the Vesting Period; however, the Adjustment may never result in a number of RSUs higher than the Initial Number of RSUs.</w:t>
      </w:r>
    </w:p>
    <w:p>
      <w:pPr>
        <w:spacing w:after="0" w:line="56" w:lineRule="exact"/>
        <w:rPr>
          <w:sz w:val="20"/>
          <w:szCs w:val="20"/>
          <w:color w:val="auto"/>
        </w:rPr>
      </w:pPr>
    </w:p>
    <w:p>
      <w:pPr>
        <w:ind w:left="1120" w:right="859"/>
        <w:spacing w:after="0" w:line="375" w:lineRule="auto"/>
        <w:rPr>
          <w:sz w:val="20"/>
          <w:szCs w:val="20"/>
          <w:color w:val="auto"/>
        </w:rPr>
      </w:pPr>
      <w:r>
        <w:rPr>
          <w:rFonts w:ascii="Arial" w:cs="Arial" w:eastAsia="Arial" w:hAnsi="Arial"/>
          <w:sz w:val="10"/>
          <w:szCs w:val="10"/>
          <w:u w:val="single" w:color="auto"/>
          <w:color w:val="auto"/>
        </w:rPr>
        <w:t>For example</w:t>
      </w:r>
      <w:r>
        <w:rPr>
          <w:rFonts w:ascii="Arial" w:cs="Arial" w:eastAsia="Arial" w:hAnsi="Arial"/>
          <w:sz w:val="10"/>
          <w:szCs w:val="10"/>
          <w:color w:val="auto"/>
        </w:rPr>
        <w:t>: If a Beneficiary was initially granted 100 RSUs and has worked full-time for one year of the Vesting Period (starting with the Grant Date) and then reduces his working time to 50% for the remainder of the Vesting Period, the number of RSUs granted shall be adjusted as follows:</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Number of RSUs vested during the first year working full-time (100%): 25% of 100 RSUs, i.e. 25 RSUs.</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Number of unvested RSUs at the time the Beneficiary changes to part-time: 75 RSUs (100 RSUs – 25 RSUs)</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Adjustment: 75 RSUs * 50% (due to a reduction to 50% working time) = 37 RSUs (rounded down to the nearest RSU).</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Total number of RSUs after expiry of the Vesting Period: 62 RSUs.</w:t>
      </w:r>
    </w:p>
    <w:p>
      <w:pPr>
        <w:spacing w:after="0" w:line="87"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color w:val="auto"/>
        </w:rPr>
        <w:t>3.4</w:t>
      </w:r>
      <w:r>
        <w:rPr>
          <w:sz w:val="20"/>
          <w:szCs w:val="20"/>
          <w:color w:val="auto"/>
        </w:rPr>
        <w:tab/>
      </w:r>
      <w:r>
        <w:rPr>
          <w:rFonts w:ascii="Arial" w:cs="Arial" w:eastAsia="Arial" w:hAnsi="Arial"/>
          <w:sz w:val="11"/>
          <w:szCs w:val="11"/>
          <w:color w:val="auto"/>
        </w:rPr>
        <w:t>Any RSUs which have not vested following the four-year Vesting Period shall forfeit without entitlement to compensation.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4</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CONSEQUENCES OF A TERMINATION OF EMPLOYMENT</w:t>
      </w:r>
    </w:p>
    <w:p>
      <w:pPr>
        <w:spacing w:after="0" w:line="159" w:lineRule="exact"/>
        <w:rPr>
          <w:sz w:val="20"/>
          <w:szCs w:val="20"/>
          <w:color w:val="auto"/>
        </w:rPr>
      </w:pPr>
    </w:p>
    <w:p>
      <w:pPr>
        <w:ind w:left="1120" w:right="939" w:hanging="287"/>
        <w:spacing w:after="0" w:line="323" w:lineRule="auto"/>
        <w:tabs>
          <w:tab w:leader="none" w:pos="1100"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1"/>
          <w:szCs w:val="11"/>
          <w:color w:val="auto"/>
        </w:rPr>
        <w:t>In the event the Beneficiary’s service or employment relationship with the Company or an Affiliated Company (as the case may be) ends prior to the expiration of the Cliff Period, all RSUs granted to the respective Beneficiary will be forfeited without entitlement to compensation.</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8/22</w:t>
      </w:r>
    </w:p>
    <w:p>
      <w:pPr>
        <w:sectPr>
          <w:pgSz w:w="11900" w:h="16838" w:orient="portrait"/>
          <w:cols w:equalWidth="0" w:num="1">
            <w:col w:w="9019"/>
          </w:cols>
          <w:pgMar w:left="1440" w:top="230" w:right="1440" w:bottom="1440" w:gutter="0" w:footer="0" w:header="0"/>
        </w:sectPr>
      </w:pPr>
    </w:p>
    <w:bookmarkStart w:id="343" w:name="page344"/>
    <w:bookmarkEnd w:id="343"/>
    <w:p>
      <w:pPr>
        <w:ind w:left="840"/>
        <w:spacing w:after="0"/>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4.2</w:t>
      </w:r>
      <w:r>
        <w:rPr>
          <w:sz w:val="20"/>
          <w:szCs w:val="20"/>
          <w:color w:val="auto"/>
        </w:rPr>
        <w:tab/>
      </w:r>
      <w:r>
        <w:rPr>
          <w:rFonts w:ascii="Arial" w:cs="Arial" w:eastAsia="Arial" w:hAnsi="Arial"/>
          <w:sz w:val="10"/>
          <w:szCs w:val="10"/>
          <w:color w:val="auto"/>
        </w:rPr>
        <w:t>In the event the Beneficiary’s service or employment relationship with the Company or an Affiliated Company (as the case may be) ends</w:t>
      </w:r>
    </w:p>
    <w:p>
      <w:pPr>
        <w:spacing w:after="0" w:line="87"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2"/>
          <w:szCs w:val="12"/>
          <w:color w:val="auto"/>
        </w:rPr>
        <w:t>4.2.1</w:t>
      </w:r>
      <w:r>
        <w:rPr>
          <w:sz w:val="20"/>
          <w:szCs w:val="20"/>
          <w:color w:val="auto"/>
        </w:rPr>
        <w:tab/>
      </w:r>
      <w:r>
        <w:rPr>
          <w:rFonts w:ascii="Arial" w:cs="Arial" w:eastAsia="Arial" w:hAnsi="Arial"/>
          <w:sz w:val="10"/>
          <w:szCs w:val="10"/>
          <w:color w:val="auto"/>
        </w:rPr>
        <w:t>due to:</w:t>
      </w:r>
    </w:p>
    <w:p>
      <w:pPr>
        <w:spacing w:after="0" w:line="87" w:lineRule="exact"/>
        <w:rPr>
          <w:sz w:val="20"/>
          <w:szCs w:val="20"/>
          <w:color w:val="auto"/>
        </w:rPr>
      </w:pPr>
    </w:p>
    <w:p>
      <w:pPr>
        <w:ind w:left="1780" w:right="939" w:hanging="291"/>
        <w:spacing w:after="0" w:line="259" w:lineRule="auto"/>
        <w:tabs>
          <w:tab w:leader="none" w:pos="1780" w:val="left"/>
        </w:tabs>
        <w:numPr>
          <w:ilvl w:val="0"/>
          <w:numId w:val="300"/>
        </w:numPr>
        <w:rPr>
          <w:rFonts w:ascii="Arial" w:cs="Arial" w:eastAsia="Arial" w:hAnsi="Arial"/>
          <w:sz w:val="12"/>
          <w:szCs w:val="12"/>
          <w:color w:val="auto"/>
        </w:rPr>
      </w:pPr>
      <w:r>
        <w:rPr>
          <w:rFonts w:ascii="Arial" w:cs="Arial" w:eastAsia="Arial" w:hAnsi="Arial"/>
          <w:sz w:val="12"/>
          <w:szCs w:val="12"/>
          <w:color w:val="auto"/>
        </w:rPr>
        <w:t>the termination of the service or employment relationship with the Company or an Affiliated Company, as the case may be, where there are grounds justifying a termination of the service or employment relationship for good cause within the meaning of § 626 BGB (or the equivalent provision of applicable foreign law) irrespective of the preclusion period pursuant to § 626 para. 2 BGB (or the equivalent provision of applicable foreign law); or</w:t>
      </w:r>
    </w:p>
    <w:p>
      <w:pPr>
        <w:spacing w:after="0" w:line="61" w:lineRule="exact"/>
        <w:rPr>
          <w:rFonts w:ascii="Arial" w:cs="Arial" w:eastAsia="Arial" w:hAnsi="Arial"/>
          <w:sz w:val="12"/>
          <w:szCs w:val="12"/>
          <w:color w:val="auto"/>
        </w:rPr>
      </w:pPr>
    </w:p>
    <w:p>
      <w:pPr>
        <w:ind w:left="1780" w:right="859" w:hanging="291"/>
        <w:spacing w:after="0" w:line="254" w:lineRule="auto"/>
        <w:tabs>
          <w:tab w:leader="none" w:pos="1780" w:val="left"/>
        </w:tabs>
        <w:numPr>
          <w:ilvl w:val="0"/>
          <w:numId w:val="300"/>
        </w:numPr>
        <w:rPr>
          <w:rFonts w:ascii="Arial" w:cs="Arial" w:eastAsia="Arial" w:hAnsi="Arial"/>
          <w:sz w:val="12"/>
          <w:szCs w:val="12"/>
          <w:color w:val="auto"/>
        </w:rPr>
      </w:pPr>
      <w:r>
        <w:rPr>
          <w:rFonts w:ascii="Arial" w:cs="Arial" w:eastAsia="Arial" w:hAnsi="Arial"/>
          <w:sz w:val="12"/>
          <w:szCs w:val="12"/>
          <w:color w:val="auto"/>
        </w:rPr>
        <w:t>in case of any Beneficiary employed by any U.S. Affiliated Company (“</w:t>
      </w:r>
      <w:r>
        <w:rPr>
          <w:rFonts w:ascii="Arial" w:cs="Arial" w:eastAsia="Arial" w:hAnsi="Arial"/>
          <w:sz w:val="12"/>
          <w:szCs w:val="12"/>
          <w:b w:val="1"/>
          <w:bCs w:val="1"/>
          <w:i w:val="1"/>
          <w:iCs w:val="1"/>
          <w:color w:val="auto"/>
        </w:rPr>
        <w:t>US-Beneficiary</w:t>
      </w:r>
      <w:r>
        <w:rPr>
          <w:rFonts w:ascii="Arial" w:cs="Arial" w:eastAsia="Arial" w:hAnsi="Arial"/>
          <w:sz w:val="12"/>
          <w:szCs w:val="12"/>
          <w:color w:val="auto"/>
        </w:rPr>
        <w:t>”) a declaration of termination of the employment or service agreement by the US-Beneficiary which does not foresee a period of at least two (2) months between the date of declaration of termination of the employment or service agreement and the effective date of such termination (i.e. the last day on which a service or employment relationship/agreement exists between an U.S. Affiliated Company and the US-Beneficiary), provided, however, that the US-Beneficiary does not enter into a new service or employment relationship with the Company or an Affiliated Company or is appointed as member of the Management Board within three months of the date of declaration of termination;</w:t>
      </w:r>
    </w:p>
    <w:p>
      <w:pPr>
        <w:spacing w:after="0" w:line="5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(such Beneficiary a “</w:t>
      </w:r>
      <w:r>
        <w:rPr>
          <w:rFonts w:ascii="Arial" w:cs="Arial" w:eastAsia="Arial" w:hAnsi="Arial"/>
          <w:sz w:val="11"/>
          <w:szCs w:val="11"/>
          <w:b w:val="1"/>
          <w:bCs w:val="1"/>
          <w:i w:val="1"/>
          <w:iCs w:val="1"/>
          <w:color w:val="auto"/>
        </w:rPr>
        <w:t>Bad Leaver</w:t>
      </w:r>
      <w:r>
        <w:rPr>
          <w:rFonts w:ascii="Arial" w:cs="Arial" w:eastAsia="Arial" w:hAnsi="Arial"/>
          <w:sz w:val="11"/>
          <w:szCs w:val="11"/>
          <w:color w:val="auto"/>
        </w:rPr>
        <w:t>”) all Vested RSUs and unvested RSUs granted to the Bad Leaver (whether held by him/her or any third party)</w:t>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will be forfeited without entitlement to compensation; or</w:t>
      </w:r>
    </w:p>
    <w:p>
      <w:pPr>
        <w:spacing w:after="0" w:line="78" w:lineRule="exact"/>
        <w:rPr>
          <w:sz w:val="20"/>
          <w:szCs w:val="20"/>
          <w:color w:val="auto"/>
        </w:rPr>
      </w:pPr>
    </w:p>
    <w:p>
      <w:pPr>
        <w:ind w:left="1480" w:right="1079" w:hanging="359"/>
        <w:spacing w:after="0" w:line="276" w:lineRule="auto"/>
        <w:tabs>
          <w:tab w:leader="none" w:pos="1460" w:val="left"/>
        </w:tabs>
        <w:rPr>
          <w:sz w:val="20"/>
          <w:szCs w:val="20"/>
          <w:color w:val="auto"/>
        </w:rPr>
      </w:pPr>
      <w:r>
        <w:rPr>
          <w:rFonts w:ascii="Arial" w:cs="Arial" w:eastAsia="Arial" w:hAnsi="Arial"/>
          <w:sz w:val="12"/>
          <w:szCs w:val="12"/>
          <w:color w:val="auto"/>
        </w:rPr>
        <w:t>4.2.2</w:t>
        <w:tab/>
        <w:t>due to any reason not qualifying the relevant Beneficiary as a Bad Leaver (such Beneficiary a “</w:t>
      </w:r>
      <w:r>
        <w:rPr>
          <w:rFonts w:ascii="Arial" w:cs="Arial" w:eastAsia="Arial" w:hAnsi="Arial"/>
          <w:sz w:val="12"/>
          <w:szCs w:val="12"/>
          <w:b w:val="1"/>
          <w:bCs w:val="1"/>
          <w:i w:val="1"/>
          <w:iCs w:val="1"/>
          <w:color w:val="auto"/>
        </w:rPr>
        <w:t>Good Leaver</w:t>
      </w:r>
      <w:r>
        <w:rPr>
          <w:rFonts w:ascii="Arial" w:cs="Arial" w:eastAsia="Arial" w:hAnsi="Arial"/>
          <w:sz w:val="12"/>
          <w:szCs w:val="12"/>
          <w:color w:val="auto"/>
        </w:rPr>
        <w:t>”), such Good Leaver will retain all Vested RSUs and any unvested RSUs will be forfeited without entitlement to compensation.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9/22</w:t>
      </w:r>
    </w:p>
    <w:p>
      <w:pPr>
        <w:sectPr>
          <w:pgSz w:w="11900" w:h="16838" w:orient="portrait"/>
          <w:cols w:equalWidth="0" w:num="1">
            <w:col w:w="9019"/>
          </w:cols>
          <w:pgMar w:left="1440" w:top="230" w:right="1440" w:bottom="1440" w:gutter="0" w:footer="0" w:header="0"/>
        </w:sectPr>
      </w:pPr>
    </w:p>
    <w:bookmarkStart w:id="344" w:name="page345"/>
    <w:bookmarkEnd w:id="344"/>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CASH PAYMENT CLAIM RESULTING FROM RSUS AND SETTLEMENT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RSUS, CASHLESS EXERCISE OPTION</w:t>
      </w:r>
    </w:p>
    <w:p>
      <w:pPr>
        <w:spacing w:after="0" w:line="159"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color w:val="auto"/>
        </w:rPr>
        <w:t>5.1</w:t>
      </w:r>
      <w:r>
        <w:rPr>
          <w:sz w:val="20"/>
          <w:szCs w:val="20"/>
          <w:color w:val="auto"/>
        </w:rPr>
        <w:tab/>
      </w:r>
      <w:r>
        <w:rPr>
          <w:rFonts w:ascii="Arial" w:cs="Arial" w:eastAsia="Arial" w:hAnsi="Arial"/>
          <w:sz w:val="10"/>
          <w:szCs w:val="10"/>
          <w:color w:val="auto"/>
        </w:rPr>
        <w:t>Each Vested RSU shall entitle the Beneficiary to a cash payment claim (the “</w:t>
      </w:r>
      <w:r>
        <w:rPr>
          <w:rFonts w:ascii="Arial" w:cs="Arial" w:eastAsia="Arial" w:hAnsi="Arial"/>
          <w:sz w:val="10"/>
          <w:szCs w:val="10"/>
          <w:b w:val="1"/>
          <w:bCs w:val="1"/>
          <w:i w:val="1"/>
          <w:iCs w:val="1"/>
          <w:color w:val="auto"/>
        </w:rPr>
        <w:t>Cash Payment Claim</w:t>
      </w:r>
      <w:r>
        <w:rPr>
          <w:rFonts w:ascii="Arial" w:cs="Arial" w:eastAsia="Arial" w:hAnsi="Arial"/>
          <w:sz w:val="10"/>
          <w:szCs w:val="10"/>
          <w:color w:val="auto"/>
        </w:rPr>
        <w:t>”) against the Company in the amount of (i) in</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case of a Share Settlement (as defined in § 5.3) and subject to § 15.3, the closing price (</w:t>
      </w:r>
      <w:r>
        <w:rPr>
          <w:rFonts w:ascii="Arial" w:cs="Arial" w:eastAsia="Arial" w:hAnsi="Arial"/>
          <w:sz w:val="10"/>
          <w:szCs w:val="10"/>
          <w:i w:val="1"/>
          <w:iCs w:val="1"/>
          <w:color w:val="auto"/>
        </w:rPr>
        <w:t>Schlusskurs</w:t>
      </w:r>
      <w:r>
        <w:rPr>
          <w:rFonts w:ascii="Arial" w:cs="Arial" w:eastAsia="Arial" w:hAnsi="Arial"/>
          <w:sz w:val="10"/>
          <w:szCs w:val="10"/>
          <w:color w:val="auto"/>
        </w:rPr>
        <w:t>) of the Shares or certificates representing the</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Company’s Shares on the last trading day before the day of the resolution of the Company’s Management Board to utilize, with the consent of the</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Company’s Supervisory Board, the Authorized Capital 2021/II against contribution in kind (such date the “</w:t>
      </w:r>
      <w:r>
        <w:rPr>
          <w:rFonts w:ascii="Arial" w:cs="Arial" w:eastAsia="Arial" w:hAnsi="Arial"/>
          <w:sz w:val="10"/>
          <w:szCs w:val="10"/>
          <w:b w:val="1"/>
          <w:bCs w:val="1"/>
          <w:i w:val="1"/>
          <w:iCs w:val="1"/>
          <w:color w:val="auto"/>
        </w:rPr>
        <w:t>Capital Increase Resolution Date</w:t>
      </w:r>
      <w:r>
        <w:rPr>
          <w:rFonts w:ascii="Arial" w:cs="Arial" w:eastAsia="Arial" w:hAnsi="Arial"/>
          <w:sz w:val="10"/>
          <w:szCs w:val="10"/>
          <w:color w:val="auto"/>
        </w:rPr>
        <w:t>”) on</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the Company’s Primary Stock Exchange as determined on the basis of the ten trading days prior to the Capital Increase Resolution Date (the</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Share Settlement Closing Price</w:t>
      </w:r>
      <w:r>
        <w:rPr>
          <w:rFonts w:ascii="Arial" w:cs="Arial" w:eastAsia="Arial" w:hAnsi="Arial"/>
          <w:sz w:val="11"/>
          <w:szCs w:val="11"/>
          <w:color w:val="auto"/>
        </w:rPr>
        <w:t>”) or, (ii) in case of a Cash Settlement (as defined in § 5.4) and subject to § 15.3, the average closing price</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Schlusskurs</w:t>
      </w:r>
      <w:r>
        <w:rPr>
          <w:rFonts w:ascii="Arial" w:cs="Arial" w:eastAsia="Arial" w:hAnsi="Arial"/>
          <w:sz w:val="11"/>
          <w:szCs w:val="11"/>
          <w:color w:val="auto"/>
        </w:rPr>
        <w:t>) of the Shares or certificates representing the Company’s Shares during the 30 trading days following the date of the publication by</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the Company of its annual financial statements (such date the “</w:t>
      </w:r>
      <w:r>
        <w:rPr>
          <w:rFonts w:ascii="Arial" w:cs="Arial" w:eastAsia="Arial" w:hAnsi="Arial"/>
          <w:sz w:val="10"/>
          <w:szCs w:val="10"/>
          <w:b w:val="1"/>
          <w:bCs w:val="1"/>
          <w:i w:val="1"/>
          <w:iCs w:val="1"/>
          <w:color w:val="auto"/>
        </w:rPr>
        <w:t>Cash Settlement Date</w:t>
      </w:r>
      <w:r>
        <w:rPr>
          <w:rFonts w:ascii="Arial" w:cs="Arial" w:eastAsia="Arial" w:hAnsi="Arial"/>
          <w:sz w:val="10"/>
          <w:szCs w:val="10"/>
          <w:color w:val="auto"/>
        </w:rPr>
        <w:t>”) on the Company’s Primary Stock Exchange as determined</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on the basis of the ten trading days prior to the Cash Settlement Date (the “</w:t>
      </w:r>
      <w:r>
        <w:rPr>
          <w:rFonts w:ascii="Arial" w:cs="Arial" w:eastAsia="Arial" w:hAnsi="Arial"/>
          <w:sz w:val="11"/>
          <w:szCs w:val="11"/>
          <w:b w:val="1"/>
          <w:bCs w:val="1"/>
          <w:i w:val="1"/>
          <w:iCs w:val="1"/>
          <w:color w:val="auto"/>
        </w:rPr>
        <w:t>Cash Settlement Closing Price</w:t>
      </w:r>
      <w:r>
        <w:rPr>
          <w:rFonts w:ascii="Arial" w:cs="Arial" w:eastAsia="Arial" w:hAnsi="Arial"/>
          <w:sz w:val="11"/>
          <w:szCs w:val="11"/>
          <w:color w:val="auto"/>
        </w:rPr>
        <w:t>”). If a closing auction does not take</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place on the relevant trading day(s) or a price is not determined in the auction, the applicable price will be the last price quoted in continuous</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trading, provided there was continuous trading on that trading day.</w:t>
      </w:r>
    </w:p>
    <w:p>
      <w:pPr>
        <w:spacing w:after="0" w:line="78" w:lineRule="exact"/>
        <w:rPr>
          <w:sz w:val="20"/>
          <w:szCs w:val="20"/>
          <w:color w:val="auto"/>
        </w:rPr>
      </w:pPr>
    </w:p>
    <w:p>
      <w:pPr>
        <w:ind w:left="1120" w:right="839" w:hanging="287"/>
        <w:spacing w:after="0" w:line="285" w:lineRule="auto"/>
        <w:tabs>
          <w:tab w:leader="none" w:pos="110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1"/>
          <w:szCs w:val="11"/>
          <w:color w:val="auto"/>
        </w:rPr>
        <w:t>Subject to § 9, once per year within a period of forty trading days following the publication by the Company of its annual financial statements (whereby “trading days” within this meaning means trading days on the Company’s Primary Stock Exchange as determined on the basis of one month prior to the publication by the Company of its respective annual financial statements), the Company will settle all Vested RSUs, which vested over the period of one year, as determined by the Company in its sole discretion either (i) by way of a Share Settlement (as defined in § 5.3) or (ii) by way of a Cash Settlement (as defined in § 5.4), or (iii) by a combination of both.</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10/22</w:t>
      </w:r>
    </w:p>
    <w:p>
      <w:pPr>
        <w:sectPr>
          <w:pgSz w:w="11900" w:h="16838" w:orient="portrait"/>
          <w:cols w:equalWidth="0" w:num="1">
            <w:col w:w="9019"/>
          </w:cols>
          <w:pgMar w:left="1440" w:top="226" w:right="1440" w:bottom="1440" w:gutter="0" w:footer="0" w:header="0"/>
        </w:sectPr>
      </w:pPr>
    </w:p>
    <w:bookmarkStart w:id="345" w:name="page346"/>
    <w:bookmarkEnd w:id="345"/>
    <w:p>
      <w:pPr>
        <w:ind w:left="1120" w:right="959" w:hanging="287"/>
        <w:spacing w:after="0" w:line="278" w:lineRule="auto"/>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5.3</w:t>
      </w:r>
      <w:r>
        <w:rPr>
          <w:sz w:val="20"/>
          <w:szCs w:val="20"/>
          <w:color w:val="auto"/>
        </w:rPr>
        <w:tab/>
      </w:r>
      <w:r>
        <w:rPr>
          <w:rFonts w:ascii="Arial" w:cs="Arial" w:eastAsia="Arial" w:hAnsi="Arial"/>
          <w:sz w:val="11"/>
          <w:szCs w:val="11"/>
          <w:color w:val="auto"/>
        </w:rPr>
        <w:t>For a “</w:t>
      </w:r>
      <w:r>
        <w:rPr>
          <w:rFonts w:ascii="Arial" w:cs="Arial" w:eastAsia="Arial" w:hAnsi="Arial"/>
          <w:sz w:val="11"/>
          <w:szCs w:val="11"/>
          <w:b w:val="1"/>
          <w:bCs w:val="1"/>
          <w:i w:val="1"/>
          <w:iCs w:val="1"/>
          <w:color w:val="auto"/>
        </w:rPr>
        <w:t>Share Settlement</w:t>
      </w:r>
      <w:r>
        <w:rPr>
          <w:rFonts w:ascii="Arial" w:cs="Arial" w:eastAsia="Arial" w:hAnsi="Arial"/>
          <w:sz w:val="11"/>
          <w:szCs w:val="11"/>
          <w:color w:val="auto"/>
        </w:rPr>
        <w:t>” Shares shall be created from a capital increase out of the Authorized Capital 2021/II (</w:t>
      </w:r>
      <w:r>
        <w:rPr>
          <w:rFonts w:ascii="Arial" w:cs="Arial" w:eastAsia="Arial" w:hAnsi="Arial"/>
          <w:sz w:val="11"/>
          <w:szCs w:val="11"/>
          <w:i w:val="1"/>
          <w:iCs w:val="1"/>
          <w:color w:val="auto"/>
        </w:rPr>
        <w:t>Kapitalerhöhung aus</w:t>
      </w:r>
      <w:r>
        <w:rPr>
          <w:rFonts w:ascii="Arial" w:cs="Arial" w:eastAsia="Arial" w:hAnsi="Arial"/>
          <w:sz w:val="11"/>
          <w:szCs w:val="11"/>
          <w:color w:val="auto"/>
        </w:rPr>
        <w:t xml:space="preserve"> </w:t>
      </w:r>
      <w:r>
        <w:rPr>
          <w:rFonts w:ascii="Arial" w:cs="Arial" w:eastAsia="Arial" w:hAnsi="Arial"/>
          <w:sz w:val="11"/>
          <w:szCs w:val="11"/>
          <w:i w:val="1"/>
          <w:iCs w:val="1"/>
          <w:color w:val="auto"/>
        </w:rPr>
        <w:t>Genehmigtem Kapital 2021/II</w:t>
      </w:r>
      <w:r>
        <w:rPr>
          <w:rFonts w:ascii="Arial" w:cs="Arial" w:eastAsia="Arial" w:hAnsi="Arial"/>
          <w:sz w:val="11"/>
          <w:szCs w:val="11"/>
          <w:color w:val="auto"/>
        </w:rPr>
        <w:t>) against contribution in kind (</w:t>
      </w:r>
      <w:r>
        <w:rPr>
          <w:rFonts w:ascii="Arial" w:cs="Arial" w:eastAsia="Arial" w:hAnsi="Arial"/>
          <w:sz w:val="11"/>
          <w:szCs w:val="11"/>
          <w:i w:val="1"/>
          <w:iCs w:val="1"/>
          <w:color w:val="auto"/>
        </w:rPr>
        <w:t>Sacheinlage</w:t>
      </w:r>
      <w:r>
        <w:rPr>
          <w:rFonts w:ascii="Arial" w:cs="Arial" w:eastAsia="Arial" w:hAnsi="Arial"/>
          <w:sz w:val="11"/>
          <w:szCs w:val="11"/>
          <w:color w:val="auto"/>
        </w:rPr>
        <w:t>). The respective contribution in kind (</w:t>
      </w:r>
      <w:r>
        <w:rPr>
          <w:rFonts w:ascii="Arial" w:cs="Arial" w:eastAsia="Arial" w:hAnsi="Arial"/>
          <w:sz w:val="11"/>
          <w:szCs w:val="11"/>
          <w:i w:val="1"/>
          <w:iCs w:val="1"/>
          <w:color w:val="auto"/>
        </w:rPr>
        <w:t>Sacheinlage</w:t>
      </w:r>
      <w:r>
        <w:rPr>
          <w:rFonts w:ascii="Arial" w:cs="Arial" w:eastAsia="Arial" w:hAnsi="Arial"/>
          <w:sz w:val="11"/>
          <w:szCs w:val="11"/>
          <w:color w:val="auto"/>
        </w:rPr>
        <w:t>) for the new Shares</w:t>
      </w:r>
      <w:r>
        <w:rPr>
          <w:rFonts w:ascii="Arial" w:cs="Arial" w:eastAsia="Arial" w:hAnsi="Arial"/>
          <w:sz w:val="11"/>
          <w:szCs w:val="11"/>
          <w:i w:val="1"/>
          <w:iCs w:val="1"/>
          <w:color w:val="auto"/>
        </w:rPr>
        <w:t xml:space="preserve"> </w:t>
      </w:r>
      <w:r>
        <w:rPr>
          <w:rFonts w:ascii="Arial" w:cs="Arial" w:eastAsia="Arial" w:hAnsi="Arial"/>
          <w:sz w:val="11"/>
          <w:szCs w:val="11"/>
          <w:color w:val="auto"/>
        </w:rPr>
        <w:t>shall be the Cash Payment Claim resulting from the Vested RSUs. The Cash Payment Claim will – in the course of the capital increase – be contributed by the Beneficiary to the Company against issuance of one (1) new Share for each one (1) Vested RSU; or in case the underline of RSUs are certificates representing the Company’s Shares, one (1) new certificate shall be issued to the Beneficiary for each one (1) Vested RSU. In the event of a Share Settlement, the Beneficiary will be required to take all measures necessary to effect the Share Settlement, including, for example, the opening of a securities account to which the Shares may be booked, the conclusion of a contribution agreement with the Company and/or the subscription of the new Shares to be issued to the Beneficiary by way of a subscription certificate. The actual date on which the new Shares, which were created from the capital increase against contribution in kind, are transferred to the securities account of the respective Beneficiary, the “</w:t>
      </w:r>
      <w:r>
        <w:rPr>
          <w:rFonts w:ascii="Arial" w:cs="Arial" w:eastAsia="Arial" w:hAnsi="Arial"/>
          <w:sz w:val="11"/>
          <w:szCs w:val="11"/>
          <w:b w:val="1"/>
          <w:bCs w:val="1"/>
          <w:i w:val="1"/>
          <w:iCs w:val="1"/>
          <w:color w:val="auto"/>
        </w:rPr>
        <w:t>Share Settlement Date</w:t>
      </w:r>
      <w:r>
        <w:rPr>
          <w:rFonts w:ascii="Arial" w:cs="Arial" w:eastAsia="Arial" w:hAnsi="Arial"/>
          <w:sz w:val="11"/>
          <w:szCs w:val="11"/>
          <w:color w:val="auto"/>
        </w:rPr>
        <w:t>”.</w:t>
      </w:r>
    </w:p>
    <w:p>
      <w:pPr>
        <w:spacing w:after="0" w:line="47" w:lineRule="exact"/>
        <w:rPr>
          <w:sz w:val="20"/>
          <w:szCs w:val="20"/>
          <w:color w:val="auto"/>
        </w:rPr>
      </w:pPr>
    </w:p>
    <w:p>
      <w:pPr>
        <w:ind w:left="1120" w:right="899"/>
        <w:spacing w:after="0" w:line="276" w:lineRule="auto"/>
        <w:rPr>
          <w:sz w:val="20"/>
          <w:szCs w:val="20"/>
          <w:color w:val="auto"/>
        </w:rPr>
      </w:pPr>
      <w:r>
        <w:rPr>
          <w:rFonts w:ascii="Arial" w:cs="Arial" w:eastAsia="Arial" w:hAnsi="Arial"/>
          <w:sz w:val="12"/>
          <w:szCs w:val="12"/>
          <w:u w:val="single" w:color="auto"/>
          <w:color w:val="auto"/>
        </w:rPr>
        <w:t>For example</w:t>
      </w:r>
      <w:r>
        <w:rPr>
          <w:rFonts w:ascii="Arial" w:cs="Arial" w:eastAsia="Arial" w:hAnsi="Arial"/>
          <w:sz w:val="12"/>
          <w:szCs w:val="12"/>
          <w:color w:val="auto"/>
        </w:rPr>
        <w:t>: If in a certain year 45 RSUs of a Beneficiary vested (Vested RSUs), then the Company may decide, in its sole discretion, whether to settle the 45 Vested RSUs by way of a Cash Settlement or a Share Settlement:</w:t>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2"/>
          <w:szCs w:val="12"/>
          <w:u w:val="single" w:color="auto"/>
          <w:color w:val="auto"/>
        </w:rPr>
        <w:t>Example Cash Settlement:</w:t>
      </w:r>
    </w:p>
    <w:p>
      <w:pPr>
        <w:spacing w:after="0" w:line="78" w:lineRule="exact"/>
        <w:rPr>
          <w:sz w:val="20"/>
          <w:szCs w:val="20"/>
          <w:color w:val="auto"/>
        </w:rPr>
      </w:pPr>
    </w:p>
    <w:p>
      <w:pPr>
        <w:ind w:left="1120" w:right="899"/>
        <w:spacing w:after="0" w:line="259" w:lineRule="auto"/>
        <w:rPr>
          <w:sz w:val="20"/>
          <w:szCs w:val="20"/>
          <w:color w:val="auto"/>
        </w:rPr>
      </w:pPr>
      <w:r>
        <w:rPr>
          <w:rFonts w:ascii="Arial" w:cs="Arial" w:eastAsia="Arial" w:hAnsi="Arial"/>
          <w:sz w:val="12"/>
          <w:szCs w:val="12"/>
          <w:color w:val="auto"/>
        </w:rPr>
        <w:t>In case of a Cash Settlement, subject to § 15.3, the Company will identify the Cash Settlement Closing Price, whereby the relevant Cash Settlement Date is the date of the publication by the Company of its annual financial statements in the year in which the settlement occurs. Assuming, the Cash Settlement Closing Price amounted to EUR 65.00, the Beneficiary’s Cash Payment Claim resulting from the 45 Vested RSUs would amount to EUR 2,925.00.</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11/22</w:t>
      </w:r>
    </w:p>
    <w:p>
      <w:pPr>
        <w:sectPr>
          <w:pgSz w:w="11900" w:h="16838" w:orient="portrait"/>
          <w:cols w:equalWidth="0" w:num="1">
            <w:col w:w="9019"/>
          </w:cols>
          <w:pgMar w:left="1440" w:top="230" w:right="1440" w:bottom="1440" w:gutter="0" w:footer="0" w:header="0"/>
        </w:sectPr>
      </w:pPr>
    </w:p>
    <w:bookmarkStart w:id="346" w:name="page347"/>
    <w:bookmarkEnd w:id="346"/>
    <w:p>
      <w:pPr>
        <w:ind w:left="1120"/>
        <w:spacing w:after="0"/>
        <w:rPr>
          <w:sz w:val="20"/>
          <w:szCs w:val="20"/>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Example Share Settlement:</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In case of a Share Settlement, the Company will request certain information from the Beneficiary and may request the Beneficiary to execute</w:t>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additional documents (such as a power of attorney), which are necessary to perform the Share Settlement. To issue the number of Shares</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equivalent to the number of Vested RSUs, the Company will, in a first step, identify the Share Settlement Closing Price. Assuming, the Share</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Settlement Closing Price amounted to EUR 65.00, the Beneficiary’s Cash Payment Claim resulting from the 45 Vested RSUs would amount to</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EUR 2,925.00. In a second step, following such determination, the Company’s Management Board, with the consent of the Supervisory Board,</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will resolve to issue 45 new Shares by way of a capital increase in the context of which the Company’s share capital will be increased by</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EUR 45.00 against contribution in kind of the Cash Payment Claim of the Beneficiary in the aggregate amount of EUR 2,925.00. Following the</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registration of the consummation of the capital increase, the 45 new Shares will be transferred to a security deposit of the Beneficiary, unless the</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Company and Beneficiary opt for a Cashless Exercise Option pursuant to § 5.4.</w:t>
      </w:r>
    </w:p>
    <w:p>
      <w:pPr>
        <w:spacing w:after="0" w:line="78" w:lineRule="exact"/>
        <w:rPr>
          <w:sz w:val="20"/>
          <w:szCs w:val="20"/>
          <w:color w:val="auto"/>
        </w:rPr>
      </w:pPr>
    </w:p>
    <w:p>
      <w:pPr>
        <w:ind w:left="1120" w:right="859" w:hanging="287"/>
        <w:spacing w:after="0" w:line="254" w:lineRule="auto"/>
        <w:tabs>
          <w:tab w:leader="none" w:pos="1100" w:val="left"/>
        </w:tabs>
        <w:rPr>
          <w:sz w:val="20"/>
          <w:szCs w:val="20"/>
          <w:color w:val="auto"/>
        </w:rPr>
      </w:pPr>
      <w:r>
        <w:rPr>
          <w:rFonts w:ascii="Arial" w:cs="Arial" w:eastAsia="Arial" w:hAnsi="Arial"/>
          <w:sz w:val="12"/>
          <w:szCs w:val="12"/>
          <w:color w:val="auto"/>
        </w:rPr>
        <w:t>5.4</w:t>
        <w:tab/>
        <w:t>In case of a Share Settlement, in order to facilitate the exercise of the RSUs by the Beneficiaries, the Company may – in its sole discretion and subject always to applicable law – arrange for the benefit of the Beneficiary with a service provider (“</w:t>
      </w:r>
      <w:r>
        <w:rPr>
          <w:rFonts w:ascii="Arial" w:cs="Arial" w:eastAsia="Arial" w:hAnsi="Arial"/>
          <w:sz w:val="12"/>
          <w:szCs w:val="12"/>
          <w:b w:val="1"/>
          <w:bCs w:val="1"/>
          <w:i w:val="1"/>
          <w:iCs w:val="1"/>
          <w:color w:val="auto"/>
        </w:rPr>
        <w:t>Service Provider</w:t>
      </w:r>
      <w:r>
        <w:rPr>
          <w:rFonts w:ascii="Arial" w:cs="Arial" w:eastAsia="Arial" w:hAnsi="Arial"/>
          <w:sz w:val="12"/>
          <w:szCs w:val="12"/>
          <w:color w:val="auto"/>
        </w:rPr>
        <w:t>”) a cashless exercise option (“</w:t>
      </w:r>
      <w:r>
        <w:rPr>
          <w:rFonts w:ascii="Arial" w:cs="Arial" w:eastAsia="Arial" w:hAnsi="Arial"/>
          <w:sz w:val="12"/>
          <w:szCs w:val="12"/>
          <w:b w:val="1"/>
          <w:bCs w:val="1"/>
          <w:i w:val="1"/>
          <w:iCs w:val="1"/>
          <w:color w:val="auto"/>
        </w:rPr>
        <w:t>Cashless Exercise Option</w:t>
      </w:r>
      <w:r>
        <w:rPr>
          <w:rFonts w:ascii="Arial" w:cs="Arial" w:eastAsia="Arial" w:hAnsi="Arial"/>
          <w:sz w:val="12"/>
          <w:szCs w:val="12"/>
          <w:color w:val="auto"/>
        </w:rPr>
        <w:t>”). Such Cashless Exercise Option may provide that the Service Provider arranges a sale on behalf of the relevant Beneficiary of such a number of Shares resulting from the Share Settlement of the Vested RSUs as is necessary to repay any taxes and/or employee social security contributions or other fees due by the Beneficiary in connection with the settlement of the Vested RSUs. Any Beneficiary who makes use of the Cashless Exercise Option has to bear all costs relating to the Cashless Exercise Option and the sale of the Shares resulting from the Vested RSUs.</w:t>
      </w:r>
    </w:p>
    <w:p>
      <w:pPr>
        <w:spacing w:after="0" w:line="67" w:lineRule="exact"/>
        <w:rPr>
          <w:sz w:val="20"/>
          <w:szCs w:val="20"/>
          <w:color w:val="auto"/>
        </w:rPr>
      </w:pPr>
    </w:p>
    <w:p>
      <w:pPr>
        <w:ind w:left="1120" w:right="939" w:hanging="287"/>
        <w:spacing w:after="0" w:line="276" w:lineRule="auto"/>
        <w:tabs>
          <w:tab w:leader="none" w:pos="1100" w:val="left"/>
        </w:tabs>
        <w:rPr>
          <w:sz w:val="20"/>
          <w:szCs w:val="20"/>
          <w:color w:val="auto"/>
        </w:rPr>
      </w:pPr>
      <w:r>
        <w:rPr>
          <w:rFonts w:ascii="Arial" w:cs="Arial" w:eastAsia="Arial" w:hAnsi="Arial"/>
          <w:sz w:val="12"/>
          <w:szCs w:val="12"/>
          <w:color w:val="auto"/>
        </w:rPr>
        <w:t>5.5</w:t>
        <w:tab/>
        <w:t>For a “</w:t>
      </w:r>
      <w:r>
        <w:rPr>
          <w:rFonts w:ascii="Arial" w:cs="Arial" w:eastAsia="Arial" w:hAnsi="Arial"/>
          <w:sz w:val="12"/>
          <w:szCs w:val="12"/>
          <w:b w:val="1"/>
          <w:bCs w:val="1"/>
          <w:i w:val="1"/>
          <w:iCs w:val="1"/>
          <w:color w:val="auto"/>
        </w:rPr>
        <w:t>Cash Settlement</w:t>
      </w:r>
      <w:r>
        <w:rPr>
          <w:rFonts w:ascii="Arial" w:cs="Arial" w:eastAsia="Arial" w:hAnsi="Arial"/>
          <w:sz w:val="12"/>
          <w:szCs w:val="12"/>
          <w:color w:val="auto"/>
        </w:rPr>
        <w:t>” a cash payment in the amount of the Cash Payment Claim is made by the Company to a bank account designated by the respective Beneficiary to the Company in advance.</w:t>
      </w:r>
    </w:p>
    <w:p>
      <w:pPr>
        <w:spacing w:after="0" w:line="52" w:lineRule="exact"/>
        <w:rPr>
          <w:sz w:val="20"/>
          <w:szCs w:val="20"/>
          <w:color w:val="auto"/>
        </w:rPr>
      </w:pPr>
    </w:p>
    <w:p>
      <w:pPr>
        <w:ind w:left="1120" w:right="839" w:hanging="287"/>
        <w:spacing w:after="0" w:line="276" w:lineRule="auto"/>
        <w:tabs>
          <w:tab w:leader="none" w:pos="1100" w:val="left"/>
        </w:tabs>
        <w:rPr>
          <w:sz w:val="20"/>
          <w:szCs w:val="20"/>
          <w:color w:val="auto"/>
        </w:rPr>
      </w:pPr>
      <w:r>
        <w:rPr>
          <w:rFonts w:ascii="Arial" w:cs="Arial" w:eastAsia="Arial" w:hAnsi="Arial"/>
          <w:sz w:val="12"/>
          <w:szCs w:val="12"/>
          <w:color w:val="auto"/>
        </w:rPr>
        <w:t>5.6</w:t>
        <w:tab/>
        <w:t>The Company will inform the Beneficiary whether it will make use of the Cash Settlement (as defined in § 5.4) or the Share Settlement (as defined in § 5.3) or a combination of both in advance of the settlement.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12/22</w:t>
      </w:r>
    </w:p>
    <w:p>
      <w:pPr>
        <w:sectPr>
          <w:pgSz w:w="11900" w:h="16838" w:orient="portrait"/>
          <w:cols w:equalWidth="0" w:num="1">
            <w:col w:w="9019"/>
          </w:cols>
          <w:pgMar w:left="1440" w:top="230" w:right="1440" w:bottom="1440" w:gutter="0" w:footer="0" w:header="0"/>
        </w:sectPr>
      </w:pPr>
    </w:p>
    <w:bookmarkStart w:id="347" w:name="page348"/>
    <w:bookmarkEnd w:id="347"/>
    <w:p>
      <w:pPr>
        <w:ind w:left="4520" w:hanging="91"/>
        <w:spacing w:after="0"/>
        <w:tabs>
          <w:tab w:leader="none" w:pos="4520" w:val="left"/>
        </w:tabs>
        <w:numPr>
          <w:ilvl w:val="0"/>
          <w:numId w:val="30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6</w:t>
      </w:r>
    </w:p>
    <w:p>
      <w:pPr>
        <w:spacing w:after="0" w:line="18" w:lineRule="exact"/>
        <w:rPr>
          <w:rFonts w:ascii="Arial" w:cs="Arial" w:eastAsia="Arial" w:hAnsi="Arial"/>
          <w:sz w:val="12"/>
          <w:szCs w:val="12"/>
          <w:b w:val="1"/>
          <w:bCs w:val="1"/>
          <w:color w:val="auto"/>
        </w:rPr>
      </w:pPr>
    </w:p>
    <w:p>
      <w:pPr>
        <w:ind w:left="392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TRANSFERABILLTY</w:t>
      </w:r>
    </w:p>
    <w:p>
      <w:pPr>
        <w:spacing w:after="0" w:line="159" w:lineRule="exact"/>
        <w:rPr>
          <w:sz w:val="20"/>
          <w:szCs w:val="20"/>
          <w:color w:val="auto"/>
        </w:rPr>
      </w:pPr>
    </w:p>
    <w:p>
      <w:pPr>
        <w:ind w:left="1120" w:right="859" w:hanging="287"/>
        <w:spacing w:after="0" w:line="276" w:lineRule="auto"/>
        <w:tabs>
          <w:tab w:leader="none" w:pos="1100" w:val="left"/>
        </w:tabs>
        <w:rPr>
          <w:sz w:val="20"/>
          <w:szCs w:val="20"/>
          <w:color w:val="auto"/>
        </w:rPr>
      </w:pPr>
      <w:r>
        <w:rPr>
          <w:rFonts w:ascii="Arial" w:cs="Arial" w:eastAsia="Arial" w:hAnsi="Arial"/>
          <w:sz w:val="12"/>
          <w:szCs w:val="12"/>
          <w:color w:val="auto"/>
        </w:rPr>
        <w:t>6.1</w:t>
        <w:tab/>
        <w:t>Neither the RSUs, nor the rights of any Beneficiary under any RSU or under the RSUP are assignable or otherwise transferable except as provided in this § 6 and in case it is required to implement a Cashless Exercise Option under § 5.4.</w:t>
      </w:r>
    </w:p>
    <w:p>
      <w:pPr>
        <w:spacing w:after="0" w:line="52"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0"/>
          <w:szCs w:val="10"/>
          <w:color w:val="auto"/>
        </w:rPr>
        <w:t>Vested RSUs are transferable only by will or applicable laws of descent upon the death of the relevant Beneficiary.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ADJUSTMENT IN CASE OF SPECIFIC CAPITAL AND OTHER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STRUCTURAL MEASURES</w:t>
      </w:r>
    </w:p>
    <w:p>
      <w:pPr>
        <w:spacing w:after="0" w:line="159" w:lineRule="exact"/>
        <w:rPr>
          <w:sz w:val="20"/>
          <w:szCs w:val="20"/>
          <w:color w:val="auto"/>
        </w:rPr>
      </w:pPr>
    </w:p>
    <w:p>
      <w:pPr>
        <w:ind w:left="840"/>
        <w:spacing w:after="0"/>
        <w:tabs>
          <w:tab w:leader="none" w:pos="1100" w:val="left"/>
        </w:tabs>
        <w:rPr>
          <w:sz w:val="20"/>
          <w:szCs w:val="20"/>
          <w:color w:val="auto"/>
        </w:rPr>
      </w:pPr>
      <w:r>
        <w:rPr>
          <w:rFonts w:ascii="Arial" w:cs="Arial" w:eastAsia="Arial" w:hAnsi="Arial"/>
          <w:sz w:val="12"/>
          <w:szCs w:val="12"/>
          <w:color w:val="auto"/>
        </w:rPr>
        <w:t>7.1</w:t>
      </w:r>
      <w:r>
        <w:rPr>
          <w:sz w:val="20"/>
          <w:szCs w:val="20"/>
          <w:color w:val="auto"/>
        </w:rPr>
        <w:tab/>
      </w:r>
      <w:r>
        <w:rPr>
          <w:rFonts w:ascii="Arial" w:cs="Arial" w:eastAsia="Arial" w:hAnsi="Arial"/>
          <w:sz w:val="10"/>
          <w:szCs w:val="10"/>
          <w:color w:val="auto"/>
        </w:rPr>
        <w:t>In the event of:</w:t>
      </w:r>
    </w:p>
    <w:p>
      <w:pPr>
        <w:spacing w:after="0" w:line="87"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2"/>
          <w:szCs w:val="12"/>
          <w:color w:val="auto"/>
        </w:rPr>
        <w:t>7.1.1</w:t>
      </w:r>
      <w:r>
        <w:rPr>
          <w:sz w:val="20"/>
          <w:szCs w:val="20"/>
          <w:color w:val="auto"/>
        </w:rPr>
        <w:tab/>
      </w:r>
      <w:r>
        <w:rPr>
          <w:rFonts w:ascii="Arial" w:cs="Arial" w:eastAsia="Arial" w:hAnsi="Arial"/>
          <w:sz w:val="10"/>
          <w:szCs w:val="10"/>
          <w:color w:val="auto"/>
        </w:rPr>
        <w:t>a capital increase from Company funds by the issue of new shares (</w:t>
      </w:r>
      <w:r>
        <w:rPr>
          <w:rFonts w:ascii="Arial" w:cs="Arial" w:eastAsia="Arial" w:hAnsi="Arial"/>
          <w:sz w:val="10"/>
          <w:szCs w:val="10"/>
          <w:i w:val="1"/>
          <w:iCs w:val="1"/>
          <w:color w:val="auto"/>
        </w:rPr>
        <w:t>Kapitalerhöhung aus Gesellschaftsmitteln</w:t>
      </w:r>
      <w:r>
        <w:rPr>
          <w:rFonts w:ascii="Arial" w:cs="Arial" w:eastAsia="Arial" w:hAnsi="Arial"/>
          <w:sz w:val="10"/>
          <w:szCs w:val="10"/>
          <w:color w:val="auto"/>
        </w:rPr>
        <w:t>);</w:t>
      </w:r>
    </w:p>
    <w:p>
      <w:pPr>
        <w:spacing w:after="0" w:line="87" w:lineRule="exact"/>
        <w:rPr>
          <w:sz w:val="20"/>
          <w:szCs w:val="20"/>
          <w:color w:val="auto"/>
        </w:rPr>
      </w:pPr>
    </w:p>
    <w:p>
      <w:pPr>
        <w:ind w:left="1480" w:right="1179" w:hanging="359"/>
        <w:spacing w:after="0" w:line="276" w:lineRule="auto"/>
        <w:tabs>
          <w:tab w:leader="none" w:pos="1460" w:val="left"/>
        </w:tabs>
        <w:rPr>
          <w:sz w:val="20"/>
          <w:szCs w:val="20"/>
          <w:color w:val="auto"/>
        </w:rPr>
      </w:pPr>
      <w:r>
        <w:rPr>
          <w:rFonts w:ascii="Arial" w:cs="Arial" w:eastAsia="Arial" w:hAnsi="Arial"/>
          <w:sz w:val="12"/>
          <w:szCs w:val="12"/>
          <w:color w:val="auto"/>
        </w:rPr>
        <w:t>7.1.2</w:t>
        <w:tab/>
        <w:t>a reduction in the number of Shares by merging Shares without capital reduction (reverse share split) or an increase in the number of Shares without capital increase (share split);</w:t>
      </w:r>
    </w:p>
    <w:p>
      <w:pPr>
        <w:spacing w:after="0" w:line="52"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2"/>
          <w:szCs w:val="12"/>
          <w:color w:val="auto"/>
        </w:rPr>
        <w:t>7.1.3</w:t>
      </w:r>
      <w:r>
        <w:rPr>
          <w:sz w:val="20"/>
          <w:szCs w:val="20"/>
          <w:color w:val="auto"/>
        </w:rPr>
        <w:tab/>
      </w:r>
      <w:r>
        <w:rPr>
          <w:rFonts w:ascii="Arial" w:cs="Arial" w:eastAsia="Arial" w:hAnsi="Arial"/>
          <w:sz w:val="10"/>
          <w:szCs w:val="10"/>
          <w:color w:val="auto"/>
        </w:rPr>
        <w:t>a capital reduction (</w:t>
      </w:r>
      <w:r>
        <w:rPr>
          <w:rFonts w:ascii="Arial" w:cs="Arial" w:eastAsia="Arial" w:hAnsi="Arial"/>
          <w:sz w:val="10"/>
          <w:szCs w:val="10"/>
          <w:i w:val="1"/>
          <w:iCs w:val="1"/>
          <w:color w:val="auto"/>
        </w:rPr>
        <w:t>Kapitalherabsetzung</w:t>
      </w:r>
      <w:r>
        <w:rPr>
          <w:rFonts w:ascii="Arial" w:cs="Arial" w:eastAsia="Arial" w:hAnsi="Arial"/>
          <w:sz w:val="10"/>
          <w:szCs w:val="10"/>
          <w:color w:val="auto"/>
        </w:rPr>
        <w:t>) with a change in the total number of Shares issued by the Company; or</w:t>
      </w:r>
    </w:p>
    <w:p>
      <w:pPr>
        <w:spacing w:after="0" w:line="87"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2"/>
          <w:szCs w:val="12"/>
          <w:color w:val="auto"/>
        </w:rPr>
        <w:t>7.1.4</w:t>
      </w:r>
      <w:r>
        <w:rPr>
          <w:sz w:val="20"/>
          <w:szCs w:val="20"/>
          <w:color w:val="auto"/>
        </w:rPr>
        <w:tab/>
      </w:r>
      <w:r>
        <w:rPr>
          <w:rFonts w:ascii="Arial" w:cs="Arial" w:eastAsia="Arial" w:hAnsi="Arial"/>
          <w:sz w:val="10"/>
          <w:szCs w:val="10"/>
          <w:color w:val="auto"/>
        </w:rPr>
        <w:t>any other such event having an effect similar to any of the foregoing (each an “</w:t>
      </w:r>
      <w:r>
        <w:rPr>
          <w:rFonts w:ascii="Arial" w:cs="Arial" w:eastAsia="Arial" w:hAnsi="Arial"/>
          <w:sz w:val="10"/>
          <w:szCs w:val="10"/>
          <w:b w:val="1"/>
          <w:bCs w:val="1"/>
          <w:i w:val="1"/>
          <w:iCs w:val="1"/>
          <w:color w:val="auto"/>
        </w:rPr>
        <w:t>Adjustment Event</w:t>
      </w:r>
      <w:r>
        <w:rPr>
          <w:rFonts w:ascii="Arial" w:cs="Arial" w:eastAsia="Arial" w:hAnsi="Arial"/>
          <w:sz w:val="10"/>
          <w:szCs w:val="10"/>
          <w:color w:val="auto"/>
        </w:rPr>
        <w:t>”),</w:t>
      </w:r>
    </w:p>
    <w:p>
      <w:pPr>
        <w:spacing w:after="0" w:line="78" w:lineRule="exact"/>
        <w:rPr>
          <w:sz w:val="20"/>
          <w:szCs w:val="20"/>
          <w:color w:val="auto"/>
        </w:rPr>
      </w:pPr>
    </w:p>
    <w:p>
      <w:pPr>
        <w:jc w:val="both"/>
        <w:ind w:left="1120" w:right="959"/>
        <w:spacing w:after="0" w:line="298" w:lineRule="auto"/>
        <w:rPr>
          <w:sz w:val="20"/>
          <w:szCs w:val="20"/>
          <w:color w:val="auto"/>
        </w:rPr>
      </w:pPr>
      <w:r>
        <w:rPr>
          <w:rFonts w:ascii="Arial" w:cs="Arial" w:eastAsia="Arial" w:hAnsi="Arial"/>
          <w:sz w:val="11"/>
          <w:szCs w:val="11"/>
          <w:color w:val="auto"/>
        </w:rPr>
        <w:t>the Company’s Management Board may – subject to mandatory law – establish financial equality for the Beneficiaries to the extent necessary to prevent that such Adjustment Event results in a dilution or enlargement of the benefits or potential benefits resulting from the granted RSUs. In such an Adjustment Event the financial equality shall preferably be established by adjusting the number of RSUs.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13/22</w:t>
      </w:r>
    </w:p>
    <w:p>
      <w:pPr>
        <w:sectPr>
          <w:pgSz w:w="11900" w:h="16838" w:orient="portrait"/>
          <w:cols w:equalWidth="0" w:num="1">
            <w:col w:w="9019"/>
          </w:cols>
          <w:pgMar w:left="1440" w:top="226" w:right="1440" w:bottom="1440" w:gutter="0" w:footer="0" w:header="0"/>
        </w:sectPr>
      </w:pPr>
    </w:p>
    <w:bookmarkStart w:id="348" w:name="page349"/>
    <w:bookmarkEnd w:id="348"/>
    <w:p>
      <w:pPr>
        <w:ind w:left="840"/>
        <w:spacing w:after="0"/>
        <w:tabs>
          <w:tab w:leader="none" w:pos="11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7.2</w:t>
      </w:r>
      <w:r>
        <w:rPr>
          <w:sz w:val="20"/>
          <w:szCs w:val="20"/>
          <w:color w:val="auto"/>
        </w:rPr>
        <w:tab/>
      </w:r>
      <w:r>
        <w:rPr>
          <w:rFonts w:ascii="Arial" w:cs="Arial" w:eastAsia="Arial" w:hAnsi="Arial"/>
          <w:sz w:val="10"/>
          <w:szCs w:val="10"/>
          <w:u w:val="single" w:color="auto"/>
          <w:color w:val="auto"/>
        </w:rPr>
        <w:t>For the avoidance of doubt</w:t>
      </w:r>
      <w:r>
        <w:rPr>
          <w:rFonts w:ascii="Arial" w:cs="Arial" w:eastAsia="Arial" w:hAnsi="Arial"/>
          <w:sz w:val="10"/>
          <w:szCs w:val="10"/>
          <w:color w:val="auto"/>
        </w:rPr>
        <w:t>: No adjustment pursuant to § 7.1 shall occur in the event of:</w:t>
      </w:r>
    </w:p>
    <w:p>
      <w:pPr>
        <w:spacing w:after="0" w:line="87" w:lineRule="exact"/>
        <w:rPr>
          <w:sz w:val="20"/>
          <w:szCs w:val="20"/>
          <w:color w:val="auto"/>
        </w:rPr>
      </w:pPr>
    </w:p>
    <w:p>
      <w:pPr>
        <w:ind w:left="1480" w:right="999" w:hanging="359"/>
        <w:spacing w:after="0" w:line="276" w:lineRule="auto"/>
        <w:tabs>
          <w:tab w:leader="none" w:pos="1460" w:val="left"/>
        </w:tabs>
        <w:rPr>
          <w:sz w:val="20"/>
          <w:szCs w:val="20"/>
          <w:color w:val="auto"/>
        </w:rPr>
      </w:pPr>
      <w:r>
        <w:rPr>
          <w:rFonts w:ascii="Arial" w:cs="Arial" w:eastAsia="Arial" w:hAnsi="Arial"/>
          <w:sz w:val="12"/>
          <w:szCs w:val="12"/>
          <w:color w:val="auto"/>
        </w:rPr>
        <w:t>7.2.1</w:t>
        <w:tab/>
        <w:t>a capital increase from Company funds without the issue of new Shares (</w:t>
      </w:r>
      <w:r>
        <w:rPr>
          <w:rFonts w:ascii="Arial" w:cs="Arial" w:eastAsia="Arial" w:hAnsi="Arial"/>
          <w:sz w:val="12"/>
          <w:szCs w:val="12"/>
          <w:i w:val="1"/>
          <w:iCs w:val="1"/>
          <w:color w:val="auto"/>
        </w:rPr>
        <w:t>Kapitalerhöhung aus Gesellschaftsmitteln ohne Ausgabe neuer</w:t>
      </w:r>
      <w:r>
        <w:rPr>
          <w:rFonts w:ascii="Arial" w:cs="Arial" w:eastAsia="Arial" w:hAnsi="Arial"/>
          <w:sz w:val="12"/>
          <w:szCs w:val="12"/>
          <w:color w:val="auto"/>
        </w:rPr>
        <w:t xml:space="preserve"> </w:t>
      </w:r>
      <w:r>
        <w:rPr>
          <w:rFonts w:ascii="Arial" w:cs="Arial" w:eastAsia="Arial" w:hAnsi="Arial"/>
          <w:sz w:val="12"/>
          <w:szCs w:val="12"/>
          <w:i w:val="1"/>
          <w:iCs w:val="1"/>
          <w:color w:val="auto"/>
        </w:rPr>
        <w:t>Aktien</w:t>
      </w:r>
      <w:r>
        <w:rPr>
          <w:rFonts w:ascii="Arial" w:cs="Arial" w:eastAsia="Arial" w:hAnsi="Arial"/>
          <w:sz w:val="12"/>
          <w:szCs w:val="12"/>
          <w:color w:val="auto"/>
        </w:rPr>
        <w:t>); or</w:t>
      </w:r>
    </w:p>
    <w:p>
      <w:pPr>
        <w:spacing w:after="0" w:line="52"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2"/>
          <w:szCs w:val="12"/>
          <w:color w:val="auto"/>
        </w:rPr>
        <w:t>7.2.2</w:t>
      </w:r>
      <w:r>
        <w:rPr>
          <w:sz w:val="20"/>
          <w:szCs w:val="20"/>
          <w:color w:val="auto"/>
        </w:rPr>
        <w:tab/>
      </w:r>
      <w:r>
        <w:rPr>
          <w:rFonts w:ascii="Arial" w:cs="Arial" w:eastAsia="Arial" w:hAnsi="Arial"/>
          <w:sz w:val="10"/>
          <w:szCs w:val="10"/>
          <w:color w:val="auto"/>
        </w:rPr>
        <w:t>a capital reduction without a change in the total number of Shares issued by the Company.</w:t>
      </w:r>
    </w:p>
    <w:p>
      <w:pPr>
        <w:spacing w:after="0" w:line="87" w:lineRule="exact"/>
        <w:rPr>
          <w:sz w:val="20"/>
          <w:szCs w:val="20"/>
          <w:color w:val="auto"/>
        </w:rPr>
      </w:pPr>
    </w:p>
    <w:p>
      <w:pPr>
        <w:ind w:left="1120" w:right="1399" w:hanging="287"/>
        <w:spacing w:after="0" w:line="276" w:lineRule="auto"/>
        <w:tabs>
          <w:tab w:leader="none" w:pos="1100" w:val="left"/>
        </w:tabs>
        <w:rPr>
          <w:sz w:val="20"/>
          <w:szCs w:val="20"/>
          <w:color w:val="auto"/>
        </w:rPr>
      </w:pPr>
      <w:r>
        <w:rPr>
          <w:rFonts w:ascii="Arial" w:cs="Arial" w:eastAsia="Arial" w:hAnsi="Arial"/>
          <w:sz w:val="12"/>
          <w:szCs w:val="12"/>
          <w:color w:val="auto"/>
        </w:rPr>
        <w:t>7.3</w:t>
        <w:tab/>
        <w:t>If an adjustment occurs in accordance with this § 7, fractions of shares will not be granted upon the settlement of RSUs nor will they be compensated by a payment in cash.</w:t>
      </w:r>
    </w:p>
    <w:p>
      <w:pPr>
        <w:spacing w:after="0" w:line="255" w:lineRule="exact"/>
        <w:rPr>
          <w:sz w:val="20"/>
          <w:szCs w:val="20"/>
          <w:color w:val="auto"/>
        </w:rPr>
      </w:pPr>
    </w:p>
    <w:p>
      <w:pPr>
        <w:ind w:left="4520" w:hanging="91"/>
        <w:spacing w:after="0"/>
        <w:tabs>
          <w:tab w:leader="none" w:pos="4520" w:val="left"/>
        </w:tabs>
        <w:numPr>
          <w:ilvl w:val="0"/>
          <w:numId w:val="302"/>
        </w:numPr>
        <w:rPr>
          <w:rFonts w:ascii="Arial" w:cs="Arial" w:eastAsia="Arial" w:hAnsi="Arial"/>
          <w:sz w:val="12"/>
          <w:szCs w:val="12"/>
          <w:b w:val="1"/>
          <w:bCs w:val="1"/>
          <w:color w:val="auto"/>
        </w:rPr>
      </w:pPr>
      <w:r>
        <w:rPr>
          <w:rFonts w:ascii="Arial" w:cs="Arial" w:eastAsia="Arial" w:hAnsi="Arial"/>
          <w:sz w:val="12"/>
          <w:szCs w:val="12"/>
          <w:b w:val="1"/>
          <w:bCs w:val="1"/>
          <w:color w:val="auto"/>
        </w:rPr>
        <w:t>8</w:t>
      </w:r>
    </w:p>
    <w:p>
      <w:pPr>
        <w:spacing w:after="0" w:line="18" w:lineRule="exact"/>
        <w:rPr>
          <w:rFonts w:ascii="Arial" w:cs="Arial" w:eastAsia="Arial" w:hAnsi="Arial"/>
          <w:sz w:val="12"/>
          <w:szCs w:val="12"/>
          <w:b w:val="1"/>
          <w:bCs w:val="1"/>
          <w:color w:val="auto"/>
        </w:rPr>
      </w:pPr>
    </w:p>
    <w:p>
      <w:pPr>
        <w:ind w:left="344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EXTRAORDINARY DEVELOPMENTS</w:t>
      </w:r>
    </w:p>
    <w:p>
      <w:pPr>
        <w:spacing w:after="0" w:line="159" w:lineRule="exact"/>
        <w:rPr>
          <w:sz w:val="20"/>
          <w:szCs w:val="20"/>
          <w:color w:val="auto"/>
        </w:rPr>
      </w:pPr>
    </w:p>
    <w:p>
      <w:pPr>
        <w:ind w:left="1120" w:right="859" w:hanging="287"/>
        <w:spacing w:after="0" w:line="285" w:lineRule="auto"/>
        <w:tabs>
          <w:tab w:leader="none" w:pos="1100"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1"/>
          <w:szCs w:val="11"/>
          <w:color w:val="auto"/>
        </w:rPr>
        <w:t>For purposes of this § 8, “</w:t>
      </w:r>
      <w:r>
        <w:rPr>
          <w:rFonts w:ascii="Arial" w:cs="Arial" w:eastAsia="Arial" w:hAnsi="Arial"/>
          <w:sz w:val="11"/>
          <w:szCs w:val="11"/>
          <w:b w:val="1"/>
          <w:bCs w:val="1"/>
          <w:i w:val="1"/>
          <w:iCs w:val="1"/>
          <w:color w:val="auto"/>
        </w:rPr>
        <w:t>Extraordinary Events or Developments</w:t>
      </w:r>
      <w:r>
        <w:rPr>
          <w:rFonts w:ascii="Arial" w:cs="Arial" w:eastAsia="Arial" w:hAnsi="Arial"/>
          <w:sz w:val="11"/>
          <w:szCs w:val="11"/>
          <w:color w:val="auto"/>
        </w:rPr>
        <w:t>” means – subject always to mandatory law – situations where the potential gain realized by the Beneficiary upon the settlement of the Vested RSUs (i) is caused by unusual external events and developments; and (ii) cannot be reasonably justified under any circumstances by the development or business perspective of the Company, also taking into account international remuneration and incentive standards. However, the settlement of Vested RSUs of a Beneficiary as such, that results in an economic benefit for the Beneficiary, does not constitute an Extraordinary Event or Development.</w:t>
      </w:r>
    </w:p>
    <w:p>
      <w:pPr>
        <w:spacing w:after="0" w:line="50" w:lineRule="exact"/>
        <w:rPr>
          <w:sz w:val="20"/>
          <w:szCs w:val="20"/>
          <w:color w:val="auto"/>
        </w:rPr>
      </w:pPr>
    </w:p>
    <w:p>
      <w:pPr>
        <w:ind w:left="1120" w:right="1259" w:hanging="287"/>
        <w:spacing w:after="0" w:line="379" w:lineRule="auto"/>
        <w:tabs>
          <w:tab w:leader="none" w:pos="110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0"/>
          <w:szCs w:val="10"/>
          <w:color w:val="auto"/>
        </w:rPr>
        <w:t>In case of Extraordinary Events or Developments, the Company’s Management Board is entitled to adjust in its discretion (</w:t>
      </w:r>
      <w:r>
        <w:rPr>
          <w:rFonts w:ascii="Arial" w:cs="Arial" w:eastAsia="Arial" w:hAnsi="Arial"/>
          <w:sz w:val="10"/>
          <w:szCs w:val="10"/>
          <w:i w:val="1"/>
          <w:iCs w:val="1"/>
          <w:color w:val="auto"/>
        </w:rPr>
        <w:t>pflichtgemäßes</w:t>
      </w:r>
      <w:r>
        <w:rPr>
          <w:rFonts w:ascii="Arial" w:cs="Arial" w:eastAsia="Arial" w:hAnsi="Arial"/>
          <w:sz w:val="10"/>
          <w:szCs w:val="10"/>
          <w:color w:val="auto"/>
        </w:rPr>
        <w:t xml:space="preserve"> </w:t>
      </w:r>
      <w:r>
        <w:rPr>
          <w:rFonts w:ascii="Arial" w:cs="Arial" w:eastAsia="Arial" w:hAnsi="Arial"/>
          <w:sz w:val="10"/>
          <w:szCs w:val="10"/>
          <w:i w:val="1"/>
          <w:iCs w:val="1"/>
          <w:color w:val="auto"/>
        </w:rPr>
        <w:t>Ermessen</w:t>
      </w:r>
      <w:r>
        <w:rPr>
          <w:rFonts w:ascii="Arial" w:cs="Arial" w:eastAsia="Arial" w:hAnsi="Arial"/>
          <w:sz w:val="10"/>
          <w:szCs w:val="10"/>
          <w:color w:val="auto"/>
        </w:rPr>
        <w:t>) the payout in the form of a Cash Settlement or Share Settlement, to the extent required to eliminate such extraordinary effects.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14/22</w:t>
      </w:r>
    </w:p>
    <w:p>
      <w:pPr>
        <w:sectPr>
          <w:pgSz w:w="11900" w:h="16838" w:orient="portrait"/>
          <w:cols w:equalWidth="0" w:num="1">
            <w:col w:w="9019"/>
          </w:cols>
          <w:pgMar w:left="1440" w:top="230" w:right="1440"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9</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INSIDER TRADING AND BLACK-OUT PERIODS</w:t>
      </w:r>
    </w:p>
    <w:p>
      <w:pPr>
        <w:spacing w:after="0" w:line="159" w:lineRule="exact"/>
        <w:rPr>
          <w:sz w:val="20"/>
          <w:szCs w:val="20"/>
          <w:color w:val="auto"/>
        </w:rPr>
      </w:pPr>
    </w:p>
    <w:p>
      <w:pPr>
        <w:ind w:left="1120" w:right="939" w:hanging="287"/>
        <w:spacing w:after="0" w:line="256" w:lineRule="auto"/>
        <w:tabs>
          <w:tab w:leader="none" w:pos="1100" w:val="left"/>
        </w:tabs>
        <w:rPr>
          <w:sz w:val="20"/>
          <w:szCs w:val="20"/>
          <w:color w:val="auto"/>
        </w:rPr>
      </w:pPr>
      <w:r>
        <w:rPr>
          <w:rFonts w:ascii="Arial" w:cs="Arial" w:eastAsia="Arial" w:hAnsi="Arial"/>
          <w:sz w:val="12"/>
          <w:szCs w:val="12"/>
          <w:color w:val="auto"/>
        </w:rPr>
        <w:t>9.1</w:t>
        <w:tab/>
        <w:t>Any transaction in the Shares granted in case of a Share Settlement (each a “</w:t>
      </w:r>
      <w:r>
        <w:rPr>
          <w:rFonts w:ascii="Arial" w:cs="Arial" w:eastAsia="Arial" w:hAnsi="Arial"/>
          <w:sz w:val="12"/>
          <w:szCs w:val="12"/>
          <w:b w:val="1"/>
          <w:bCs w:val="1"/>
          <w:i w:val="1"/>
          <w:iCs w:val="1"/>
          <w:color w:val="auto"/>
        </w:rPr>
        <w:t>Transaction</w:t>
      </w:r>
      <w:r>
        <w:rPr>
          <w:rFonts w:ascii="Arial" w:cs="Arial" w:eastAsia="Arial" w:hAnsi="Arial"/>
          <w:sz w:val="12"/>
          <w:szCs w:val="12"/>
          <w:color w:val="auto"/>
        </w:rPr>
        <w:t xml:space="preserve">”) must be conducted in compliance with (i) all applicable insider trading laws and regulations, namely Art. 14, 7 </w:t>
      </w:r>
      <w:r>
        <w:rPr>
          <w:rFonts w:ascii="Arial" w:cs="Arial" w:eastAsia="Arial" w:hAnsi="Arial"/>
          <w:sz w:val="12"/>
          <w:szCs w:val="12"/>
          <w:i w:val="1"/>
          <w:iCs w:val="1"/>
          <w:color w:val="auto"/>
        </w:rPr>
        <w:t>et seqq.</w:t>
      </w:r>
      <w:r>
        <w:rPr>
          <w:rFonts w:ascii="Arial" w:cs="Arial" w:eastAsia="Arial" w:hAnsi="Arial"/>
          <w:sz w:val="12"/>
          <w:szCs w:val="12"/>
          <w:color w:val="auto"/>
        </w:rPr>
        <w:t xml:space="preserve"> MAR, and (ii) all provisions of any insider trading rules established by the Company ((i) and (ii) together the “</w:t>
      </w:r>
      <w:r>
        <w:rPr>
          <w:rFonts w:ascii="Arial" w:cs="Arial" w:eastAsia="Arial" w:hAnsi="Arial"/>
          <w:sz w:val="12"/>
          <w:szCs w:val="12"/>
          <w:b w:val="1"/>
          <w:bCs w:val="1"/>
          <w:i w:val="1"/>
          <w:iCs w:val="1"/>
          <w:color w:val="auto"/>
        </w:rPr>
        <w:t>Insider Trading Rules</w:t>
      </w:r>
      <w:r>
        <w:rPr>
          <w:rFonts w:ascii="Arial" w:cs="Arial" w:eastAsia="Arial" w:hAnsi="Arial"/>
          <w:sz w:val="12"/>
          <w:szCs w:val="12"/>
          <w:color w:val="auto"/>
        </w:rPr>
        <w:t>”). Each Beneficiary is personally responsible for informing himself about, and acting in full compliance with, all applicable Insider Trading Rules. Any individual non-compliance with applicable Insider Trading Rules may lead to the imposition of civil and criminal penalties (as the case may be).</w:t>
      </w:r>
    </w:p>
    <w:p>
      <w:pPr>
        <w:spacing w:after="0" w:line="65" w:lineRule="exact"/>
        <w:rPr>
          <w:sz w:val="20"/>
          <w:szCs w:val="20"/>
          <w:color w:val="auto"/>
        </w:rPr>
      </w:pPr>
    </w:p>
    <w:p>
      <w:pPr>
        <w:ind w:left="1120" w:right="959" w:hanging="287"/>
        <w:spacing w:after="0" w:line="289" w:lineRule="auto"/>
        <w:tabs>
          <w:tab w:leader="none" w:pos="1100" w:val="left"/>
        </w:tabs>
        <w:rPr>
          <w:sz w:val="20"/>
          <w:szCs w:val="20"/>
          <w:color w:val="auto"/>
        </w:rPr>
      </w:pPr>
      <w:r>
        <w:rPr>
          <w:rFonts w:ascii="Arial" w:cs="Arial" w:eastAsia="Arial" w:hAnsi="Arial"/>
          <w:sz w:val="12"/>
          <w:szCs w:val="12"/>
          <w:color w:val="auto"/>
        </w:rPr>
        <w:t>9.2</w:t>
      </w:r>
      <w:r>
        <w:rPr>
          <w:sz w:val="20"/>
          <w:szCs w:val="20"/>
          <w:color w:val="auto"/>
        </w:rPr>
        <w:tab/>
      </w:r>
      <w:r>
        <w:rPr>
          <w:rFonts w:ascii="Arial" w:cs="Arial" w:eastAsia="Arial" w:hAnsi="Arial"/>
          <w:sz w:val="11"/>
          <w:szCs w:val="11"/>
          <w:color w:val="auto"/>
        </w:rPr>
        <w:t>The Company may postpone or delay the settlement of any Vested RSUs by way of a Cash Settlement or Share Settlement or a combination of both to a later point in time due to restrictions under applicable laws and regulations or rejections from competent authorities, including during a time when the Company (a) is aware of any inside information as defined in Article 7 para. 1 MAR with respect to the Company or its securities or (b) is relying on a temporary exemption from the ad-hoc disclosure obligation pursuant to Article 17 para. 4 MAR.</w:t>
      </w:r>
    </w:p>
    <w:p>
      <w:pPr>
        <w:spacing w:after="0" w:line="48" w:lineRule="exact"/>
        <w:rPr>
          <w:sz w:val="20"/>
          <w:szCs w:val="20"/>
          <w:color w:val="auto"/>
        </w:rPr>
      </w:pPr>
    </w:p>
    <w:p>
      <w:pPr>
        <w:ind w:left="1120" w:right="859" w:hanging="287"/>
        <w:spacing w:after="0" w:line="289" w:lineRule="auto"/>
        <w:tabs>
          <w:tab w:leader="none" w:pos="1100" w:val="left"/>
        </w:tabs>
        <w:rPr>
          <w:sz w:val="20"/>
          <w:szCs w:val="20"/>
          <w:color w:val="auto"/>
        </w:rPr>
      </w:pPr>
      <w:r>
        <w:rPr>
          <w:rFonts w:ascii="Arial" w:cs="Arial" w:eastAsia="Arial" w:hAnsi="Arial"/>
          <w:sz w:val="12"/>
          <w:szCs w:val="12"/>
          <w:color w:val="auto"/>
        </w:rPr>
        <w:t>9.3</w:t>
      </w:r>
      <w:r>
        <w:rPr>
          <w:sz w:val="20"/>
          <w:szCs w:val="20"/>
          <w:color w:val="auto"/>
        </w:rPr>
        <w:tab/>
      </w:r>
      <w:r>
        <w:rPr>
          <w:rFonts w:ascii="Arial" w:cs="Arial" w:eastAsia="Arial" w:hAnsi="Arial"/>
          <w:sz w:val="11"/>
          <w:szCs w:val="11"/>
          <w:color w:val="auto"/>
        </w:rPr>
        <w:t>In order to minimize the potential for prohibited insider trading, the Management Board of the Company may establish in its sole discretion periods from time to time during which all or some of the Beneficiaries may not engage in transactions involving Shares granted in case of a Share Settlement (the “</w:t>
      </w:r>
      <w:r>
        <w:rPr>
          <w:rFonts w:ascii="Arial" w:cs="Arial" w:eastAsia="Arial" w:hAnsi="Arial"/>
          <w:sz w:val="11"/>
          <w:szCs w:val="11"/>
          <w:b w:val="1"/>
          <w:bCs w:val="1"/>
          <w:i w:val="1"/>
          <w:iCs w:val="1"/>
          <w:color w:val="auto"/>
        </w:rPr>
        <w:t>Black-Out Periods</w:t>
      </w:r>
      <w:r>
        <w:rPr>
          <w:rFonts w:ascii="Arial" w:cs="Arial" w:eastAsia="Arial" w:hAnsi="Arial"/>
          <w:sz w:val="11"/>
          <w:szCs w:val="11"/>
          <w:color w:val="auto"/>
        </w:rPr>
        <w:t>”). As a matter of precaution, and notwithstanding any other provisions in these RSUP Terms &amp; Conditions, the Beneficiaries may not subscribe any new Shares during an applicable Black-Out Period.</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15/22</w:t>
      </w:r>
    </w:p>
    <w:p>
      <w:pPr>
        <w:sectPr>
          <w:pgSz w:w="11900" w:h="16838" w:orient="portrait"/>
          <w:cols w:equalWidth="0" w:num="1">
            <w:col w:w="9019"/>
          </w:cols>
          <w:pgMar w:left="1440" w:top="226" w:right="1440" w:bottom="1440" w:gutter="0" w:footer="0" w:header="0"/>
        </w:sectPr>
      </w:pPr>
    </w:p>
    <w:bookmarkStart w:id="350" w:name="page351"/>
    <w:bookmarkEnd w:id="350"/>
    <w:p>
      <w:pPr>
        <w:ind w:left="4480" w:hanging="81"/>
        <w:spacing w:after="0"/>
        <w:tabs>
          <w:tab w:leader="none" w:pos="4480" w:val="left"/>
        </w:tabs>
        <w:numPr>
          <w:ilvl w:val="0"/>
          <w:numId w:val="303"/>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10</w:t>
      </w:r>
    </w:p>
    <w:p>
      <w:pPr>
        <w:spacing w:after="0" w:line="18" w:lineRule="exact"/>
        <w:rPr>
          <w:rFonts w:ascii="Arial" w:cs="Arial" w:eastAsia="Arial" w:hAnsi="Arial"/>
          <w:sz w:val="12"/>
          <w:szCs w:val="12"/>
          <w:b w:val="1"/>
          <w:bCs w:val="1"/>
          <w:color w:val="auto"/>
        </w:rPr>
      </w:pPr>
    </w:p>
    <w:p>
      <w:pPr>
        <w:ind w:left="370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LIMITATION OF LIABILITY</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10.1  The Company (nor any of its management board members, supervisory board members or employees) does not:</w:t>
      </w:r>
    </w:p>
    <w:p>
      <w:pPr>
        <w:spacing w:after="0" w:line="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10.1.1 assume any responsibility or liability for the development of the value or market price of the Company’s Shares;</w:t>
      </w:r>
    </w:p>
    <w:p>
      <w:pPr>
        <w:spacing w:after="0" w:line="87" w:lineRule="exact"/>
        <w:rPr>
          <w:sz w:val="20"/>
          <w:szCs w:val="20"/>
          <w:color w:val="auto"/>
        </w:rPr>
      </w:pPr>
    </w:p>
    <w:p>
      <w:pPr>
        <w:jc w:val="both"/>
        <w:ind w:left="1480" w:right="1139" w:hanging="359"/>
        <w:spacing w:after="0" w:line="263" w:lineRule="auto"/>
        <w:rPr>
          <w:sz w:val="20"/>
          <w:szCs w:val="20"/>
          <w:color w:val="auto"/>
        </w:rPr>
      </w:pPr>
      <w:r>
        <w:rPr>
          <w:rFonts w:ascii="Arial" w:cs="Arial" w:eastAsia="Arial" w:hAnsi="Arial"/>
          <w:sz w:val="12"/>
          <w:szCs w:val="12"/>
          <w:color w:val="auto"/>
        </w:rPr>
        <w:t>10.1.2 assume any responsibility or liability for the development of the value or market price of the Company’s Shares, including during the Vesting Period and any periods between the point in time the RSUs have vested and the respective Cash Settlement Date, the Capital Increase Resolution Date, or the Share Settlement Date for such Vested RSUs;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10.1.3 warrant, assure or guarantee a profit of a Beneficiary from the RSUP or any RSU granted thereunder; or</w:t>
      </w:r>
    </w:p>
    <w:p>
      <w:pPr>
        <w:spacing w:after="0" w:line="87" w:lineRule="exact"/>
        <w:rPr>
          <w:sz w:val="20"/>
          <w:szCs w:val="20"/>
          <w:color w:val="auto"/>
        </w:rPr>
      </w:pPr>
    </w:p>
    <w:p>
      <w:pPr>
        <w:ind w:left="1480" w:right="919" w:hanging="359"/>
        <w:spacing w:after="0" w:line="263" w:lineRule="auto"/>
        <w:rPr>
          <w:sz w:val="20"/>
          <w:szCs w:val="20"/>
          <w:color w:val="auto"/>
        </w:rPr>
      </w:pPr>
      <w:r>
        <w:rPr>
          <w:rFonts w:ascii="Arial" w:cs="Arial" w:eastAsia="Arial" w:hAnsi="Arial"/>
          <w:sz w:val="12"/>
          <w:szCs w:val="12"/>
          <w:color w:val="auto"/>
        </w:rPr>
        <w:t>10.1.4 warrant, assure or guarantee any increase in value of the RSUs or, following a Share Settlement, the value or market price of the Company’s Shares; in particular it is neither warranted, assured or guaranteed that a Beneficiary will be able to sell his participation in the Company with a profit in the future, nor that no loss will be incurred.</w:t>
      </w:r>
    </w:p>
    <w:p>
      <w:pPr>
        <w:spacing w:after="0" w:line="59" w:lineRule="exact"/>
        <w:rPr>
          <w:sz w:val="20"/>
          <w:szCs w:val="20"/>
          <w:color w:val="auto"/>
        </w:rPr>
      </w:pPr>
    </w:p>
    <w:p>
      <w:pPr>
        <w:ind w:left="1120" w:right="1119" w:hanging="287"/>
        <w:spacing w:after="0" w:line="298" w:lineRule="auto"/>
        <w:rPr>
          <w:sz w:val="20"/>
          <w:szCs w:val="20"/>
          <w:color w:val="auto"/>
        </w:rPr>
      </w:pPr>
      <w:r>
        <w:rPr>
          <w:rFonts w:ascii="Arial" w:cs="Arial" w:eastAsia="Arial" w:hAnsi="Arial"/>
          <w:sz w:val="11"/>
          <w:szCs w:val="11"/>
          <w:color w:val="auto"/>
        </w:rPr>
        <w:t>10.2 Each Beneficiary declares with his/her participation in the RSUP that the participation is voluntary. Each Beneficiary is aware of the fact that he/she alone bears the risk of a decrease in or total loss of value of the RSUs or, following a Share Settlement, the Company’s Shares. Each Beneficiary accepts the offer to participate in the RSUP at his/her own risk and assumes any liability relating thereto.</w:t>
      </w:r>
    </w:p>
    <w:p>
      <w:pPr>
        <w:spacing w:after="0" w:line="42" w:lineRule="exact"/>
        <w:rPr>
          <w:sz w:val="20"/>
          <w:szCs w:val="20"/>
          <w:color w:val="auto"/>
        </w:rPr>
      </w:pPr>
    </w:p>
    <w:p>
      <w:pPr>
        <w:ind w:left="1120" w:right="939" w:hanging="287"/>
        <w:spacing w:after="0" w:line="263" w:lineRule="auto"/>
        <w:rPr>
          <w:sz w:val="20"/>
          <w:szCs w:val="20"/>
          <w:color w:val="auto"/>
        </w:rPr>
      </w:pPr>
      <w:r>
        <w:rPr>
          <w:rFonts w:ascii="Arial" w:cs="Arial" w:eastAsia="Arial" w:hAnsi="Arial"/>
          <w:sz w:val="12"/>
          <w:szCs w:val="12"/>
          <w:color w:val="auto"/>
        </w:rPr>
        <w:t>10.3 Each Beneficiary accepts, that his/her claim stemming from Vested RSUs may be delayed or even forfeited, if he/she does not provide the information requested and required by the Company to perform the Cash Settlement and/or the Share Settlement, in particular, the information in § 5.3.</w:t>
      </w:r>
    </w:p>
    <w:p>
      <w:pPr>
        <w:spacing w:after="0" w:line="59" w:lineRule="exact"/>
        <w:rPr>
          <w:sz w:val="20"/>
          <w:szCs w:val="20"/>
          <w:color w:val="auto"/>
        </w:rPr>
      </w:pPr>
    </w:p>
    <w:p>
      <w:pPr>
        <w:jc w:val="both"/>
        <w:ind w:left="1120" w:right="879" w:hanging="287"/>
        <w:spacing w:after="0" w:line="298" w:lineRule="auto"/>
        <w:rPr>
          <w:sz w:val="20"/>
          <w:szCs w:val="20"/>
          <w:color w:val="auto"/>
        </w:rPr>
      </w:pPr>
      <w:r>
        <w:rPr>
          <w:rFonts w:ascii="Arial" w:cs="Arial" w:eastAsia="Arial" w:hAnsi="Arial"/>
          <w:sz w:val="11"/>
          <w:szCs w:val="11"/>
          <w:color w:val="auto"/>
        </w:rPr>
        <w:t>10.4 Each Beneficiary is responsible for obtaining legal, tax and any other necessary advice before participating in the RSUP and for evaluating the tax effects connected with the RSUP. Each Beneficiary accepts and declares that he has not been advised by or on behalf of the Company with respect to his participation in the RSUP (in particular, regarding legal and tax issues of such participation).</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16/22</w:t>
      </w:r>
    </w:p>
    <w:p>
      <w:pPr>
        <w:sectPr>
          <w:pgSz w:w="11900" w:h="16838" w:orient="portrait"/>
          <w:cols w:equalWidth="0" w:num="1">
            <w:col w:w="9019"/>
          </w:cols>
          <w:pgMar w:left="1440" w:top="226" w:right="1440" w:bottom="1440" w:gutter="0" w:footer="0" w:header="0"/>
        </w:sectPr>
      </w:pPr>
    </w:p>
    <w:bookmarkStart w:id="351" w:name="page352"/>
    <w:bookmarkEnd w:id="35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TAXES, SOCIAL SECURITY AND COSTS</w:t>
      </w:r>
    </w:p>
    <w:p>
      <w:pPr>
        <w:spacing w:after="0" w:line="159" w:lineRule="exact"/>
        <w:rPr>
          <w:sz w:val="20"/>
          <w:szCs w:val="20"/>
          <w:color w:val="auto"/>
        </w:rPr>
      </w:pPr>
    </w:p>
    <w:p>
      <w:pPr>
        <w:ind w:left="1120" w:right="879" w:hanging="287"/>
        <w:spacing w:after="0" w:line="256" w:lineRule="auto"/>
        <w:rPr>
          <w:sz w:val="20"/>
          <w:szCs w:val="20"/>
          <w:color w:val="auto"/>
        </w:rPr>
      </w:pPr>
      <w:r>
        <w:rPr>
          <w:rFonts w:ascii="Arial" w:cs="Arial" w:eastAsia="Arial" w:hAnsi="Arial"/>
          <w:sz w:val="12"/>
          <w:szCs w:val="12"/>
          <w:color w:val="auto"/>
        </w:rPr>
        <w:t>11.1 All taxes (including payroll taxes), social security contributions, further duties and costs accrued by the Beneficiary in connection with his/her participation in the RSUP shall be borne by each Beneficiary. Each Beneficiary is obliged to pay taxes relating to the respective RSUs granted/settled under the RSUP, or relating to a transfer (if permitted under these RSUP Terms &amp; Conditions) of such RSUs by the Beneficiary to a third party, to the competent tax authorities. Each Beneficiary shall fully indemnify the Company in respect of all such liabilities and obligations against tax authorities.</w:t>
      </w:r>
    </w:p>
    <w:p>
      <w:pPr>
        <w:spacing w:after="0" w:line="65" w:lineRule="exact"/>
        <w:rPr>
          <w:sz w:val="20"/>
          <w:szCs w:val="20"/>
          <w:color w:val="auto"/>
        </w:rPr>
      </w:pPr>
    </w:p>
    <w:p>
      <w:pPr>
        <w:ind w:left="1120" w:right="839" w:hanging="287"/>
        <w:spacing w:after="0" w:line="256" w:lineRule="auto"/>
        <w:rPr>
          <w:sz w:val="20"/>
          <w:szCs w:val="20"/>
          <w:color w:val="auto"/>
        </w:rPr>
      </w:pPr>
      <w:r>
        <w:rPr>
          <w:rFonts w:ascii="Arial" w:cs="Arial" w:eastAsia="Arial" w:hAnsi="Arial"/>
          <w:sz w:val="12"/>
          <w:szCs w:val="12"/>
          <w:color w:val="auto"/>
        </w:rPr>
        <w:t>11.2 Mynaric or any of its Affiliated Companies is entitled, if required by statutory law, to withhold payroll tax or any other taxes or duties or social security contributions to be paid by (or on behalf and account of) the Beneficiary. This applies even after termination of the service relationship or employment relationship of a Beneficiary with the Company. The Company is entitled to demand the full cooperation of the Beneficiary even after his leave with respect to the withholding of taxes, social security contributions, other duties and costs in connection with the RSUP. The Beneficiary undertakes to fully cooperate with the Company.</w:t>
      </w:r>
    </w:p>
    <w:p>
      <w:pPr>
        <w:spacing w:after="0" w:line="65" w:lineRule="exact"/>
        <w:rPr>
          <w:sz w:val="20"/>
          <w:szCs w:val="20"/>
          <w:color w:val="auto"/>
        </w:rPr>
      </w:pPr>
    </w:p>
    <w:p>
      <w:pPr>
        <w:ind w:left="1120" w:right="959" w:hanging="287"/>
        <w:spacing w:after="0" w:line="263" w:lineRule="auto"/>
        <w:rPr>
          <w:sz w:val="20"/>
          <w:szCs w:val="20"/>
          <w:color w:val="auto"/>
        </w:rPr>
      </w:pPr>
      <w:r>
        <w:rPr>
          <w:rFonts w:ascii="Arial" w:cs="Arial" w:eastAsia="Arial" w:hAnsi="Arial"/>
          <w:sz w:val="12"/>
          <w:szCs w:val="12"/>
          <w:color w:val="auto"/>
        </w:rPr>
        <w:t>11.3 Withholdings mentioned above do not release the Beneficiary from his responsibility and obligation to pay all taxes, social contributions, further duties and costs being due and accruing in connection with his participation in the RSUP or the allocation/grant, settlement or transfer of any RSUs.</w:t>
      </w:r>
    </w:p>
    <w:p>
      <w:pPr>
        <w:spacing w:after="0" w:line="59" w:lineRule="exact"/>
        <w:rPr>
          <w:sz w:val="20"/>
          <w:szCs w:val="20"/>
          <w:color w:val="auto"/>
        </w:rPr>
      </w:pPr>
    </w:p>
    <w:p>
      <w:pPr>
        <w:ind w:left="1120" w:right="899" w:hanging="287"/>
        <w:spacing w:after="0" w:line="281" w:lineRule="auto"/>
        <w:rPr>
          <w:sz w:val="20"/>
          <w:szCs w:val="20"/>
          <w:color w:val="auto"/>
        </w:rPr>
      </w:pPr>
      <w:r>
        <w:rPr>
          <w:rFonts w:ascii="Arial" w:cs="Arial" w:eastAsia="Arial" w:hAnsi="Arial"/>
          <w:sz w:val="11"/>
          <w:szCs w:val="11"/>
          <w:color w:val="auto"/>
        </w:rPr>
        <w:t>11.4 The compensation and benefits under these RSUP Terms &amp; Conditions are intended to comply with or be exempt from the requirements of Section 409A of the Code, and these RSUP Terms &amp; Conditions will be interpreted and administered in a manner consistent with that intent. The preceding provision, however, shall not be construed as a guarantee by the Company of any particular tax effect to any Beneficiary under these RSUP Terms &amp; Conditions and shall not constitute an indemnity from the Company to any Beneficiary. References to “termination of employment” and similar terms used in these RSUP Terms &amp; Conditions mean, to the extent necessary to comply with Section 409A of the Code, the date that the Beneficiary first incurs a “separation from service” within the meaning of Section 409A of the Code. Each payment under these RSUP Terms &amp; Conditions shall be designated as a “separate payment” within the meaning of Section 409A of the Code.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17/22</w:t>
      </w:r>
    </w:p>
    <w:p>
      <w:pPr>
        <w:sectPr>
          <w:pgSz w:w="11900" w:h="16838" w:orient="portrait"/>
          <w:cols w:equalWidth="0" w:num="1">
            <w:col w:w="9019"/>
          </w:cols>
          <w:pgMar w:left="1440" w:top="226" w:right="1440" w:bottom="1440" w:gutter="0" w:footer="0" w:header="0"/>
        </w:sectPr>
      </w:pPr>
    </w:p>
    <w:bookmarkStart w:id="352" w:name="page353"/>
    <w:bookmarkEnd w:id="35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REQUIREMENTS</w:t>
      </w:r>
    </w:p>
    <w:p>
      <w:pPr>
        <w:spacing w:after="0" w:line="155" w:lineRule="exact"/>
        <w:rPr>
          <w:sz w:val="20"/>
          <w:szCs w:val="20"/>
          <w:color w:val="auto"/>
        </w:rPr>
      </w:pPr>
    </w:p>
    <w:p>
      <w:pPr>
        <w:ind w:left="1120" w:right="1059" w:hanging="287"/>
        <w:spacing w:after="0" w:line="266" w:lineRule="auto"/>
        <w:rPr>
          <w:sz w:val="20"/>
          <w:szCs w:val="20"/>
          <w:color w:val="auto"/>
        </w:rPr>
      </w:pPr>
      <w:r>
        <w:rPr>
          <w:rFonts w:ascii="Arial" w:cs="Arial" w:eastAsia="Arial" w:hAnsi="Arial"/>
          <w:sz w:val="12"/>
          <w:szCs w:val="12"/>
          <w:color w:val="auto"/>
        </w:rPr>
        <w:t>12.1 Any legal statements and other notices in connection with the RSUP (collectively the “</w:t>
      </w:r>
      <w:r>
        <w:rPr>
          <w:rFonts w:ascii="Arial" w:cs="Arial" w:eastAsia="Arial" w:hAnsi="Arial"/>
          <w:sz w:val="12"/>
          <w:szCs w:val="12"/>
          <w:b w:val="1"/>
          <w:bCs w:val="1"/>
          <w:color w:val="auto"/>
        </w:rPr>
        <w:t>Notices</w:t>
      </w:r>
      <w:r>
        <w:rPr>
          <w:rFonts w:ascii="Arial" w:cs="Arial" w:eastAsia="Arial" w:hAnsi="Arial"/>
          <w:sz w:val="12"/>
          <w:szCs w:val="12"/>
          <w:color w:val="auto"/>
        </w:rPr>
        <w:t>”) or any amendment of these RSUP Terms &amp; Conditions (including an amendment of this § 12.1) shall be made in text form or electronic form (e.g. email) unless any other specific form is required by mandatory law or these RSUP Terms &amp; Conditions.</w:t>
      </w:r>
    </w:p>
    <w:p>
      <w:pPr>
        <w:spacing w:after="0" w:line="49" w:lineRule="exact"/>
        <w:rPr>
          <w:sz w:val="20"/>
          <w:szCs w:val="20"/>
          <w:color w:val="auto"/>
        </w:rPr>
      </w:pPr>
    </w:p>
    <w:p>
      <w:pPr>
        <w:jc w:val="both"/>
        <w:ind w:left="1120" w:right="999"/>
        <w:spacing w:after="0" w:line="263" w:lineRule="auto"/>
        <w:rPr>
          <w:sz w:val="20"/>
          <w:szCs w:val="20"/>
          <w:color w:val="auto"/>
        </w:rPr>
      </w:pPr>
      <w:r>
        <w:rPr>
          <w:rFonts w:ascii="Arial" w:cs="Arial" w:eastAsia="Arial" w:hAnsi="Arial"/>
          <w:sz w:val="12"/>
          <w:szCs w:val="12"/>
          <w:color w:val="auto"/>
        </w:rPr>
        <w:t>Any Notice to be delivered to the Company shall be addressed by email to the HR Department of Mynaric AG (e-mail: hr@mynaric.com). The Company shall communicate changes in the address set forth in the previous sentence as soon as possible to the Beneficiaries. In the absence of such communication, the address stated above shall remain in place.</w:t>
      </w:r>
    </w:p>
    <w:p>
      <w:pPr>
        <w:spacing w:after="0" w:line="59" w:lineRule="exact"/>
        <w:rPr>
          <w:sz w:val="20"/>
          <w:szCs w:val="20"/>
          <w:color w:val="auto"/>
        </w:rPr>
      </w:pPr>
    </w:p>
    <w:p>
      <w:pPr>
        <w:ind w:left="1120" w:right="859" w:hanging="287"/>
        <w:spacing w:after="0" w:line="276" w:lineRule="auto"/>
        <w:rPr>
          <w:sz w:val="20"/>
          <w:szCs w:val="20"/>
          <w:color w:val="auto"/>
        </w:rPr>
      </w:pPr>
      <w:r>
        <w:rPr>
          <w:rFonts w:ascii="Arial" w:cs="Arial" w:eastAsia="Arial" w:hAnsi="Arial"/>
          <w:sz w:val="12"/>
          <w:szCs w:val="12"/>
          <w:color w:val="auto"/>
        </w:rPr>
        <w:t>12.2 Any Notice to be given to a Beneficiary may be served by being sent to him/her by email or to his/her home or business address. Each Beneficiary shall communicate changes of address as soon as possible to the Company.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13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PROCESSING OF PERSONAL DATA</w:t>
      </w:r>
    </w:p>
    <w:p>
      <w:pPr>
        <w:spacing w:after="0" w:line="159" w:lineRule="exact"/>
        <w:rPr>
          <w:sz w:val="20"/>
          <w:szCs w:val="20"/>
          <w:color w:val="auto"/>
        </w:rPr>
      </w:pPr>
    </w:p>
    <w:p>
      <w:pPr>
        <w:ind w:left="1120" w:right="1079" w:hanging="287"/>
        <w:spacing w:after="0" w:line="263" w:lineRule="auto"/>
        <w:rPr>
          <w:sz w:val="20"/>
          <w:szCs w:val="20"/>
          <w:color w:val="auto"/>
        </w:rPr>
      </w:pPr>
      <w:r>
        <w:rPr>
          <w:rFonts w:ascii="Arial" w:cs="Arial" w:eastAsia="Arial" w:hAnsi="Arial"/>
          <w:sz w:val="12"/>
          <w:szCs w:val="12"/>
          <w:color w:val="auto"/>
        </w:rPr>
        <w:t xml:space="preserve">13.1 The Company processes personal data of the Beneficiaries in connection with the administration, implementation and settlement of the RSUP. Additional information regarding the processing of personal data in connection with the RSUP is included in </w:t>
      </w:r>
      <w:r>
        <w:rPr>
          <w:rFonts w:ascii="Arial" w:cs="Arial" w:eastAsia="Arial" w:hAnsi="Arial"/>
          <w:sz w:val="12"/>
          <w:szCs w:val="12"/>
          <w:b w:val="1"/>
          <w:bCs w:val="1"/>
          <w:u w:val="single" w:color="auto"/>
          <w:color w:val="auto"/>
        </w:rPr>
        <w:t>Exhibit</w:t>
      </w:r>
      <w:r>
        <w:rPr>
          <w:rFonts w:ascii="Arial" w:cs="Arial" w:eastAsia="Arial" w:hAnsi="Arial"/>
          <w:sz w:val="12"/>
          <w:szCs w:val="12"/>
          <w:color w:val="auto"/>
        </w:rPr>
        <w:t xml:space="preserve"> (Information on the Processing of Personal Data).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18/22</w:t>
      </w:r>
    </w:p>
    <w:p>
      <w:pPr>
        <w:sectPr>
          <w:pgSz w:w="11900" w:h="16838" w:orient="portrait"/>
          <w:cols w:equalWidth="0" w:num="1">
            <w:col w:w="9019"/>
          </w:cols>
          <w:pgMar w:left="1440" w:top="226" w:right="1440" w:bottom="1440" w:gutter="0" w:footer="0" w:header="0"/>
        </w:sectPr>
      </w:pPr>
    </w:p>
    <w:bookmarkStart w:id="353" w:name="page354"/>
    <w:bookmarkEnd w:id="353"/>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14</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GOVERNING LAW AND JURISDICTION</w:t>
      </w:r>
    </w:p>
    <w:p>
      <w:pPr>
        <w:spacing w:after="0" w:line="159" w:lineRule="exact"/>
        <w:rPr>
          <w:sz w:val="20"/>
          <w:szCs w:val="20"/>
          <w:color w:val="auto"/>
        </w:rPr>
      </w:pPr>
    </w:p>
    <w:p>
      <w:pPr>
        <w:ind w:left="1120" w:right="939" w:hanging="287"/>
        <w:spacing w:after="0" w:line="276" w:lineRule="auto"/>
        <w:rPr>
          <w:sz w:val="20"/>
          <w:szCs w:val="20"/>
          <w:color w:val="auto"/>
        </w:rPr>
      </w:pPr>
      <w:r>
        <w:rPr>
          <w:rFonts w:ascii="Arial" w:cs="Arial" w:eastAsia="Arial" w:hAnsi="Arial"/>
          <w:sz w:val="12"/>
          <w:szCs w:val="12"/>
          <w:color w:val="auto"/>
        </w:rPr>
        <w:t>14.1 The RSUP, any RSUs granted thereunder and these RSUP Terms &amp; Conditions shall be exclusively governed by, and be construed in accordance with, the laws of the Federal Republic of Germany, without regard to principles of conflicts of laws.</w:t>
      </w:r>
    </w:p>
    <w:p>
      <w:pPr>
        <w:spacing w:after="0" w:line="52" w:lineRule="exact"/>
        <w:rPr>
          <w:sz w:val="20"/>
          <w:szCs w:val="20"/>
          <w:color w:val="auto"/>
        </w:rPr>
      </w:pPr>
    </w:p>
    <w:p>
      <w:pPr>
        <w:ind w:left="1120" w:right="1199" w:hanging="287"/>
        <w:spacing w:after="0" w:line="276" w:lineRule="auto"/>
        <w:rPr>
          <w:sz w:val="20"/>
          <w:szCs w:val="20"/>
          <w:color w:val="auto"/>
        </w:rPr>
      </w:pPr>
      <w:r>
        <w:rPr>
          <w:rFonts w:ascii="Arial" w:cs="Arial" w:eastAsia="Arial" w:hAnsi="Arial"/>
          <w:sz w:val="12"/>
          <w:szCs w:val="12"/>
          <w:color w:val="auto"/>
        </w:rPr>
        <w:t>14.2 Any dispute, controversy or claim arising from or in connection with the RSUP, any RSUs granted thereunder, Vested RSUs or these RSUP Terms &amp; Conditions or their validity shall be decided upon by the competent courts in Munich, Germany.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15</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FINAL PROVISIONS</w:t>
      </w:r>
    </w:p>
    <w:p>
      <w:pPr>
        <w:spacing w:after="0" w:line="159" w:lineRule="exact"/>
        <w:rPr>
          <w:sz w:val="20"/>
          <w:szCs w:val="20"/>
          <w:color w:val="auto"/>
        </w:rPr>
      </w:pPr>
    </w:p>
    <w:p>
      <w:pPr>
        <w:ind w:left="1120" w:right="899" w:hanging="287"/>
        <w:spacing w:after="0" w:line="255" w:lineRule="auto"/>
        <w:rPr>
          <w:sz w:val="20"/>
          <w:szCs w:val="20"/>
          <w:color w:val="auto"/>
        </w:rPr>
      </w:pPr>
      <w:r>
        <w:rPr>
          <w:rFonts w:ascii="Arial" w:cs="Arial" w:eastAsia="Arial" w:hAnsi="Arial"/>
          <w:sz w:val="12"/>
          <w:szCs w:val="12"/>
          <w:color w:val="auto"/>
        </w:rPr>
        <w:t>15.1 In these RSUP Terms &amp; Conditions, the headings are inserted for convenience only and shall not affect the interpretation of these RSUP Terms &amp; Conditions; where a German term has been inserted in italics, it alone (and not the English term to which it relates) shall be authoritative for the purpose of the interpretation of the relevant English term in these RSUP Terms &amp; Conditions. The terms “including” and “in particular” shall always mean “including, without limitation” and “in particular, without limitation”, respectively. Any reference made in these RSUP Terms &amp; Conditions to any clauses without further indication of a law, an agreement or another document shall mean clauses of these RSUP Terms &amp; Conditions.</w:t>
      </w:r>
    </w:p>
    <w:p>
      <w:pPr>
        <w:spacing w:after="0" w:line="65" w:lineRule="exact"/>
        <w:rPr>
          <w:sz w:val="20"/>
          <w:szCs w:val="20"/>
          <w:color w:val="auto"/>
        </w:rPr>
      </w:pPr>
    </w:p>
    <w:p>
      <w:pPr>
        <w:ind w:left="1120" w:right="899" w:hanging="287"/>
        <w:spacing w:after="0" w:line="256" w:lineRule="auto"/>
        <w:rPr>
          <w:sz w:val="20"/>
          <w:szCs w:val="20"/>
          <w:color w:val="auto"/>
        </w:rPr>
      </w:pPr>
      <w:r>
        <w:rPr>
          <w:rFonts w:ascii="Arial" w:cs="Arial" w:eastAsia="Arial" w:hAnsi="Arial"/>
          <w:sz w:val="12"/>
          <w:szCs w:val="12"/>
          <w:color w:val="auto"/>
        </w:rPr>
        <w:t>15.2 In the event that one or more provisions of these RSUP Terms &amp; Conditions shall, or shall be deemed to be invalid or unenforceable, the validity and enforceability of the other provisions of these RSUP Terms &amp; Conditions shall not be affected thereby. In such case, the Company and each Beneficiary agree to recognize and give effect to such valid and enforceable provision or provisions, which correspond as closely as possible with the commercial intent of the Parties. The same shall apply in the event that these RSUP Terms &amp; Conditions contain any unintended gaps (</w:t>
      </w:r>
      <w:r>
        <w:rPr>
          <w:rFonts w:ascii="Arial" w:cs="Arial" w:eastAsia="Arial" w:hAnsi="Arial"/>
          <w:sz w:val="12"/>
          <w:szCs w:val="12"/>
          <w:i w:val="1"/>
          <w:iCs w:val="1"/>
          <w:color w:val="auto"/>
        </w:rPr>
        <w:t>unbeabsichtigte Lücken</w:t>
      </w:r>
      <w:r>
        <w:rPr>
          <w:rFonts w:ascii="Arial" w:cs="Arial" w:eastAsia="Arial" w:hAnsi="Arial"/>
          <w:sz w:val="12"/>
          <w:szCs w:val="12"/>
          <w:color w:val="auto"/>
        </w:rPr>
        <w:t>).</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19/22</w:t>
      </w:r>
    </w:p>
    <w:p>
      <w:pPr>
        <w:sectPr>
          <w:pgSz w:w="11900" w:h="16838" w:orient="portrait"/>
          <w:cols w:equalWidth="0" w:num="1">
            <w:col w:w="9019"/>
          </w:cols>
          <w:pgMar w:left="1440" w:top="226" w:right="1440" w:bottom="1440" w:gutter="0" w:footer="0" w:header="0"/>
        </w:sectPr>
      </w:pPr>
    </w:p>
    <w:bookmarkStart w:id="354" w:name="page355"/>
    <w:bookmarkEnd w:id="354"/>
    <w:p>
      <w:pPr>
        <w:ind w:left="1120" w:right="979" w:hanging="287"/>
        <w:spacing w:after="0" w:line="31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15.3 In case of a delisting of the Shares from the Frankfurt Stock Exchange (</w:t>
      </w:r>
      <w:r>
        <w:rPr>
          <w:rFonts w:ascii="Arial" w:cs="Arial" w:eastAsia="Arial" w:hAnsi="Arial"/>
          <w:sz w:val="10"/>
          <w:szCs w:val="10"/>
          <w:i w:val="1"/>
          <w:iCs w:val="1"/>
          <w:color w:val="auto"/>
        </w:rPr>
        <w:t>Frankfurter Wertpapierbörse</w:t>
      </w:r>
      <w:r>
        <w:rPr>
          <w:rFonts w:ascii="Arial" w:cs="Arial" w:eastAsia="Arial" w:hAnsi="Arial"/>
          <w:sz w:val="10"/>
          <w:szCs w:val="10"/>
          <w:color w:val="auto"/>
        </w:rPr>
        <w:t>) and a new listing of the Shares or certificates representing the Company’s Shares on a different stock exchange, the Company may amend any provisions of these RSUP Terms &amp; Conditions to reflect the listing on such new stock exchange and the trading in such new trading system, whilst the economic terms of the RSUs shall remain unaffected. In addition, in case the MAR, and in particular any provisions regarding inside information and/or closed periods, is at any point in the future no longer applicable to the Shares of the Company or certificates representing the Company’s Shares and instead a new capital markets legal regime is applicable to the Company and its Shares or certificates representing the Company’s Shares, the Company may amend any provisions of these RSUP Terms &amp; Conditions to reflect the stipulations under such new capital markets regime.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Munich, July 2021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Mynaric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203835</wp:posOffset>
            </wp:positionV>
            <wp:extent cx="466344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30"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Bulent Altan</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1"/>
          <w:szCs w:val="11"/>
          <w:color w:val="auto"/>
        </w:rPr>
        <w:t>Stefan Berndt-von Bülow</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0"/>
          <w:szCs w:val="10"/>
          <w:color w:val="auto"/>
        </w:rPr>
        <w:t>Joachim Horwath</w:t>
      </w:r>
    </w:p>
    <w:p>
      <w:pPr>
        <w:spacing w:after="0" w:line="101" w:lineRule="exact"/>
        <w:rPr>
          <w:sz w:val="20"/>
          <w:szCs w:val="20"/>
          <w:color w:val="auto"/>
        </w:rPr>
      </w:pPr>
    </w:p>
    <w:p>
      <w:pPr>
        <w:sectPr>
          <w:pgSz w:w="11900" w:h="16838" w:orient="portrait"/>
          <w:cols w:equalWidth="0" w:num="3">
            <w:col w:w="3000" w:space="720"/>
            <w:col w:w="1760" w:space="720"/>
            <w:col w:w="2819"/>
          </w:cols>
          <w:pgMar w:left="1440" w:top="230" w:right="1440" w:bottom="1440" w:gutter="0" w:footer="0" w:header="0"/>
          <w:type w:val="continuous"/>
        </w:sectPr>
      </w:pPr>
    </w:p>
    <w:p>
      <w:pPr>
        <w:ind w:left="840"/>
        <w:spacing w:after="0"/>
        <w:rPr>
          <w:sz w:val="20"/>
          <w:szCs w:val="20"/>
          <w:color w:val="auto"/>
        </w:rPr>
      </w:pPr>
      <w:r>
        <w:rPr>
          <w:rFonts w:ascii="Arial" w:cs="Arial" w:eastAsia="Arial" w:hAnsi="Arial"/>
          <w:sz w:val="11"/>
          <w:szCs w:val="11"/>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CTO</w:t>
      </w:r>
    </w:p>
    <w:p>
      <w:pPr>
        <w:spacing w:after="0" w:line="162" w:lineRule="exact"/>
        <w:rPr>
          <w:sz w:val="20"/>
          <w:szCs w:val="20"/>
          <w:color w:val="auto"/>
        </w:rPr>
      </w:pPr>
    </w:p>
    <w:p>
      <w:pPr>
        <w:sectPr>
          <w:pgSz w:w="11900" w:h="16838" w:orient="portrait"/>
          <w:cols w:equalWidth="0" w:num="3">
            <w:col w:w="3000" w:space="720"/>
            <w:col w:w="1760" w:space="720"/>
            <w:col w:w="2819"/>
          </w:cols>
          <w:pgMar w:left="1440" w:top="230" w:right="1440"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 * * *</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Page 20/22</w:t>
      </w:r>
    </w:p>
    <w:p>
      <w:pPr>
        <w:sectPr>
          <w:pgSz w:w="11900" w:h="16838" w:orient="portrait"/>
          <w:cols w:equalWidth="0" w:num="1">
            <w:col w:w="9019"/>
          </w:cols>
          <w:pgMar w:left="1440" w:top="230" w:right="1440" w:bottom="1440" w:gutter="0" w:footer="0" w:header="0"/>
          <w:type w:val="continuous"/>
        </w:sectPr>
      </w:pPr>
    </w:p>
    <w:bookmarkStart w:id="355" w:name="page356"/>
    <w:bookmarkEnd w:id="355"/>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Exhibit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Information on the Processing of Personal Data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connection with the Restricted Stock Unit Program</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(hereinafter referred to as “</w:t>
      </w:r>
      <w:r>
        <w:rPr>
          <w:rFonts w:ascii="Arial" w:cs="Arial" w:eastAsia="Arial" w:hAnsi="Arial"/>
          <w:sz w:val="12"/>
          <w:szCs w:val="12"/>
          <w:b w:val="1"/>
          <w:bCs w:val="1"/>
          <w:i w:val="1"/>
          <w:iCs w:val="1"/>
          <w:color w:val="auto"/>
        </w:rPr>
        <w:t>RSUP</w:t>
      </w:r>
      <w:r>
        <w:rPr>
          <w:rFonts w:ascii="Arial" w:cs="Arial" w:eastAsia="Arial" w:hAnsi="Arial"/>
          <w:sz w:val="12"/>
          <w:szCs w:val="12"/>
          <w:color w:val="auto"/>
        </w:rPr>
        <w: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of Mynaric AG</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(hereinafter referred to as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w:t>
      </w:r>
    </w:p>
    <w:p>
      <w:pPr>
        <w:spacing w:after="0" w:line="141"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In connection with the administration, processing and execution of the RSUP, the Company processes personal data of the beneficiaries (hereinafter also referred to as “</w:t>
      </w:r>
      <w:r>
        <w:rPr>
          <w:rFonts w:ascii="Arial" w:cs="Arial" w:eastAsia="Arial" w:hAnsi="Arial"/>
          <w:sz w:val="12"/>
          <w:szCs w:val="12"/>
          <w:b w:val="1"/>
          <w:bCs w:val="1"/>
          <w:i w:val="1"/>
          <w:iCs w:val="1"/>
          <w:color w:val="auto"/>
        </w:rPr>
        <w:t>Data Subjects</w:t>
      </w:r>
      <w:r>
        <w:rPr>
          <w:rFonts w:ascii="Arial" w:cs="Arial" w:eastAsia="Arial" w:hAnsi="Arial"/>
          <w:sz w:val="12"/>
          <w:szCs w:val="12"/>
          <w:color w:val="auto"/>
        </w:rPr>
        <w:t>”) in accordance with the EU General Data Protection Regulation (“</w:t>
      </w:r>
      <w:r>
        <w:rPr>
          <w:rFonts w:ascii="Arial" w:cs="Arial" w:eastAsia="Arial" w:hAnsi="Arial"/>
          <w:sz w:val="12"/>
          <w:szCs w:val="12"/>
          <w:b w:val="1"/>
          <w:bCs w:val="1"/>
          <w:i w:val="1"/>
          <w:iCs w:val="1"/>
          <w:color w:val="auto"/>
        </w:rPr>
        <w:t>GDPR</w:t>
      </w:r>
      <w:r>
        <w:rPr>
          <w:rFonts w:ascii="Arial" w:cs="Arial" w:eastAsia="Arial" w:hAnsi="Arial"/>
          <w:sz w:val="12"/>
          <w:szCs w:val="12"/>
          <w:color w:val="auto"/>
        </w:rPr>
        <w:t>”). Pursuant to the GDPR, the Company is obliged to provide the following information on the processing of personal data. All defined terms used in this information have the meaning assigned to them in the option conditions.</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 Responsibilities and Contact Information</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controller of the personal data pursuant to Art. 4 para. 7 is the Company:</w:t>
      </w:r>
    </w:p>
    <w:p>
      <w:pPr>
        <w:spacing w:after="0" w:line="74"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Mynaric AG</w:t>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Dornierstr. 19, 82205 Gilching</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Telephone: +49 (0)8105 7999 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E-Mail: info@mynaric.com</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Website: www.mynaric.com</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Data Protection Officer of the Company can be contacted through:</w:t>
      </w:r>
    </w:p>
    <w:p>
      <w:pPr>
        <w:spacing w:after="0" w:line="74"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Mynaric AG</w:t>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Data Protection Officer</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Dornierstr. 19, 82205 Gilching</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or</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Email: dataprotection@mynaric.com</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II. Use of Personal Data by the Company</w:t>
      </w:r>
    </w:p>
    <w:p>
      <w:pPr>
        <w:spacing w:after="0" w:line="82" w:lineRule="exact"/>
        <w:rPr>
          <w:sz w:val="20"/>
          <w:szCs w:val="20"/>
          <w:color w:val="auto"/>
        </w:rPr>
      </w:pPr>
    </w:p>
    <w:p>
      <w:pPr>
        <w:ind w:left="840" w:right="1079"/>
        <w:spacing w:after="0" w:line="263" w:lineRule="auto"/>
        <w:rPr>
          <w:sz w:val="20"/>
          <w:szCs w:val="20"/>
          <w:color w:val="auto"/>
        </w:rPr>
      </w:pPr>
      <w:r>
        <w:rPr>
          <w:rFonts w:ascii="Arial" w:cs="Arial" w:eastAsia="Arial" w:hAnsi="Arial"/>
          <w:sz w:val="12"/>
          <w:szCs w:val="12"/>
          <w:color w:val="auto"/>
        </w:rPr>
        <w:t>The Company processes personal data of the Data Subjects such as names, contact data, tax numbers and all other information necessary for the participation of a Data Subject in the RSUP as well as for the administration, processing and execution of the RSUP (processing purpose). The legal basis for data processing is Art. 6 Para. 1 (b) GDPR.</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0"/>
          <w:szCs w:val="10"/>
          <w:color w:val="auto"/>
        </w:rPr>
        <w:t>In addition, the Company processes personal data of the Data Subjects if and to the extent required by the law applicable to the Company (e.g., tax law).</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legal basis for data processing in this respect is Art. 6 para. 1 (c) GDPR.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21/22</w:t>
      </w:r>
    </w:p>
    <w:p>
      <w:pPr>
        <w:sectPr>
          <w:pgSz w:w="11900" w:h="16838" w:orient="portrait"/>
          <w:cols w:equalWidth="0" w:num="1">
            <w:col w:w="9019"/>
          </w:cols>
          <w:pgMar w:left="1440" w:top="230" w:right="1440" w:bottom="1440" w:gutter="0" w:footer="0" w:header="0"/>
        </w:sectPr>
      </w:pPr>
    </w:p>
    <w:bookmarkStart w:id="356" w:name="page357"/>
    <w:bookmarkEnd w:id="356"/>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III. Transfer of Personal Data</w:t>
      </w:r>
    </w:p>
    <w:p>
      <w:pPr>
        <w:spacing w:after="0" w:line="78" w:lineRule="exact"/>
        <w:rPr>
          <w:sz w:val="20"/>
          <w:szCs w:val="20"/>
          <w:color w:val="auto"/>
        </w:rPr>
      </w:pPr>
    </w:p>
    <w:p>
      <w:pPr>
        <w:ind w:left="840" w:right="899"/>
        <w:spacing w:after="0" w:line="284" w:lineRule="auto"/>
        <w:rPr>
          <w:sz w:val="20"/>
          <w:szCs w:val="20"/>
          <w:color w:val="auto"/>
        </w:rPr>
      </w:pPr>
      <w:r>
        <w:rPr>
          <w:rFonts w:ascii="Arial" w:cs="Arial" w:eastAsia="Arial" w:hAnsi="Arial"/>
          <w:sz w:val="11"/>
          <w:szCs w:val="11"/>
          <w:color w:val="auto"/>
        </w:rPr>
        <w:t>The Company may disclose personal data to an external service provider (“</w:t>
      </w:r>
      <w:r>
        <w:rPr>
          <w:rFonts w:ascii="Arial" w:cs="Arial" w:eastAsia="Arial" w:hAnsi="Arial"/>
          <w:sz w:val="11"/>
          <w:szCs w:val="11"/>
          <w:b w:val="1"/>
          <w:bCs w:val="1"/>
          <w:color w:val="auto"/>
        </w:rPr>
        <w:t>External Service Provider</w:t>
      </w:r>
      <w:r>
        <w:rPr>
          <w:rFonts w:ascii="Arial" w:cs="Arial" w:eastAsia="Arial" w:hAnsi="Arial"/>
          <w:sz w:val="11"/>
          <w:szCs w:val="11"/>
          <w:color w:val="auto"/>
        </w:rPr>
        <w:t>”), in particular to Solium Capital UK LTD. (“</w:t>
      </w:r>
      <w:r>
        <w:rPr>
          <w:rFonts w:ascii="Arial" w:cs="Arial" w:eastAsia="Arial" w:hAnsi="Arial"/>
          <w:sz w:val="11"/>
          <w:szCs w:val="11"/>
          <w:b w:val="1"/>
          <w:bCs w:val="1"/>
          <w:color w:val="auto"/>
        </w:rPr>
        <w:t>Shareworks</w:t>
      </w:r>
      <w:r>
        <w:rPr>
          <w:rFonts w:ascii="Arial" w:cs="Arial" w:eastAsia="Arial" w:hAnsi="Arial"/>
          <w:sz w:val="11"/>
          <w:szCs w:val="11"/>
          <w:color w:val="auto"/>
        </w:rPr>
        <w:t>”), commissioned or involved for the purposes of the administration, processing and/or execution of the RSUP in order to support the processing of personal data for the processing purpose set out in Section II above. If and to the extent permitted by law, the Company may also commission other third parties to provide certain services, such as IT-services and legal services, for the processing purpose set out in Section II above and may disclose personal data to such third parties. These recipients provide their assistance or services to the Company under its control and direction and may have access to personal data to the extent necessary to provide their assistance or services.</w:t>
      </w:r>
    </w:p>
    <w:p>
      <w:pPr>
        <w:spacing w:after="0" w:line="114" w:lineRule="exact"/>
        <w:rPr>
          <w:sz w:val="20"/>
          <w:szCs w:val="20"/>
          <w:color w:val="auto"/>
        </w:rPr>
      </w:pPr>
    </w:p>
    <w:p>
      <w:pPr>
        <w:ind w:left="840" w:right="959"/>
        <w:spacing w:after="0" w:line="276" w:lineRule="auto"/>
        <w:rPr>
          <w:sz w:val="20"/>
          <w:szCs w:val="20"/>
          <w:color w:val="auto"/>
        </w:rPr>
      </w:pPr>
      <w:r>
        <w:rPr>
          <w:rFonts w:ascii="Arial" w:cs="Arial" w:eastAsia="Arial" w:hAnsi="Arial"/>
          <w:sz w:val="12"/>
          <w:szCs w:val="12"/>
          <w:color w:val="auto"/>
        </w:rPr>
        <w:t>In addition, the Company may, to the extent required and permitted by law, transfer personal data to domestic and foreign authorities or courts in order to fulfil legal obligations.</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IV. Storage and Deletion of Personal Data</w:t>
      </w:r>
    </w:p>
    <w:p>
      <w:pPr>
        <w:spacing w:after="0" w:line="82" w:lineRule="exact"/>
        <w:rPr>
          <w:sz w:val="20"/>
          <w:szCs w:val="20"/>
          <w:color w:val="auto"/>
        </w:rPr>
      </w:pPr>
    </w:p>
    <w:p>
      <w:pPr>
        <w:ind w:left="840" w:right="959"/>
        <w:spacing w:after="0" w:line="298" w:lineRule="auto"/>
        <w:rPr>
          <w:sz w:val="20"/>
          <w:szCs w:val="20"/>
          <w:color w:val="auto"/>
        </w:rPr>
      </w:pPr>
      <w:r>
        <w:rPr>
          <w:rFonts w:ascii="Arial" w:cs="Arial" w:eastAsia="Arial" w:hAnsi="Arial"/>
          <w:sz w:val="11"/>
          <w:szCs w:val="11"/>
          <w:color w:val="auto"/>
        </w:rPr>
        <w:t>The Company processes the personal data within the framework of the participation of the Data Subjects in the RSUP. The Company deletes the personal data if it no longer needs it for the fulfilment of its contractual obligations under the RSUP and if there are no legal storage obligations. In the event of a legal obligation to retain personal data, the Company shall restrict the processing of such personal data.</w:t>
      </w:r>
    </w:p>
    <w:p>
      <w:pPr>
        <w:spacing w:after="0" w:line="10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V. Rights of the Data Subjects</w:t>
      </w:r>
    </w:p>
    <w:p>
      <w:pPr>
        <w:spacing w:after="0" w:line="82" w:lineRule="exact"/>
        <w:rPr>
          <w:sz w:val="20"/>
          <w:szCs w:val="20"/>
          <w:color w:val="auto"/>
        </w:rPr>
      </w:pPr>
    </w:p>
    <w:p>
      <w:pPr>
        <w:ind w:left="840" w:right="839"/>
        <w:spacing w:after="0" w:line="256" w:lineRule="auto"/>
        <w:rPr>
          <w:sz w:val="20"/>
          <w:szCs w:val="20"/>
          <w:color w:val="auto"/>
        </w:rPr>
      </w:pPr>
      <w:r>
        <w:rPr>
          <w:rFonts w:ascii="Arial" w:cs="Arial" w:eastAsia="Arial" w:hAnsi="Arial"/>
          <w:sz w:val="12"/>
          <w:szCs w:val="12"/>
          <w:color w:val="auto"/>
        </w:rPr>
        <w:t>The Data Subjects may, at any time and free of charge, contact the Company or its Data Protection Officer directly with an informal notification in order to exercise their rights under the GDPR. The Data Subjects have the right, subject to the legal requirements, the fulfilment of which is to be examined on a case-by-case basis, to request information on their personal data, any rectification or deletion of their personal data, information regarding restrictions on the processing of their personal data and they have the right to receive their personal data in a structured, generally used and machine-readable format.</w:t>
      </w:r>
    </w:p>
    <w:p>
      <w:pPr>
        <w:spacing w:after="0" w:line="128"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The Data Subjects also have the right to object to the processing of their personal data, subject to the legal requirements, the fulfilment of which must be examined on a case-by-case basis.</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In addition, Data Subjects have the right to lodge a complaint with a supervisory authority.</w:t>
      </w:r>
    </w:p>
    <w:p>
      <w:pPr>
        <w:spacing w:after="0" w:line="105" w:lineRule="exact"/>
        <w:rPr>
          <w:sz w:val="20"/>
          <w:szCs w:val="20"/>
          <w:color w:val="auto"/>
        </w:rPr>
      </w:pPr>
    </w:p>
    <w:p>
      <w:pPr>
        <w:ind w:left="4240"/>
        <w:spacing w:after="0"/>
        <w:rPr>
          <w:sz w:val="20"/>
          <w:szCs w:val="20"/>
          <w:color w:val="auto"/>
        </w:rPr>
      </w:pPr>
      <w:r>
        <w:rPr>
          <w:rFonts w:ascii="Arial" w:cs="Arial" w:eastAsia="Arial" w:hAnsi="Arial"/>
          <w:sz w:val="12"/>
          <w:szCs w:val="12"/>
          <w:color w:val="auto"/>
        </w:rPr>
        <w:t>Page 22/22</w:t>
      </w:r>
    </w:p>
    <w:p>
      <w:pPr>
        <w:sectPr>
          <w:pgSz w:w="11900" w:h="16838" w:orient="portrait"/>
          <w:cols w:equalWidth="0" w:num="1">
            <w:col w:w="9019"/>
          </w:cols>
          <w:pgMar w:left="1440" w:top="230" w:right="1440" w:bottom="1440" w:gutter="0" w:footer="0" w:header="0"/>
        </w:sectPr>
      </w:pPr>
    </w:p>
    <w:bookmarkStart w:id="357" w:name="page358"/>
    <w:bookmarkEnd w:id="357"/>
    <w:p>
      <w:pPr>
        <w:jc w:val="right"/>
        <w:ind w:right="839"/>
        <w:spacing w:after="0"/>
        <w:rPr>
          <w:sz w:val="20"/>
          <w:szCs w:val="20"/>
          <w:color w:val="auto"/>
        </w:rPr>
      </w:pPr>
      <w:r>
        <w:rPr>
          <w:rFonts w:ascii="Arial" w:cs="Arial" w:eastAsia="Arial" w:hAnsi="Arial"/>
          <w:sz w:val="12"/>
          <w:szCs w:val="12"/>
          <w:b w:val="1"/>
          <w:bCs w:val="1"/>
          <w:color w:val="auto"/>
        </w:rPr>
        <w:t>Exhibit 21.1</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80" w:type="dxa"/>
            <w:vAlign w:val="bottom"/>
            <w:gridSpan w:val="2"/>
          </w:tcPr>
          <w:p>
            <w:pPr>
              <w:ind w:left="720"/>
              <w:spacing w:after="0"/>
              <w:rPr>
                <w:sz w:val="20"/>
                <w:szCs w:val="20"/>
                <w:color w:val="auto"/>
              </w:rPr>
            </w:pPr>
            <w:r>
              <w:rPr>
                <w:rFonts w:ascii="Arial" w:cs="Arial" w:eastAsia="Arial" w:hAnsi="Arial"/>
                <w:sz w:val="12"/>
                <w:szCs w:val="12"/>
                <w:b w:val="1"/>
                <w:bCs w:val="1"/>
                <w:color w:val="auto"/>
              </w:rPr>
              <w:t>List of Subsidiaries of the Registrant</w:t>
            </w:r>
          </w:p>
        </w:tc>
      </w:tr>
      <w:tr>
        <w:trPr>
          <w:trHeight w:val="261"/>
        </w:trPr>
        <w:tc>
          <w:tcPr>
            <w:tcW w:w="2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6"/>
              </w:rPr>
              <w:t>Entity</w:t>
            </w:r>
          </w:p>
        </w:tc>
        <w:tc>
          <w:tcPr>
            <w:tcW w:w="17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Country</w:t>
            </w:r>
          </w:p>
        </w:tc>
      </w:tr>
      <w:tr>
        <w:trPr>
          <w:trHeight w:val="124"/>
        </w:trPr>
        <w:tc>
          <w:tcPr>
            <w:tcW w:w="2000" w:type="dxa"/>
            <w:vAlign w:val="bottom"/>
            <w:gridSpan w:val="2"/>
          </w:tcPr>
          <w:p>
            <w:pPr>
              <w:spacing w:after="0" w:line="124" w:lineRule="exact"/>
              <w:rPr>
                <w:sz w:val="20"/>
                <w:szCs w:val="20"/>
                <w:color w:val="auto"/>
              </w:rPr>
            </w:pPr>
            <w:r>
              <w:rPr>
                <w:rFonts w:ascii="Arial" w:cs="Arial" w:eastAsia="Arial" w:hAnsi="Arial"/>
                <w:sz w:val="12"/>
                <w:szCs w:val="12"/>
                <w:color w:val="auto"/>
              </w:rPr>
              <w:t>Mynaric Lasercom GmbH</w:t>
            </w:r>
          </w:p>
        </w:tc>
        <w:tc>
          <w:tcPr>
            <w:tcW w:w="1820" w:type="dxa"/>
            <w:vAlign w:val="bottom"/>
          </w:tcPr>
          <w:p>
            <w:pPr>
              <w:spacing w:after="0"/>
              <w:rPr>
                <w:sz w:val="10"/>
                <w:szCs w:val="10"/>
                <w:color w:val="auto"/>
              </w:rPr>
            </w:pPr>
          </w:p>
        </w:tc>
        <w:tc>
          <w:tcPr>
            <w:tcW w:w="1460" w:type="dxa"/>
            <w:vAlign w:val="bottom"/>
          </w:tcPr>
          <w:p>
            <w:pPr>
              <w:spacing w:after="0" w:line="124" w:lineRule="exact"/>
              <w:rPr>
                <w:sz w:val="20"/>
                <w:szCs w:val="20"/>
                <w:color w:val="auto"/>
              </w:rPr>
            </w:pPr>
            <w:r>
              <w:rPr>
                <w:rFonts w:ascii="Arial" w:cs="Arial" w:eastAsia="Arial" w:hAnsi="Arial"/>
                <w:sz w:val="12"/>
                <w:szCs w:val="12"/>
                <w:color w:val="auto"/>
                <w:w w:val="91"/>
              </w:rPr>
              <w:t>Federal Republic of Germany</w:t>
            </w:r>
          </w:p>
        </w:tc>
      </w:tr>
      <w:tr>
        <w:trPr>
          <w:trHeight w:val="144"/>
        </w:trPr>
        <w:tc>
          <w:tcPr>
            <w:tcW w:w="2000" w:type="dxa"/>
            <w:vAlign w:val="bottom"/>
            <w:gridSpan w:val="2"/>
          </w:tcPr>
          <w:p>
            <w:pPr>
              <w:spacing w:after="0"/>
              <w:rPr>
                <w:sz w:val="20"/>
                <w:szCs w:val="20"/>
                <w:color w:val="auto"/>
              </w:rPr>
            </w:pPr>
            <w:r>
              <w:rPr>
                <w:rFonts w:ascii="Arial" w:cs="Arial" w:eastAsia="Arial" w:hAnsi="Arial"/>
                <w:sz w:val="12"/>
                <w:szCs w:val="12"/>
                <w:color w:val="auto"/>
              </w:rPr>
              <w:t>Mynaric Systems GmbH</w:t>
            </w:r>
          </w:p>
        </w:tc>
        <w:tc>
          <w:tcPr>
            <w:tcW w:w="1820" w:type="dxa"/>
            <w:vAlign w:val="bottom"/>
          </w:tcPr>
          <w:p>
            <w:pPr>
              <w:spacing w:after="0"/>
              <w:rPr>
                <w:sz w:val="12"/>
                <w:szCs w:val="12"/>
                <w:color w:val="auto"/>
              </w:rPr>
            </w:pPr>
          </w:p>
        </w:tc>
        <w:tc>
          <w:tcPr>
            <w:tcW w:w="1460" w:type="dxa"/>
            <w:vAlign w:val="bottom"/>
          </w:tcPr>
          <w:p>
            <w:pPr>
              <w:spacing w:after="0"/>
              <w:rPr>
                <w:sz w:val="20"/>
                <w:szCs w:val="20"/>
                <w:color w:val="auto"/>
              </w:rPr>
            </w:pPr>
            <w:r>
              <w:rPr>
                <w:rFonts w:ascii="Arial" w:cs="Arial" w:eastAsia="Arial" w:hAnsi="Arial"/>
                <w:sz w:val="12"/>
                <w:szCs w:val="12"/>
                <w:color w:val="auto"/>
                <w:w w:val="91"/>
              </w:rPr>
              <w:t>Federal Republic of Germany</w:t>
            </w:r>
          </w:p>
        </w:tc>
      </w:tr>
      <w:tr>
        <w:trPr>
          <w:trHeight w:val="153"/>
        </w:trPr>
        <w:tc>
          <w:tcPr>
            <w:tcW w:w="2000" w:type="dxa"/>
            <w:vAlign w:val="bottom"/>
            <w:gridSpan w:val="2"/>
          </w:tcPr>
          <w:p>
            <w:pPr>
              <w:spacing w:after="0"/>
              <w:rPr>
                <w:sz w:val="20"/>
                <w:szCs w:val="20"/>
                <w:color w:val="auto"/>
              </w:rPr>
            </w:pPr>
            <w:r>
              <w:rPr>
                <w:rFonts w:ascii="Arial" w:cs="Arial" w:eastAsia="Arial" w:hAnsi="Arial"/>
                <w:sz w:val="12"/>
                <w:szCs w:val="12"/>
                <w:color w:val="auto"/>
              </w:rPr>
              <w:t>Mynaric USA Inc.</w:t>
            </w:r>
          </w:p>
        </w:tc>
        <w:tc>
          <w:tcPr>
            <w:tcW w:w="1820" w:type="dxa"/>
            <w:vAlign w:val="bottom"/>
          </w:tcPr>
          <w:p>
            <w:pPr>
              <w:spacing w:after="0"/>
              <w:rPr>
                <w:sz w:val="13"/>
                <w:szCs w:val="13"/>
                <w:color w:val="auto"/>
              </w:rPr>
            </w:pPr>
          </w:p>
        </w:tc>
        <w:tc>
          <w:tcPr>
            <w:tcW w:w="1460" w:type="dxa"/>
            <w:vAlign w:val="bottom"/>
          </w:tcPr>
          <w:p>
            <w:pPr>
              <w:spacing w:after="0"/>
              <w:rPr>
                <w:sz w:val="20"/>
                <w:szCs w:val="20"/>
                <w:color w:val="auto"/>
              </w:rPr>
            </w:pPr>
            <w:r>
              <w:rPr>
                <w:rFonts w:ascii="Arial" w:cs="Arial" w:eastAsia="Arial" w:hAnsi="Arial"/>
                <w:sz w:val="12"/>
                <w:szCs w:val="12"/>
                <w:color w:val="auto"/>
              </w:rPr>
              <w:t>United States of America</w:t>
            </w:r>
          </w:p>
        </w:tc>
      </w:tr>
    </w:tbl>
    <w:p>
      <w:pPr>
        <w:sectPr>
          <w:pgSz w:w="11900" w:h="16838" w:orient="portrait"/>
          <w:cols w:equalWidth="0" w:num="1">
            <w:col w:w="9019"/>
          </w:cols>
          <w:pgMar w:left="1440" w:top="127" w:right="1440" w:bottom="1440" w:gutter="0" w:footer="0" w:header="0"/>
        </w:sectPr>
      </w:pPr>
    </w:p>
    <w:bookmarkStart w:id="358" w:name="page359"/>
    <w:bookmarkEnd w:id="358"/>
    <w:p>
      <w:pPr>
        <w:jc w:val="right"/>
        <w:ind w:right="839"/>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We consent to the use of our report dated October 18, 2021, with respect to the consolidated financial statements of Mynaric AG, included herein and to the reference to our firm under the heading “Experts” in the prospectus.</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KPMG AG Wirtschaftsprüfungsgesellschaft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Munich, Germany</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October 18, 2021</w:t>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DE8AF6"/>
    <w:multiLevelType w:val="hybridMultilevel"/>
    <w:lvl w:ilvl="0">
      <w:lvlJc w:val="left"/>
      <w:lvlText w:val="†"/>
      <w:numFmt w:val="bullet"/>
      <w:start w:val="1"/>
    </w:lvl>
  </w:abstractNum>
  <w:abstractNum w:abstractNumId="1">
    <w:nsid w:val="3FC32E20"/>
    <w:multiLevelType w:val="hybridMultilevel"/>
    <w:lvl w:ilvl="0">
      <w:lvlJc w:val="left"/>
      <w:lvlText w:val="(%1)"/>
      <w:numFmt w:val="decimal"/>
      <w:start w:val="1"/>
    </w:lvl>
  </w:abstractNum>
  <w:abstractNum w:abstractNumId="2">
    <w:nsid w:val="49C0E823"/>
    <w:multiLevelType w:val="hybridMultilevel"/>
    <w:lvl w:ilvl="0">
      <w:lvlJc w:val="left"/>
      <w:lvlText w:val="(%1)"/>
      <w:numFmt w:val="decimal"/>
      <w:start w:val="1"/>
    </w:lvl>
  </w:abstractNum>
  <w:abstractNum w:abstractNumId="3">
    <w:nsid w:val="14D53685"/>
    <w:multiLevelType w:val="hybridMultilevel"/>
    <w:lvl w:ilvl="0">
      <w:lvlJc w:val="left"/>
      <w:lvlText w:val="•"/>
      <w:numFmt w:val="bullet"/>
      <w:start w:val="1"/>
    </w:lvl>
  </w:abstractNum>
  <w:abstractNum w:abstractNumId="4">
    <w:nsid w:val="230F856C"/>
    <w:multiLevelType w:val="hybridMultilevel"/>
    <w:lvl w:ilvl="0">
      <w:lvlJc w:val="left"/>
      <w:lvlText w:val="•"/>
      <w:numFmt w:val="bullet"/>
      <w:start w:val="1"/>
    </w:lvl>
  </w:abstractNum>
  <w:abstractNum w:abstractNumId="5">
    <w:nsid w:val="6EAA85FB"/>
    <w:multiLevelType w:val="hybridMultilevel"/>
    <w:lvl w:ilvl="0">
      <w:lvlJc w:val="left"/>
      <w:lvlText w:val="•"/>
      <w:numFmt w:val="bullet"/>
      <w:start w:val="1"/>
    </w:lvl>
  </w:abstractNum>
  <w:abstractNum w:abstractNumId="6">
    <w:nsid w:val="3F06ECB2"/>
    <w:multiLevelType w:val="hybridMultilevel"/>
    <w:lvl w:ilvl="0">
      <w:lvlJc w:val="left"/>
      <w:lvlText w:val="•"/>
      <w:numFmt w:val="bullet"/>
      <w:start w:val="1"/>
    </w:lvl>
  </w:abstractNum>
  <w:abstractNum w:abstractNumId="7">
    <w:nsid w:val="3B594807"/>
    <w:multiLevelType w:val="hybridMultilevel"/>
    <w:lvl w:ilvl="0">
      <w:lvlJc w:val="left"/>
      <w:lvlText w:val="•"/>
      <w:numFmt w:val="bullet"/>
      <w:start w:val="1"/>
    </w:lvl>
  </w:abstractNum>
  <w:abstractNum w:abstractNumId="8">
    <w:nsid w:val="6CAA2304"/>
    <w:multiLevelType w:val="hybridMultilevel"/>
    <w:lvl w:ilvl="0">
      <w:lvlJc w:val="left"/>
      <w:lvlText w:val="•"/>
      <w:numFmt w:val="bullet"/>
      <w:start w:val="1"/>
    </w:lvl>
  </w:abstractNum>
  <w:abstractNum w:abstractNumId="9">
    <w:nsid w:val="3F7C2FF4"/>
    <w:multiLevelType w:val="hybridMultilevel"/>
    <w:lvl w:ilvl="0">
      <w:lvlJc w:val="left"/>
      <w:lvlText w:val="(%1)"/>
      <w:numFmt w:val="decimal"/>
    </w:lvl>
  </w:abstractNum>
  <w:abstractNum w:abstractNumId="10">
    <w:nsid w:val="25413BEC"/>
    <w:multiLevelType w:val="hybridMultilevel"/>
    <w:lvl w:ilvl="0">
      <w:lvlJc w:val="left"/>
      <w:lvlText w:val="•"/>
      <w:numFmt w:val="bullet"/>
      <w:start w:val="1"/>
    </w:lvl>
  </w:abstractNum>
  <w:abstractNum w:abstractNumId="11">
    <w:nsid w:val="17180B0B"/>
    <w:multiLevelType w:val="hybridMultilevel"/>
    <w:lvl w:ilvl="0">
      <w:lvlJc w:val="left"/>
      <w:lvlText w:val="•"/>
      <w:numFmt w:val="bullet"/>
      <w:start w:val="1"/>
    </w:lvl>
  </w:abstractNum>
  <w:abstractNum w:abstractNumId="12">
    <w:nsid w:val="579328B9"/>
    <w:multiLevelType w:val="hybridMultilevel"/>
    <w:lvl w:ilvl="0">
      <w:lvlJc w:val="left"/>
      <w:lvlText w:val="•"/>
      <w:numFmt w:val="bullet"/>
      <w:start w:val="1"/>
    </w:lvl>
  </w:abstractNum>
  <w:abstractNum w:abstractNumId="13">
    <w:nsid w:val="5D205E20"/>
    <w:multiLevelType w:val="hybridMultilevel"/>
    <w:lvl w:ilvl="0">
      <w:lvlJc w:val="left"/>
      <w:lvlText w:val="•"/>
      <w:numFmt w:val="bullet"/>
      <w:start w:val="1"/>
    </w:lvl>
  </w:abstractNum>
  <w:abstractNum w:abstractNumId="14">
    <w:nsid w:val="11CCA8BA"/>
    <w:multiLevelType w:val="hybridMultilevel"/>
    <w:lvl w:ilvl="0">
      <w:lvlJc w:val="left"/>
      <w:lvlText w:val="(%1)"/>
      <w:numFmt w:val="decimal"/>
      <w:start w:val="1"/>
    </w:lvl>
  </w:abstractNum>
  <w:abstractNum w:abstractNumId="15">
    <w:nsid w:val="4D32AB86"/>
    <w:multiLevelType w:val="hybridMultilevel"/>
    <w:lvl w:ilvl="0">
      <w:lvlJc w:val="left"/>
      <w:lvlText w:val="(%1)"/>
      <w:numFmt w:val="decimal"/>
      <w:start w:val="1"/>
    </w:lvl>
  </w:abstractNum>
  <w:abstractNum w:abstractNumId="16">
    <w:nsid w:val="3F07ACC3"/>
    <w:multiLevelType w:val="hybridMultilevel"/>
    <w:lvl w:ilvl="0">
      <w:lvlJc w:val="left"/>
      <w:lvlText w:val="•"/>
      <w:numFmt w:val="bullet"/>
      <w:start w:val="1"/>
    </w:lvl>
  </w:abstractNum>
  <w:abstractNum w:abstractNumId="17">
    <w:nsid w:val="6B47F63E"/>
    <w:multiLevelType w:val="hybridMultilevel"/>
    <w:lvl w:ilvl="0">
      <w:lvlJc w:val="left"/>
      <w:lvlText w:val="•"/>
      <w:numFmt w:val="bullet"/>
      <w:start w:val="1"/>
    </w:lvl>
  </w:abstractNum>
  <w:abstractNum w:abstractNumId="18">
    <w:nsid w:val="5CB44A05"/>
    <w:multiLevelType w:val="hybridMultilevel"/>
    <w:lvl w:ilvl="0">
      <w:lvlJc w:val="left"/>
      <w:lvlText w:val="•"/>
      <w:numFmt w:val="bullet"/>
      <w:start w:val="1"/>
    </w:lvl>
  </w:abstractNum>
  <w:abstractNum w:abstractNumId="19">
    <w:nsid w:val="16CF80F1"/>
    <w:multiLevelType w:val="hybridMultilevel"/>
    <w:lvl w:ilvl="0">
      <w:lvlJc w:val="left"/>
      <w:lvlText w:val="•"/>
      <w:numFmt w:val="bullet"/>
      <w:start w:val="1"/>
    </w:lvl>
  </w:abstractNum>
  <w:abstractNum w:abstractNumId="20">
    <w:nsid w:val="1C695DEC"/>
    <w:multiLevelType w:val="hybridMultilevel"/>
    <w:lvl w:ilvl="0">
      <w:lvlJc w:val="left"/>
      <w:lvlText w:val="(%1)"/>
      <w:numFmt w:val="lowerRoman"/>
      <w:start w:val="2"/>
    </w:lvl>
  </w:abstractNum>
  <w:abstractNum w:abstractNumId="21">
    <w:nsid w:val="3FCFAED9"/>
    <w:multiLevelType w:val="hybridMultilevel"/>
    <w:lvl w:ilvl="0">
      <w:lvlJc w:val="left"/>
      <w:lvlText w:val="•"/>
      <w:numFmt w:val="bullet"/>
      <w:start w:val="1"/>
    </w:lvl>
  </w:abstractNum>
  <w:abstractNum w:abstractNumId="22">
    <w:nsid w:val="F856867"/>
    <w:multiLevelType w:val="hybridMultilevel"/>
    <w:lvl w:ilvl="0">
      <w:lvlJc w:val="left"/>
      <w:lvlText w:val="•"/>
      <w:numFmt w:val="bullet"/>
      <w:start w:val="1"/>
    </w:lvl>
  </w:abstractNum>
  <w:abstractNum w:abstractNumId="23">
    <w:nsid w:val="11B1CC33"/>
    <w:multiLevelType w:val="hybridMultilevel"/>
    <w:lvl w:ilvl="0">
      <w:lvlJc w:val="left"/>
      <w:lvlText w:val="•"/>
      <w:numFmt w:val="bullet"/>
      <w:start w:val="1"/>
    </w:lvl>
  </w:abstractNum>
  <w:abstractNum w:abstractNumId="24">
    <w:nsid w:val="2E22FBB7"/>
    <w:multiLevelType w:val="hybridMultilevel"/>
    <w:lvl w:ilvl="0">
      <w:lvlJc w:val="left"/>
      <w:lvlText w:val="•"/>
      <w:numFmt w:val="bullet"/>
      <w:start w:val="1"/>
    </w:lvl>
  </w:abstractNum>
  <w:abstractNum w:abstractNumId="25">
    <w:nsid w:val="29934699"/>
    <w:multiLevelType w:val="hybridMultilevel"/>
    <w:lvl w:ilvl="0">
      <w:lvlJc w:val="left"/>
      <w:lvlText w:val="•"/>
      <w:numFmt w:val="bullet"/>
      <w:start w:val="1"/>
    </w:lvl>
  </w:abstractNum>
  <w:abstractNum w:abstractNumId="26">
    <w:nsid w:val="77485850"/>
    <w:multiLevelType w:val="hybridMultilevel"/>
    <w:lvl w:ilvl="0">
      <w:lvlJc w:val="left"/>
      <w:lvlText w:val="•"/>
      <w:numFmt w:val="bullet"/>
      <w:start w:val="1"/>
    </w:lvl>
  </w:abstractNum>
  <w:abstractNum w:abstractNumId="27">
    <w:nsid w:val="744939A3"/>
    <w:multiLevelType w:val="hybridMultilevel"/>
    <w:lvl w:ilvl="0">
      <w:lvlJc w:val="left"/>
      <w:lvlText w:val="(%1)"/>
      <w:numFmt w:val="decimal"/>
      <w:start w:val="1"/>
    </w:lvl>
  </w:abstractNum>
  <w:abstractNum w:abstractNumId="28">
    <w:nsid w:val="4FA0D2E3"/>
    <w:multiLevelType w:val="hybridMultilevel"/>
    <w:lvl w:ilvl="0">
      <w:lvlJc w:val="left"/>
      <w:lvlText w:val="(%1)"/>
      <w:numFmt w:val="decimal"/>
      <w:start w:val="3"/>
    </w:lvl>
  </w:abstractNum>
  <w:abstractNum w:abstractNumId="29">
    <w:nsid w:val="6B1D2C14"/>
    <w:multiLevelType w:val="hybridMultilevel"/>
    <w:lvl w:ilvl="0">
      <w:lvlJc w:val="left"/>
      <w:lvlText w:val="$"/>
      <w:numFmt w:val="bullet"/>
      <w:start w:val="1"/>
    </w:lvl>
  </w:abstractNum>
  <w:abstractNum w:abstractNumId="30">
    <w:nsid w:val="68B867D3"/>
    <w:multiLevelType w:val="hybridMultilevel"/>
    <w:lvl w:ilvl="0">
      <w:lvlJc w:val="left"/>
      <w:lvlText w:val="(%1)"/>
      <w:numFmt w:val="decimal"/>
      <w:start w:val="1"/>
    </w:lvl>
  </w:abstractNum>
  <w:abstractNum w:abstractNumId="31">
    <w:nsid w:val="3F7F5DD9"/>
    <w:multiLevelType w:val="hybridMultilevel"/>
    <w:lvl w:ilvl="0">
      <w:lvlJc w:val="left"/>
      <w:lvlText w:val="(%1)"/>
      <w:numFmt w:val="decimal"/>
      <w:start w:val="1"/>
    </w:lvl>
  </w:abstractNum>
  <w:abstractNum w:abstractNumId="32">
    <w:nsid w:val="2AE05A34"/>
    <w:multiLevelType w:val="hybridMultilevel"/>
    <w:lvl w:ilvl="0">
      <w:lvlJc w:val="left"/>
      <w:lvlText w:val="•"/>
      <w:numFmt w:val="bullet"/>
      <w:start w:val="1"/>
    </w:lvl>
  </w:abstractNum>
  <w:abstractNum w:abstractNumId="33">
    <w:nsid w:val="32794FF7"/>
    <w:multiLevelType w:val="hybridMultilevel"/>
    <w:lvl w:ilvl="0">
      <w:lvlJc w:val="left"/>
      <w:lvlText w:val="•"/>
      <w:numFmt w:val="bullet"/>
      <w:start w:val="1"/>
    </w:lvl>
  </w:abstractNum>
  <w:abstractNum w:abstractNumId="34">
    <w:nsid w:val="5454945E"/>
    <w:multiLevelType w:val="hybridMultilevel"/>
    <w:lvl w:ilvl="0">
      <w:lvlJc w:val="left"/>
      <w:lvlText w:val="•"/>
      <w:numFmt w:val="bullet"/>
      <w:start w:val="1"/>
    </w:lvl>
  </w:abstractNum>
  <w:abstractNum w:abstractNumId="35">
    <w:nsid w:val="4DEFDFA0"/>
    <w:multiLevelType w:val="hybridMultilevel"/>
    <w:lvl w:ilvl="0">
      <w:lvlJc w:val="left"/>
      <w:lvlText w:val="•"/>
      <w:numFmt w:val="bullet"/>
      <w:start w:val="1"/>
    </w:lvl>
  </w:abstractNum>
  <w:abstractNum w:abstractNumId="36">
    <w:nsid w:val="2123D5F2"/>
    <w:multiLevelType w:val="hybridMultilevel"/>
    <w:lvl w:ilvl="0">
      <w:lvlJc w:val="left"/>
      <w:lvlText w:val="(%1)"/>
      <w:numFmt w:val="lowerRoman"/>
      <w:start w:val="4"/>
    </w:lvl>
  </w:abstractNum>
  <w:abstractNum w:abstractNumId="37">
    <w:nsid w:val="135B8110"/>
    <w:multiLevelType w:val="hybridMultilevel"/>
    <w:lvl w:ilvl="0">
      <w:lvlJc w:val="left"/>
      <w:lvlText w:val="•"/>
      <w:numFmt w:val="bullet"/>
      <w:start w:val="1"/>
    </w:lvl>
  </w:abstractNum>
  <w:abstractNum w:abstractNumId="38">
    <w:nsid w:val="94927A8"/>
    <w:multiLevelType w:val="hybridMultilevel"/>
    <w:lvl w:ilvl="0">
      <w:lvlJc w:val="left"/>
      <w:lvlText w:val="•"/>
      <w:numFmt w:val="bullet"/>
      <w:start w:val="1"/>
    </w:lvl>
  </w:abstractNum>
  <w:abstractNum w:abstractNumId="39">
    <w:nsid w:val="DCDF8F6"/>
    <w:multiLevelType w:val="hybridMultilevel"/>
    <w:lvl w:ilvl="0">
      <w:lvlJc w:val="left"/>
      <w:lvlText w:val="•"/>
      <w:numFmt w:val="bullet"/>
      <w:start w:val="1"/>
    </w:lvl>
  </w:abstractNum>
  <w:abstractNum w:abstractNumId="40">
    <w:nsid w:val="52D7B105"/>
    <w:multiLevelType w:val="hybridMultilevel"/>
    <w:lvl w:ilvl="0">
      <w:lvlJc w:val="left"/>
      <w:lvlText w:val="(%1)"/>
      <w:numFmt w:val="decimal"/>
      <w:start w:val="1"/>
    </w:lvl>
  </w:abstractNum>
  <w:abstractNum w:abstractNumId="41">
    <w:nsid w:val="2E8A6394"/>
    <w:multiLevelType w:val="hybridMultilevel"/>
    <w:lvl w:ilvl="0">
      <w:lvlJc w:val="left"/>
      <w:lvlText w:val="(%1)"/>
      <w:numFmt w:val="decimal"/>
      <w:start w:val="6"/>
    </w:lvl>
  </w:abstractNum>
  <w:abstractNum w:abstractNumId="42">
    <w:nsid w:val="24E60401"/>
    <w:multiLevelType w:val="hybridMultilevel"/>
    <w:lvl w:ilvl="0">
      <w:lvlJc w:val="left"/>
      <w:lvlText w:val="•"/>
      <w:numFmt w:val="bullet"/>
      <w:start w:val="1"/>
    </w:lvl>
  </w:abstractNum>
  <w:abstractNum w:abstractNumId="43">
    <w:nsid w:val="2A6AD9BE"/>
    <w:multiLevelType w:val="hybridMultilevel"/>
    <w:lvl w:ilvl="0">
      <w:lvlJc w:val="left"/>
      <w:lvlText w:val="•"/>
      <w:numFmt w:val="bullet"/>
      <w:start w:val="1"/>
    </w:lvl>
  </w:abstractNum>
  <w:abstractNum w:abstractNumId="44">
    <w:nsid w:val="BAAC1B4"/>
    <w:multiLevelType w:val="hybridMultilevel"/>
    <w:lvl w:ilvl="0">
      <w:lvlJc w:val="left"/>
      <w:lvlText w:val="(%1)"/>
      <w:numFmt w:val="decimal"/>
      <w:start w:val="1"/>
    </w:lvl>
  </w:abstractNum>
  <w:abstractNum w:abstractNumId="45">
    <w:nsid w:val="36B2ACBC"/>
    <w:multiLevelType w:val="hybridMultilevel"/>
    <w:lvl w:ilvl="0">
      <w:lvlJc w:val="left"/>
      <w:lvlText w:val="•"/>
      <w:numFmt w:val="bullet"/>
      <w:start w:val="1"/>
    </w:lvl>
  </w:abstractNum>
  <w:abstractNum w:abstractNumId="46">
    <w:nsid w:val="779D8544"/>
    <w:multiLevelType w:val="hybridMultilevel"/>
    <w:lvl w:ilvl="0">
      <w:lvlJc w:val="left"/>
      <w:lvlText w:val="•"/>
      <w:numFmt w:val="bullet"/>
      <w:start w:val="1"/>
    </w:lvl>
  </w:abstractNum>
  <w:abstractNum w:abstractNumId="47">
    <w:nsid w:val="4AB26E78"/>
    <w:multiLevelType w:val="hybridMultilevel"/>
    <w:lvl w:ilvl="0">
      <w:lvlJc w:val="left"/>
      <w:lvlText w:val="•"/>
      <w:numFmt w:val="bullet"/>
      <w:start w:val="1"/>
    </w:lvl>
  </w:abstractNum>
  <w:abstractNum w:abstractNumId="48">
    <w:nsid w:val="21FAA2FA"/>
    <w:multiLevelType w:val="hybridMultilevel"/>
    <w:lvl w:ilvl="0">
      <w:lvlJc w:val="left"/>
      <w:lvlText w:val="•"/>
      <w:numFmt w:val="bullet"/>
      <w:start w:val="1"/>
    </w:lvl>
  </w:abstractNum>
  <w:abstractNum w:abstractNumId="49">
    <w:nsid w:val="5451CF49"/>
    <w:multiLevelType w:val="hybridMultilevel"/>
    <w:lvl w:ilvl="0">
      <w:lvlJc w:val="left"/>
      <w:lvlText w:val="*"/>
      <w:numFmt w:val="bullet"/>
      <w:start w:val="1"/>
    </w:lvl>
  </w:abstractNum>
  <w:abstractNum w:abstractNumId="50">
    <w:nsid w:val="6181EF69"/>
    <w:multiLevelType w:val="hybridMultilevel"/>
    <w:lvl w:ilvl="0">
      <w:lvlJc w:val="left"/>
      <w:lvlText w:val="(%1)"/>
      <w:numFmt w:val="decimal"/>
      <w:start w:val="1"/>
    </w:lvl>
  </w:abstractNum>
  <w:abstractNum w:abstractNumId="51">
    <w:nsid w:val="3E6400E6"/>
    <w:multiLevelType w:val="hybridMultilevel"/>
    <w:lvl w:ilvl="0">
      <w:lvlJc w:val="left"/>
      <w:lvlText w:val="•"/>
      <w:numFmt w:val="bullet"/>
      <w:start w:val="1"/>
    </w:lvl>
  </w:abstractNum>
  <w:abstractNum w:abstractNumId="52">
    <w:nsid w:val="14217E23"/>
    <w:multiLevelType w:val="hybridMultilevel"/>
    <w:lvl w:ilvl="0">
      <w:lvlJc w:val="left"/>
      <w:lvlText w:val="•"/>
      <w:numFmt w:val="bullet"/>
      <w:start w:val="1"/>
    </w:lvl>
    <w:lvl w:ilvl="1">
      <w:lvlJc w:val="left"/>
      <w:lvlText w:val="\endash "/>
      <w:numFmt w:val="bullet"/>
      <w:start w:val="1"/>
    </w:lvl>
  </w:abstractNum>
  <w:abstractNum w:abstractNumId="53">
    <w:nsid w:val="710757D0"/>
    <w:multiLevelType w:val="hybridMultilevel"/>
    <w:lvl w:ilvl="0">
      <w:lvlJc w:val="left"/>
      <w:lvlText w:val="•"/>
      <w:numFmt w:val="bullet"/>
      <w:start w:val="1"/>
    </w:lvl>
  </w:abstractNum>
  <w:abstractNum w:abstractNumId="54">
    <w:nsid w:val="5015CD1A"/>
    <w:multiLevelType w:val="hybridMultilevel"/>
    <w:lvl w:ilvl="0">
      <w:lvlJc w:val="left"/>
      <w:lvlText w:val=","/>
      <w:numFmt w:val="bullet"/>
      <w:start w:val="1"/>
    </w:lvl>
  </w:abstractNum>
  <w:abstractNum w:abstractNumId="55">
    <w:nsid w:val="424479DA"/>
    <w:multiLevelType w:val="hybridMultilevel"/>
    <w:lvl w:ilvl="0">
      <w:lvlJc w:val="left"/>
      <w:lvlText w:val="(%1)"/>
      <w:numFmt w:val="decimal"/>
      <w:start w:val="1"/>
    </w:lvl>
  </w:abstractNum>
  <w:abstractNum w:abstractNumId="56">
    <w:nsid w:val="1A9A9E69"/>
    <w:multiLevelType w:val="hybridMultilevel"/>
    <w:lvl w:ilvl="0">
      <w:lvlJc w:val="left"/>
      <w:lvlText w:val="•"/>
      <w:numFmt w:val="bullet"/>
      <w:start w:val="1"/>
    </w:lvl>
  </w:abstractNum>
  <w:abstractNum w:abstractNumId="57">
    <w:nsid w:val="475E256A"/>
    <w:multiLevelType w:val="hybridMultilevel"/>
    <w:lvl w:ilvl="0">
      <w:lvlJc w:val="left"/>
      <w:lvlText w:val="•"/>
      <w:numFmt w:val="bullet"/>
      <w:start w:val="1"/>
    </w:lvl>
  </w:abstractNum>
  <w:abstractNum w:abstractNumId="58">
    <w:nsid w:val="368DB37E"/>
    <w:multiLevelType w:val="hybridMultilevel"/>
    <w:lvl w:ilvl="0">
      <w:lvlJc w:val="left"/>
      <w:lvlText w:val="•"/>
      <w:numFmt w:val="bullet"/>
      <w:start w:val="1"/>
    </w:lvl>
  </w:abstractNum>
  <w:abstractNum w:abstractNumId="59">
    <w:nsid w:val="6A3B714C"/>
    <w:multiLevelType w:val="hybridMultilevel"/>
    <w:lvl w:ilvl="0">
      <w:lvlJc w:val="left"/>
      <w:lvlText w:val="(%1)"/>
      <w:numFmt w:val="lowerRoman"/>
      <w:start w:val="2"/>
    </w:lvl>
  </w:abstractNum>
  <w:abstractNum w:abstractNumId="60">
    <w:nsid w:val="327B517E"/>
    <w:multiLevelType w:val="hybridMultilevel"/>
    <w:lvl w:ilvl="0">
      <w:lvlJc w:val="left"/>
      <w:lvlText w:val="•"/>
      <w:numFmt w:val="bullet"/>
      <w:start w:val="1"/>
    </w:lvl>
  </w:abstractNum>
  <w:abstractNum w:abstractNumId="61">
    <w:nsid w:val="1F461B51"/>
    <w:multiLevelType w:val="hybridMultilevel"/>
    <w:lvl w:ilvl="0">
      <w:lvlJc w:val="left"/>
      <w:lvlText w:val="•"/>
      <w:numFmt w:val="bullet"/>
      <w:start w:val="1"/>
    </w:lvl>
  </w:abstractNum>
  <w:abstractNum w:abstractNumId="62">
    <w:nsid w:val="29BACF25"/>
    <w:multiLevelType w:val="hybridMultilevel"/>
    <w:lvl w:ilvl="0">
      <w:lvlJc w:val="left"/>
      <w:lvlText w:val="•"/>
      <w:numFmt w:val="bullet"/>
      <w:start w:val="1"/>
    </w:lvl>
  </w:abstractNum>
  <w:abstractNum w:abstractNumId="63">
    <w:nsid w:val="5D5BABB3"/>
    <w:multiLevelType w:val="hybridMultilevel"/>
    <w:lvl w:ilvl="0">
      <w:lvlJc w:val="left"/>
      <w:lvlText w:val="•"/>
      <w:numFmt w:val="bullet"/>
      <w:start w:val="1"/>
    </w:lvl>
  </w:abstractNum>
  <w:abstractNum w:abstractNumId="64">
    <w:nsid w:val="51BF6B48"/>
    <w:multiLevelType w:val="hybridMultilevel"/>
    <w:lvl w:ilvl="0">
      <w:lvlJc w:val="left"/>
      <w:lvlText w:val="•"/>
      <w:numFmt w:val="bullet"/>
      <w:start w:val="1"/>
    </w:lvl>
  </w:abstractNum>
  <w:abstractNum w:abstractNumId="65">
    <w:nsid w:val="7E0F6384"/>
    <w:multiLevelType w:val="hybridMultilevel"/>
    <w:lvl w:ilvl="0">
      <w:lvlJc w:val="left"/>
      <w:lvlText w:val="•"/>
      <w:numFmt w:val="bullet"/>
      <w:start w:val="1"/>
    </w:lvl>
  </w:abstractNum>
  <w:abstractNum w:abstractNumId="66">
    <w:nsid w:val="2B4B8B53"/>
    <w:multiLevelType w:val="hybridMultilevel"/>
    <w:lvl w:ilvl="0">
      <w:lvlJc w:val="left"/>
      <w:lvlText w:val="•"/>
      <w:numFmt w:val="bullet"/>
      <w:start w:val="1"/>
    </w:lvl>
  </w:abstractNum>
  <w:abstractNum w:abstractNumId="67">
    <w:nsid w:val="72E3413A"/>
    <w:multiLevelType w:val="hybridMultilevel"/>
    <w:lvl w:ilvl="0">
      <w:lvlJc w:val="left"/>
      <w:lvlText w:val="•"/>
      <w:numFmt w:val="bullet"/>
      <w:start w:val="1"/>
    </w:lvl>
  </w:abstractNum>
  <w:abstractNum w:abstractNumId="68">
    <w:nsid w:val="116AE494"/>
    <w:multiLevelType w:val="hybridMultilevel"/>
    <w:lvl w:ilvl="0">
      <w:lvlJc w:val="left"/>
      <w:lvlText w:val="(%1)"/>
      <w:numFmt w:val="lowerRoman"/>
      <w:start w:val="1"/>
    </w:lvl>
  </w:abstractNum>
  <w:abstractNum w:abstractNumId="69">
    <w:nsid w:val="3494B2FB"/>
    <w:multiLevelType w:val="hybridMultilevel"/>
    <w:lvl w:ilvl="0">
      <w:lvlJc w:val="left"/>
      <w:lvlText w:val="•"/>
      <w:numFmt w:val="bullet"/>
      <w:start w:val="1"/>
    </w:lvl>
  </w:abstractNum>
  <w:abstractNum w:abstractNumId="70">
    <w:nsid w:val="B13A31"/>
    <w:multiLevelType w:val="hybridMultilevel"/>
    <w:lvl w:ilvl="0">
      <w:lvlJc w:val="left"/>
      <w:lvlText w:val="•"/>
      <w:numFmt w:val="bullet"/>
      <w:start w:val="1"/>
    </w:lvl>
  </w:abstractNum>
  <w:abstractNum w:abstractNumId="71">
    <w:nsid w:val="64429599"/>
    <w:multiLevelType w:val="hybridMultilevel"/>
    <w:lvl w:ilvl="0">
      <w:lvlJc w:val="left"/>
      <w:lvlText w:val="•"/>
      <w:numFmt w:val="bullet"/>
      <w:start w:val="1"/>
    </w:lvl>
  </w:abstractNum>
  <w:abstractNum w:abstractNumId="72">
    <w:nsid w:val="631F1690"/>
    <w:multiLevelType w:val="hybridMultilevel"/>
    <w:lvl w:ilvl="0">
      <w:lvlJc w:val="left"/>
      <w:lvlText w:val="(%1)"/>
      <w:numFmt w:val="lowerRoman"/>
      <w:start w:val="2"/>
    </w:lvl>
  </w:abstractNum>
  <w:abstractNum w:abstractNumId="73">
    <w:nsid w:val="25973E32"/>
    <w:multiLevelType w:val="hybridMultilevel"/>
    <w:lvl w:ilvl="0">
      <w:lvlJc w:val="left"/>
      <w:lvlText w:val="(%1)"/>
      <w:numFmt w:val="lowerRoman"/>
      <w:start w:val="1"/>
    </w:lvl>
  </w:abstractNum>
  <w:abstractNum w:abstractNumId="74">
    <w:nsid w:val="EAD6F57"/>
    <w:multiLevelType w:val="hybridMultilevel"/>
    <w:lvl w:ilvl="0">
      <w:lvlJc w:val="left"/>
      <w:lvlText w:val="•"/>
      <w:numFmt w:val="bullet"/>
      <w:start w:val="1"/>
    </w:lvl>
  </w:abstractNum>
  <w:abstractNum w:abstractNumId="75">
    <w:nsid w:val="6EC9D844"/>
    <w:multiLevelType w:val="hybridMultilevel"/>
    <w:lvl w:ilvl="0">
      <w:lvlJc w:val="left"/>
      <w:lvlText w:val="•"/>
      <w:numFmt w:val="bullet"/>
      <w:start w:val="1"/>
    </w:lvl>
  </w:abstractNum>
  <w:abstractNum w:abstractNumId="76">
    <w:nsid w:val="5C49EAEE"/>
    <w:multiLevelType w:val="hybridMultilevel"/>
    <w:lvl w:ilvl="0">
      <w:lvlJc w:val="left"/>
      <w:lvlText w:val="•"/>
      <w:numFmt w:val="bullet"/>
      <w:start w:val="1"/>
    </w:lvl>
  </w:abstractNum>
  <w:abstractNum w:abstractNumId="77">
    <w:nsid w:val="64AF49B"/>
    <w:multiLevelType w:val="hybridMultilevel"/>
    <w:lvl w:ilvl="0">
      <w:lvlJc w:val="left"/>
      <w:lvlText w:val="•"/>
      <w:numFmt w:val="bullet"/>
      <w:start w:val="1"/>
    </w:lvl>
  </w:abstractNum>
  <w:abstractNum w:abstractNumId="78">
    <w:nsid w:val="397C46BC"/>
    <w:multiLevelType w:val="hybridMultilevel"/>
    <w:lvl w:ilvl="0">
      <w:lvlJc w:val="left"/>
      <w:lvlText w:val="•"/>
      <w:numFmt w:val="bullet"/>
      <w:start w:val="1"/>
    </w:lvl>
  </w:abstractNum>
  <w:abstractNum w:abstractNumId="79">
    <w:nsid w:val="7E448DE9"/>
    <w:multiLevelType w:val="hybridMultilevel"/>
    <w:lvl w:ilvl="0">
      <w:lvlJc w:val="left"/>
      <w:lvlText w:val="•"/>
      <w:numFmt w:val="bullet"/>
      <w:start w:val="1"/>
    </w:lvl>
  </w:abstractNum>
  <w:abstractNum w:abstractNumId="80">
    <w:nsid w:val="5A9CC3E5"/>
    <w:multiLevelType w:val="hybridMultilevel"/>
    <w:lvl w:ilvl="0">
      <w:lvlJc w:val="left"/>
      <w:lvlText w:val="•"/>
      <w:numFmt w:val="bullet"/>
      <w:start w:val="1"/>
    </w:lvl>
  </w:abstractNum>
  <w:abstractNum w:abstractNumId="81">
    <w:nsid w:val="1AFE3625"/>
    <w:multiLevelType w:val="hybridMultilevel"/>
    <w:lvl w:ilvl="0">
      <w:lvlJc w:val="left"/>
      <w:lvlText w:val="•"/>
      <w:numFmt w:val="bullet"/>
      <w:start w:val="1"/>
    </w:lvl>
  </w:abstractNum>
  <w:abstractNum w:abstractNumId="82">
    <w:nsid w:val="3CA88ECF"/>
    <w:multiLevelType w:val="hybridMultilevel"/>
    <w:lvl w:ilvl="0">
      <w:lvlJc w:val="left"/>
      <w:lvlText w:val="•"/>
      <w:numFmt w:val="bullet"/>
      <w:start w:val="1"/>
    </w:lvl>
  </w:abstractNum>
  <w:abstractNum w:abstractNumId="83">
    <w:nsid w:val="6EBE4208"/>
    <w:multiLevelType w:val="hybridMultilevel"/>
    <w:lvl w:ilvl="0">
      <w:lvlJc w:val="left"/>
      <w:lvlText w:val="•"/>
      <w:numFmt w:val="bullet"/>
      <w:start w:val="1"/>
    </w:lvl>
  </w:abstractNum>
  <w:abstractNum w:abstractNumId="84">
    <w:nsid w:val="C058DF5"/>
    <w:multiLevelType w:val="hybridMultilevel"/>
    <w:lvl w:ilvl="0">
      <w:lvlJc w:val="left"/>
      <w:lvlText w:val="(%1)"/>
      <w:numFmt w:val="lowerLetter"/>
      <w:start w:val="1"/>
    </w:lvl>
  </w:abstractNum>
  <w:abstractNum w:abstractNumId="85">
    <w:nsid w:val="CBE5BE9"/>
    <w:multiLevelType w:val="hybridMultilevel"/>
    <w:lvl w:ilvl="0">
      <w:lvlJc w:val="left"/>
      <w:lvlText w:val="(%1)"/>
      <w:numFmt w:val="lowerLetter"/>
      <w:start w:val="1"/>
    </w:lvl>
  </w:abstractNum>
  <w:abstractNum w:abstractNumId="86">
    <w:nsid w:val="3102BBE2"/>
    <w:multiLevelType w:val="hybridMultilevel"/>
    <w:lvl w:ilvl="0">
      <w:lvlJc w:val="left"/>
      <w:lvlText w:val="(%1)"/>
      <w:numFmt w:val="lowerRoman"/>
      <w:start w:val="1"/>
    </w:lvl>
  </w:abstractNum>
  <w:abstractNum w:abstractNumId="87">
    <w:nsid w:val="26A02C5E"/>
    <w:multiLevelType w:val="hybridMultilevel"/>
    <w:lvl w:ilvl="0">
      <w:lvlJc w:val="left"/>
      <w:lvlText w:val="(%1)"/>
      <w:numFmt w:val="lowerLetter"/>
      <w:start w:val="1"/>
    </w:lvl>
  </w:abstractNum>
  <w:abstractNum w:abstractNumId="88">
    <w:nsid w:val="541C8153"/>
    <w:multiLevelType w:val="hybridMultilevel"/>
    <w:lvl w:ilvl="0">
      <w:lvlJc w:val="left"/>
      <w:lvlText w:val="(%1)"/>
      <w:numFmt w:val="lowerRoman"/>
      <w:start w:val="1"/>
    </w:lvl>
  </w:abstractNum>
  <w:abstractNum w:abstractNumId="89">
    <w:nsid w:val="67906F60"/>
    <w:multiLevelType w:val="hybridMultilevel"/>
    <w:lvl w:ilvl="0">
      <w:lvlJc w:val="left"/>
      <w:lvlText w:val="*"/>
      <w:numFmt w:val="bullet"/>
      <w:start w:val="1"/>
    </w:lvl>
  </w:abstractNum>
  <w:abstractNum w:abstractNumId="90">
    <w:nsid w:val="10DB9DAA"/>
    <w:multiLevelType w:val="hybridMultilevel"/>
    <w:lvl w:ilvl="0">
      <w:lvlJc w:val="left"/>
      <w:lvlText w:val="%1."/>
      <w:numFmt w:val="decimal"/>
      <w:start w:val="1"/>
    </w:lvl>
  </w:abstractNum>
  <w:abstractNum w:abstractNumId="91">
    <w:nsid w:val="697D2D2"/>
    <w:multiLevelType w:val="hybridMultilevel"/>
    <w:lvl w:ilvl="0">
      <w:lvlJc w:val="left"/>
      <w:lvlText w:val="%1."/>
      <w:numFmt w:val="decimal"/>
      <w:start w:val="2"/>
    </w:lvl>
  </w:abstractNum>
  <w:abstractNum w:abstractNumId="92">
    <w:nsid w:val="6D68AB2"/>
    <w:multiLevelType w:val="hybridMultilevel"/>
    <w:lvl w:ilvl="0">
      <w:lvlJc w:val="left"/>
      <w:lvlText w:val="%1."/>
      <w:numFmt w:val="decimal"/>
      <w:start w:val="3"/>
    </w:lvl>
  </w:abstractNum>
  <w:abstractNum w:abstractNumId="93">
    <w:nsid w:val="3A966CD0"/>
    <w:multiLevelType w:val="hybridMultilevel"/>
    <w:lvl w:ilvl="0">
      <w:lvlJc w:val="left"/>
      <w:lvlText w:val="%1."/>
      <w:numFmt w:val="decimal"/>
      <w:start w:val="4"/>
    </w:lvl>
  </w:abstractNum>
  <w:abstractNum w:abstractNumId="94">
    <w:nsid w:val="63F37E85"/>
    <w:multiLevelType w:val="hybridMultilevel"/>
    <w:lvl w:ilvl="0">
      <w:lvlJc w:val="left"/>
      <w:lvlText w:val="%1."/>
      <w:numFmt w:val="decimal"/>
      <w:start w:val="5"/>
    </w:lvl>
  </w:abstractNum>
  <w:abstractNum w:abstractNumId="95">
    <w:nsid w:val="5895F5FA"/>
    <w:multiLevelType w:val="hybridMultilevel"/>
    <w:lvl w:ilvl="0">
      <w:lvlJc w:val="left"/>
      <w:lvlText w:val="%1."/>
      <w:numFmt w:val="decimal"/>
      <w:start w:val="6"/>
    </w:lvl>
  </w:abstractNum>
  <w:abstractNum w:abstractNumId="96">
    <w:nsid w:val="38A5D054"/>
    <w:multiLevelType w:val="hybridMultilevel"/>
    <w:lvl w:ilvl="0">
      <w:lvlJc w:val="left"/>
      <w:lvlText w:val="1"/>
      <w:numFmt w:val="bullet"/>
      <w:start w:val="1"/>
    </w:lvl>
  </w:abstractNum>
  <w:abstractNum w:abstractNumId="97">
    <w:nsid w:val="F3F09D8"/>
    <w:multiLevelType w:val="hybridMultilevel"/>
    <w:lvl w:ilvl="0">
      <w:lvlJc w:val="left"/>
      <w:lvlText w:val="2"/>
      <w:numFmt w:val="bullet"/>
      <w:start w:val="1"/>
    </w:lvl>
  </w:abstractNum>
  <w:abstractNum w:abstractNumId="98">
    <w:nsid w:val="4B793735"/>
    <w:multiLevelType w:val="hybridMultilevel"/>
    <w:lvl w:ilvl="0">
      <w:lvlJc w:val="left"/>
      <w:lvlText w:val="%1."/>
      <w:numFmt w:val="decimal"/>
      <w:start w:val="7"/>
    </w:lvl>
  </w:abstractNum>
  <w:abstractNum w:abstractNumId="99">
    <w:nsid w:val="4A10B4E8"/>
    <w:multiLevelType w:val="hybridMultilevel"/>
    <w:lvl w:ilvl="0">
      <w:lvlJc w:val="left"/>
      <w:lvlText w:val="%1)"/>
      <w:numFmt w:val="lowerLetter"/>
      <w:start w:val="1"/>
    </w:lvl>
  </w:abstractNum>
  <w:abstractNum w:abstractNumId="100">
    <w:nsid w:val="43D3BCD4"/>
    <w:multiLevelType w:val="hybridMultilevel"/>
    <w:lvl w:ilvl="0">
      <w:lvlJc w:val="left"/>
      <w:lvlText w:val="%1)"/>
      <w:numFmt w:val="lowerLetter"/>
      <w:start w:val="2"/>
    </w:lvl>
  </w:abstractNum>
  <w:abstractNum w:abstractNumId="101">
    <w:nsid w:val="4C2A7166"/>
    <w:multiLevelType w:val="hybridMultilevel"/>
    <w:lvl w:ilvl="0">
      <w:lvlJc w:val="left"/>
      <w:lvlText w:val="%1."/>
      <w:numFmt w:val="decimal"/>
      <w:start w:val="8"/>
    </w:lvl>
  </w:abstractNum>
  <w:abstractNum w:abstractNumId="102">
    <w:nsid w:val="2E534A82"/>
    <w:multiLevelType w:val="hybridMultilevel"/>
    <w:lvl w:ilvl="0">
      <w:lvlJc w:val="left"/>
      <w:lvlText w:val="%1."/>
      <w:numFmt w:val="decimal"/>
      <w:start w:val="9"/>
    </w:lvl>
  </w:abstractNum>
  <w:abstractNum w:abstractNumId="103">
    <w:nsid w:val="26F2D364"/>
    <w:multiLevelType w:val="hybridMultilevel"/>
    <w:lvl w:ilvl="0">
      <w:lvlJc w:val="left"/>
      <w:lvlText w:val="%1."/>
      <w:numFmt w:val="decimal"/>
      <w:start w:val="10"/>
    </w:lvl>
  </w:abstractNum>
  <w:abstractNum w:abstractNumId="104">
    <w:nsid w:val="71C1AF98"/>
    <w:multiLevelType w:val="hybridMultilevel"/>
    <w:lvl w:ilvl="0">
      <w:lvlJc w:val="left"/>
      <w:lvlText w:val="%1."/>
      <w:numFmt w:val="decimal"/>
      <w:start w:val="11"/>
    </w:lvl>
  </w:abstractNum>
  <w:abstractNum w:abstractNumId="105">
    <w:nsid w:val="3D00B9D9"/>
    <w:multiLevelType w:val="hybridMultilevel"/>
    <w:lvl w:ilvl="0">
      <w:lvlJc w:val="left"/>
      <w:lvlText w:val="%1)"/>
      <w:numFmt w:val="lowerLetter"/>
      <w:start w:val="1"/>
    </w:lvl>
  </w:abstractNum>
  <w:abstractNum w:abstractNumId="106">
    <w:nsid w:val="15BCABA8"/>
    <w:multiLevelType w:val="hybridMultilevel"/>
    <w:lvl w:ilvl="0">
      <w:lvlJc w:val="left"/>
      <w:lvlText w:val="%1)"/>
      <w:numFmt w:val="lowerLetter"/>
      <w:start w:val="2"/>
    </w:lvl>
  </w:abstractNum>
  <w:abstractNum w:abstractNumId="107">
    <w:nsid w:val="4E0B9A87"/>
    <w:multiLevelType w:val="hybridMultilevel"/>
    <w:lvl w:ilvl="0">
      <w:lvlJc w:val="left"/>
      <w:lvlText w:val="%1."/>
      <w:numFmt w:val="decimal"/>
      <w:start w:val="12"/>
    </w:lvl>
  </w:abstractNum>
  <w:abstractNum w:abstractNumId="108">
    <w:nsid w:val="434BAE75"/>
    <w:multiLevelType w:val="hybridMultilevel"/>
    <w:lvl w:ilvl="0">
      <w:lvlJc w:val="left"/>
      <w:lvlText w:val="%1)"/>
      <w:numFmt w:val="lowerLetter"/>
      <w:start w:val="1"/>
    </w:lvl>
  </w:abstractNum>
  <w:abstractNum w:abstractNumId="109">
    <w:nsid w:val="4F38F265"/>
    <w:multiLevelType w:val="hybridMultilevel"/>
    <w:lvl w:ilvl="0">
      <w:lvlJc w:val="left"/>
      <w:lvlText w:val="%1)"/>
      <w:numFmt w:val="lowerLetter"/>
      <w:start w:val="2"/>
    </w:lvl>
  </w:abstractNum>
  <w:abstractNum w:abstractNumId="110">
    <w:nsid w:val="4C502870"/>
    <w:multiLevelType w:val="hybridMultilevel"/>
    <w:lvl w:ilvl="0">
      <w:lvlJc w:val="left"/>
      <w:lvlText w:val="%1."/>
      <w:numFmt w:val="decimal"/>
      <w:start w:val="13"/>
    </w:lvl>
  </w:abstractNum>
  <w:abstractNum w:abstractNumId="111">
    <w:nsid w:val="1DE8725A"/>
    <w:multiLevelType w:val="hybridMultilevel"/>
    <w:lvl w:ilvl="0">
      <w:lvlJc w:val="left"/>
      <w:lvlText w:val="%1."/>
      <w:numFmt w:val="decimal"/>
      <w:start w:val="14"/>
    </w:lvl>
  </w:abstractNum>
  <w:abstractNum w:abstractNumId="112">
    <w:nsid w:val="6A37288A"/>
    <w:multiLevelType w:val="hybridMultilevel"/>
    <w:lvl w:ilvl="0">
      <w:lvlJc w:val="left"/>
      <w:lvlText w:val="%1."/>
      <w:numFmt w:val="decimal"/>
      <w:start w:val="15"/>
    </w:lvl>
  </w:abstractNum>
  <w:abstractNum w:abstractNumId="113">
    <w:nsid w:val="8F8B73F"/>
    <w:multiLevelType w:val="hybridMultilevel"/>
    <w:lvl w:ilvl="0">
      <w:lvlJc w:val="left"/>
      <w:lvlText w:val="%1)"/>
      <w:numFmt w:val="lowerLetter"/>
      <w:start w:val="1"/>
    </w:lvl>
  </w:abstractNum>
  <w:abstractNum w:abstractNumId="114">
    <w:nsid w:val="CA6B462"/>
    <w:multiLevelType w:val="hybridMultilevel"/>
    <w:lvl w:ilvl="0">
      <w:lvlJc w:val="left"/>
      <w:lvlText w:val="•"/>
      <w:numFmt w:val="bullet"/>
      <w:start w:val="1"/>
    </w:lvl>
  </w:abstractNum>
  <w:abstractNum w:abstractNumId="115">
    <w:nsid w:val="763CB680"/>
    <w:multiLevelType w:val="hybridMultilevel"/>
    <w:lvl w:ilvl="0">
      <w:lvlJc w:val="left"/>
      <w:lvlText w:val="%1)"/>
      <w:numFmt w:val="lowerLetter"/>
      <w:start w:val="2"/>
    </w:lvl>
  </w:abstractNum>
  <w:abstractNum w:abstractNumId="116">
    <w:nsid w:val="15B71329"/>
    <w:multiLevelType w:val="hybridMultilevel"/>
    <w:lvl w:ilvl="0">
      <w:lvlJc w:val="left"/>
      <w:lvlText w:val="%1)"/>
      <w:numFmt w:val="lowerLetter"/>
      <w:start w:val="3"/>
    </w:lvl>
  </w:abstractNum>
  <w:abstractNum w:abstractNumId="117">
    <w:nsid w:val="3DA97044"/>
    <w:multiLevelType w:val="hybridMultilevel"/>
    <w:lvl w:ilvl="0">
      <w:lvlJc w:val="left"/>
      <w:lvlText w:val="%1."/>
      <w:numFmt w:val="decimal"/>
      <w:start w:val="16"/>
    </w:lvl>
  </w:abstractNum>
  <w:abstractNum w:abstractNumId="118">
    <w:nsid w:val="1CDCE2DE"/>
    <w:multiLevelType w:val="hybridMultilevel"/>
    <w:lvl w:ilvl="0">
      <w:lvlJc w:val="left"/>
      <w:lvlText w:val="%1)"/>
      <w:numFmt w:val="lowerLetter"/>
      <w:start w:val="1"/>
    </w:lvl>
  </w:abstractNum>
  <w:abstractNum w:abstractNumId="119">
    <w:nsid w:val="69D3947C"/>
    <w:multiLevelType w:val="hybridMultilevel"/>
    <w:lvl w:ilvl="0">
      <w:lvlJc w:val="left"/>
      <w:lvlText w:val="%1)"/>
      <w:numFmt w:val="lowerLetter"/>
      <w:start w:val="2"/>
    </w:lvl>
  </w:abstractNum>
  <w:abstractNum w:abstractNumId="120">
    <w:nsid w:val="2539DFA5"/>
    <w:multiLevelType w:val="hybridMultilevel"/>
    <w:lvl w:ilvl="0">
      <w:lvlJc w:val="left"/>
      <w:lvlText w:val="%1)"/>
      <w:numFmt w:val="lowerLetter"/>
      <w:start w:val="3"/>
    </w:lvl>
  </w:abstractNum>
  <w:abstractNum w:abstractNumId="121">
    <w:nsid w:val="2DB88089"/>
    <w:multiLevelType w:val="hybridMultilevel"/>
    <w:lvl w:ilvl="0">
      <w:lvlJc w:val="left"/>
      <w:lvlText w:val="%1."/>
      <w:numFmt w:val="decimal"/>
      <w:start w:val="17"/>
    </w:lvl>
  </w:abstractNum>
  <w:abstractNum w:abstractNumId="122">
    <w:nsid w:val="706B674E"/>
    <w:multiLevelType w:val="hybridMultilevel"/>
    <w:lvl w:ilvl="0">
      <w:lvlJc w:val="left"/>
      <w:lvlText w:val="%1)"/>
      <w:numFmt w:val="lowerLetter"/>
      <w:start w:val="2"/>
    </w:lvl>
  </w:abstractNum>
  <w:abstractNum w:abstractNumId="123">
    <w:nsid w:val="2C106A57"/>
    <w:multiLevelType w:val="hybridMultilevel"/>
    <w:lvl w:ilvl="0">
      <w:lvlJc w:val="left"/>
      <w:lvlText w:val="%1."/>
      <w:numFmt w:val="decimal"/>
      <w:start w:val="18"/>
    </w:lvl>
  </w:abstractNum>
  <w:abstractNum w:abstractNumId="124">
    <w:nsid w:val="684EED59"/>
    <w:multiLevelType w:val="hybridMultilevel"/>
    <w:lvl w:ilvl="0">
      <w:lvlJc w:val="left"/>
      <w:lvlText w:val="•"/>
      <w:numFmt w:val="bullet"/>
      <w:start w:val="1"/>
    </w:lvl>
  </w:abstractNum>
  <w:abstractNum w:abstractNumId="125">
    <w:nsid w:val="545EE5D3"/>
    <w:multiLevelType w:val="hybridMultilevel"/>
    <w:lvl w:ilvl="0">
      <w:lvlJc w:val="left"/>
      <w:lvlText w:val="%1."/>
      <w:numFmt w:val="decimal"/>
      <w:start w:val="18"/>
    </w:lvl>
    <w:lvl w:ilvl="1">
      <w:lvlJc w:val="left"/>
      <w:lvlText w:val="•"/>
      <w:numFmt w:val="bullet"/>
      <w:start w:val="1"/>
    </w:lvl>
  </w:abstractNum>
  <w:abstractNum w:abstractNumId="126">
    <w:nsid w:val="4A66051"/>
    <w:multiLevelType w:val="hybridMultilevel"/>
    <w:lvl w:ilvl="0">
      <w:lvlJc w:val="left"/>
      <w:lvlText w:val="•"/>
      <w:numFmt w:val="bullet"/>
      <w:start w:val="1"/>
    </w:lvl>
  </w:abstractNum>
  <w:abstractNum w:abstractNumId="127">
    <w:nsid w:val="20F4BDAD"/>
    <w:multiLevelType w:val="hybridMultilevel"/>
    <w:lvl w:ilvl="0">
      <w:lvlJc w:val="left"/>
      <w:lvlText w:val="%1."/>
      <w:numFmt w:val="decimal"/>
      <w:start w:val="1"/>
    </w:lvl>
  </w:abstractNum>
  <w:abstractNum w:abstractNumId="128">
    <w:nsid w:val="639DEFAC"/>
    <w:multiLevelType w:val="hybridMultilevel"/>
    <w:lvl w:ilvl="0">
      <w:lvlJc w:val="left"/>
      <w:lvlText w:val="%1."/>
      <w:numFmt w:val="decimal"/>
      <w:start w:val="2"/>
    </w:lvl>
  </w:abstractNum>
  <w:abstractNum w:abstractNumId="129">
    <w:nsid w:val="501F9786"/>
    <w:multiLevelType w:val="hybridMultilevel"/>
    <w:lvl w:ilvl="0">
      <w:lvlJc w:val="left"/>
      <w:lvlText w:val="%1."/>
      <w:numFmt w:val="decimal"/>
      <w:start w:val="3"/>
    </w:lvl>
  </w:abstractNum>
  <w:abstractNum w:abstractNumId="130">
    <w:nsid w:val="6B057295"/>
    <w:multiLevelType w:val="hybridMultilevel"/>
    <w:lvl w:ilvl="0">
      <w:lvlJc w:val="left"/>
      <w:lvlText w:val="3.%1."/>
      <w:numFmt w:val="decimal"/>
      <w:start w:val="1"/>
    </w:lvl>
  </w:abstractNum>
  <w:abstractNum w:abstractNumId="131">
    <w:nsid w:val="2771AC80"/>
    <w:multiLevelType w:val="hybridMultilevel"/>
    <w:lvl w:ilvl="0">
      <w:lvlJc w:val="left"/>
      <w:lvlText w:val="%1)"/>
      <w:numFmt w:val="lowerLetter"/>
      <w:start w:val="1"/>
    </w:lvl>
  </w:abstractNum>
  <w:abstractNum w:abstractNumId="132">
    <w:nsid w:val="1C4A08EC"/>
    <w:multiLevelType w:val="hybridMultilevel"/>
    <w:lvl w:ilvl="0">
      <w:lvlJc w:val="left"/>
      <w:lvlText w:val="%1)"/>
      <w:numFmt w:val="lowerLetter"/>
      <w:start w:val="2"/>
    </w:lvl>
  </w:abstractNum>
  <w:abstractNum w:abstractNumId="133">
    <w:nsid w:val="1958BD17"/>
    <w:multiLevelType w:val="hybridMultilevel"/>
    <w:lvl w:ilvl="0">
      <w:lvlJc w:val="left"/>
      <w:lvlText w:val="•"/>
      <w:numFmt w:val="bullet"/>
      <w:start w:val="1"/>
    </w:lvl>
  </w:abstractNum>
  <w:abstractNum w:abstractNumId="134">
    <w:nsid w:val="4E647FE4"/>
    <w:multiLevelType w:val="hybridMultilevel"/>
    <w:lvl w:ilvl="0">
      <w:lvlJc w:val="left"/>
      <w:lvlText w:val="%1)"/>
      <w:numFmt w:val="lowerLetter"/>
      <w:start w:val="3"/>
    </w:lvl>
  </w:abstractNum>
  <w:abstractNum w:abstractNumId="135">
    <w:nsid w:val="E0BB885"/>
    <w:multiLevelType w:val="hybridMultilevel"/>
    <w:lvl w:ilvl="0">
      <w:lvlJc w:val="left"/>
      <w:lvlText w:val="%1)"/>
      <w:numFmt w:val="lowerLetter"/>
      <w:start w:val="4"/>
    </w:lvl>
  </w:abstractNum>
  <w:abstractNum w:abstractNumId="136">
    <w:nsid w:val="565976F1"/>
    <w:multiLevelType w:val="hybridMultilevel"/>
    <w:lvl w:ilvl="0">
      <w:lvlJc w:val="left"/>
      <w:lvlText w:val="%1)"/>
      <w:numFmt w:val="lowerLetter"/>
      <w:start w:val="5"/>
    </w:lvl>
  </w:abstractNum>
  <w:abstractNum w:abstractNumId="137">
    <w:nsid w:val="64212B8C"/>
    <w:multiLevelType w:val="hybridMultilevel"/>
    <w:lvl w:ilvl="0">
      <w:lvlJc w:val="left"/>
      <w:lvlText w:val="%1)"/>
      <w:numFmt w:val="lowerLetter"/>
      <w:start w:val="6"/>
    </w:lvl>
  </w:abstractNum>
  <w:abstractNum w:abstractNumId="138">
    <w:nsid w:val="5C17530C"/>
    <w:multiLevelType w:val="hybridMultilevel"/>
    <w:lvl w:ilvl="0">
      <w:lvlJc w:val="left"/>
      <w:lvlText w:val="%1)"/>
      <w:numFmt w:val="lowerLetter"/>
      <w:start w:val="7"/>
    </w:lvl>
  </w:abstractNum>
  <w:abstractNum w:abstractNumId="139">
    <w:nsid w:val="19A52566"/>
    <w:multiLevelType w:val="hybridMultilevel"/>
    <w:lvl w:ilvl="0">
      <w:lvlJc w:val="left"/>
      <w:lvlText w:val="%1)"/>
      <w:numFmt w:val="lowerLetter"/>
      <w:start w:val="8"/>
    </w:lvl>
  </w:abstractNum>
  <w:abstractNum w:abstractNumId="140">
    <w:nsid w:val="335A1DF1"/>
    <w:multiLevelType w:val="hybridMultilevel"/>
    <w:lvl w:ilvl="0">
      <w:lvlJc w:val="left"/>
      <w:lvlText w:val="%1)"/>
      <w:numFmt w:val="lowerRoman"/>
      <w:start w:val="1"/>
    </w:lvl>
  </w:abstractNum>
  <w:abstractNum w:abstractNumId="141">
    <w:nsid w:val="28677B7C"/>
    <w:multiLevelType w:val="hybridMultilevel"/>
    <w:lvl w:ilvl="0">
      <w:lvlJc w:val="left"/>
      <w:lvlText w:val="%1)"/>
      <w:numFmt w:val="lowerLetter"/>
      <w:start w:val="10"/>
    </w:lvl>
  </w:abstractNum>
  <w:abstractNum w:abstractNumId="142">
    <w:nsid w:val="378D97C0"/>
    <w:multiLevelType w:val="hybridMultilevel"/>
    <w:lvl w:ilvl="0">
      <w:lvlJc w:val="left"/>
      <w:lvlText w:val="•"/>
      <w:numFmt w:val="bullet"/>
      <w:start w:val="1"/>
    </w:lvl>
  </w:abstractNum>
  <w:abstractNum w:abstractNumId="143">
    <w:nsid w:val="1D91467C"/>
    <w:multiLevelType w:val="hybridMultilevel"/>
    <w:lvl w:ilvl="0">
      <w:lvlJc w:val="left"/>
      <w:lvlText w:val="%1)"/>
      <w:numFmt w:val="lowerLetter"/>
      <w:start w:val="11"/>
    </w:lvl>
  </w:abstractNum>
  <w:abstractNum w:abstractNumId="144">
    <w:nsid w:val="316032BB"/>
    <w:multiLevelType w:val="hybridMultilevel"/>
    <w:lvl w:ilvl="0">
      <w:lvlJc w:val="left"/>
      <w:lvlText w:val="•"/>
      <w:numFmt w:val="bullet"/>
      <w:start w:val="1"/>
    </w:lvl>
  </w:abstractNum>
  <w:abstractNum w:abstractNumId="145">
    <w:nsid w:val="44344C22"/>
    <w:multiLevelType w:val="hybridMultilevel"/>
    <w:lvl w:ilvl="0">
      <w:lvlJc w:val="left"/>
      <w:lvlText w:val="%1)"/>
      <w:numFmt w:val="lowerLetter"/>
      <w:start w:val="12"/>
    </w:lvl>
  </w:abstractNum>
  <w:abstractNum w:abstractNumId="146">
    <w:nsid w:val="13CDFCFC"/>
    <w:multiLevelType w:val="hybridMultilevel"/>
    <w:lvl w:ilvl="0">
      <w:lvlJc w:val="left"/>
      <w:lvlText w:val="%1)"/>
      <w:numFmt w:val="lowerLetter"/>
      <w:start w:val="13"/>
    </w:lvl>
  </w:abstractNum>
  <w:abstractNum w:abstractNumId="147">
    <w:nsid w:val="471745E4"/>
    <w:multiLevelType w:val="hybridMultilevel"/>
    <w:lvl w:ilvl="0">
      <w:lvlJc w:val="left"/>
      <w:lvlText w:val="%1)"/>
      <w:numFmt w:val="lowerLetter"/>
      <w:start w:val="14"/>
    </w:lvl>
  </w:abstractNum>
  <w:abstractNum w:abstractNumId="148">
    <w:nsid w:val="1DDBC66"/>
    <w:multiLevelType w:val="hybridMultilevel"/>
    <w:lvl w:ilvl="0">
      <w:lvlJc w:val="left"/>
      <w:lvlText w:val="%1)"/>
      <w:numFmt w:val="lowerLetter"/>
      <w:start w:val="15"/>
    </w:lvl>
  </w:abstractNum>
  <w:abstractNum w:abstractNumId="149">
    <w:nsid w:val="30AADFDA"/>
    <w:multiLevelType w:val="hybridMultilevel"/>
    <w:lvl w:ilvl="0">
      <w:lvlJc w:val="left"/>
      <w:lvlText w:val="%1)"/>
      <w:numFmt w:val="lowerLetter"/>
      <w:start w:val="16"/>
    </w:lvl>
  </w:abstractNum>
  <w:abstractNum w:abstractNumId="150">
    <w:nsid w:val="30EADA61"/>
    <w:multiLevelType w:val="hybridMultilevel"/>
    <w:lvl w:ilvl="0">
      <w:lvlJc w:val="left"/>
      <w:lvlText w:val="•"/>
      <w:numFmt w:val="bullet"/>
      <w:start w:val="1"/>
    </w:lvl>
  </w:abstractNum>
  <w:abstractNum w:abstractNumId="151">
    <w:nsid w:val="27179C0B"/>
    <w:multiLevelType w:val="hybridMultilevel"/>
    <w:lvl w:ilvl="0">
      <w:lvlJc w:val="left"/>
      <w:lvlText w:val="%1)"/>
      <w:numFmt w:val="lowerLetter"/>
      <w:start w:val="1"/>
    </w:lvl>
  </w:abstractNum>
  <w:abstractNum w:abstractNumId="152">
    <w:nsid w:val="5E636063"/>
    <w:multiLevelType w:val="hybridMultilevel"/>
    <w:lvl w:ilvl="0">
      <w:lvlJc w:val="left"/>
      <w:lvlText w:val="•"/>
      <w:numFmt w:val="bullet"/>
      <w:start w:val="1"/>
    </w:lvl>
  </w:abstractNum>
  <w:abstractNum w:abstractNumId="153">
    <w:nsid w:val="215641AF"/>
    <w:multiLevelType w:val="hybridMultilevel"/>
    <w:lvl w:ilvl="0">
      <w:lvlJc w:val="left"/>
      <w:lvlText w:val="%1)"/>
      <w:numFmt w:val="lowerLetter"/>
      <w:start w:val="2"/>
    </w:lvl>
  </w:abstractNum>
  <w:abstractNum w:abstractNumId="154">
    <w:nsid w:val="53280662"/>
    <w:multiLevelType w:val="hybridMultilevel"/>
    <w:lvl w:ilvl="0">
      <w:lvlJc w:val="left"/>
      <w:lvlText w:val="%1."/>
      <w:numFmt w:val="decimal"/>
      <w:start w:val="4"/>
    </w:lvl>
  </w:abstractNum>
  <w:abstractNum w:abstractNumId="155">
    <w:nsid w:val="46B24DBC"/>
    <w:multiLevelType w:val="hybridMultilevel"/>
    <w:lvl w:ilvl="0">
      <w:lvlJc w:val="left"/>
      <w:lvlText w:val="%1)"/>
      <w:numFmt w:val="lowerLetter"/>
      <w:start w:val="1"/>
    </w:lvl>
  </w:abstractNum>
  <w:abstractNum w:abstractNumId="156">
    <w:nsid w:val="75B52783"/>
    <w:multiLevelType w:val="hybridMultilevel"/>
    <w:lvl w:ilvl="0">
      <w:lvlJc w:val="left"/>
      <w:lvlText w:val="%1)"/>
      <w:numFmt w:val="lowerLetter"/>
      <w:start w:val="2"/>
    </w:lvl>
  </w:abstractNum>
  <w:abstractNum w:abstractNumId="157">
    <w:nsid w:val="57CE66B4"/>
    <w:multiLevelType w:val="hybridMultilevel"/>
    <w:lvl w:ilvl="0">
      <w:lvlJc w:val="left"/>
      <w:lvlText w:val="%1."/>
      <w:numFmt w:val="decimal"/>
      <w:start w:val="5"/>
    </w:lvl>
  </w:abstractNum>
  <w:abstractNum w:abstractNumId="158">
    <w:nsid w:val="67A70B69"/>
    <w:multiLevelType w:val="hybridMultilevel"/>
    <w:lvl w:ilvl="0">
      <w:lvlJc w:val="left"/>
      <w:lvlText w:val="1"/>
      <w:numFmt w:val="bullet"/>
      <w:start w:val="1"/>
    </w:lvl>
  </w:abstractNum>
  <w:abstractNum w:abstractNumId="159">
    <w:nsid w:val="5953172F"/>
    <w:multiLevelType w:val="hybridMultilevel"/>
    <w:lvl w:ilvl="0">
      <w:lvlJc w:val="left"/>
      <w:lvlText w:val="%1."/>
      <w:numFmt w:val="decimal"/>
      <w:start w:val="6"/>
    </w:lvl>
  </w:abstractNum>
  <w:abstractNum w:abstractNumId="160">
    <w:nsid w:val="27EDFE3A"/>
    <w:multiLevelType w:val="hybridMultilevel"/>
    <w:lvl w:ilvl="0">
      <w:lvlJc w:val="left"/>
      <w:lvlText w:val="%1)"/>
      <w:numFmt w:val="lowerLetter"/>
      <w:start w:val="1"/>
    </w:lvl>
  </w:abstractNum>
  <w:abstractNum w:abstractNumId="161">
    <w:nsid w:val="52AC7DFF"/>
    <w:multiLevelType w:val="hybridMultilevel"/>
    <w:lvl w:ilvl="0">
      <w:lvlJc w:val="left"/>
      <w:lvlText w:val="%1."/>
      <w:numFmt w:val="decimal"/>
      <w:start w:val="12"/>
    </w:lvl>
  </w:abstractNum>
  <w:abstractNum w:abstractNumId="162">
    <w:nsid w:val="C4C3AF"/>
    <w:multiLevelType w:val="hybridMultilevel"/>
    <w:lvl w:ilvl="0">
      <w:lvlJc w:val="left"/>
      <w:lvlText w:val="%1."/>
      <w:numFmt w:val="decimal"/>
      <w:start w:val="13"/>
    </w:lvl>
  </w:abstractNum>
  <w:abstractNum w:abstractNumId="163">
    <w:nsid w:val="44380727"/>
    <w:multiLevelType w:val="hybridMultilevel"/>
    <w:lvl w:ilvl="0">
      <w:lvlJc w:val="left"/>
      <w:lvlText w:val="%1."/>
      <w:numFmt w:val="decimal"/>
      <w:start w:val="16"/>
    </w:lvl>
  </w:abstractNum>
  <w:abstractNum w:abstractNumId="164">
    <w:nsid w:val="6C053B16"/>
    <w:multiLevelType w:val="hybridMultilevel"/>
    <w:lvl w:ilvl="0">
      <w:lvlJc w:val="left"/>
      <w:lvlText w:val="%1."/>
      <w:numFmt w:val="decimal"/>
      <w:start w:val="18"/>
    </w:lvl>
  </w:abstractNum>
  <w:abstractNum w:abstractNumId="165">
    <w:nsid w:val="4F294393"/>
    <w:multiLevelType w:val="hybridMultilevel"/>
    <w:lvl w:ilvl="0">
      <w:lvlJc w:val="left"/>
      <w:lvlText w:val="%1."/>
      <w:numFmt w:val="decimal"/>
      <w:start w:val="21"/>
    </w:lvl>
  </w:abstractNum>
  <w:abstractNum w:abstractNumId="166">
    <w:nsid w:val="5243BFAC"/>
    <w:multiLevelType w:val="hybridMultilevel"/>
    <w:lvl w:ilvl="0">
      <w:lvlJc w:val="left"/>
      <w:lvlText w:val="%1."/>
      <w:numFmt w:val="decimal"/>
      <w:start w:val="23"/>
    </w:lvl>
  </w:abstractNum>
  <w:abstractNum w:abstractNumId="167">
    <w:nsid w:val="425EB207"/>
    <w:multiLevelType w:val="hybridMultilevel"/>
    <w:lvl w:ilvl="0">
      <w:lvlJc w:val="left"/>
      <w:lvlText w:val="%1."/>
      <w:numFmt w:val="decimal"/>
      <w:start w:val="24"/>
    </w:lvl>
  </w:abstractNum>
  <w:abstractNum w:abstractNumId="168">
    <w:nsid w:val="334A6F1F"/>
    <w:multiLevelType w:val="hybridMultilevel"/>
    <w:lvl w:ilvl="0">
      <w:lvlJc w:val="left"/>
      <w:lvlText w:val="%1)"/>
      <w:numFmt w:val="lowerLetter"/>
      <w:start w:val="1"/>
    </w:lvl>
  </w:abstractNum>
  <w:abstractNum w:abstractNumId="169">
    <w:nsid w:val="2E5B12B8"/>
    <w:multiLevelType w:val="hybridMultilevel"/>
    <w:lvl w:ilvl="0">
      <w:lvlJc w:val="left"/>
      <w:lvlText w:val="•"/>
      <w:numFmt w:val="bullet"/>
      <w:start w:val="1"/>
    </w:lvl>
  </w:abstractNum>
  <w:abstractNum w:abstractNumId="170">
    <w:nsid w:val="5C03D76D"/>
    <w:multiLevelType w:val="hybridMultilevel"/>
    <w:lvl w:ilvl="0">
      <w:lvlJc w:val="left"/>
      <w:lvlText w:val="%1)"/>
      <w:numFmt w:val="lowerLetter"/>
      <w:start w:val="2"/>
    </w:lvl>
  </w:abstractNum>
  <w:abstractNum w:abstractNumId="171">
    <w:nsid w:val="66A48D11"/>
    <w:multiLevelType w:val="hybridMultilevel"/>
    <w:lvl w:ilvl="0">
      <w:lvlJc w:val="left"/>
      <w:lvlText w:val="%1)"/>
      <w:numFmt w:val="lowerLetter"/>
      <w:start w:val="3"/>
    </w:lvl>
  </w:abstractNum>
  <w:abstractNum w:abstractNumId="172">
    <w:nsid w:val="56C28E34"/>
    <w:multiLevelType w:val="hybridMultilevel"/>
    <w:lvl w:ilvl="0">
      <w:lvlJc w:val="left"/>
      <w:lvlText w:val="%1."/>
      <w:numFmt w:val="decimal"/>
      <w:start w:val="25"/>
    </w:lvl>
  </w:abstractNum>
  <w:abstractNum w:abstractNumId="173">
    <w:nsid w:val="13916F2D"/>
    <w:multiLevelType w:val="hybridMultilevel"/>
    <w:lvl w:ilvl="0">
      <w:lvlJc w:val="left"/>
      <w:lvlText w:val="%1."/>
      <w:numFmt w:val="decimal"/>
      <w:start w:val="26"/>
    </w:lvl>
  </w:abstractNum>
  <w:abstractNum w:abstractNumId="174">
    <w:nsid w:val="435D38D"/>
    <w:multiLevelType w:val="hybridMultilevel"/>
    <w:lvl w:ilvl="0">
      <w:lvlJc w:val="left"/>
      <w:lvlText w:val="%1."/>
      <w:numFmt w:val="decimal"/>
      <w:start w:val="26"/>
    </w:lvl>
    <w:lvl w:ilvl="1">
      <w:lvlJc w:val="left"/>
      <w:lvlText w:val="•"/>
      <w:numFmt w:val="bullet"/>
      <w:start w:val="1"/>
    </w:lvl>
  </w:abstractNum>
  <w:abstractNum w:abstractNumId="175">
    <w:nsid w:val="822C0EF"/>
    <w:multiLevelType w:val="hybridMultilevel"/>
    <w:lvl w:ilvl="0">
      <w:lvlJc w:val="left"/>
      <w:lvlText w:val="%1."/>
      <w:numFmt w:val="decimal"/>
      <w:start w:val="29"/>
    </w:lvl>
  </w:abstractNum>
  <w:abstractNum w:abstractNumId="176">
    <w:nsid w:val="57C5BB4F"/>
    <w:multiLevelType w:val="hybridMultilevel"/>
    <w:lvl w:ilvl="0">
      <w:lvlJc w:val="left"/>
      <w:lvlText w:val="%1."/>
      <w:numFmt w:val="decimal"/>
      <w:start w:val="32"/>
    </w:lvl>
  </w:abstractNum>
  <w:abstractNum w:abstractNumId="177">
    <w:nsid w:val="1803D089"/>
    <w:multiLevelType w:val="hybridMultilevel"/>
    <w:lvl w:ilvl="0">
      <w:lvlJc w:val="left"/>
      <w:lvlText w:val="%1."/>
      <w:numFmt w:val="decimal"/>
      <w:start w:val="33"/>
    </w:lvl>
  </w:abstractNum>
  <w:abstractNum w:abstractNumId="178">
    <w:nsid w:val="4F3A06D4"/>
    <w:multiLevelType w:val="hybridMultilevel"/>
    <w:lvl w:ilvl="0">
      <w:lvlJc w:val="left"/>
      <w:lvlText w:val="%1)"/>
      <w:numFmt w:val="lowerLetter"/>
      <w:start w:val="1"/>
    </w:lvl>
  </w:abstractNum>
  <w:abstractNum w:abstractNumId="179">
    <w:nsid w:val="59A377B6"/>
    <w:multiLevelType w:val="hybridMultilevel"/>
    <w:lvl w:ilvl="0">
      <w:lvlJc w:val="left"/>
      <w:lvlText w:val="•"/>
      <w:numFmt w:val="bullet"/>
      <w:start w:val="1"/>
    </w:lvl>
  </w:abstractNum>
  <w:abstractNum w:abstractNumId="180">
    <w:nsid w:val="48AEB063"/>
    <w:multiLevelType w:val="hybridMultilevel"/>
    <w:lvl w:ilvl="0">
      <w:lvlJc w:val="left"/>
      <w:lvlText w:val="%1)"/>
      <w:numFmt w:val="lowerLetter"/>
      <w:start w:val="2"/>
    </w:lvl>
  </w:abstractNum>
  <w:abstractNum w:abstractNumId="181">
    <w:nsid w:val="24E135"/>
    <w:multiLevelType w:val="hybridMultilevel"/>
    <w:lvl w:ilvl="0">
      <w:lvlJc w:val="left"/>
      <w:lvlText w:val="•"/>
      <w:numFmt w:val="bullet"/>
      <w:start w:val="1"/>
    </w:lvl>
  </w:abstractNum>
  <w:abstractNum w:abstractNumId="182">
    <w:nsid w:val="BB13C1"/>
    <w:multiLevelType w:val="hybridMultilevel"/>
    <w:lvl w:ilvl="0">
      <w:lvlJc w:val="left"/>
      <w:lvlText w:val="%1)"/>
      <w:numFmt w:val="lowerLetter"/>
      <w:start w:val="3"/>
    </w:lvl>
  </w:abstractNum>
  <w:abstractNum w:abstractNumId="183">
    <w:nsid w:val="271210C7"/>
    <w:multiLevelType w:val="hybridMultilevel"/>
    <w:lvl w:ilvl="0">
      <w:lvlJc w:val="left"/>
      <w:lvlText w:val="%1."/>
      <w:numFmt w:val="decimal"/>
      <w:start w:val="34"/>
    </w:lvl>
  </w:abstractNum>
  <w:abstractNum w:abstractNumId="184">
    <w:nsid w:val="217B22E4"/>
    <w:multiLevelType w:val="hybridMultilevel"/>
    <w:lvl w:ilvl="0">
      <w:lvlJc w:val="left"/>
      <w:lvlText w:val="%1)"/>
      <w:numFmt w:val="lowerLetter"/>
      <w:start w:val="2"/>
    </w:lvl>
  </w:abstractNum>
  <w:abstractNum w:abstractNumId="185">
    <w:nsid w:val="53E31A24"/>
    <w:multiLevelType w:val="hybridMultilevel"/>
    <w:lvl w:ilvl="0">
      <w:lvlJc w:val="left"/>
      <w:lvlText w:val="•"/>
      <w:numFmt w:val="bullet"/>
      <w:start w:val="1"/>
    </w:lvl>
  </w:abstractNum>
  <w:abstractNum w:abstractNumId="186">
    <w:nsid w:val="6DC45E83"/>
    <w:multiLevelType w:val="hybridMultilevel"/>
    <w:lvl w:ilvl="0">
      <w:lvlJc w:val="left"/>
      <w:lvlText w:val="•"/>
      <w:numFmt w:val="bullet"/>
      <w:start w:val="1"/>
    </w:lvl>
  </w:abstractNum>
  <w:abstractNum w:abstractNumId="187">
    <w:nsid w:val="17304A67"/>
    <w:multiLevelType w:val="hybridMultilevel"/>
    <w:lvl w:ilvl="0">
      <w:lvlJc w:val="left"/>
      <w:lvlText w:val="(%1)"/>
      <w:numFmt w:val="lowerRoman"/>
      <w:start w:val="1"/>
    </w:lvl>
  </w:abstractNum>
  <w:abstractNum w:abstractNumId="188">
    <w:nsid w:val="2BB180D8"/>
    <w:multiLevelType w:val="hybridMultilevel"/>
    <w:lvl w:ilvl="0">
      <w:lvlJc w:val="left"/>
      <w:lvlText w:val="(%1)"/>
      <w:numFmt w:val="lowerRoman"/>
      <w:start w:val="2"/>
    </w:lvl>
  </w:abstractNum>
  <w:abstractNum w:abstractNumId="189">
    <w:nsid w:val="556B69ED"/>
    <w:multiLevelType w:val="hybridMultilevel"/>
    <w:lvl w:ilvl="0">
      <w:lvlJc w:val="left"/>
      <w:lvlText w:val="(%1)"/>
      <w:numFmt w:val="lowerRoman"/>
      <w:start w:val="3"/>
    </w:lvl>
  </w:abstractNum>
  <w:abstractNum w:abstractNumId="190">
    <w:nsid w:val="70836196"/>
    <w:multiLevelType w:val="hybridMultilevel"/>
    <w:lvl w:ilvl="0">
      <w:lvlJc w:val="left"/>
      <w:lvlText w:val="(%1)"/>
      <w:numFmt w:val="lowerRoman"/>
      <w:start w:val="1"/>
    </w:lvl>
  </w:abstractNum>
  <w:abstractNum w:abstractNumId="191">
    <w:nsid w:val="539F7F12"/>
    <w:multiLevelType w:val="hybridMultilevel"/>
    <w:lvl w:ilvl="0">
      <w:lvlJc w:val="left"/>
      <w:lvlText w:val="(%1)"/>
      <w:numFmt w:val="lowerRoman"/>
      <w:start w:val="2"/>
    </w:lvl>
  </w:abstractNum>
  <w:abstractNum w:abstractNumId="192">
    <w:nsid w:val="2817E7EC"/>
    <w:multiLevelType w:val="hybridMultilevel"/>
    <w:lvl w:ilvl="0">
      <w:lvlJc w:val="left"/>
      <w:lvlText w:val="%1."/>
      <w:numFmt w:val="decimal"/>
      <w:start w:val="35"/>
    </w:lvl>
  </w:abstractNum>
  <w:abstractNum w:abstractNumId="193">
    <w:nsid w:val="71482545"/>
    <w:multiLevelType w:val="hybridMultilevel"/>
    <w:lvl w:ilvl="0">
      <w:lvlJc w:val="left"/>
      <w:lvlText w:val="%1)"/>
      <w:numFmt w:val="lowerLetter"/>
      <w:start w:val="1"/>
    </w:lvl>
  </w:abstractNum>
  <w:abstractNum w:abstractNumId="194">
    <w:nsid w:val="17D78639"/>
    <w:multiLevelType w:val="hybridMultilevel"/>
    <w:lvl w:ilvl="0">
      <w:lvlJc w:val="left"/>
      <w:lvlText w:val="%1)"/>
      <w:numFmt w:val="lowerLetter"/>
      <w:start w:val="2"/>
    </w:lvl>
  </w:abstractNum>
  <w:abstractNum w:abstractNumId="195">
    <w:nsid w:val="141D2302"/>
    <w:multiLevelType w:val="hybridMultilevel"/>
    <w:lvl w:ilvl="0">
      <w:lvlJc w:val="left"/>
      <w:lvlText w:val="%1."/>
      <w:numFmt w:val="decimal"/>
      <w:start w:val="36"/>
    </w:lvl>
  </w:abstractNum>
  <w:abstractNum w:abstractNumId="196">
    <w:nsid w:val="407168D8"/>
    <w:multiLevelType w:val="hybridMultilevel"/>
    <w:lvl w:ilvl="0">
      <w:lvlJc w:val="left"/>
      <w:lvlText w:val="•"/>
      <w:numFmt w:val="bullet"/>
      <w:start w:val="1"/>
    </w:lvl>
  </w:abstractNum>
  <w:abstractNum w:abstractNumId="197">
    <w:nsid w:val="6A1B45E5"/>
    <w:multiLevelType w:val="hybridMultilevel"/>
    <w:lvl w:ilvl="0">
      <w:lvlJc w:val="left"/>
      <w:lvlText w:val="•"/>
      <w:numFmt w:val="bullet"/>
      <w:start w:val="1"/>
    </w:lvl>
  </w:abstractNum>
  <w:abstractNum w:abstractNumId="198">
    <w:nsid w:val="567BD50A"/>
    <w:multiLevelType w:val="hybridMultilevel"/>
    <w:lvl w:ilvl="0">
      <w:lvlJc w:val="left"/>
      <w:lvlText w:val="%1."/>
      <w:numFmt w:val="decimal"/>
      <w:start w:val="37"/>
    </w:lvl>
  </w:abstractNum>
  <w:abstractNum w:abstractNumId="199">
    <w:nsid w:val="73BBD7F8"/>
    <w:multiLevelType w:val="hybridMultilevel"/>
    <w:lvl w:ilvl="0">
      <w:lvlJc w:val="left"/>
      <w:lvlText w:val="•"/>
      <w:numFmt w:val="bullet"/>
      <w:start w:val="1"/>
    </w:lvl>
  </w:abstractNum>
  <w:abstractNum w:abstractNumId="200">
    <w:nsid w:val="1876589D"/>
    <w:multiLevelType w:val="hybridMultilevel"/>
    <w:lvl w:ilvl="0">
      <w:lvlJc w:val="left"/>
      <w:lvlText w:val="•"/>
      <w:numFmt w:val="bullet"/>
      <w:start w:val="1"/>
    </w:lvl>
  </w:abstractNum>
  <w:abstractNum w:abstractNumId="201">
    <w:nsid w:val="327FAC77"/>
    <w:multiLevelType w:val="hybridMultilevel"/>
    <w:lvl w:ilvl="0">
      <w:lvlJc w:val="left"/>
      <w:lvlText w:val="(%1)"/>
      <w:numFmt w:val="decimal"/>
      <w:start w:val="2"/>
    </w:lvl>
  </w:abstractNum>
  <w:abstractNum w:abstractNumId="202">
    <w:nsid w:val="5A606509"/>
    <w:multiLevelType w:val="hybridMultilevel"/>
    <w:lvl w:ilvl="0">
      <w:lvlJc w:val="left"/>
      <w:lvlText w:val="%1"/>
      <w:numFmt w:val="lowerLetter"/>
      <w:start w:val="1"/>
    </w:lvl>
    <w:lvl w:ilvl="1">
      <w:lvlJc w:val="left"/>
      <w:lvlText w:val="(%2)"/>
      <w:numFmt w:val="decimal"/>
      <w:start w:val="1"/>
    </w:lvl>
  </w:abstractNum>
  <w:abstractNum w:abstractNumId="203">
    <w:nsid w:val="6F38E6D1"/>
    <w:multiLevelType w:val="hybridMultilevel"/>
    <w:lvl w:ilvl="0">
      <w:lvlJc w:val="left"/>
      <w:lvlText w:val="(%1)"/>
      <w:numFmt w:val="lowerLetter"/>
      <w:start w:val="1"/>
    </w:lvl>
    <w:lvl w:ilvl="1">
      <w:lvlJc w:val="left"/>
      <w:lvlText w:val="%2"/>
      <w:numFmt w:val="decimal"/>
      <w:start w:val="1"/>
    </w:lvl>
  </w:abstractNum>
  <w:abstractNum w:abstractNumId="204">
    <w:nsid w:val="46111BA5"/>
    <w:multiLevelType w:val="hybridMultilevel"/>
    <w:lvl w:ilvl="0">
      <w:lvlJc w:val="left"/>
      <w:lvlText w:val="(%1)"/>
      <w:numFmt w:val="decimal"/>
      <w:start w:val="1"/>
    </w:lvl>
  </w:abstractNum>
  <w:abstractNum w:abstractNumId="205">
    <w:nsid w:val="5E963896"/>
    <w:multiLevelType w:val="hybridMultilevel"/>
    <w:lvl w:ilvl="0">
      <w:lvlJc w:val="left"/>
      <w:lvlText w:val="(%1)"/>
      <w:numFmt w:val="decimal"/>
      <w:start w:val="1"/>
    </w:lvl>
  </w:abstractNum>
  <w:abstractNum w:abstractNumId="206">
    <w:nsid w:val="775BA7C1"/>
    <w:multiLevelType w:val="hybridMultilevel"/>
    <w:lvl w:ilvl="0">
      <w:lvlJc w:val="left"/>
      <w:lvlText w:val="(%1)"/>
      <w:numFmt w:val="decimal"/>
      <w:start w:val="1"/>
    </w:lvl>
  </w:abstractNum>
  <w:abstractNum w:abstractNumId="207">
    <w:nsid w:val="1DD6D6F4"/>
    <w:multiLevelType w:val="hybridMultilevel"/>
    <w:lvl w:ilvl="0">
      <w:lvlJc w:val="left"/>
      <w:lvlText w:val="(%1)"/>
      <w:numFmt w:val="lowerRoman"/>
      <w:start w:val="1"/>
    </w:lvl>
  </w:abstractNum>
  <w:abstractNum w:abstractNumId="208">
    <w:nsid w:val="769A091F"/>
    <w:multiLevelType w:val="hybridMultilevel"/>
    <w:lvl w:ilvl="0">
      <w:lvlJc w:val="left"/>
      <w:lvlText w:val="(%1)"/>
      <w:numFmt w:val="decimal"/>
      <w:start w:val="4"/>
    </w:lvl>
  </w:abstractNum>
  <w:abstractNum w:abstractNumId="209">
    <w:nsid w:val="4695AE95"/>
    <w:multiLevelType w:val="hybridMultilevel"/>
    <w:lvl w:ilvl="0">
      <w:lvlJc w:val="left"/>
      <w:lvlText w:val="(%1)"/>
      <w:numFmt w:val="decimal"/>
      <w:start w:val="5"/>
    </w:lvl>
  </w:abstractNum>
  <w:abstractNum w:abstractNumId="210">
    <w:nsid w:val="777A4EAA"/>
    <w:multiLevelType w:val="hybridMultilevel"/>
    <w:lvl w:ilvl="0">
      <w:lvlJc w:val="left"/>
      <w:lvlText w:val="(%1)"/>
      <w:numFmt w:val="decimal"/>
      <w:start w:val="8"/>
    </w:lvl>
  </w:abstractNum>
  <w:abstractNum w:abstractNumId="211">
    <w:nsid w:val="3F48B982"/>
    <w:multiLevelType w:val="hybridMultilevel"/>
    <w:lvl w:ilvl="0">
      <w:lvlJc w:val="left"/>
      <w:lvlText w:val="(%1)"/>
      <w:numFmt w:val="decimal"/>
      <w:start w:val="9"/>
    </w:lvl>
  </w:abstractNum>
  <w:abstractNum w:abstractNumId="212">
    <w:nsid w:val="46BA8FCA"/>
    <w:multiLevelType w:val="hybridMultilevel"/>
    <w:lvl w:ilvl="0">
      <w:lvlJc w:val="left"/>
      <w:lvlText w:val="(%1)"/>
      <w:numFmt w:val="decimal"/>
      <w:start w:val="1"/>
    </w:lvl>
  </w:abstractNum>
  <w:abstractNum w:abstractNumId="213">
    <w:nsid w:val="7835626C"/>
    <w:multiLevelType w:val="hybridMultilevel"/>
    <w:lvl w:ilvl="0">
      <w:lvlJc w:val="left"/>
      <w:lvlText w:val="(%1)"/>
      <w:numFmt w:val="decimal"/>
      <w:start w:val="1"/>
    </w:lvl>
  </w:abstractNum>
  <w:abstractNum w:abstractNumId="214">
    <w:nsid w:val="665ACA49"/>
    <w:multiLevelType w:val="hybridMultilevel"/>
    <w:lvl w:ilvl="0">
      <w:lvlJc w:val="left"/>
      <w:lvlText w:val="(%1)"/>
      <w:numFmt w:val="decimal"/>
      <w:start w:val="1"/>
    </w:lvl>
  </w:abstractNum>
  <w:abstractNum w:abstractNumId="215">
    <w:nsid w:val="6835B2AE"/>
    <w:multiLevelType w:val="hybridMultilevel"/>
    <w:lvl w:ilvl="0">
      <w:lvlJc w:val="left"/>
      <w:lvlText w:val="(%1)"/>
      <w:numFmt w:val="decimal"/>
      <w:start w:val="1"/>
    </w:lvl>
  </w:abstractNum>
  <w:abstractNum w:abstractNumId="216">
    <w:nsid w:val="4C187C90"/>
    <w:multiLevelType w:val="hybridMultilevel"/>
    <w:lvl w:ilvl="0">
      <w:lvlJc w:val="left"/>
      <w:lvlText w:val="(%1)"/>
      <w:numFmt w:val="decimal"/>
      <w:start w:val="1"/>
    </w:lvl>
  </w:abstractNum>
  <w:abstractNum w:abstractNumId="217">
    <w:nsid w:val="541F28CD"/>
    <w:multiLevelType w:val="hybridMultilevel"/>
    <w:lvl w:ilvl="0">
      <w:lvlJc w:val="left"/>
      <w:lvlText w:val="(%1)"/>
      <w:numFmt w:val="decimal"/>
      <w:start w:val="1"/>
    </w:lvl>
  </w:abstractNum>
  <w:abstractNum w:abstractNumId="218">
    <w:nsid w:val="7F65FD16"/>
    <w:multiLevelType w:val="hybridMultilevel"/>
    <w:lvl w:ilvl="0">
      <w:lvlJc w:val="left"/>
      <w:lvlText w:val="(%1)"/>
      <w:numFmt w:val="decimal"/>
      <w:start w:val="1"/>
    </w:lvl>
  </w:abstractNum>
  <w:abstractNum w:abstractNumId="219">
    <w:nsid w:val="77C9FD68"/>
    <w:multiLevelType w:val="hybridMultilevel"/>
    <w:lvl w:ilvl="0">
      <w:lvlJc w:val="left"/>
      <w:lvlText w:val="(%1)"/>
      <w:numFmt w:val="decimal"/>
      <w:start w:val="1"/>
    </w:lvl>
  </w:abstractNum>
  <w:abstractNum w:abstractNumId="220">
    <w:nsid w:val="298A92BA"/>
    <w:multiLevelType w:val="hybridMultilevel"/>
    <w:lvl w:ilvl="0">
      <w:lvlJc w:val="left"/>
      <w:lvlText w:val="(%1)"/>
      <w:numFmt w:val="decimal"/>
      <w:start w:val="1"/>
    </w:lvl>
  </w:abstractNum>
  <w:abstractNum w:abstractNumId="221">
    <w:nsid w:val="6FE95EAC"/>
    <w:multiLevelType w:val="hybridMultilevel"/>
    <w:lvl w:ilvl="0">
      <w:lvlJc w:val="left"/>
      <w:lvlText w:val="(%1)"/>
      <w:numFmt w:val="decimal"/>
      <w:start w:val="6"/>
    </w:lvl>
  </w:abstractNum>
  <w:abstractNum w:abstractNumId="222">
    <w:nsid w:val="4B697C7A"/>
    <w:multiLevelType w:val="hybridMultilevel"/>
    <w:lvl w:ilvl="0">
      <w:lvlJc w:val="left"/>
      <w:lvlText w:val="(%1)"/>
      <w:numFmt w:val="decimal"/>
      <w:start w:val="1"/>
    </w:lvl>
  </w:abstractNum>
  <w:abstractNum w:abstractNumId="223">
    <w:nsid w:val="51A27AA6"/>
    <w:multiLevelType w:val="hybridMultilevel"/>
    <w:lvl w:ilvl="0">
      <w:lvlJc w:val="left"/>
      <w:lvlText w:val="(%1)"/>
      <w:numFmt w:val="decimal"/>
      <w:start w:val="1"/>
    </w:lvl>
  </w:abstractNum>
  <w:abstractNum w:abstractNumId="224">
    <w:nsid w:val="613183F2"/>
    <w:multiLevelType w:val="hybridMultilevel"/>
    <w:lvl w:ilvl="0">
      <w:lvlJc w:val="left"/>
      <w:lvlText w:val="(%1)"/>
      <w:numFmt w:val="decimal"/>
      <w:start w:val="2"/>
    </w:lvl>
  </w:abstractNum>
  <w:abstractNum w:abstractNumId="225">
    <w:nsid w:val="634102B4"/>
    <w:multiLevelType w:val="hybridMultilevel"/>
    <w:lvl w:ilvl="0">
      <w:lvlJc w:val="left"/>
      <w:lvlText w:val="(%1)"/>
      <w:numFmt w:val="decimal"/>
      <w:start w:val="1"/>
    </w:lvl>
  </w:abstractNum>
  <w:abstractNum w:abstractNumId="226">
    <w:nsid w:val="65BF9DA8"/>
    <w:multiLevelType w:val="hybridMultilevel"/>
    <w:lvl w:ilvl="0">
      <w:lvlJc w:val="left"/>
      <w:lvlText w:val="•"/>
      <w:numFmt w:val="bullet"/>
      <w:start w:val="1"/>
    </w:lvl>
  </w:abstractNum>
  <w:abstractNum w:abstractNumId="227">
    <w:nsid w:val="21A2ECCA"/>
    <w:multiLevelType w:val="hybridMultilevel"/>
    <w:lvl w:ilvl="0">
      <w:lvlJc w:val="left"/>
      <w:lvlText w:val="•"/>
      <w:numFmt w:val="bullet"/>
      <w:start w:val="1"/>
    </w:lvl>
  </w:abstractNum>
  <w:abstractNum w:abstractNumId="228">
    <w:nsid w:val="4D5C4899"/>
    <w:multiLevelType w:val="hybridMultilevel"/>
    <w:lvl w:ilvl="0">
      <w:lvlJc w:val="left"/>
      <w:lvlText w:val="•"/>
      <w:numFmt w:val="bullet"/>
      <w:start w:val="1"/>
    </w:lvl>
  </w:abstractNum>
  <w:abstractNum w:abstractNumId="229">
    <w:nsid w:val="3C3B72B2"/>
    <w:multiLevelType w:val="hybridMultilevel"/>
    <w:lvl w:ilvl="0">
      <w:lvlJc w:val="left"/>
      <w:lvlText w:val="•"/>
      <w:numFmt w:val="bullet"/>
      <w:start w:val="1"/>
    </w:lvl>
  </w:abstractNum>
  <w:abstractNum w:abstractNumId="230">
    <w:nsid w:val="155EC4C2"/>
    <w:multiLevelType w:val="hybridMultilevel"/>
    <w:lvl w:ilvl="0">
      <w:lvlJc w:val="left"/>
      <w:lvlText w:val="§"/>
      <w:numFmt w:val="bullet"/>
      <w:start w:val="1"/>
    </w:lvl>
  </w:abstractNum>
  <w:abstractNum w:abstractNumId="231">
    <w:nsid w:val="65D2A137"/>
    <w:multiLevelType w:val="hybridMultilevel"/>
    <w:lvl w:ilvl="0">
      <w:lvlJc w:val="left"/>
      <w:lvlText w:val="§"/>
      <w:numFmt w:val="bullet"/>
      <w:start w:val="1"/>
    </w:lvl>
  </w:abstractNum>
  <w:abstractNum w:abstractNumId="232">
    <w:nsid w:val="6EBB1F2A"/>
    <w:multiLevelType w:val="hybridMultilevel"/>
    <w:lvl w:ilvl="0">
      <w:lvlJc w:val="left"/>
      <w:lvlText w:val="%1."/>
      <w:numFmt w:val="decimal"/>
      <w:start w:val="1"/>
    </w:lvl>
  </w:abstractNum>
  <w:abstractNum w:abstractNumId="233">
    <w:nsid w:val="6FBF29CB"/>
    <w:multiLevelType w:val="hybridMultilevel"/>
    <w:lvl w:ilvl="0">
      <w:lvlJc w:val="left"/>
      <w:lvlText w:val="%1."/>
      <w:numFmt w:val="decimal"/>
      <w:start w:val="1"/>
    </w:lvl>
    <w:lvl w:ilvl="1">
      <w:lvlJc w:val="left"/>
      <w:lvlText w:val="•"/>
      <w:numFmt w:val="bullet"/>
      <w:start w:val="1"/>
    </w:lvl>
  </w:abstractNum>
  <w:abstractNum w:abstractNumId="234">
    <w:nsid w:val="550B8808"/>
    <w:multiLevelType w:val="hybridMultilevel"/>
    <w:lvl w:ilvl="0">
      <w:lvlJc w:val="left"/>
      <w:lvlText w:val="%1."/>
      <w:numFmt w:val="decimal"/>
      <w:start w:val="1"/>
    </w:lvl>
  </w:abstractNum>
  <w:abstractNum w:abstractNumId="235">
    <w:nsid w:val="34CC3ACF"/>
    <w:multiLevelType w:val="hybridMultilevel"/>
    <w:lvl w:ilvl="0">
      <w:lvlJc w:val="left"/>
      <w:lvlText w:val="%1."/>
      <w:numFmt w:val="decimal"/>
      <w:start w:val="1"/>
    </w:lvl>
    <w:lvl w:ilvl="1">
      <w:lvlJc w:val="left"/>
      <w:lvlText w:val="•"/>
      <w:numFmt w:val="bullet"/>
      <w:start w:val="1"/>
    </w:lvl>
  </w:abstractNum>
  <w:abstractNum w:abstractNumId="236">
    <w:nsid w:val="4E556261"/>
    <w:multiLevelType w:val="hybridMultilevel"/>
    <w:lvl w:ilvl="0">
      <w:lvlJc w:val="left"/>
      <w:lvlText w:val="%1."/>
      <w:numFmt w:val="decimal"/>
      <w:start w:val="3"/>
    </w:lvl>
  </w:abstractNum>
  <w:abstractNum w:abstractNumId="237">
    <w:nsid w:val="4C672FC9"/>
    <w:multiLevelType w:val="hybridMultilevel"/>
    <w:lvl w:ilvl="0">
      <w:lvlJc w:val="left"/>
      <w:lvlText w:val="%1."/>
      <w:numFmt w:val="decimal"/>
      <w:start w:val="4"/>
    </w:lvl>
  </w:abstractNum>
  <w:abstractNum w:abstractNumId="238">
    <w:nsid w:val="52A311C3"/>
    <w:multiLevelType w:val="hybridMultilevel"/>
    <w:lvl w:ilvl="0">
      <w:lvlJc w:val="left"/>
      <w:lvlText w:val="%1."/>
      <w:numFmt w:val="decimal"/>
      <w:start w:val="3"/>
    </w:lvl>
  </w:abstractNum>
  <w:abstractNum w:abstractNumId="239">
    <w:nsid w:val="44EF6B80"/>
    <w:multiLevelType w:val="hybridMultilevel"/>
    <w:lvl w:ilvl="0">
      <w:lvlJc w:val="left"/>
      <w:lvlText w:val="%1."/>
      <w:numFmt w:val="decimal"/>
      <w:start w:val="4"/>
    </w:lvl>
  </w:abstractNum>
  <w:abstractNum w:abstractNumId="240">
    <w:nsid w:val="12FCDE5E"/>
    <w:multiLevelType w:val="hybridMultilevel"/>
    <w:lvl w:ilvl="0">
      <w:lvlJc w:val="left"/>
      <w:lvlText w:val="%1."/>
      <w:numFmt w:val="decimal"/>
      <w:start w:val="5"/>
    </w:lvl>
  </w:abstractNum>
  <w:abstractNum w:abstractNumId="241">
    <w:nsid w:val="4A1D606E"/>
    <w:multiLevelType w:val="hybridMultilevel"/>
    <w:lvl w:ilvl="0">
      <w:lvlJc w:val="left"/>
      <w:lvlText w:val="%1."/>
      <w:numFmt w:val="decimal"/>
      <w:start w:val="5"/>
    </w:lvl>
  </w:abstractNum>
  <w:abstractNum w:abstractNumId="242">
    <w:nsid w:val="4382503"/>
    <w:multiLevelType w:val="hybridMultilevel"/>
    <w:lvl w:ilvl="0">
      <w:lvlJc w:val="left"/>
      <w:lvlText w:val="%1."/>
      <w:numFmt w:val="decimal"/>
      <w:start w:val="7"/>
    </w:lvl>
  </w:abstractNum>
  <w:abstractNum w:abstractNumId="243">
    <w:nsid w:val="59B76E28"/>
    <w:multiLevelType w:val="hybridMultilevel"/>
    <w:lvl w:ilvl="0">
      <w:lvlJc w:val="left"/>
      <w:lvlText w:val="%1."/>
      <w:numFmt w:val="decimal"/>
      <w:start w:val="8"/>
    </w:lvl>
  </w:abstractNum>
  <w:abstractNum w:abstractNumId="244">
    <w:nsid w:val="4252C2DA"/>
    <w:multiLevelType w:val="hybridMultilevel"/>
    <w:lvl w:ilvl="0">
      <w:lvlJc w:val="left"/>
      <w:lvlText w:val="%1."/>
      <w:numFmt w:val="decimal"/>
      <w:start w:val="7"/>
    </w:lvl>
  </w:abstractNum>
  <w:abstractNum w:abstractNumId="245">
    <w:nsid w:val="6A92EF4C"/>
    <w:multiLevelType w:val="hybridMultilevel"/>
    <w:lvl w:ilvl="0">
      <w:lvlJc w:val="left"/>
      <w:lvlText w:val="%1."/>
      <w:numFmt w:val="decimal"/>
      <w:start w:val="8"/>
    </w:lvl>
  </w:abstractNum>
  <w:abstractNum w:abstractNumId="246">
    <w:nsid w:val="41ED20D7"/>
    <w:multiLevelType w:val="hybridMultilevel"/>
    <w:lvl w:ilvl="0">
      <w:lvlJc w:val="left"/>
      <w:lvlText w:val="%1."/>
      <w:numFmt w:val="decimal"/>
      <w:start w:val="9"/>
    </w:lvl>
  </w:abstractNum>
  <w:abstractNum w:abstractNumId="247">
    <w:nsid w:val="E6B3F6A"/>
    <w:multiLevelType w:val="hybridMultilevel"/>
    <w:lvl w:ilvl="0">
      <w:lvlJc w:val="left"/>
      <w:lvlText w:val="%1."/>
      <w:numFmt w:val="decimal"/>
      <w:start w:val="9"/>
    </w:lvl>
  </w:abstractNum>
  <w:abstractNum w:abstractNumId="248">
    <w:nsid w:val="3EB21819"/>
    <w:multiLevelType w:val="hybridMultilevel"/>
    <w:lvl w:ilvl="0">
      <w:lvlJc w:val="left"/>
      <w:lvlText w:val="•"/>
      <w:numFmt w:val="bullet"/>
      <w:start w:val="1"/>
    </w:lvl>
  </w:abstractNum>
  <w:abstractNum w:abstractNumId="249">
    <w:nsid w:val="41531DED"/>
    <w:multiLevelType w:val="hybridMultilevel"/>
    <w:lvl w:ilvl="0">
      <w:lvlJc w:val="left"/>
      <w:lvlText w:val="•"/>
      <w:numFmt w:val="bullet"/>
      <w:start w:val="1"/>
    </w:lvl>
  </w:abstractNum>
  <w:abstractNum w:abstractNumId="250">
    <w:nsid w:val="6353CD2"/>
    <w:multiLevelType w:val="hybridMultilevel"/>
    <w:lvl w:ilvl="0">
      <w:lvlJc w:val="left"/>
      <w:lvlText w:val="%1."/>
      <w:numFmt w:val="decimal"/>
      <w:start w:val="11"/>
    </w:lvl>
  </w:abstractNum>
  <w:abstractNum w:abstractNumId="251">
    <w:nsid w:val="683CAAD3"/>
    <w:multiLevelType w:val="hybridMultilevel"/>
    <w:lvl w:ilvl="0">
      <w:lvlJc w:val="left"/>
      <w:lvlText w:val="%1."/>
      <w:numFmt w:val="decimal"/>
      <w:start w:val="11"/>
    </w:lvl>
  </w:abstractNum>
  <w:abstractNum w:abstractNumId="252">
    <w:nsid w:val="313C7C99"/>
    <w:multiLevelType w:val="hybridMultilevel"/>
    <w:lvl w:ilvl="0">
      <w:lvlJc w:val="left"/>
      <w:lvlText w:val="%1."/>
      <w:numFmt w:val="decimal"/>
      <w:start w:val="12"/>
    </w:lvl>
  </w:abstractNum>
  <w:abstractNum w:abstractNumId="253">
    <w:nsid w:val="519EB94C"/>
    <w:multiLevelType w:val="hybridMultilevel"/>
    <w:lvl w:ilvl="0">
      <w:lvlJc w:val="left"/>
      <w:lvlText w:val="%1."/>
      <w:numFmt w:val="decimal"/>
      <w:start w:val="13"/>
    </w:lvl>
  </w:abstractNum>
  <w:abstractNum w:abstractNumId="254">
    <w:nsid w:val="39DF2579"/>
    <w:multiLevelType w:val="hybridMultilevel"/>
    <w:lvl w:ilvl="0">
      <w:lvlJc w:val="left"/>
      <w:lvlText w:val="%1."/>
      <w:numFmt w:val="decimal"/>
      <w:start w:val="12"/>
    </w:lvl>
  </w:abstractNum>
  <w:abstractNum w:abstractNumId="255">
    <w:nsid w:val="126E008B"/>
    <w:multiLevelType w:val="hybridMultilevel"/>
    <w:lvl w:ilvl="0">
      <w:lvlJc w:val="left"/>
      <w:lvlText w:val="%1."/>
      <w:numFmt w:val="decimal"/>
      <w:start w:val="13"/>
    </w:lvl>
  </w:abstractNum>
  <w:abstractNum w:abstractNumId="256">
    <w:nsid w:val="34DFBC00"/>
    <w:multiLevelType w:val="hybridMultilevel"/>
    <w:lvl w:ilvl="0">
      <w:lvlJc w:val="left"/>
      <w:lvlText w:val="%1."/>
      <w:numFmt w:val="decimal"/>
      <w:start w:val="14"/>
    </w:lvl>
  </w:abstractNum>
  <w:abstractNum w:abstractNumId="257">
    <w:nsid w:val="1F9EC322"/>
    <w:multiLevelType w:val="hybridMultilevel"/>
    <w:lvl w:ilvl="0">
      <w:lvlJc w:val="left"/>
      <w:lvlText w:val="%1."/>
      <w:numFmt w:val="decimal"/>
      <w:start w:val="15"/>
    </w:lvl>
  </w:abstractNum>
  <w:abstractNum w:abstractNumId="258">
    <w:nsid w:val="3410ED56"/>
    <w:multiLevelType w:val="hybridMultilevel"/>
    <w:lvl w:ilvl="0">
      <w:lvlJc w:val="left"/>
      <w:lvlText w:val="%1."/>
      <w:numFmt w:val="decimal"/>
      <w:start w:val="14"/>
    </w:lvl>
  </w:abstractNum>
  <w:abstractNum w:abstractNumId="259">
    <w:nsid w:val="23C049A"/>
    <w:multiLevelType w:val="hybridMultilevel"/>
    <w:lvl w:ilvl="0">
      <w:lvlJc w:val="left"/>
      <w:lvlText w:val="%1."/>
      <w:numFmt w:val="decimal"/>
      <w:start w:val="15"/>
    </w:lvl>
  </w:abstractNum>
  <w:abstractNum w:abstractNumId="260">
    <w:nsid w:val="5BDA35D4"/>
    <w:multiLevelType w:val="hybridMultilevel"/>
    <w:lvl w:ilvl="0">
      <w:lvlJc w:val="left"/>
      <w:lvlText w:val="%1."/>
      <w:numFmt w:val="decimal"/>
      <w:start w:val="2"/>
    </w:lvl>
  </w:abstractNum>
  <w:abstractNum w:abstractNumId="261">
    <w:nsid w:val="496FB218"/>
    <w:multiLevelType w:val="hybridMultilevel"/>
    <w:lvl w:ilvl="0">
      <w:lvlJc w:val="left"/>
      <w:lvlText w:val="%1."/>
      <w:numFmt w:val="decimal"/>
      <w:start w:val="2"/>
    </w:lvl>
  </w:abstractNum>
  <w:abstractNum w:abstractNumId="262">
    <w:nsid w:val="680EA5D1"/>
    <w:multiLevelType w:val="hybridMultilevel"/>
    <w:lvl w:ilvl="0">
      <w:lvlJc w:val="left"/>
      <w:lvlText w:val="%1."/>
      <w:numFmt w:val="decimal"/>
      <w:start w:val="3"/>
    </w:lvl>
  </w:abstractNum>
  <w:abstractNum w:abstractNumId="263">
    <w:nsid w:val="4A9554FE"/>
    <w:multiLevelType w:val="hybridMultilevel"/>
    <w:lvl w:ilvl="0">
      <w:lvlJc w:val="left"/>
      <w:lvlText w:val="%1."/>
      <w:numFmt w:val="decimal"/>
      <w:start w:val="3"/>
    </w:lvl>
  </w:abstractNum>
  <w:abstractNum w:abstractNumId="264">
    <w:nsid w:val="392EDBE4"/>
    <w:multiLevelType w:val="hybridMultilevel"/>
    <w:lvl w:ilvl="0">
      <w:lvlJc w:val="left"/>
      <w:lvlText w:val="%1."/>
      <w:numFmt w:val="decimal"/>
      <w:start w:val="4"/>
    </w:lvl>
  </w:abstractNum>
  <w:abstractNum w:abstractNumId="265">
    <w:nsid w:val="3D1A2DD9"/>
    <w:multiLevelType w:val="hybridMultilevel"/>
    <w:lvl w:ilvl="0">
      <w:lvlJc w:val="left"/>
      <w:lvlText w:val="%1."/>
      <w:numFmt w:val="decimal"/>
      <w:start w:val="4"/>
    </w:lvl>
  </w:abstractNum>
  <w:abstractNum w:abstractNumId="266">
    <w:nsid w:val="7F618FCD"/>
    <w:multiLevelType w:val="hybridMultilevel"/>
    <w:lvl w:ilvl="0">
      <w:lvlJc w:val="left"/>
      <w:lvlText w:val="%1."/>
      <w:numFmt w:val="decimal"/>
      <w:start w:val="5"/>
    </w:lvl>
  </w:abstractNum>
  <w:abstractNum w:abstractNumId="267">
    <w:nsid w:val="7843E45"/>
    <w:multiLevelType w:val="hybridMultilevel"/>
    <w:lvl w:ilvl="0">
      <w:lvlJc w:val="left"/>
      <w:lvlText w:val="%1."/>
      <w:numFmt w:val="decimal"/>
      <w:start w:val="5"/>
    </w:lvl>
  </w:abstractNum>
  <w:abstractNum w:abstractNumId="268">
    <w:nsid w:val="9815DA3"/>
    <w:multiLevelType w:val="hybridMultilevel"/>
    <w:lvl w:ilvl="0">
      <w:lvlJc w:val="left"/>
      <w:lvlText w:val="%1."/>
      <w:numFmt w:val="decimal"/>
      <w:start w:val="6"/>
    </w:lvl>
  </w:abstractNum>
  <w:abstractNum w:abstractNumId="269">
    <w:nsid w:val="5204A191"/>
    <w:multiLevelType w:val="hybridMultilevel"/>
    <w:lvl w:ilvl="0">
      <w:lvlJc w:val="left"/>
      <w:lvlText w:val="%1."/>
      <w:numFmt w:val="decimal"/>
      <w:start w:val="6"/>
    </w:lvl>
  </w:abstractNum>
  <w:abstractNum w:abstractNumId="270">
    <w:nsid w:val="4C73A9C6"/>
    <w:multiLevelType w:val="hybridMultilevel"/>
    <w:lvl w:ilvl="0">
      <w:lvlJc w:val="left"/>
      <w:lvlText w:val="%1."/>
      <w:numFmt w:val="decimal"/>
      <w:start w:val="7"/>
    </w:lvl>
  </w:abstractNum>
  <w:abstractNum w:abstractNumId="271">
    <w:nsid w:val="1C7E3C01"/>
    <w:multiLevelType w:val="hybridMultilevel"/>
    <w:lvl w:ilvl="0">
      <w:lvlJc w:val="left"/>
      <w:lvlText w:val="%1."/>
      <w:numFmt w:val="decimal"/>
      <w:start w:val="8"/>
    </w:lvl>
  </w:abstractNum>
  <w:abstractNum w:abstractNumId="272">
    <w:nsid w:val="1C2201FF"/>
    <w:multiLevelType w:val="hybridMultilevel"/>
    <w:lvl w:ilvl="0">
      <w:lvlJc w:val="left"/>
      <w:lvlText w:val="%1."/>
      <w:numFmt w:val="decimal"/>
      <w:start w:val="7"/>
    </w:lvl>
  </w:abstractNum>
  <w:abstractNum w:abstractNumId="273">
    <w:nsid w:val="50ABCEC9"/>
    <w:multiLevelType w:val="hybridMultilevel"/>
    <w:lvl w:ilvl="0">
      <w:lvlJc w:val="left"/>
      <w:lvlText w:val="%1."/>
      <w:numFmt w:val="decimal"/>
      <w:start w:val="8"/>
    </w:lvl>
  </w:abstractNum>
  <w:abstractNum w:abstractNumId="274">
    <w:nsid w:val="7635AA2A"/>
    <w:multiLevelType w:val="hybridMultilevel"/>
    <w:lvl w:ilvl="0">
      <w:lvlJc w:val="left"/>
      <w:lvlText w:val="%1."/>
      <w:numFmt w:val="decimal"/>
      <w:start w:val="9"/>
    </w:lvl>
  </w:abstractNum>
  <w:abstractNum w:abstractNumId="275">
    <w:nsid w:val="5E74C4D9"/>
    <w:multiLevelType w:val="hybridMultilevel"/>
    <w:lvl w:ilvl="0">
      <w:lvlJc w:val="left"/>
      <w:lvlText w:val="%1."/>
      <w:numFmt w:val="decimal"/>
      <w:start w:val="9"/>
    </w:lvl>
  </w:abstractNum>
  <w:abstractNum w:abstractNumId="276">
    <w:nsid w:val="3B3EBE15"/>
    <w:multiLevelType w:val="hybridMultilevel"/>
    <w:lvl w:ilvl="0">
      <w:lvlJc w:val="left"/>
      <w:lvlText w:val="•"/>
      <w:numFmt w:val="bullet"/>
      <w:start w:val="1"/>
    </w:lvl>
  </w:abstractNum>
  <w:abstractNum w:abstractNumId="277">
    <w:nsid w:val="3822CB01"/>
    <w:multiLevelType w:val="hybridMultilevel"/>
    <w:lvl w:ilvl="0">
      <w:lvlJc w:val="left"/>
      <w:lvlText w:val="•"/>
      <w:numFmt w:val="bullet"/>
      <w:start w:val="1"/>
    </w:lvl>
  </w:abstractNum>
  <w:abstractNum w:abstractNumId="278">
    <w:nsid w:val="6CE00443"/>
    <w:multiLevelType w:val="hybridMultilevel"/>
    <w:lvl w:ilvl="0">
      <w:lvlJc w:val="left"/>
      <w:lvlText w:val="•"/>
      <w:numFmt w:val="bullet"/>
      <w:start w:val="1"/>
    </w:lvl>
  </w:abstractNum>
  <w:abstractNum w:abstractNumId="279">
    <w:nsid w:val="79F0D62F"/>
    <w:multiLevelType w:val="hybridMultilevel"/>
    <w:lvl w:ilvl="0">
      <w:lvlJc w:val="left"/>
      <w:lvlText w:val="•"/>
      <w:numFmt w:val="bullet"/>
      <w:start w:val="1"/>
    </w:lvl>
  </w:abstractNum>
  <w:abstractNum w:abstractNumId="280">
    <w:nsid w:val="7975E8EE"/>
    <w:multiLevelType w:val="hybridMultilevel"/>
    <w:lvl w:ilvl="0">
      <w:lvlJc w:val="left"/>
      <w:lvlText w:val="•"/>
      <w:numFmt w:val="bullet"/>
      <w:start w:val="1"/>
    </w:lvl>
  </w:abstractNum>
  <w:abstractNum w:abstractNumId="281">
    <w:nsid w:val="73154115"/>
    <w:multiLevelType w:val="hybridMultilevel"/>
    <w:lvl w:ilvl="0">
      <w:lvlJc w:val="left"/>
      <w:lvlText w:val="•"/>
      <w:numFmt w:val="bullet"/>
      <w:start w:val="1"/>
    </w:lvl>
  </w:abstractNum>
  <w:abstractNum w:abstractNumId="282">
    <w:nsid w:val="622D8102"/>
    <w:multiLevelType w:val="hybridMultilevel"/>
    <w:lvl w:ilvl="0">
      <w:lvlJc w:val="left"/>
      <w:lvlText w:val="%1."/>
      <w:numFmt w:val="lowerLetter"/>
      <w:start w:val="32"/>
    </w:lvl>
  </w:abstractNum>
  <w:abstractNum w:abstractNumId="283">
    <w:nsid w:val="2AB26587"/>
    <w:multiLevelType w:val="hybridMultilevel"/>
    <w:lvl w:ilvl="0">
      <w:lvlJc w:val="left"/>
      <w:lvlText w:val="%1."/>
      <w:numFmt w:val="decimal"/>
      <w:start w:val="10"/>
    </w:lvl>
  </w:abstractNum>
  <w:abstractNum w:abstractNumId="284">
    <w:nsid w:val="44B3FA61"/>
    <w:multiLevelType w:val="hybridMultilevel"/>
    <w:lvl w:ilvl="0">
      <w:lvlJc w:val="left"/>
      <w:lvlText w:val="%1."/>
      <w:numFmt w:val="decimal"/>
      <w:start w:val="10"/>
    </w:lvl>
  </w:abstractNum>
  <w:abstractNum w:abstractNumId="285">
    <w:nsid w:val="1C0CA67C"/>
    <w:multiLevelType w:val="hybridMultilevel"/>
    <w:lvl w:ilvl="0">
      <w:lvlJc w:val="left"/>
      <w:lvlText w:val="%1."/>
      <w:numFmt w:val="decimal"/>
      <w:start w:val="11"/>
    </w:lvl>
  </w:abstractNum>
  <w:abstractNum w:abstractNumId="286">
    <w:nsid w:val="3D206613"/>
    <w:multiLevelType w:val="hybridMultilevel"/>
    <w:lvl w:ilvl="0">
      <w:lvlJc w:val="left"/>
      <w:lvlText w:val="%1."/>
      <w:numFmt w:val="decimal"/>
      <w:start w:val="11"/>
    </w:lvl>
  </w:abstractNum>
  <w:abstractNum w:abstractNumId="287">
    <w:nsid w:val="7993B662"/>
    <w:multiLevelType w:val="hybridMultilevel"/>
    <w:lvl w:ilvl="0">
      <w:lvlJc w:val="left"/>
      <w:lvlText w:val="%1."/>
      <w:numFmt w:val="decimal"/>
      <w:start w:val="12"/>
    </w:lvl>
  </w:abstractNum>
  <w:abstractNum w:abstractNumId="288">
    <w:nsid w:val="3BAB699E"/>
    <w:multiLevelType w:val="hybridMultilevel"/>
    <w:lvl w:ilvl="0">
      <w:lvlJc w:val="left"/>
      <w:lvlText w:val="%1."/>
      <w:numFmt w:val="decimal"/>
      <w:start w:val="12"/>
    </w:lvl>
  </w:abstractNum>
  <w:abstractNum w:abstractNumId="289">
    <w:nsid w:val="71315369"/>
    <w:multiLevelType w:val="hybridMultilevel"/>
    <w:lvl w:ilvl="0">
      <w:lvlJc w:val="left"/>
      <w:lvlText w:val="%1."/>
      <w:numFmt w:val="decimal"/>
      <w:start w:val="13"/>
    </w:lvl>
  </w:abstractNum>
  <w:abstractNum w:abstractNumId="290">
    <w:nsid w:val="7BCFBAFC"/>
    <w:multiLevelType w:val="hybridMultilevel"/>
    <w:lvl w:ilvl="0">
      <w:lvlJc w:val="left"/>
      <w:lvlText w:val="%1."/>
      <w:numFmt w:val="decimal"/>
      <w:start w:val="13"/>
    </w:lvl>
  </w:abstractNum>
  <w:abstractNum w:abstractNumId="291">
    <w:nsid w:val="17859F72"/>
    <w:multiLevelType w:val="hybridMultilevel"/>
    <w:lvl w:ilvl="0">
      <w:lvlJc w:val="left"/>
      <w:lvlText w:val="%1."/>
      <w:numFmt w:val="decimal"/>
      <w:start w:val="14"/>
    </w:lvl>
  </w:abstractNum>
  <w:abstractNum w:abstractNumId="292">
    <w:nsid w:val="3AA10581"/>
    <w:multiLevelType w:val="hybridMultilevel"/>
    <w:lvl w:ilvl="0">
      <w:lvlJc w:val="left"/>
      <w:lvlText w:val="%1."/>
      <w:numFmt w:val="decimal"/>
      <w:start w:val="14"/>
    </w:lvl>
  </w:abstractNum>
  <w:abstractNum w:abstractNumId="293">
    <w:nsid w:val="63DE60CD"/>
    <w:multiLevelType w:val="hybridMultilevel"/>
    <w:lvl w:ilvl="0">
      <w:lvlJc w:val="left"/>
      <w:lvlText w:val="%1."/>
      <w:numFmt w:val="decimal"/>
      <w:start w:val="15"/>
    </w:lvl>
  </w:abstractNum>
  <w:abstractNum w:abstractNumId="294">
    <w:nsid w:val="621AF471"/>
    <w:multiLevelType w:val="hybridMultilevel"/>
    <w:lvl w:ilvl="0">
      <w:lvlJc w:val="left"/>
      <w:lvlText w:val="%1."/>
      <w:numFmt w:val="decimal"/>
      <w:start w:val="15"/>
    </w:lvl>
  </w:abstractNum>
  <w:abstractNum w:abstractNumId="295">
    <w:nsid w:val="73CFE165"/>
    <w:multiLevelType w:val="hybridMultilevel"/>
    <w:lvl w:ilvl="0">
      <w:lvlJc w:val="left"/>
      <w:lvlText w:val="(%1)"/>
      <w:numFmt w:val="upperLetter"/>
      <w:start w:val="1"/>
    </w:lvl>
  </w:abstractNum>
  <w:abstractNum w:abstractNumId="296">
    <w:nsid w:val="20F88EA6"/>
    <w:multiLevelType w:val="hybridMultilevel"/>
    <w:lvl w:ilvl="0">
      <w:lvlJc w:val="left"/>
      <w:lvlText w:val="§"/>
      <w:numFmt w:val="bullet"/>
      <w:start w:val="1"/>
    </w:lvl>
  </w:abstractNum>
  <w:abstractNum w:abstractNumId="297">
    <w:nsid w:val="617C843E"/>
    <w:multiLevelType w:val="hybridMultilevel"/>
    <w:lvl w:ilvl="0">
      <w:lvlJc w:val="left"/>
      <w:lvlText w:val="(%1)"/>
      <w:numFmt w:val="lowerLetter"/>
      <w:start w:val="2"/>
    </w:lvl>
  </w:abstractNum>
  <w:abstractNum w:abstractNumId="298">
    <w:nsid w:val="7B541FAB"/>
    <w:multiLevelType w:val="hybridMultilevel"/>
    <w:lvl w:ilvl="0">
      <w:lvlJc w:val="left"/>
      <w:lvlText w:val="§"/>
      <w:numFmt w:val="bullet"/>
      <w:start w:val="1"/>
    </w:lvl>
  </w:abstractNum>
  <w:abstractNum w:abstractNumId="299">
    <w:nsid w:val="2A79EC49"/>
    <w:multiLevelType w:val="hybridMultilevel"/>
    <w:lvl w:ilvl="0">
      <w:lvlJc w:val="left"/>
      <w:lvlText w:val="(%1)"/>
      <w:numFmt w:val="lowerRoman"/>
      <w:start w:val="1"/>
    </w:lvl>
  </w:abstractNum>
  <w:abstractNum w:abstractNumId="300">
    <w:nsid w:val="338125CF"/>
    <w:multiLevelType w:val="hybridMultilevel"/>
    <w:lvl w:ilvl="0">
      <w:lvlJc w:val="left"/>
      <w:lvlText w:val="§"/>
      <w:numFmt w:val="bullet"/>
      <w:start w:val="1"/>
    </w:lvl>
  </w:abstractNum>
  <w:abstractNum w:abstractNumId="301">
    <w:nsid w:val="47C7C971"/>
    <w:multiLevelType w:val="hybridMultilevel"/>
    <w:lvl w:ilvl="0">
      <w:lvlJc w:val="left"/>
      <w:lvlText w:val="§"/>
      <w:numFmt w:val="bullet"/>
      <w:start w:val="1"/>
    </w:lvl>
  </w:abstractNum>
  <w:abstractNum w:abstractNumId="302">
    <w:nsid w:val="46F828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2021-10-19T15:09:42Z</dcterms:created>
  <dcterms:modified xsi:type="dcterms:W3CDTF">2021-10-19T15:09:42Z</dcterms:modified>
</cp:coreProperties>
</file>