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28, 2022</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60" w:type="dxa"/>
        <w:tblCellMar>
          <w:top w:w="0" w:type="dxa"/>
          <w:left w:w="0" w:type="dxa"/>
          <w:bottom w:w="0" w:type="dxa"/>
          <w:right w:w="0" w:type="dxa"/>
        </w:tblCellMar>
      </w:tblPr>
      <w:tr>
        <w:trPr>
          <w:trHeight w:val="214"/>
        </w:trPr>
        <w:tc>
          <w:tcPr>
            <w:tcW w:w="4480" w:type="dxa"/>
            <w:vAlign w:val="bottom"/>
          </w:tcPr>
          <w:p>
            <w:pPr>
              <w:jc w:val="center"/>
              <w:ind w:right="1762"/>
              <w:spacing w:after="0"/>
              <w:rPr>
                <w:sz w:val="20"/>
                <w:szCs w:val="20"/>
                <w:color w:val="auto"/>
              </w:rPr>
            </w:pPr>
            <w:r>
              <w:rPr>
                <w:rFonts w:ascii="Times New Roman" w:cs="Times New Roman" w:eastAsia="Times New Roman" w:hAnsi="Times New Roman"/>
                <w:sz w:val="18"/>
                <w:szCs w:val="18"/>
                <w:b w:val="1"/>
                <w:bCs w:val="1"/>
                <w:color w:val="auto"/>
                <w:w w:val="99"/>
              </w:rPr>
              <w:t>The Federal Republic of Germany</w:t>
            </w:r>
          </w:p>
        </w:tc>
        <w:tc>
          <w:tcPr>
            <w:tcW w:w="2960" w:type="dxa"/>
            <w:vAlign w:val="bottom"/>
          </w:tcPr>
          <w:p>
            <w:pPr>
              <w:jc w:val="center"/>
              <w:ind w:left="1762"/>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49"/>
        </w:trPr>
        <w:tc>
          <w:tcPr>
            <w:tcW w:w="4480" w:type="dxa"/>
            <w:vAlign w:val="bottom"/>
          </w:tcPr>
          <w:p>
            <w:pPr>
              <w:jc w:val="center"/>
              <w:ind w:right="17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tcPr>
          <w:p>
            <w:pPr>
              <w:jc w:val="center"/>
              <w:ind w:right="17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82205 Gilching,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Program 2019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Program 2020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Program 2021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Units Program 2021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850 Library Avenue, Suite 204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 (302) 738 6680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Krystian M. Czerniecki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Sullivan &amp; Cromwell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Neue Mainzer Straße 52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60311 Frankfurt,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 (69) 4272 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6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25" w:right="479" w:bottom="941"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Registration Statement on Form S-8 (the “Registration Statement”) in accordance with the provisions of Rule 428 under the Securities Act, and the introductory note to Part I of Form S-8.</w:t>
      </w:r>
    </w:p>
    <w:p>
      <w:pPr>
        <w:spacing w:after="0" w:line="162"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The documents containing the information specified in this Part I will be provided separately to the participants in the Plans as specified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documents submitted to the Commission by Mynaric AG (the “Registrant”) pursuant to the Securities Act and the Securities Exchange Act of 1934, as amended (the “Exchange Act”), are hereby incorporated by reference in this Registration Statement:</w:t>
      </w:r>
    </w:p>
    <w:p>
      <w:pPr>
        <w:spacing w:after="0" w:line="6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(“Annual Report”) on Form 20-F filed with the Commission on </w:t>
      </w:r>
      <w:hyperlink r:id="rId20">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Reports of Foreign Issuer on Form 6-K furnished to the SEC on </w:t>
      </w:r>
      <w:hyperlink r:id="rId21">
        <w:r>
          <w:rPr>
            <w:rFonts w:ascii="Times New Roman" w:cs="Times New Roman" w:eastAsia="Times New Roman" w:hAnsi="Times New Roman"/>
            <w:sz w:val="18"/>
            <w:szCs w:val="18"/>
            <w:u w:val="single" w:color="auto"/>
            <w:color w:val="0000EE"/>
          </w:rPr>
          <w:t>May 12, 2022</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June 14, 2022</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July 6, 2022</w:t>
        </w:r>
      </w:hyperlink>
      <w:r>
        <w:rPr>
          <w:rFonts w:ascii="Times New Roman" w:cs="Times New Roman" w:eastAsia="Times New Roman" w:hAnsi="Times New Roman"/>
          <w:sz w:val="18"/>
          <w:szCs w:val="18"/>
          <w:color w:val="auto"/>
        </w:rPr>
        <w:t xml:space="preserve"> and </w:t>
      </w:r>
      <w:hyperlink r:id="rId25">
        <w:r>
          <w:rPr>
            <w:rFonts w:ascii="Times New Roman" w:cs="Times New Roman" w:eastAsia="Times New Roman" w:hAnsi="Times New Roman"/>
            <w:sz w:val="18"/>
            <w:szCs w:val="18"/>
            <w:u w:val="single" w:color="auto"/>
            <w:color w:val="0000EE"/>
          </w:rPr>
          <w:t>July 14, 2022</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and, to the extent designated therein, certain Reports of Foreign Private Issuer on Form 6-K, furnished by the Registrant, after the date of this Registration Statement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183" w:lineRule="exact"/>
        <w:rPr>
          <w:rFonts w:ascii="Times New Roman" w:cs="Times New Roman" w:eastAsia="Times New Roman" w:hAnsi="Times New Roman"/>
          <w:sz w:val="18"/>
          <w:szCs w:val="18"/>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280" w:firstLine="440"/>
        <w:spacing w:after="0" w:line="289" w:lineRule="auto"/>
        <w:rPr>
          <w:sz w:val="20"/>
          <w:szCs w:val="20"/>
          <w:color w:val="auto"/>
        </w:rPr>
      </w:pPr>
      <w:r>
        <w:rPr>
          <w:rFonts w:ascii="Times New Roman" w:cs="Times New Roman" w:eastAsia="Times New Roman" w:hAnsi="Times New Roman"/>
          <w:sz w:val="17"/>
          <w:szCs w:val="17"/>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90"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2" w:name="page3"/>
    <w:bookmarkEnd w:id="2"/>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provide directors’ and officers’ liability insurance for the members of our management and supervisory boards against civil liabilities, which they may incur in connection with their activities on behalf of our company, including against liabilities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exhibits listed in the Exhibit Index below, which is incorporated into this item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60" w:hanging="533"/>
        <w:spacing w:after="0" w:line="253"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w:t>
      </w:r>
    </w:p>
    <w:p>
      <w:pPr>
        <w:spacing w:after="0" w:line="5" w:lineRule="exact"/>
        <w:rPr>
          <w:rFonts w:ascii="Times New Roman" w:cs="Times New Roman" w:eastAsia="Times New Roman" w:hAnsi="Times New Roman"/>
          <w:sz w:val="18"/>
          <w:szCs w:val="18"/>
          <w:color w:val="auto"/>
        </w:rPr>
      </w:pPr>
    </w:p>
    <w:p>
      <w:pPr>
        <w:ind w:left="196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960" w:right="480" w:hanging="533"/>
        <w:spacing w:after="0" w:line="282"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6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ind w:left="1420" w:right="180" w:hanging="439"/>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960" w:right="80" w:hanging="532"/>
        <w:spacing w:after="0" w:line="25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80" w:type="dxa"/>
            <w:vAlign w:val="bottom"/>
            <w:gridSpan w:val="7"/>
          </w:tcPr>
          <w:p>
            <w:pPr>
              <w:ind w:left="7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8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vMerge w:val="continue"/>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2"/>
                <w:szCs w:val="22"/>
                <w:color w:val="auto"/>
              </w:rPr>
            </w:pPr>
          </w:p>
        </w:tc>
        <w:tc>
          <w:tcPr>
            <w:tcW w:w="9980" w:type="dxa"/>
            <w:vAlign w:val="bottom"/>
            <w:gridSpan w:val="17"/>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Articles of Association of the Registrant (incorporated herein by reference to Exhibit 1.1 to the current report on Form 20-F filed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May 6, 2022)</w:t>
              </w:r>
            </w:hyperlink>
          </w:p>
        </w:tc>
        <w:tc>
          <w:tcPr>
            <w:tcW w:w="4800" w:type="dxa"/>
            <w:vAlign w:val="bottom"/>
            <w:tcBorders>
              <w:top w:val="single" w:sz="8" w:color="0000EE"/>
            </w:tcBorders>
            <w:gridSpan w:val="9"/>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6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of Deposit Agreement between the Registrant, the depositary and holders and beneficial owners of American Depositary Shares</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issued thereunder (incorporated by reference to Exhibit 4.1 to the Registrant’s Registration Statement on Form F-1 (File No. 333-260357)</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filed with the SEC on November 3, 2021)</w:t>
              </w:r>
            </w:hyperlink>
          </w:p>
        </w:tc>
        <w:tc>
          <w:tcPr>
            <w:tcW w:w="24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American Depositary Receipt evidencing American Depositary Shares (incorporated by reference to Exhibit 4.1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Registrant’s Registration Statement on Form F-1 (File No. 333-260357) filed with the SEC on November 3, 2021)</w:t>
              </w:r>
            </w:hyperlink>
          </w:p>
        </w:tc>
        <w:tc>
          <w:tcPr>
            <w:tcW w:w="8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56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Opinion of Sullivan &amp; Cromwell LLP regarding the validity of ordinary shares</w:t>
            </w:r>
          </w:p>
        </w:tc>
        <w:tc>
          <w:tcPr>
            <w:tcW w:w="100" w:type="dxa"/>
            <w:vAlign w:val="bottom"/>
            <w:tcBorders>
              <w:top w:val="single" w:sz="8" w:color="0000EE"/>
            </w:tcBorders>
          </w:tcPr>
          <w:p>
            <w:pPr>
              <w:spacing w:after="0"/>
              <w:rPr>
                <w:sz w:val="24"/>
                <w:szCs w:val="24"/>
                <w:color w:val="auto"/>
              </w:rPr>
            </w:pPr>
          </w:p>
        </w:tc>
        <w:tc>
          <w:tcPr>
            <w:tcW w:w="24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10.1</w:t>
            </w:r>
          </w:p>
        </w:tc>
        <w:tc>
          <w:tcPr>
            <w:tcW w:w="540" w:type="dxa"/>
            <w:vAlign w:val="bottom"/>
          </w:tcPr>
          <w:p>
            <w:pPr>
              <w:spacing w:after="0"/>
              <w:rPr>
                <w:sz w:val="24"/>
                <w:szCs w:val="24"/>
                <w:color w:val="auto"/>
              </w:rPr>
            </w:pPr>
          </w:p>
        </w:tc>
        <w:tc>
          <w:tcPr>
            <w:tcW w:w="5780" w:type="dxa"/>
            <w:vAlign w:val="bottom"/>
            <w:gridSpan w:val="10"/>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Mynaric AG, Stock Option Program 2019 (incorporated by reference to Exhibit</w:t>
              </w:r>
            </w:hyperlink>
          </w:p>
        </w:tc>
        <w:tc>
          <w:tcPr>
            <w:tcW w:w="4200" w:type="dxa"/>
            <w:vAlign w:val="bottom"/>
            <w:gridSpan w:val="7"/>
          </w:tcPr>
          <w:p>
            <w:pPr>
              <w:ind w:left="40"/>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10.1 to the Registrant’s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F-1 (File No. 333-260357) filed with the SEC on October 19, 2021)</w:t>
              </w:r>
            </w:hyperlink>
          </w:p>
        </w:tc>
        <w:tc>
          <w:tcPr>
            <w:tcW w:w="900" w:type="dxa"/>
            <w:vAlign w:val="bottom"/>
            <w:tcBorders>
              <w:top w:val="single" w:sz="8" w:color="0000EE"/>
            </w:tcBorders>
            <w:gridSpan w:val="4"/>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10.2</w:t>
            </w:r>
          </w:p>
        </w:tc>
        <w:tc>
          <w:tcPr>
            <w:tcW w:w="540" w:type="dxa"/>
            <w:vAlign w:val="bottom"/>
          </w:tcPr>
          <w:p>
            <w:pPr>
              <w:spacing w:after="0"/>
              <w:rPr>
                <w:sz w:val="24"/>
                <w:szCs w:val="24"/>
                <w:color w:val="auto"/>
              </w:rPr>
            </w:pPr>
          </w:p>
        </w:tc>
        <w:tc>
          <w:tcPr>
            <w:tcW w:w="5780" w:type="dxa"/>
            <w:vAlign w:val="bottom"/>
            <w:gridSpan w:val="10"/>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Mynaric AG, Stock Option Program 2020 (incorporated by reference to Exhibit</w:t>
              </w:r>
            </w:hyperlink>
          </w:p>
        </w:tc>
        <w:tc>
          <w:tcPr>
            <w:tcW w:w="4200" w:type="dxa"/>
            <w:vAlign w:val="bottom"/>
            <w:gridSpan w:val="7"/>
          </w:tcPr>
          <w:p>
            <w:pPr>
              <w:ind w:left="40"/>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10.2 to the Registrant’s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F-1 (File No. 333-260357) filed with the SEC on October 19, 2021)</w:t>
              </w:r>
            </w:hyperlink>
          </w:p>
        </w:tc>
        <w:tc>
          <w:tcPr>
            <w:tcW w:w="900" w:type="dxa"/>
            <w:vAlign w:val="bottom"/>
            <w:tcBorders>
              <w:top w:val="single" w:sz="8" w:color="0000EE"/>
            </w:tcBorders>
            <w:gridSpan w:val="4"/>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10.3</w:t>
            </w:r>
          </w:p>
        </w:tc>
        <w:tc>
          <w:tcPr>
            <w:tcW w:w="540" w:type="dxa"/>
            <w:vAlign w:val="bottom"/>
          </w:tcPr>
          <w:p>
            <w:pPr>
              <w:spacing w:after="0"/>
              <w:rPr>
                <w:sz w:val="24"/>
                <w:szCs w:val="24"/>
                <w:color w:val="auto"/>
              </w:rPr>
            </w:pPr>
          </w:p>
        </w:tc>
        <w:tc>
          <w:tcPr>
            <w:tcW w:w="5780" w:type="dxa"/>
            <w:vAlign w:val="bottom"/>
            <w:gridSpan w:val="10"/>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Mynaric AG, Stock Option Program 2021 (incorporated by reference to Exhibit</w:t>
              </w:r>
            </w:hyperlink>
          </w:p>
        </w:tc>
        <w:tc>
          <w:tcPr>
            <w:tcW w:w="4200" w:type="dxa"/>
            <w:vAlign w:val="bottom"/>
            <w:gridSpan w:val="7"/>
          </w:tcPr>
          <w:p>
            <w:pPr>
              <w:ind w:left="40"/>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10.3 to the Registrant’s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F-1 (File No. 333-260357) filed with the SEC on October 19, 2021)</w:t>
              </w:r>
            </w:hyperlink>
          </w:p>
        </w:tc>
        <w:tc>
          <w:tcPr>
            <w:tcW w:w="900" w:type="dxa"/>
            <w:vAlign w:val="bottom"/>
            <w:tcBorders>
              <w:top w:val="single" w:sz="8" w:color="0000EE"/>
            </w:tcBorders>
            <w:gridSpan w:val="4"/>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5"/>
              </w:rPr>
              <w:t>10.4</w:t>
            </w:r>
          </w:p>
        </w:tc>
        <w:tc>
          <w:tcPr>
            <w:tcW w:w="54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Mynaric AG, Restricted Stock Units Program 2021 (incorporated by reference to Exhibit 10.4 to the Registrant’s Registration Statement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5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on Form F-1 (File No. 333-260357) filed with the SEC on October 19, 2021)</w:t>
              </w:r>
            </w:hyperlink>
          </w:p>
        </w:tc>
        <w:tc>
          <w:tcPr>
            <w:tcW w:w="240" w:type="dxa"/>
            <w:vAlign w:val="bottom"/>
            <w:tcBorders>
              <w:top w:val="single" w:sz="8" w:color="0000EE"/>
            </w:tcBorders>
            <w:gridSpan w:val="3"/>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3"/>
              </w:rPr>
              <w:t>23.1*</w:t>
            </w:r>
          </w:p>
        </w:tc>
        <w:tc>
          <w:tcPr>
            <w:tcW w:w="540" w:type="dxa"/>
            <w:vAlign w:val="bottom"/>
          </w:tcPr>
          <w:p>
            <w:pPr>
              <w:spacing w:after="0"/>
              <w:rPr>
                <w:sz w:val="24"/>
                <w:szCs w:val="24"/>
                <w:color w:val="auto"/>
              </w:rPr>
            </w:pPr>
          </w:p>
        </w:tc>
        <w:tc>
          <w:tcPr>
            <w:tcW w:w="57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KPMG AG Wirtschaftsprüfungsgesellschaft</w:t>
            </w: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3"/>
              </w:rPr>
              <w:t>23.2*</w:t>
            </w:r>
          </w:p>
        </w:tc>
        <w:tc>
          <w:tcPr>
            <w:tcW w:w="540" w:type="dxa"/>
            <w:vAlign w:val="bottom"/>
          </w:tcPr>
          <w:p>
            <w:pPr>
              <w:spacing w:after="0"/>
              <w:rPr>
                <w:sz w:val="24"/>
                <w:szCs w:val="24"/>
                <w:color w:val="auto"/>
              </w:rPr>
            </w:pPr>
          </w:p>
        </w:tc>
        <w:tc>
          <w:tcPr>
            <w:tcW w:w="4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Sullivan &amp; Cromwell LLP (included in Exhibit 5.1)</w:t>
            </w:r>
          </w:p>
        </w:tc>
        <w:tc>
          <w:tcPr>
            <w:tcW w:w="1220" w:type="dxa"/>
            <w:vAlign w:val="bottom"/>
            <w:gridSpan w:val="5"/>
          </w:tcPr>
          <w:p>
            <w:pPr>
              <w:spacing w:after="0"/>
              <w:rPr>
                <w:sz w:val="24"/>
                <w:szCs w:val="24"/>
                <w:color w:val="auto"/>
              </w:rPr>
            </w:pP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3"/>
              </w:rPr>
              <w:t>24.1*</w:t>
            </w:r>
          </w:p>
        </w:tc>
        <w:tc>
          <w:tcPr>
            <w:tcW w:w="540" w:type="dxa"/>
            <w:vAlign w:val="bottom"/>
          </w:tcPr>
          <w:p>
            <w:pPr>
              <w:spacing w:after="0"/>
              <w:rPr>
                <w:sz w:val="24"/>
                <w:szCs w:val="24"/>
                <w:color w:val="auto"/>
              </w:rPr>
            </w:pPr>
          </w:p>
        </w:tc>
        <w:tc>
          <w:tcPr>
            <w:tcW w:w="5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signature page to the registration statement)</w:t>
            </w:r>
          </w:p>
        </w:tc>
        <w:tc>
          <w:tcPr>
            <w:tcW w:w="220" w:type="dxa"/>
            <w:vAlign w:val="bottom"/>
            <w:gridSpan w:val="2"/>
          </w:tcPr>
          <w:p>
            <w:pPr>
              <w:spacing w:after="0"/>
              <w:rPr>
                <w:sz w:val="24"/>
                <w:szCs w:val="24"/>
                <w:color w:val="auto"/>
              </w:rPr>
            </w:pP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2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Calculation of Filing Fee Tables</w:t>
            </w:r>
          </w:p>
        </w:tc>
        <w:tc>
          <w:tcPr>
            <w:tcW w:w="3460" w:type="dxa"/>
            <w:vAlign w:val="bottom"/>
            <w:gridSpan w:val="8"/>
          </w:tcPr>
          <w:p>
            <w:pPr>
              <w:spacing w:after="0"/>
              <w:rPr>
                <w:sz w:val="24"/>
                <w:szCs w:val="24"/>
                <w:color w:val="auto"/>
              </w:rPr>
            </w:pP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20"/>
          </w:cols>
          <w:pgMar w:left="440" w:top="266"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Gilching, the Federal Republic of Germany on July 28, 2022.</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Bulent Altan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Bulent Altan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Stefan Berndt-von Bülow</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Stefan Berndt-von Bülow</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440"/>
        <w:spacing w:after="0" w:line="271"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does hereby constitute and appoint Bulent Altan and Stefan Berndt-von Bülow,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7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Bulent Altan</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Member of the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28,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Bulent Altan</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Management Board</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Stefan Berndt-von Bülow</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 and Member of the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28,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Stefan Berndt-von Bülow</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Management Board</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Joachim Horwath</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Technology Officer and Member of the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28, 2022</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Joachim Horwath</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Management Board</w:t>
            </w: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REPRESENTATIVE IN THE UNITED STATES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appointed representative in the United States of Mynaric AG has signed this registration statement or amendment thereto in the city of Newark, State of Delaware on July 28, 2022.</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720"/>
          </w:cols>
          <w:pgMar w:left="440" w:top="266" w:right="7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Sullivan &amp; Cromwell LLP]</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Dornierstraße 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82205 Gilching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We are acting as German counsel to Mynaric AG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the Federal Republic of Germany (</w:t>
      </w:r>
      <w:r>
        <w:rPr>
          <w:rFonts w:ascii="Times New Roman" w:cs="Times New Roman" w:eastAsia="Times New Roman" w:hAnsi="Times New Roman"/>
          <w:sz w:val="18"/>
          <w:szCs w:val="18"/>
          <w:b w:val="1"/>
          <w:bCs w:val="1"/>
          <w:color w:val="auto"/>
        </w:rPr>
        <w:t>Germany</w:t>
      </w:r>
      <w:r>
        <w:rPr>
          <w:rFonts w:ascii="Times New Roman" w:cs="Times New Roman" w:eastAsia="Times New Roman" w:hAnsi="Times New Roman"/>
          <w:sz w:val="18"/>
          <w:szCs w:val="18"/>
          <w:color w:val="auto"/>
        </w:rPr>
        <w:t xml:space="preserve">), as to matters of German law in connection with the filing with the Securities and Exchange Commission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on July 28, 2022. The purpose of the Registration Statement is to register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612,441 ordinary shares with no-par value, which, upon a potential future conversion into American Depositary Shares evidenced by American depositary receipts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xml:space="preserve">), will represent 2,449,764 ADSs, each representing an ownership interest of one-quarter (1/4) of an ordinary shares of the Company with a notional amount attributable to each ordinary share of € 1.00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These 612,441 Shares are or may become issuable under the following programs: 270,000 Shares under the Stock Option Program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34,473 under the Stock Option Program 2020, 103,321 under the Stock Option Program 2021 and 204,647 under the Restricted Stock Units Program 2021 (together,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This opinion is being furnished to the Company in connection with the requirements of Item 601(b)(5) of Regulation S-K under the Securities Act, and no opinion is expressed herein as to any matter pertaining to the contents of the Registration Statement other than as expressly stated herein with respect to the Shares.</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this context, we examined,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following documents:</w:t>
      </w:r>
    </w:p>
    <w:p>
      <w:pPr>
        <w:spacing w:after="0" w:line="129"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current articles of association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xml:space="preserve">) of the Company dated July 5, 2022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960" w:right="180" w:hanging="532"/>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 electronic excerpt from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Munich, Germany (the </w:t>
      </w:r>
      <w:r>
        <w:rPr>
          <w:rFonts w:ascii="Times New Roman" w:cs="Times New Roman" w:eastAsia="Times New Roman" w:hAnsi="Times New Roman"/>
          <w:sz w:val="18"/>
          <w:szCs w:val="18"/>
          <w:b w:val="1"/>
          <w:bCs w:val="1"/>
          <w:color w:val="auto"/>
        </w:rPr>
        <w:t>Commercial Register</w:t>
      </w:r>
      <w:r>
        <w:rPr>
          <w:rFonts w:ascii="Times New Roman" w:cs="Times New Roman" w:eastAsia="Times New Roman" w:hAnsi="Times New Roman"/>
          <w:sz w:val="18"/>
          <w:szCs w:val="18"/>
          <w:color w:val="auto"/>
        </w:rPr>
        <w:t>), docket number HRB 232763, relating to the Company dated July 28, 2022;</w:t>
      </w:r>
    </w:p>
    <w:p>
      <w:pPr>
        <w:spacing w:after="0" w:line="6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Plan;</w:t>
      </w:r>
    </w:p>
    <w:p>
      <w:pPr>
        <w:spacing w:after="0" w:line="128" w:lineRule="exact"/>
        <w:rPr>
          <w:rFonts w:ascii="Times New Roman" w:cs="Times New Roman" w:eastAsia="Times New Roman" w:hAnsi="Times New Roman"/>
          <w:sz w:val="18"/>
          <w:szCs w:val="18"/>
          <w:color w:val="auto"/>
        </w:rPr>
      </w:pPr>
    </w:p>
    <w:p>
      <w:pPr>
        <w:ind w:left="960" w:right="260" w:hanging="532"/>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resolutions of the supervisory board of May 7, 2019, regarding,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approval of the Stock Option Program 2019;</w:t>
      </w:r>
    </w:p>
    <w:p>
      <w:pPr>
        <w:spacing w:after="0" w:line="65"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email confirmation by the Company’s Chief Financial Officer, Stefan Berndt-von Bülow, of July 27, 2022, stating that the resolutions by the Company’s supervisory board regarding the approval of the Stock Option Program 2020 and the Stock Option Program 2021, have been taken;</w:t>
      </w:r>
    </w:p>
    <w:p>
      <w:pPr>
        <w:spacing w:after="0" w:line="79" w:lineRule="exact"/>
        <w:rPr>
          <w:rFonts w:ascii="Times New Roman" w:cs="Times New Roman" w:eastAsia="Times New Roman" w:hAnsi="Times New Roman"/>
          <w:sz w:val="18"/>
          <w:szCs w:val="18"/>
          <w:color w:val="auto"/>
        </w:rPr>
      </w:pPr>
    </w:p>
    <w:p>
      <w:pPr>
        <w:ind w:left="960" w:right="760" w:hanging="532"/>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resolutions of the supervisory board of December 15, 2020, regarding,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approval of the Restricted Stock Units Program 2021;</w:t>
      </w:r>
    </w:p>
    <w:p>
      <w:pPr>
        <w:spacing w:after="0" w:line="65"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minutes of the annual general shareholders’ meeting of the Company, held on July 2, 2019, which resolved on the creation of the Conditional Capital 2019;</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minutes of the annual general shareholders’ meeting of the Company, held on June 12, 2020, which resolved on the creation of the Conditional Capital 2020;</w:t>
      </w:r>
    </w:p>
    <w:p>
      <w:pPr>
        <w:spacing w:after="0" w:line="67" w:lineRule="exact"/>
        <w:rPr>
          <w:rFonts w:ascii="Times New Roman" w:cs="Times New Roman" w:eastAsia="Times New Roman" w:hAnsi="Times New Roman"/>
          <w:sz w:val="18"/>
          <w:szCs w:val="18"/>
          <w:color w:val="auto"/>
        </w:rPr>
      </w:pPr>
    </w:p>
    <w:p>
      <w:pPr>
        <w:jc w:val="both"/>
        <w:ind w:left="960" w:right="100" w:hanging="532"/>
        <w:spacing w:after="0" w:line="312"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copy of the minutes of the annual general shareholders’ meeting of the Company, held on May 14, 2021, which resolved on the creation of the Authorized Capital 2021/II and the Conditional Capital 2021/II (together with the resolutions under D) to H), the </w:t>
      </w: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17"/>
          <w:szCs w:val="17"/>
          <w:color w:val="auto"/>
        </w:rPr>
        <w:t>); and</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In giving this opinion, we have assumed that all documents submitted to us as a copy correspond to the respective original and that all documents examined by us are within the power of, and have been or will be validly authorized and executed by all parties thereto other than the Company, which is acting on the basis of the Resolutions. We have further assumed (1) that all authorizations, other than those authorizing the Company with respect to which we have received copies of the Resolutions, have been or will be validly issued and that none of these authorizations has been revoked, (2) that all documents, including electronic excerpts from the Commercial Register, submitted to us and made as of a specific date, have not been amended, cancelled, or otherwise been altered since that date until the date hereof, (3) that all documents submitted to us in purported final draft form have been, or will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executed in the form submitted, (4) that the Company will at all times continue to have sufficient authorized or conditional share capital with the relevant authorization to waive any pre-emptive subscription rights; (5) that the management board and the supervisory board of the Company will duly pass the relevant resolutions for the issue of the Shares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 in accordance with the Articles of Association, the terms of the Plans, the Resolutions and applicable law; (6) that upon issue of any Shares, the Company will receive payment in cash of an issue price in accordance with the Plans, the Resolutions and applicable law and (7) that there will be no amendments to the authorized share capital of the Company which would adversely affect the issue of the Shares and the conclusions stated in this opinion. As to any facts relevant to the opinions stated herein that we did not independently establish or verify, we have relied upon statements and representations of officers and other representatives of the Company and others and of public officials. In this opinion, the phrase “non-assessable” means, with respect to the issuance of Shares, that a shareholder shall not, in respect of the relevant Shares, have any obligation to make further contributions to the Company’s assets (except in exceptional circumstances in which a court may be prepared to pierce or lift the corporate veil) (</w:t>
      </w:r>
      <w:r>
        <w:rPr>
          <w:rFonts w:ascii="Times New Roman" w:cs="Times New Roman" w:eastAsia="Times New Roman" w:hAnsi="Times New Roman"/>
          <w:sz w:val="18"/>
          <w:szCs w:val="18"/>
          <w:i w:val="1"/>
          <w:iCs w:val="1"/>
          <w:color w:val="auto"/>
        </w:rPr>
        <w:t>nicht nachschusspflichtig</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Based upon and subject to the foregoing and the qualifications set out below, we are of the opinion that when the Company as a German stock corporation has issued the Shares against payment therefor under the circumstances contemplated by the Plans, assuming in each case that the individual issuances, grants or awards under the Plans are duly issued, granted or awarded and exercised in accordance with the requirements of law, the Resolutions, the Board Resolutions, the Articles of Association, and the Plans (and the agreements and awards duly adopted thereunder and in accordance therewith), the Shares will be validly issued, fully paid and non-assessable.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foregoing opinions are subject to the following qualifications:</w:t>
      </w:r>
    </w:p>
    <w:p>
      <w:pPr>
        <w:spacing w:after="0" w:line="113" w:lineRule="exact"/>
        <w:rPr>
          <w:sz w:val="20"/>
          <w:szCs w:val="20"/>
          <w:color w:val="auto"/>
        </w:rPr>
      </w:pPr>
    </w:p>
    <w:p>
      <w:pPr>
        <w:ind w:right="160" w:firstLine="436"/>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Sections 57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71a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AktG</w:t>
      </w:r>
      <w:r>
        <w:rPr>
          <w:rFonts w:ascii="Times New Roman" w:cs="Times New Roman" w:eastAsia="Times New Roman" w:hAnsi="Times New Roman"/>
          <w:sz w:val="18"/>
          <w:szCs w:val="18"/>
          <w:color w:val="auto"/>
        </w:rPr>
        <w:t>), except for dividends or unless explicitly permitted under the AktG, no payments, other distributions, financing arrangements, financial support, or other services of any kind may be made, directly or indirectly, by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to current or future shareholders in their capacity as such.</w:t>
      </w:r>
    </w:p>
    <w:p>
      <w:pPr>
        <w:spacing w:after="0" w:line="174" w:lineRule="exact"/>
        <w:rPr>
          <w:rFonts w:ascii="Times New Roman" w:cs="Times New Roman" w:eastAsia="Times New Roman" w:hAnsi="Times New Roman"/>
          <w:sz w:val="18"/>
          <w:szCs w:val="18"/>
          <w:color w:val="auto"/>
        </w:rPr>
      </w:pPr>
    </w:p>
    <w:p>
      <w:pPr>
        <w:ind w:right="80" w:firstLine="436"/>
        <w:spacing w:after="0" w:line="266" w:lineRule="auto"/>
        <w:tabs>
          <w:tab w:leader="none" w:pos="7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verified, do not opine upon, and do not assume any responsibility for the accuracy, completeness, or reasonableness of any statement contained in the Registration Statement (including in documents incorporated into the Registration Statement by reference) or any documents provided to Plan participants with respect to the Shares or the Company.</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speaks as of its date and is confined to, and is given on the basis of, the laws of Germany as they exist at the date hereof; it is governed by the laws of Germany. We are expressing no opinion as to the effect of the laws of any other jurisdiction.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left="-20" w:firstLine="436"/>
        <w:spacing w:after="0" w:line="282" w:lineRule="auto"/>
        <w:tabs>
          <w:tab w:leader="none" w:pos="7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hereby consent to the filing of this opinion as an exhibit to the Registration Statement. In giving such consent, we do not admit that we are in the category of persons whose consent is required under Section 7 of the Securities Act.</w:t>
      </w:r>
    </w:p>
    <w:p>
      <w:pPr>
        <w:spacing w:after="0" w:line="18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Sullivan &amp; Cromwell LLP</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May 6, 2022, with respect to the consolidated financial statements of Mynaric AG,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28, 2022</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1420" w:type="dxa"/>
            <w:vAlign w:val="bottom"/>
            <w:tcBorders>
              <w:top w:val="single" w:sz="8" w:color="auto"/>
              <w:lef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r>
      <w:tr>
        <w:trPr>
          <w:trHeight w:val="135"/>
        </w:trPr>
        <w:tc>
          <w:tcPr>
            <w:tcW w:w="1420" w:type="dxa"/>
            <w:vAlign w:val="bottom"/>
            <w:tcBorders>
              <w:lef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42"/>
        </w:trPr>
        <w:tc>
          <w:tcPr>
            <w:tcW w:w="1420" w:type="dxa"/>
            <w:vAlign w:val="bottom"/>
            <w:tcBorders>
              <w:lef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35"/>
        </w:trPr>
        <w:tc>
          <w:tcPr>
            <w:tcW w:w="1420" w:type="dxa"/>
            <w:vAlign w:val="bottom"/>
            <w:tcBorders>
              <w:lef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r>
      <w:tr>
        <w:trPr>
          <w:trHeight w:val="174"/>
        </w:trPr>
        <w:tc>
          <w:tcPr>
            <w:tcW w:w="1420" w:type="dxa"/>
            <w:vAlign w:val="bottom"/>
            <w:tcBorders>
              <w:left w:val="single" w:sz="8" w:color="auto"/>
              <w:bottom w:val="single" w:sz="8" w:color="auto"/>
            </w:tcBorders>
          </w:tcPr>
          <w:p>
            <w:pPr>
              <w:jc w:val="center"/>
              <w:ind w:left="604"/>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5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r>
      <w:tr>
        <w:trPr>
          <w:trHeight w:val="206"/>
        </w:trPr>
        <w:tc>
          <w:tcPr>
            <w:tcW w:w="1420" w:type="dxa"/>
            <w:vAlign w:val="bottom"/>
            <w:tcBorders>
              <w:left w:val="single" w:sz="8" w:color="auto"/>
            </w:tcBorders>
          </w:tcPr>
          <w:p>
            <w:pPr>
              <w:jc w:val="center"/>
              <w:ind w:left="58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5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Ordinary</w:t>
            </w:r>
          </w:p>
        </w:tc>
        <w:tc>
          <w:tcPr>
            <w:tcW w:w="7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16"/>
        </w:trPr>
        <w:tc>
          <w:tcPr>
            <w:tcW w:w="142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no</w:t>
            </w:r>
          </w:p>
        </w:tc>
        <w:tc>
          <w:tcPr>
            <w:tcW w:w="7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w:t>
            </w:r>
          </w:p>
        </w:tc>
        <w:tc>
          <w:tcPr>
            <w:tcW w:w="7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8"/>
        </w:trPr>
        <w:tc>
          <w:tcPr>
            <w:tcW w:w="1420" w:type="dxa"/>
            <w:vAlign w:val="bottom"/>
            <w:tcBorders>
              <w:left w:val="single" w:sz="8" w:color="auto"/>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4"/>
              </w:rPr>
              <w:t>value</w:t>
            </w:r>
            <w:r>
              <w:rPr>
                <w:rFonts w:ascii="Times New Roman" w:cs="Times New Roman" w:eastAsia="Times New Roman" w:hAnsi="Times New Roman"/>
                <w:sz w:val="26"/>
                <w:szCs w:val="26"/>
                <w:color w:val="auto"/>
                <w:w w:val="94"/>
                <w:vertAlign w:val="superscript"/>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3"/>
              </w:rPr>
              <w:t>612,441</w:t>
            </w:r>
            <w:r>
              <w:rPr>
                <w:rFonts w:ascii="Times New Roman" w:cs="Times New Roman" w:eastAsia="Times New Roman" w:hAnsi="Times New Roman"/>
                <w:sz w:val="26"/>
                <w:szCs w:val="26"/>
                <w:color w:val="auto"/>
                <w:w w:val="93"/>
                <w:vertAlign w:val="superscript"/>
              </w:rPr>
              <w:t>(2)</w:t>
            </w:r>
          </w:p>
        </w:tc>
        <w:tc>
          <w:tcPr>
            <w:tcW w:w="7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4"/>
              </w:rPr>
              <w:t>$36.08</w:t>
            </w:r>
            <w:r>
              <w:rPr>
                <w:rFonts w:ascii="Times New Roman" w:cs="Times New Roman" w:eastAsia="Times New Roman" w:hAnsi="Times New Roman"/>
                <w:sz w:val="26"/>
                <w:szCs w:val="26"/>
                <w:color w:val="auto"/>
                <w:w w:val="94"/>
                <w:vertAlign w:val="superscript"/>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$22,096,871.28</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$2,048.38</w:t>
            </w:r>
          </w:p>
        </w:tc>
      </w:tr>
      <w:tr>
        <w:trPr>
          <w:trHeight w:val="232"/>
        </w:trPr>
        <w:tc>
          <w:tcPr>
            <w:tcW w:w="1420" w:type="dxa"/>
            <w:vAlign w:val="bottom"/>
            <w:tcBorders>
              <w:left w:val="single" w:sz="8" w:color="auto"/>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9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$22,096,871.28</w:t>
            </w: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$2,048.38</w:t>
            </w:r>
          </w:p>
        </w:tc>
      </w:tr>
      <w:tr>
        <w:trPr>
          <w:trHeight w:val="241"/>
        </w:trPr>
        <w:tc>
          <w:tcPr>
            <w:tcW w:w="1420" w:type="dxa"/>
            <w:vAlign w:val="bottom"/>
            <w:tcBorders>
              <w:left w:val="single" w:sz="8" w:color="auto"/>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right="290"/>
              <w:spacing w:after="0" w:line="241" w:lineRule="exact"/>
              <w:rPr>
                <w:sz w:val="20"/>
                <w:szCs w:val="20"/>
                <w:color w:val="auto"/>
              </w:rPr>
            </w:pPr>
            <w:r>
              <w:rPr>
                <w:rFonts w:ascii="Times New Roman" w:cs="Times New Roman" w:eastAsia="Times New Roman" w:hAnsi="Times New Roman"/>
                <w:sz w:val="18"/>
                <w:szCs w:val="18"/>
                <w:color w:val="auto"/>
                <w:w w:val="95"/>
              </w:rPr>
              <w:t>Total Fee Offsets</w:t>
            </w:r>
            <w:r>
              <w:rPr>
                <w:rFonts w:ascii="Times New Roman" w:cs="Times New Roman" w:eastAsia="Times New Roman" w:hAnsi="Times New Roman"/>
                <w:sz w:val="26"/>
                <w:szCs w:val="26"/>
                <w:color w:val="auto"/>
                <w:w w:val="95"/>
                <w:vertAlign w:val="superscript"/>
              </w:rPr>
              <w:t>(4)</w:t>
            </w:r>
          </w:p>
        </w:tc>
        <w:tc>
          <w:tcPr>
            <w:tcW w:w="9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2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$2,048.38</w:t>
            </w:r>
          </w:p>
        </w:tc>
      </w:tr>
    </w:tbl>
    <w:p>
      <w:pPr>
        <w:spacing w:after="0" w:line="225" w:lineRule="exact"/>
        <w:rPr>
          <w:sz w:val="20"/>
          <w:szCs w:val="20"/>
          <w:color w:val="auto"/>
        </w:rPr>
      </w:pPr>
    </w:p>
    <w:p>
      <w:pPr>
        <w:ind w:left="424" w:right="16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evidenced by American Depositary Receipts (“ADRs”) issuable upon deposit of the ordinary shares have been registered under a separate registration statement on Form F-6 (333-260613). Four ADSs represent one ordinary share.</w:t>
      </w:r>
    </w:p>
    <w:p>
      <w:pPr>
        <w:ind w:left="424" w:right="8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issuable upon the exercise of options granted under the Stock Option Program 2019 (“SOP 2019”), the Stock Option Program 2020 (“SOP 2020”), the Stock Option Program 2021 (the “SOP 2021”) and ordinary shares issuable under the Restricted Stock Units Program 2021 (“RSUP 2021” and, together with the SOP 2019, SOP 2020, SOP 2021, the “Plans”) in each case as of the date of this registration statement that may be settled in ordinary shares. The total amount registered represents 270,000 ordinary shares issuable upon the exercise of options granted under the SOP 2019, 34,473 ordinary shares issuable upon the exercise of options granted under the SOP 2020, 103,321 ordinary shares issuable upon the exercise of options granted under the SOP 2021 and 204,647 ordinary shares issuable upon the exercise of options granted under the RSUP 2021. The number of ordinary shares being registered also includes an indeterminate number of ordinary shares that may be issuable as a result of stock splits, stock dividends or similar anti-dilution adjustments of the outstanding ordinary shares in accordance with Rule 416 of the Securities Act of 1933, as amended (the “Securities Act”).</w:t>
      </w:r>
    </w:p>
    <w:p>
      <w:pPr>
        <w:spacing w:after="0" w:line="3"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which is estimated solely for the purposes of calculating the registration fee under Rule 457(h) and Rule 457(c) under the Securities Act, is based on $9.02 per ADS, the average of the high and low prices for the registrant’s ADSs as quoted on The Nasdaq Global Select Market on July 25, 2022. Four ADSs represent one ordinary share.</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3D1B58BA"/>
    <w:multiLevelType w:val="hybridMultilevel"/>
    <w:lvl w:ilvl="0">
      <w:lvlJc w:val="left"/>
      <w:lvlText w:val="%1"/>
      <w:numFmt w:val="lowerLetter"/>
      <w:start w:val="1"/>
    </w:lvl>
    <w:lvl w:ilvl="1">
      <w:lvlJc w:val="left"/>
      <w:lvlText w:val="(%2)"/>
      <w:numFmt w:val="decimal"/>
      <w:start w:val="2"/>
    </w:lvl>
  </w:abstractNum>
  <w:abstractNum w:abstractNumId="3">
    <w:nsid w:val="507ED7AB"/>
    <w:multiLevelType w:val="hybridMultilevel"/>
    <w:lvl w:ilvl="0">
      <w:lvlJc w:val="left"/>
      <w:lvlText w:val="(%1)"/>
      <w:numFmt w:val="lowerLetter"/>
      <w:start w:val="2"/>
    </w:lvl>
    <w:lvl w:ilvl="1">
      <w:lvlJc w:val="left"/>
      <w:lvlText w:val="%2"/>
      <w:numFmt w:val="decimal"/>
      <w:start w:val="1"/>
    </w:lvl>
  </w:abstractNum>
  <w:abstractNum w:abstractNumId="4">
    <w:nsid w:val="2EB141F2"/>
    <w:multiLevelType w:val="hybridMultilevel"/>
    <w:lvl w:ilvl="0">
      <w:lvlJc w:val="left"/>
      <w:lvlText w:val="%1)"/>
      <w:numFmt w:val="upperLetter"/>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20" Type="http://schemas.openxmlformats.org/officeDocument/2006/relationships/hyperlink" Target="http://www.sec.gov/Archives/edgar/data/0001850453/000119312522143674/d310942d20f.htm" TargetMode="External"/><Relationship Id="rId21" Type="http://schemas.openxmlformats.org/officeDocument/2006/relationships/hyperlink" Target="http://www.sec.gov/Archives/edgar/data/0001850453/000119312522148414/d357984d6k.htm" TargetMode="External"/><Relationship Id="rId22" Type="http://schemas.openxmlformats.org/officeDocument/2006/relationships/hyperlink" Target="http://www.sec.gov/Archives/edgar/data/0001850453/000119312522166837/d357509d6k.htm" TargetMode="External"/><Relationship Id="rId23" Type="http://schemas.openxmlformats.org/officeDocument/2006/relationships/hyperlink" Target="http://www.sec.gov/Archives/edgar/data/0001850453/000119312522173584/d295191d6k.htm" TargetMode="External"/><Relationship Id="rId24" Type="http://schemas.openxmlformats.org/officeDocument/2006/relationships/hyperlink" Target="http://www.sec.gov/Archives/edgar/data/0001850453/000119312522188357/d339247d6k.htm" TargetMode="External"/><Relationship Id="rId25" Type="http://schemas.openxmlformats.org/officeDocument/2006/relationships/hyperlink" Target="http://www.sec.gov/Archives/edgar/data/0001850453/000119312522193789/d237461d6k.htm" TargetMode="External"/><Relationship Id="rId27" Type="http://schemas.openxmlformats.org/officeDocument/2006/relationships/hyperlink" Target="http://www.sec.gov/Archives/edgar/data/1850453/000119312522143674/d310942dex11.htm" TargetMode="External"/><Relationship Id="rId28" Type="http://schemas.openxmlformats.org/officeDocument/2006/relationships/hyperlink" Target="http://www.sec.gov/Archives/edgar/data/1850453/000119312521317388/d165359dex41.htm" TargetMode="External"/><Relationship Id="rId29" Type="http://schemas.openxmlformats.org/officeDocument/2006/relationships/hyperlink" Target="http://www.sec.gov/Archives/edgar/data/1850453/000119312521301967/d165359dex101.htm" TargetMode="External"/><Relationship Id="rId30" Type="http://schemas.openxmlformats.org/officeDocument/2006/relationships/hyperlink" Target="http://www.sec.gov/Archives/edgar/data/1850453/000119312521301967/d165359dex102.htm" TargetMode="External"/><Relationship Id="rId31" Type="http://schemas.openxmlformats.org/officeDocument/2006/relationships/hyperlink" Target="http://www.sec.gov/Archives/edgar/data/1850453/000119312521301967/d165359dex103.htm" TargetMode="External"/><Relationship Id="rId32" Type="http://schemas.openxmlformats.org/officeDocument/2006/relationships/hyperlink" Target="http://www.sec.gov/Archives/edgar/data/1850453/000119312521301967/d16535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2022-07-28T14:06:43Z</dcterms:created>
  <dcterms:modified xsi:type="dcterms:W3CDTF">2022-07-28T14:06:43Z</dcterms:modified>
</cp:coreProperties>
</file>