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699"/>
        <w:spacing w:after="0" w:line="207" w:lineRule="exact"/>
        <w:rPr>
          <w:sz w:val="20"/>
          <w:szCs w:val="20"/>
          <w:color w:val="auto"/>
        </w:rPr>
      </w:pPr>
      <w:r>
        <w:rPr>
          <w:rFonts w:ascii="Arial" w:cs="Arial" w:eastAsia="Arial" w:hAnsi="Arial"/>
          <w:sz w:val="18"/>
          <w:szCs w:val="18"/>
          <w:b w:val="1"/>
          <w:bCs w:val="1"/>
          <w:color w:val="auto"/>
        </w:rPr>
        <w:t>REPORT OF FOREIGN PRIVATE ISSUER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OR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FOR THE MONTH OF June 2023</w:t>
      </w:r>
    </w:p>
    <w:p>
      <w:pPr>
        <w:spacing w:after="0" w:line="225"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COMMISSION FILE NUMBER 001-41045</w:t>
      </w:r>
    </w:p>
    <w:p>
      <w:pPr>
        <w:spacing w:after="0" w:line="202"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24130</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33" w:lineRule="exact"/>
        <w:rPr>
          <w:sz w:val="24"/>
          <w:szCs w:val="24"/>
          <w:color w:val="auto"/>
        </w:rPr>
      </w:pPr>
    </w:p>
    <w:p>
      <w:pPr>
        <w:ind w:left="4920"/>
        <w:spacing w:after="0"/>
        <w:rPr>
          <w:sz w:val="20"/>
          <w:szCs w:val="20"/>
          <w:color w:val="auto"/>
        </w:rPr>
      </w:pPr>
      <w:r>
        <w:rPr>
          <w:rFonts w:ascii="Arial" w:cs="Arial" w:eastAsia="Arial" w:hAnsi="Arial"/>
          <w:sz w:val="18"/>
          <w:szCs w:val="18"/>
          <w:i w:val="1"/>
          <w:iCs w:val="1"/>
          <w:color w:val="auto"/>
        </w:rPr>
        <w:t>(Registrant’s name)</w:t>
      </w:r>
    </w:p>
    <w:p>
      <w:pPr>
        <w:spacing w:after="0" w:line="232"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Dornierstraße 19</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82205 Gilching</w:t>
      </w:r>
    </w:p>
    <w:p>
      <w:pPr>
        <w:spacing w:after="0" w:line="9"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u w:val="single" w:color="auto"/>
          <w:color w:val="auto"/>
        </w:rPr>
        <w:t>+49 (0) 8105 79990</w:t>
      </w:r>
    </w:p>
    <w:p>
      <w:pPr>
        <w:spacing w:after="0" w:line="9"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principal executive offices</w:t>
      </w:r>
      <w:r>
        <w:rPr>
          <w:rFonts w:ascii="Arial" w:cs="Arial" w:eastAsia="Arial" w:hAnsi="Arial"/>
          <w:sz w:val="18"/>
          <w:szCs w:val="18"/>
          <w:color w:val="auto"/>
        </w:rPr>
        <w:t>)</w:t>
      </w:r>
    </w:p>
    <w:p>
      <w:pPr>
        <w:spacing w:after="0" w:line="166" w:lineRule="exact"/>
        <w:rPr>
          <w:sz w:val="24"/>
          <w:szCs w:val="24"/>
          <w:color w:val="auto"/>
        </w:rPr>
      </w:pPr>
    </w:p>
    <w:p>
      <w:pPr>
        <w:spacing w:after="0" w:line="207" w:lineRule="exact"/>
        <w:tabs>
          <w:tab w:leader="none" w:pos="9540" w:val="left"/>
        </w:tabs>
        <w:rPr>
          <w:sz w:val="20"/>
          <w:szCs w:val="20"/>
          <w:color w:val="auto"/>
        </w:rPr>
      </w:pPr>
      <w:r>
        <w:rPr>
          <w:rFonts w:ascii="Arial" w:cs="Arial" w:eastAsia="Arial" w:hAnsi="Arial"/>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Arial" w:cs="Arial" w:eastAsia="Arial" w:hAnsi="Arial"/>
          <w:sz w:val="18"/>
          <w:szCs w:val="18"/>
          <w:color w:val="auto"/>
        </w:rPr>
        <w:t>F or Form 40</w:t>
      </w:r>
      <w:r>
        <w:rPr>
          <w:rFonts w:ascii="MS PGothic" w:cs="MS PGothic" w:eastAsia="MS PGothic" w:hAnsi="MS PGothic"/>
          <w:sz w:val="18"/>
          <w:szCs w:val="18"/>
          <w:color w:val="auto"/>
        </w:rPr>
        <w:t>‑</w:t>
      </w:r>
      <w:r>
        <w:rPr>
          <w:rFonts w:ascii="Arial" w:cs="Arial" w:eastAsia="Arial" w:hAnsi="Arial"/>
          <w:sz w:val="18"/>
          <w:szCs w:val="18"/>
          <w:color w:val="auto"/>
        </w:rPr>
        <w:t>F: Form 20</w:t>
      </w:r>
      <w:r>
        <w:rPr>
          <w:rFonts w:ascii="MS PGothic" w:cs="MS PGothic" w:eastAsia="MS PGothic" w:hAnsi="MS PGothic"/>
          <w:sz w:val="18"/>
          <w:szCs w:val="18"/>
          <w:color w:val="auto"/>
        </w:rPr>
        <w:t>‑</w:t>
      </w:r>
      <w:r>
        <w:rPr>
          <w:rFonts w:ascii="Arial" w:cs="Arial" w:eastAsia="Arial" w:hAnsi="Arial"/>
          <w:sz w:val="18"/>
          <w:szCs w:val="18"/>
          <w:color w:val="auto"/>
        </w:rPr>
        <w:t xml:space="preserve">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w:t>
      </w:r>
      <w:r>
        <w:rPr>
          <w:rFonts w:ascii="MS PGothic" w:cs="MS PGothic" w:eastAsia="MS PGothic" w:hAnsi="MS PGothic"/>
          <w:sz w:val="16"/>
          <w:szCs w:val="16"/>
          <w:color w:val="auto"/>
        </w:rPr>
        <w:t>‑</w:t>
      </w:r>
      <w:r>
        <w:rPr>
          <w:rFonts w:ascii="Arial" w:cs="Arial" w:eastAsia="Arial" w:hAnsi="Arial"/>
          <w:sz w:val="16"/>
          <w:szCs w:val="16"/>
          <w:color w:val="auto"/>
        </w:rPr>
        <w:t xml:space="preserve">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ectPr>
          <w:pgSz w:w="11900" w:h="16838" w:orient="portrait"/>
          <w:cols w:equalWidth="0" w:num="1">
            <w:col w:w="10560"/>
          </w:cols>
          <w:pgMar w:left="320" w:top="666" w:right="1019" w:bottom="1440" w:gutter="0" w:footer="0" w:header="0"/>
        </w:sectPr>
      </w:pPr>
    </w:p>
    <w:bookmarkStart w:id="1" w:name="page2"/>
    <w:bookmarkEnd w:id="1"/>
    <w:p>
      <w:pPr>
        <w:jc w:val="right"/>
        <w:ind w:right="2199"/>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June 21, 2023, Mynaric AG issued a corporate news. A copy is furnished as Exhibit 99.1 hereto.</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9"/>
              </w:rPr>
              <w:t>DOCUMENTS INCLUDED AS PART OF THIS FORM 6-K</w:t>
            </w:r>
          </w:p>
        </w:tc>
      </w:tr>
      <w:tr>
        <w:trPr>
          <w:trHeight w:val="432"/>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0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190"/>
        </w:trPr>
        <w:tc>
          <w:tcPr>
            <w:tcW w:w="320" w:type="dxa"/>
            <w:vAlign w:val="bottom"/>
            <w:shd w:val="clear" w:color="auto" w:fill="CCEEFF"/>
          </w:tcPr>
          <w:p>
            <w:pPr>
              <w:spacing w:after="0" w:line="169"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12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8"/>
                <w:szCs w:val="18"/>
                <w:color w:val="0000EE"/>
                <w:w w:val="95"/>
              </w:rPr>
              <w:t>Mynaric selected by Raytheon Technologies to supply optical communications terminals for SDA Tranche 1 Tracking Layer program</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gridSpan w:val="2"/>
          </w:tcPr>
          <w:p>
            <w:pPr>
              <w:spacing w:after="0"/>
              <w:rPr>
                <w:sz w:val="24"/>
                <w:szCs w:val="24"/>
                <w:color w:val="auto"/>
              </w:rPr>
            </w:pPr>
          </w:p>
        </w:tc>
        <w:tc>
          <w:tcPr>
            <w:tcW w:w="9580" w:type="dxa"/>
            <w:vAlign w:val="bottom"/>
            <w:tcBorders>
              <w:top w:val="single" w:sz="8" w:color="0000EE"/>
              <w:bottom w:val="single" w:sz="8" w:color="auto"/>
            </w:tcBorders>
          </w:tcPr>
          <w:p>
            <w:pPr>
              <w:jc w:val="right"/>
              <w:ind w:right="4970"/>
              <w:spacing w:after="0"/>
              <w:rPr>
                <w:sz w:val="20"/>
                <w:szCs w:val="20"/>
                <w:color w:val="auto"/>
              </w:rPr>
            </w:pPr>
            <w:r>
              <w:rPr>
                <w:rFonts w:ascii="Arial" w:cs="Arial" w:eastAsia="Arial" w:hAnsi="Arial"/>
                <w:sz w:val="18"/>
                <w:szCs w:val="18"/>
                <w:color w:val="auto"/>
              </w:rPr>
              <w:t>3</w:t>
            </w:r>
          </w:p>
        </w:tc>
        <w:tc>
          <w:tcPr>
            <w:tcW w:w="5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0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Mynaric AG</w:t>
      </w:r>
    </w:p>
    <w:p>
      <w:pPr>
        <w:sectPr>
          <w:pgSz w:w="11900" w:h="16838" w:orient="portrait"/>
          <w:cols w:equalWidth="0" w:num="1">
            <w:col w:w="11240"/>
          </w:cols>
          <w:pgMar w:left="320" w:top="553" w:right="339" w:bottom="1440" w:gutter="0" w:footer="0" w:header="0"/>
        </w:sect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June 21, 2023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254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Name: Stefan Berndt-von Bülow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Sven Meyer-Brunswick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254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Name: Sven Meyer-Brunswick</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Title: Authorized Representative</w:t>
      </w:r>
    </w:p>
    <w:p>
      <w:pPr>
        <w:spacing w:after="0" w:line="424" w:lineRule="exact"/>
        <w:rPr>
          <w:sz w:val="20"/>
          <w:szCs w:val="20"/>
          <w:color w:val="auto"/>
        </w:rPr>
      </w:pPr>
    </w:p>
    <w:p>
      <w:pPr>
        <w:sectPr>
          <w:pgSz w:w="11900" w:h="16838" w:orient="portrait"/>
          <w:cols w:equalWidth="0" w:num="2">
            <w:col w:w="5780" w:space="140"/>
            <w:col w:w="5320"/>
          </w:cols>
          <w:pgMar w:left="320" w:top="553"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4" w:name="page5"/>
    <w:bookmarkEnd w:id="4"/>
    <w:p>
      <w:pPr>
        <w:ind w:left="10120"/>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Mynaric AG: Mynaric selected by Raytheon Technologies to supply optical communications terminals for SDA Tranche 1 Tracking Layer program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SDA increases satellites in program following budget increase</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LOS ANGELES, June 21, 2023 – </w:t>
      </w:r>
      <w:r>
        <w:rPr>
          <w:rFonts w:ascii="Arial" w:cs="Arial" w:eastAsia="Arial" w:hAnsi="Arial"/>
          <w:sz w:val="18"/>
          <w:szCs w:val="18"/>
          <w:u w:val="single" w:color="auto"/>
          <w:color w:val="auto"/>
        </w:rPr>
        <w:t>Mynaric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MYNA) (FRA: M0YN), a leading provider of industrialized, cost-effective and scalable laser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communications products, today announced that it has been selected by Raytheon Technologies to supply optical communications terminals for the Space Development Agency (SDA) Tranche 1 Tracking Layer program. Raytheon Technologies was. Each satellite will feature three optical communications terminals, and a Ka-band, multi-beam payload for communications. Mynaric will supply 21 </w:t>
      </w:r>
      <w:r>
        <w:rPr>
          <w:rFonts w:ascii="Arial" w:cs="Arial" w:eastAsia="Arial" w:hAnsi="Arial"/>
          <w:sz w:val="18"/>
          <w:szCs w:val="18"/>
          <w:u w:val="single" w:color="auto"/>
          <w:color w:val="auto"/>
        </w:rPr>
        <w:t>CONDOR Mk3 terminals</w:t>
      </w:r>
      <w:r>
        <w:rPr>
          <w:rFonts w:ascii="Arial" w:cs="Arial" w:eastAsia="Arial" w:hAnsi="Arial"/>
          <w:sz w:val="18"/>
          <w:szCs w:val="18"/>
          <w:color w:val="auto"/>
        </w:rPr>
        <w:t xml:space="preserve"> to Raytheon for the program with the product deliveries expected in 2024.</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critical mission demands the very best in technology to ensure our nation’s security. Mynaric’s solution will enable us to achieve unparallel levels of data transmission and enhance our capabilities to protect and defend” said Dave Broadbent, president of Space &amp; C2 at Raytheon Intelligence &amp; Space.</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Tranche 1 Tracking Layer will detect, identify, and track hypersonic weapons and other advanced missiles from their earliest stages of launch through interception. Once fully deployed, the low-Earth orbit constellation of networked satellites will become the fifth plane of satellites providing missile warning and tracking for the U.S. Department of Defense. The program is a key element of the </w:t>
      </w:r>
      <w:r>
        <w:rPr>
          <w:rFonts w:ascii="Arial" w:cs="Arial" w:eastAsia="Arial" w:hAnsi="Arial"/>
          <w:sz w:val="17"/>
          <w:szCs w:val="17"/>
          <w:u w:val="single" w:color="auto"/>
          <w:color w:val="auto"/>
        </w:rPr>
        <w:t>Proliferated Warfighter Space Architecture</w:t>
      </w:r>
      <w:r>
        <w:rPr>
          <w:rFonts w:ascii="Arial" w:cs="Arial" w:eastAsia="Arial" w:hAnsi="Arial"/>
          <w:sz w:val="17"/>
          <w:szCs w:val="17"/>
          <w:color w:val="auto"/>
        </w:rPr>
        <w: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entire team is proud to support Raytheon Technologies and the SDA on this critical national defense program,” said Tina Ghataore, Chief Commercial Officer for Mynaric. “We have signaled to the market that our team works collaboratively with our customers to deliver industry-leading products that meet the SDA standards and requirements for interoperability.”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Mynaric will also </w:t>
      </w:r>
      <w:r>
        <w:rPr>
          <w:rFonts w:ascii="Arial" w:cs="Arial" w:eastAsia="Arial" w:hAnsi="Arial"/>
          <w:sz w:val="18"/>
          <w:szCs w:val="18"/>
          <w:u w:val="single" w:color="auto"/>
          <w:color w:val="auto"/>
        </w:rPr>
        <w:t>supply optical communications terminals to the 14 satellites developed by Northrop Grumman</w:t>
      </w:r>
      <w:r>
        <w:rPr>
          <w:rFonts w:ascii="Arial" w:cs="Arial" w:eastAsia="Arial" w:hAnsi="Arial"/>
          <w:sz w:val="18"/>
          <w:szCs w:val="18"/>
          <w:color w:val="auto"/>
        </w:rPr>
        <w:t xml:space="preserve"> for the Tranche 1 Tracking Layer program.</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Mynaric’s </w:t>
      </w:r>
      <w:r>
        <w:rPr>
          <w:rFonts w:ascii="Arial" w:cs="Arial" w:eastAsia="Arial" w:hAnsi="Arial"/>
          <w:sz w:val="18"/>
          <w:szCs w:val="18"/>
          <w:u w:val="single" w:color="auto"/>
          <w:color w:val="auto"/>
        </w:rPr>
        <w:t>CONDOR family of optical communications terminals</w:t>
      </w:r>
      <w:r>
        <w:rPr>
          <w:rFonts w:ascii="Arial" w:cs="Arial" w:eastAsia="Arial" w:hAnsi="Arial"/>
          <w:sz w:val="18"/>
          <w:szCs w:val="18"/>
          <w:color w:val="auto"/>
        </w:rPr>
        <w:t xml:space="preserve"> is specifically designed for mass deployment as part of government and commercial satellite constellations. It has previously been selected by Northrop Grumman for the SDA’s </w:t>
      </w:r>
      <w:r>
        <w:rPr>
          <w:rFonts w:ascii="Arial" w:cs="Arial" w:eastAsia="Arial" w:hAnsi="Arial"/>
          <w:sz w:val="18"/>
          <w:szCs w:val="18"/>
          <w:u w:val="single" w:color="auto"/>
          <w:color w:val="auto"/>
        </w:rPr>
        <w:t>Tranche 1 Transport Layer</w:t>
      </w:r>
      <w:r>
        <w:rPr>
          <w:rFonts w:ascii="Arial" w:cs="Arial" w:eastAsia="Arial" w:hAnsi="Arial"/>
          <w:sz w:val="18"/>
          <w:szCs w:val="18"/>
          <w:color w:val="auto"/>
        </w:rPr>
        <w:t xml:space="preserve"> program, by </w:t>
      </w:r>
      <w:r>
        <w:rPr>
          <w:rFonts w:ascii="Arial" w:cs="Arial" w:eastAsia="Arial" w:hAnsi="Arial"/>
          <w:sz w:val="18"/>
          <w:szCs w:val="18"/>
          <w:u w:val="single" w:color="auto"/>
          <w:color w:val="auto"/>
        </w:rPr>
        <w:t>Loft Federal for SDA’s</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Experimental Testbed NExT</w:t>
      </w:r>
      <w:r>
        <w:rPr>
          <w:rFonts w:ascii="Arial" w:cs="Arial" w:eastAsia="Arial" w:hAnsi="Arial"/>
          <w:sz w:val="18"/>
          <w:szCs w:val="18"/>
          <w:color w:val="auto"/>
        </w:rPr>
        <w:t xml:space="preserve">, by </w:t>
      </w:r>
      <w:r>
        <w:rPr>
          <w:rFonts w:ascii="Arial" w:cs="Arial" w:eastAsia="Arial" w:hAnsi="Arial"/>
          <w:sz w:val="18"/>
          <w:szCs w:val="18"/>
          <w:u w:val="single" w:color="auto"/>
          <w:color w:val="auto"/>
        </w:rPr>
        <w:t>Telesat for the DARPA Blackjack program</w:t>
      </w:r>
      <w:r>
        <w:rPr>
          <w:rFonts w:ascii="Arial" w:cs="Arial" w:eastAsia="Arial" w:hAnsi="Arial"/>
          <w:sz w:val="18"/>
          <w:szCs w:val="18"/>
          <w:color w:val="auto"/>
        </w:rPr>
        <w:t xml:space="preserve"> and others. In addition, Mynaric was named a key development partner for </w:t>
      </w:r>
      <w:r>
        <w:rPr>
          <w:rFonts w:ascii="Arial" w:cs="Arial" w:eastAsia="Arial" w:hAnsi="Arial"/>
          <w:sz w:val="18"/>
          <w:szCs w:val="18"/>
          <w:u w:val="single" w:color="auto"/>
          <w:color w:val="auto"/>
        </w:rPr>
        <w:t>Phase 1 of DARPA’s Space-BACN program</w:t>
      </w:r>
      <w:r>
        <w:rPr>
          <w:rFonts w:ascii="Arial" w:cs="Arial" w:eastAsia="Arial" w:hAnsi="Arial"/>
          <w:sz w:val="18"/>
          <w:szCs w:val="18"/>
          <w:color w:val="auto"/>
        </w:rPr>
        <w:t xml:space="preserve">, was selected by the </w:t>
      </w:r>
      <w:r>
        <w:rPr>
          <w:rFonts w:ascii="Arial" w:cs="Arial" w:eastAsia="Arial" w:hAnsi="Arial"/>
          <w:sz w:val="18"/>
          <w:szCs w:val="18"/>
          <w:u w:val="single" w:color="auto"/>
          <w:color w:val="auto"/>
        </w:rPr>
        <w:t>European Space Agency (ESA)</w:t>
      </w:r>
      <w:r>
        <w:rPr>
          <w:rFonts w:ascii="Arial" w:cs="Arial" w:eastAsia="Arial" w:hAnsi="Arial"/>
          <w:sz w:val="18"/>
          <w:szCs w:val="18"/>
          <w:color w:val="auto"/>
        </w:rPr>
        <w:t xml:space="preserve"> to investigate optical technologies for next generation high-throughput optical inter-satellite links and was selected by the German government for </w:t>
      </w:r>
      <w:r>
        <w:rPr>
          <w:rFonts w:ascii="Arial" w:cs="Arial" w:eastAsia="Arial" w:hAnsi="Arial"/>
          <w:sz w:val="18"/>
          <w:szCs w:val="18"/>
          <w:u w:val="single" w:color="auto"/>
          <w:color w:val="auto"/>
        </w:rPr>
        <w:t>multiple projects to develop quantum communication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capabilities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Mynaric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mynaric.com</w:t>
      </w:r>
      <w:r>
        <w:rPr>
          <w:rFonts w:ascii="Arial" w:cs="Arial" w:eastAsia="Arial" w:hAnsi="Arial"/>
          <w:sz w:val="18"/>
          <w:szCs w:val="18"/>
          <w:color w:val="auto"/>
        </w:rPr>
        <w: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2023-06-21T09:48:19Z</dcterms:created>
  <dcterms:modified xsi:type="dcterms:W3CDTF">2023-06-21T09:48:19Z</dcterms:modified>
</cp:coreProperties>
</file>