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191770</wp:posOffset>
            </wp:positionV>
            <wp:extent cx="709803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268605</wp:posOffset>
            </wp:positionV>
            <wp:extent cx="70980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 OR 15d</w:t>
      </w:r>
      <w:r>
        <w:rPr>
          <w:rFonts w:ascii="MS PGothic" w:cs="MS PGothic" w:eastAsia="MS PGothic" w:hAnsi="MS PGothic"/>
          <w:sz w:val="18"/>
          <w:szCs w:val="18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16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August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001-41045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Mynaric AG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1436370</wp:posOffset>
            </wp:positionH>
            <wp:positionV relativeFrom="paragraph">
              <wp:posOffset>24130</wp:posOffset>
            </wp:positionV>
            <wp:extent cx="427736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(Registrant’s name)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Dornierstraße 19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82205 Gilching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Germany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+49 (0) 8105 79990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Address of principal executive offices</w:t>
      </w:r>
      <w:r>
        <w:rPr>
          <w:rFonts w:ascii="Arial" w:cs="Arial" w:eastAsia="Arial" w:hAnsi="Arial"/>
          <w:sz w:val="18"/>
          <w:szCs w:val="18"/>
          <w:color w:val="auto"/>
        </w:rPr>
        <w:t>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Form 20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>F or Form 40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>F: Form 20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 xml:space="preserve">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Form 40</w:t>
      </w:r>
      <w:r>
        <w:rPr>
          <w:rFonts w:ascii="MS PGothic" w:cs="MS PGothic" w:eastAsia="MS PGothic" w:hAnsi="MS PGothic"/>
          <w:sz w:val="17"/>
          <w:szCs w:val="17"/>
          <w:color w:val="auto"/>
        </w:rPr>
        <w:t>‑</w:t>
      </w:r>
      <w:r>
        <w:rPr>
          <w:rFonts w:ascii="Arial" w:cs="Arial" w:eastAsia="Arial" w:hAnsi="Arial"/>
          <w:sz w:val="17"/>
          <w:szCs w:val="17"/>
          <w:color w:val="auto"/>
        </w:rPr>
        <w:t xml:space="preserve">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101(b)(1):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>K in paper as permitted by Regulation S</w:t>
      </w:r>
      <w:r>
        <w:rPr>
          <w:rFonts w:ascii="MS PGothic" w:cs="MS PGothic" w:eastAsia="MS PGothic" w:hAnsi="MS PGothic"/>
          <w:sz w:val="18"/>
          <w:szCs w:val="18"/>
          <w:color w:val="auto"/>
        </w:rPr>
        <w:t>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T Rule 101(b)(7):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214630</wp:posOffset>
            </wp:positionV>
            <wp:extent cx="709803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266065</wp:posOffset>
            </wp:positionV>
            <wp:extent cx="7098030" cy="43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803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DOCUMENTS INCLUDED AS PART OF THIS 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August 17, 2023, Mynaric AG issued a corporate news. A copy of the Corporate News is furnished as Exhibit 99.1.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3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2</w:t>
            </w:r>
          </w:p>
        </w:tc>
        <w:tc>
          <w:tcPr>
            <w:tcW w:w="4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84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20" w:type="dxa"/>
            <w:vAlign w:val="bottom"/>
            <w:gridSpan w:val="2"/>
          </w:tcPr>
          <w:p>
            <w:pPr>
              <w:jc w:val="center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DOCUMENTS INCLUDED AS PART OF THIS FORM 6-K</w:t>
            </w:r>
          </w:p>
        </w:tc>
      </w:tr>
      <w:tr>
        <w:trPr>
          <w:trHeight w:val="432"/>
        </w:trPr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Exhibit</w:t>
            </w:r>
          </w:p>
        </w:tc>
      </w:tr>
      <w:tr>
        <w:trPr>
          <w:trHeight w:val="190"/>
        </w:trPr>
        <w:tc>
          <w:tcPr>
            <w:tcW w:w="90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120" w:type="dxa"/>
            <w:vAlign w:val="bottom"/>
            <w:gridSpan w:val="2"/>
            <w:shd w:val="clear" w:color="auto" w:fill="CCEEFF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</w:rPr>
              <w:t>Mynaric Announces Management Participation in Upcoming Investor Conferences</w:t>
            </w:r>
          </w:p>
        </w:tc>
      </w:tr>
      <w:tr>
        <w:trPr>
          <w:trHeight w:val="648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jc w:val="center"/>
              <w:ind w:left="2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3</w:t>
            </w:r>
          </w:p>
        </w:tc>
        <w:tc>
          <w:tcPr>
            <w:tcW w:w="4140" w:type="dxa"/>
            <w:vAlign w:val="bottom"/>
            <w:tcBorders>
              <w:top w:val="single" w:sz="8" w:color="CCEEFF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Mynaric AG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Stefan Berndt-von Bülow</w:t>
            </w:r>
          </w:p>
        </w:tc>
      </w:tr>
      <w:tr>
        <w:trPr>
          <w:trHeight w:val="195"/>
        </w:trPr>
        <w:tc>
          <w:tcPr>
            <w:tcW w:w="5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Stefan Berndt-von Bülow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Sven Meyer-Brunswick</w:t>
            </w:r>
          </w:p>
        </w:tc>
      </w:tr>
      <w:tr>
        <w:trPr>
          <w:trHeight w:val="195"/>
        </w:trPr>
        <w:tc>
          <w:tcPr>
            <w:tcW w:w="56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Sven Meyer-Brunswick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Authorized Representative</w:t>
            </w: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August 17, 2023</w:t>
      </w:r>
    </w:p>
    <w:p>
      <w:pPr>
        <w:sectPr>
          <w:pgSz w:w="11900" w:h="16838" w:orient="portrait"/>
          <w:cols w:equalWidth="0" w:num="1">
            <w:col w:w="11240"/>
          </w:cols>
          <w:pgMar w:left="320" w:top="675" w:right="339" w:bottom="0" w:gutter="0" w:footer="0" w:header="0"/>
        </w:sectPr>
      </w:pPr>
    </w:p>
    <w:bookmarkStart w:id="1" w:name="page2"/>
    <w:bookmarkEnd w:id="1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51435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41" w:right="1440" w:bottom="1440" w:gutter="0" w:footer="0" w:header="0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Mynaric Announces Management Participation in Upcoming Investor Conferences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56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MUNICH, August 17, 2023 </w:t>
      </w:r>
      <w:r>
        <w:rPr>
          <w:rFonts w:ascii="Arial" w:cs="Arial" w:eastAsia="Arial" w:hAnsi="Arial"/>
          <w:sz w:val="16"/>
          <w:szCs w:val="16"/>
          <w:color w:val="auto"/>
        </w:rPr>
        <w:t>–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Mynaric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(NASDAQ: MYNA)(FRA: M0YN), a leading provider of industrialized, cost-effective and scalable laser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communications products, today announced that management will participate in the following investor conferences during the third quarter of 2023: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Jefferies Industrials Conference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6, 2023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8:30 a.m. EDT / 2:30 p.m. CET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Presenters: Mustafa Veziroglu, CEO, and Stefan Berndt-von Bülow, CFO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Webcast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Gabelli 29th Annual Aerospace &amp; Defense Symposium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7, 2023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2:15 p.m. EDT / 8:15 p.m. CET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Presenters: Mustafa Veziroglu, CEO, and Stefan Berndt-von Bülow, CFO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Registration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Citi 2023 Global Technology Conference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8, 2023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Participants: Mustafa Veziroglu, CEO, Stefan Berndt-von Bülow, CFO, and Tom Dinges, Vice President of Investor Relations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1x1 Meetings Only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Further information regarding the public webcast of these events will be found on the Mynaric Investor Relations website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www.mynaric.com/investor-relations/calendar/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Mynaric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Mynaric (NASDAQ: MYNA)(FRA: M0YN) is leading the industrial revolution of laser communications by producing optical communications terminals for air, space and mobile applications. Laser communication networks provide connectivity from the sky, allowing for ultra-high data rates and secure, long-distance data transmission between moving objects for wireless terrestrial, mobility, airborne- and space-based applications. The company is headquartered in Munich, Germany, with additional locations in Los Angeles, California, and Washington, D.C. For more information,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mynaric.com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sectPr>
      <w:pgSz w:w="11900" w:h="16838" w:orient="portrait"/>
      <w:cols w:equalWidth="0" w:num="1">
        <w:col w:w="11240"/>
      </w:cols>
      <w:pgMar w:left="320" w:top="12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●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●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●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2023-08-17T12:41:04Z</dcterms:created>
  <dcterms:modified xsi:type="dcterms:W3CDTF">2023-08-17T12:41:04Z</dcterms:modified>
</cp:coreProperties>
</file>