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SCHEDULE 13G</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center"/>
        <w:ind w:left="314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(Amendment No.)*</w:t>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Mynaric AG</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(Name of Issuer)</w:t>
      </w:r>
    </w:p>
    <w:p>
      <w:pPr>
        <w:spacing w:after="0" w:line="2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Ordinary Shares, no par value</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62857X101</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(CUSIP Number)</w:t>
      </w:r>
    </w:p>
    <w:p>
      <w:pPr>
        <w:spacing w:after="0" w:line="3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December 31, 2023</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ind w:left="560" w:hanging="552"/>
        <w:spacing w:after="0"/>
        <w:tabs>
          <w:tab w:leader="none" w:pos="5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1200"/>
          </w:cols>
          <w:pgMar w:left="320" w:top="216" w:right="379" w:bottom="1440" w:gutter="0" w:footer="0" w:header="0"/>
        </w:sectPr>
      </w:pPr>
    </w:p>
    <w:p>
      <w:pPr>
        <w:spacing w:after="0" w:line="29" w:lineRule="exact"/>
        <w:rPr>
          <w:sz w:val="24"/>
          <w:szCs w:val="24"/>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193" w:lineRule="exact"/>
        <w:rPr>
          <w:sz w:val="24"/>
          <w:szCs w:val="24"/>
          <w:color w:val="auto"/>
        </w:rPr>
      </w:pPr>
    </w:p>
    <w:p>
      <w:pPr>
        <w:sectPr>
          <w:pgSz w:w="11900" w:h="16838" w:orient="portrait"/>
          <w:cols w:equalWidth="0" w:num="2">
            <w:col w:w="300" w:space="260"/>
            <w:col w:w="10640"/>
          </w:cols>
          <w:pgMar w:left="320" w:top="216" w:right="379" w:bottom="1440" w:gutter="0" w:footer="0" w:header="0"/>
          <w:type w:val="continuous"/>
        </w:sectPr>
      </w:pPr>
    </w:p>
    <w:p>
      <w:pPr>
        <w:ind w:right="40" w:firstLine="8"/>
        <w:spacing w:after="0" w:line="244"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216" w:right="37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309"/>
        </w:trPr>
        <w:tc>
          <w:tcPr>
            <w:tcW w:w="38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CUSIP No. 62857X101</w:t>
            </w:r>
          </w:p>
        </w:tc>
        <w:tc>
          <w:tcPr>
            <w:tcW w:w="370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Schedule 13G</w:t>
            </w:r>
          </w:p>
        </w:tc>
        <w:tc>
          <w:tcPr>
            <w:tcW w:w="3680" w:type="dxa"/>
            <w:vAlign w:val="bottom"/>
            <w:tcBorders>
              <w:top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22"/>
                <w:szCs w:val="22"/>
                <w:color w:val="auto"/>
              </w:rPr>
              <w:t>Page 1 of 5</w:t>
            </w:r>
          </w:p>
        </w:tc>
      </w:tr>
      <w:tr>
        <w:trPr>
          <w:trHeight w:val="42"/>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140" w:hanging="680"/>
        <w:spacing w:after="0"/>
        <w:tabs>
          <w:tab w:leader="none" w:pos="11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Pacific Investment Management Company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Borders>
              <w:top w:val="single" w:sz="8" w:color="auto"/>
            </w:tcBorders>
          </w:tcPr>
          <w:p>
            <w:pPr>
              <w:jc w:val="right"/>
              <w:ind w:right="192"/>
              <w:spacing w:after="0" w:line="229" w:lineRule="exact"/>
              <w:rPr>
                <w:sz w:val="20"/>
                <w:szCs w:val="20"/>
                <w:color w:val="auto"/>
              </w:rPr>
            </w:pPr>
            <w:r>
              <w:rPr>
                <w:rFonts w:ascii="Times New Roman" w:cs="Times New Roman" w:eastAsia="Times New Roman" w:hAnsi="Times New Roman"/>
                <w:sz w:val="22"/>
                <w:szCs w:val="22"/>
                <w:color w:val="auto"/>
              </w:rPr>
              <w:t>2</w:t>
            </w:r>
          </w:p>
        </w:tc>
        <w:tc>
          <w:tcPr>
            <w:tcW w:w="7020" w:type="dxa"/>
            <w:vAlign w:val="bottom"/>
            <w:tcBorders>
              <w:top w:val="single" w:sz="8" w:color="auto"/>
            </w:tcBorders>
          </w:tcPr>
          <w:p>
            <w:pPr>
              <w:ind w:left="280"/>
              <w:spacing w:after="0" w:line="229"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3360" w:type="dxa"/>
            <w:vAlign w:val="bottom"/>
            <w:tcBorders>
              <w:top w:val="single" w:sz="8" w:color="auto"/>
            </w:tcBorders>
          </w:tcPr>
          <w:p>
            <w:pPr>
              <w:ind w:left="2240"/>
              <w:spacing w:after="0" w:line="229" w:lineRule="exact"/>
              <w:rPr>
                <w:sz w:val="20"/>
                <w:szCs w:val="20"/>
                <w:color w:val="auto"/>
              </w:rPr>
            </w:pPr>
            <w:r>
              <w:rPr>
                <w:rFonts w:ascii="Times New Roman" w:cs="Times New Roman" w:eastAsia="Times New Roman" w:hAnsi="Times New Roman"/>
                <w:sz w:val="22"/>
                <w:szCs w:val="22"/>
                <w:color w:val="auto"/>
              </w:rPr>
              <w:t xml:space="preserve">(a) [   ]    </w:t>
            </w:r>
          </w:p>
        </w:tc>
      </w:tr>
      <w:tr>
        <w:trPr>
          <w:trHeight w:val="282"/>
        </w:trPr>
        <w:tc>
          <w:tcPr>
            <w:tcW w:w="8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36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(b) [X]</w:t>
            </w:r>
          </w:p>
        </w:tc>
      </w:tr>
    </w:tbl>
    <w:p>
      <w:pPr>
        <w:spacing w:after="0" w:line="163" w:lineRule="exact"/>
        <w:rPr>
          <w:sz w:val="20"/>
          <w:szCs w:val="20"/>
          <w:color w:val="auto"/>
        </w:rPr>
      </w:pPr>
    </w:p>
    <w:p>
      <w:pPr>
        <w:ind w:left="1140" w:hanging="680"/>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140" w:hanging="680"/>
        <w:spacing w:after="0"/>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 or Place of Organization</w:t>
      </w:r>
    </w:p>
    <w:p>
      <w:pPr>
        <w:spacing w:after="0" w:line="202"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Delaware</w:t>
      </w:r>
    </w:p>
    <w:p>
      <w:pPr>
        <w:spacing w:after="0" w:line="196" w:lineRule="exact"/>
        <w:rPr>
          <w:rFonts w:ascii="Times New Roman" w:cs="Times New Roman" w:eastAsia="Times New Roman" w:hAnsi="Times New Roman"/>
          <w:sz w:val="22"/>
          <w:szCs w:val="22"/>
          <w:color w:val="auto"/>
        </w:rPr>
      </w:pPr>
    </w:p>
    <w:p>
      <w:pPr>
        <w:ind w:left="2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1"/>
          <w:szCs w:val="2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80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  565,224</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52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3"/>
                <w:szCs w:val="23"/>
                <w:color w:val="auto"/>
              </w:rPr>
            </w:pP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w:t>
            </w:r>
          </w:p>
        </w:tc>
        <w:tc>
          <w:tcPr>
            <w:tcW w:w="85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560" w:type="dxa"/>
            <w:vAlign w:val="bottom"/>
          </w:tcPr>
          <w:p>
            <w:pPr>
              <w:spacing w:after="0"/>
              <w:rPr>
                <w:sz w:val="22"/>
                <w:szCs w:val="22"/>
                <w:color w:val="auto"/>
              </w:rPr>
            </w:pP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806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         0</w:t>
            </w:r>
          </w:p>
        </w:tc>
        <w:tc>
          <w:tcPr>
            <w:tcW w:w="0" w:type="dxa"/>
            <w:vAlign w:val="bottom"/>
          </w:tcPr>
          <w:p>
            <w:pPr>
              <w:spacing w:after="0"/>
              <w:rPr>
                <w:sz w:val="1"/>
                <w:szCs w:val="1"/>
                <w:color w:val="auto"/>
              </w:rPr>
            </w:pPr>
          </w:p>
        </w:tc>
      </w:tr>
      <w:tr>
        <w:trPr>
          <w:trHeight w:val="174"/>
        </w:trPr>
        <w:tc>
          <w:tcPr>
            <w:tcW w:w="21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 Owned by</w:t>
            </w:r>
          </w:p>
        </w:tc>
        <w:tc>
          <w:tcPr>
            <w:tcW w:w="5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1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 Reporting Person</w:t>
            </w: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60" w:type="dxa"/>
            <w:vAlign w:val="bottom"/>
            <w:vMerge w:val="continue"/>
          </w:tcPr>
          <w:p>
            <w:pPr>
              <w:spacing w:after="0"/>
              <w:rPr>
                <w:sz w:val="9"/>
                <w:szCs w:val="9"/>
                <w:color w:val="auto"/>
              </w:rPr>
            </w:pPr>
          </w:p>
        </w:tc>
        <w:tc>
          <w:tcPr>
            <w:tcW w:w="56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7</w:t>
            </w:r>
          </w:p>
        </w:tc>
        <w:tc>
          <w:tcPr>
            <w:tcW w:w="8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61"/>
        </w:trPr>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560" w:type="dxa"/>
            <w:vAlign w:val="bottom"/>
            <w:vMerge w:val="continue"/>
          </w:tcPr>
          <w:p>
            <w:pPr>
              <w:spacing w:after="0"/>
              <w:rPr>
                <w:sz w:val="14"/>
                <w:szCs w:val="14"/>
                <w:color w:val="auto"/>
              </w:rPr>
            </w:pPr>
          </w:p>
        </w:tc>
        <w:tc>
          <w:tcPr>
            <w:tcW w:w="8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80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  565,224</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52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3"/>
                <w:szCs w:val="23"/>
                <w:color w:val="auto"/>
              </w:rPr>
            </w:pP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w:t>
            </w:r>
          </w:p>
        </w:tc>
        <w:tc>
          <w:tcPr>
            <w:tcW w:w="85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80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           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140" w:hanging="680"/>
        <w:spacing w:after="0"/>
        <w:tabs>
          <w:tab w:leader="none" w:pos="11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     565,224</w:t>
      </w:r>
    </w:p>
    <w:p>
      <w:pPr>
        <w:spacing w:after="0" w:line="197" w:lineRule="exact"/>
        <w:rPr>
          <w:sz w:val="20"/>
          <w:szCs w:val="20"/>
          <w:color w:val="auto"/>
        </w:rPr>
      </w:pPr>
    </w:p>
    <w:p>
      <w:pPr>
        <w:ind w:left="1140" w:hanging="734"/>
        <w:spacing w:after="0"/>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w:t>
      </w:r>
    </w:p>
    <w:p>
      <w:pPr>
        <w:spacing w:after="0" w:line="202" w:lineRule="exact"/>
        <w:rPr>
          <w:rFonts w:ascii="Times New Roman" w:cs="Times New Roman" w:eastAsia="Times New Roman" w:hAnsi="Times New Roman"/>
          <w:sz w:val="22"/>
          <w:szCs w:val="22"/>
          <w:color w:val="auto"/>
        </w:rPr>
      </w:pPr>
    </w:p>
    <w:p>
      <w:pPr>
        <w:ind w:left="1360" w:hanging="218"/>
        <w:spacing w:after="0"/>
        <w:tabs>
          <w:tab w:leader="none" w:pos="1360"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Not Applicable</w:t>
      </w:r>
    </w:p>
    <w:p>
      <w:pPr>
        <w:spacing w:after="0" w:line="208" w:lineRule="exact"/>
        <w:rPr>
          <w:rFonts w:ascii="Times New Roman" w:cs="Times New Roman" w:eastAsia="Times New Roman" w:hAnsi="Times New Roman"/>
          <w:sz w:val="21"/>
          <w:szCs w:val="21"/>
          <w:b w:val="1"/>
          <w:bCs w:val="1"/>
          <w:color w:val="auto"/>
        </w:rPr>
      </w:pPr>
    </w:p>
    <w:p>
      <w:pPr>
        <w:ind w:left="1140" w:hanging="730"/>
        <w:spacing w:after="0"/>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a Class Represented by Amount in Row</w:t>
      </w:r>
    </w:p>
    <w:p>
      <w:pPr>
        <w:spacing w:after="0" w:line="202" w:lineRule="exact"/>
        <w:rPr>
          <w:rFonts w:ascii="Times New Roman" w:cs="Times New Roman" w:eastAsia="Times New Roman" w:hAnsi="Times New Roman"/>
          <w:sz w:val="22"/>
          <w:szCs w:val="22"/>
          <w:color w:val="auto"/>
        </w:rPr>
      </w:pPr>
    </w:p>
    <w:p>
      <w:pPr>
        <w:ind w:left="1360" w:hanging="218"/>
        <w:spacing w:after="0"/>
        <w:tabs>
          <w:tab w:leader="none" w:pos="136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9.1%</w:t>
      </w:r>
    </w:p>
    <w:p>
      <w:pPr>
        <w:spacing w:after="0" w:line="208" w:lineRule="exact"/>
        <w:rPr>
          <w:rFonts w:ascii="Times New Roman" w:cs="Times New Roman" w:eastAsia="Times New Roman" w:hAnsi="Times New Roman"/>
          <w:sz w:val="21"/>
          <w:szCs w:val="21"/>
          <w:color w:val="auto"/>
        </w:rPr>
      </w:pPr>
    </w:p>
    <w:p>
      <w:pPr>
        <w:ind w:left="1140" w:hanging="734"/>
        <w:spacing w:after="0"/>
        <w:tabs>
          <w:tab w:leader="none" w:pos="11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w:t>
      </w:r>
    </w:p>
    <w:p>
      <w:pPr>
        <w:spacing w:after="0" w:line="202" w:lineRule="exact"/>
        <w:rPr>
          <w:rFonts w:ascii="Times New Roman" w:cs="Times New Roman" w:eastAsia="Times New Roman" w:hAnsi="Times New Roman"/>
          <w:sz w:val="22"/>
          <w:szCs w:val="22"/>
          <w:color w:val="auto"/>
        </w:rPr>
      </w:pPr>
    </w:p>
    <w:p>
      <w:pPr>
        <w:ind w:left="1360" w:hanging="218"/>
        <w:spacing w:after="0"/>
        <w:tabs>
          <w:tab w:leader="none" w:pos="1360"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-1007110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-1581785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09"/>
        </w:trPr>
        <w:tc>
          <w:tcPr>
            <w:tcW w:w="3820" w:type="dxa"/>
            <w:vAlign w:val="bottom"/>
            <w:tcBorders>
              <w:top w:val="single" w:sz="8" w:color="auto"/>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CUSIP No. 64ESC1997</w:t>
            </w:r>
          </w:p>
        </w:tc>
        <w:tc>
          <w:tcPr>
            <w:tcW w:w="1040" w:type="dxa"/>
            <w:vAlign w:val="bottom"/>
            <w:tcBorders>
              <w:top w:val="single" w:sz="8" w:color="auto"/>
            </w:tcBorders>
          </w:tcPr>
          <w:p>
            <w:pPr>
              <w:spacing w:after="0"/>
              <w:rPr>
                <w:sz w:val="24"/>
                <w:szCs w:val="24"/>
                <w:color w:val="auto"/>
              </w:rPr>
            </w:pPr>
          </w:p>
        </w:tc>
        <w:tc>
          <w:tcPr>
            <w:tcW w:w="266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Schedule 13G</w:t>
            </w:r>
          </w:p>
        </w:tc>
        <w:tc>
          <w:tcPr>
            <w:tcW w:w="3680" w:type="dxa"/>
            <w:vAlign w:val="bottom"/>
            <w:tcBorders>
              <w:top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22"/>
                <w:szCs w:val="22"/>
                <w:color w:val="auto"/>
              </w:rPr>
              <w:t>Page 2 of 5</w:t>
            </w:r>
          </w:p>
        </w:tc>
      </w:tr>
      <w:tr>
        <w:trPr>
          <w:trHeight w:val="42"/>
        </w:trPr>
        <w:tc>
          <w:tcPr>
            <w:tcW w:w="1020" w:type="dxa"/>
            <w:vAlign w:val="bottom"/>
            <w:tcBorders>
              <w:left w:val="single" w:sz="8" w:color="auto"/>
              <w:bottom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397"/>
        </w:trPr>
        <w:tc>
          <w:tcPr>
            <w:tcW w:w="1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w:t>
            </w:r>
          </w:p>
        </w:tc>
        <w:tc>
          <w:tcPr>
            <w:tcW w:w="384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(a)   Name of Issuer:</w:t>
            </w:r>
          </w:p>
        </w:tc>
        <w:tc>
          <w:tcPr>
            <w:tcW w:w="2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3840" w:type="dxa"/>
            <w:vAlign w:val="bottom"/>
            <w:gridSpan w:val="2"/>
          </w:tcPr>
          <w:p>
            <w:pPr>
              <w:ind w:left="1240"/>
              <w:spacing w:after="0"/>
              <w:rPr>
                <w:sz w:val="20"/>
                <w:szCs w:val="20"/>
                <w:color w:val="auto"/>
              </w:rPr>
            </w:pPr>
            <w:r>
              <w:rPr>
                <w:rFonts w:ascii="Times New Roman" w:cs="Times New Roman" w:eastAsia="Times New Roman" w:hAnsi="Times New Roman"/>
                <w:sz w:val="22"/>
                <w:szCs w:val="22"/>
                <w:color w:val="auto"/>
              </w:rPr>
              <w:t>Mynaric AG (the “Issuer”).</w:t>
            </w:r>
          </w:p>
        </w:tc>
        <w:tc>
          <w:tcPr>
            <w:tcW w:w="266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ind w:left="2260" w:right="5040" w:hanging="2252"/>
        <w:spacing w:after="0" w:line="469" w:lineRule="auto"/>
        <w:tabs>
          <w:tab w:leader="none" w:pos="1242"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   Address of Issuer’s Principal Executive Offices: </w:t>
      </w:r>
      <w:r>
        <w:rPr>
          <w:rFonts w:ascii="Times New Roman" w:cs="Times New Roman" w:eastAsia="Times New Roman" w:hAnsi="Times New Roman"/>
          <w:sz w:val="21"/>
          <w:szCs w:val="21"/>
          <w:color w:val="auto"/>
        </w:rPr>
        <w:t>Dornierstrasse 19, 82205 Gilching, Germany</w:t>
      </w:r>
    </w:p>
    <w:p>
      <w:pPr>
        <w:spacing w:after="0" w:line="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2"/>
          <w:szCs w:val="22"/>
          <w:b w:val="1"/>
          <w:bCs w:val="1"/>
          <w:color w:val="auto"/>
        </w:rPr>
        <w:t>(a)   Name of Person Filing:</w:t>
      </w: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Pacific Investment Management Company LLC (“PIMCO”).</w:t>
      </w:r>
    </w:p>
    <w:p>
      <w:pPr>
        <w:spacing w:after="0" w:line="229" w:lineRule="exact"/>
        <w:rPr>
          <w:sz w:val="20"/>
          <w:szCs w:val="20"/>
          <w:color w:val="auto"/>
        </w:rPr>
      </w:pPr>
    </w:p>
    <w:p>
      <w:pPr>
        <w:ind w:left="1240" w:hanging="1232"/>
        <w:spacing w:after="0"/>
        <w:tabs>
          <w:tab w:leader="none" w:pos="12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   Address or Principal Business Office:</w:t>
      </w: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650 Newport Center Drive, Newport Beach, CA 92660</w:t>
      </w:r>
    </w:p>
    <w:p>
      <w:pPr>
        <w:spacing w:after="0" w:line="229" w:lineRule="exact"/>
        <w:rPr>
          <w:sz w:val="20"/>
          <w:szCs w:val="20"/>
          <w:color w:val="auto"/>
        </w:rPr>
      </w:pPr>
    </w:p>
    <w:p>
      <w:pPr>
        <w:ind w:left="1240" w:hanging="1232"/>
        <w:spacing w:after="0"/>
        <w:tabs>
          <w:tab w:leader="none" w:pos="124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   Citizenship:</w:t>
      </w: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PIMCO is organized under the laws of the state of Delaware.</w:t>
      </w:r>
    </w:p>
    <w:p>
      <w:pPr>
        <w:spacing w:after="0" w:line="229" w:lineRule="exact"/>
        <w:rPr>
          <w:sz w:val="20"/>
          <w:szCs w:val="20"/>
          <w:color w:val="auto"/>
        </w:rPr>
      </w:pPr>
    </w:p>
    <w:p>
      <w:pPr>
        <w:ind w:left="1240" w:hanging="1232"/>
        <w:spacing w:after="0"/>
        <w:tabs>
          <w:tab w:leader="none" w:pos="12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   Title of Class of Securities:</w:t>
      </w: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Ordinary Shares, no par value (the “Ordinary Shares”).</w:t>
      </w:r>
    </w:p>
    <w:p>
      <w:pPr>
        <w:spacing w:after="0" w:line="229" w:lineRule="exact"/>
        <w:rPr>
          <w:sz w:val="20"/>
          <w:szCs w:val="20"/>
          <w:color w:val="auto"/>
        </w:rPr>
      </w:pPr>
    </w:p>
    <w:p>
      <w:pPr>
        <w:jc w:val="right"/>
        <w:ind w:left="2260" w:right="7900" w:hanging="2252"/>
        <w:spacing w:after="0" w:line="469" w:lineRule="auto"/>
        <w:tabs>
          <w:tab w:leader="none" w:pos="1242"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   CUSIP Number: </w:t>
      </w:r>
      <w:r>
        <w:rPr>
          <w:rFonts w:ascii="Times New Roman" w:cs="Times New Roman" w:eastAsia="Times New Roman" w:hAnsi="Times New Roman"/>
          <w:sz w:val="21"/>
          <w:szCs w:val="21"/>
          <w:color w:val="auto"/>
        </w:rPr>
        <w:t>62857X101</w:t>
      </w:r>
    </w:p>
    <w:p>
      <w:pPr>
        <w:spacing w:after="0" w:line="1" w:lineRule="exact"/>
        <w:rPr>
          <w:sz w:val="20"/>
          <w:szCs w:val="20"/>
          <w:color w:val="auto"/>
        </w:rPr>
      </w:pPr>
    </w:p>
    <w:p>
      <w:pPr>
        <w:ind w:left="1000" w:right="120" w:hanging="999"/>
        <w:spacing w:after="0" w:line="262" w:lineRule="auto"/>
        <w:tabs>
          <w:tab w:leader="none" w:pos="980" w:val="left"/>
        </w:tabs>
        <w:rPr>
          <w:sz w:val="20"/>
          <w:szCs w:val="20"/>
          <w:color w:val="auto"/>
        </w:rPr>
      </w:pPr>
      <w:r>
        <w:rPr>
          <w:rFonts w:ascii="Times New Roman" w:cs="Times New Roman" w:eastAsia="Times New Roman" w:hAnsi="Times New Roman"/>
          <w:sz w:val="22"/>
          <w:szCs w:val="22"/>
          <w:b w:val="1"/>
          <w:bCs w:val="1"/>
          <w:color w:val="auto"/>
        </w:rPr>
        <w:t>ITEM 3.</w:t>
        <w:tab/>
        <w:t>If this statement is filed pursuant to §§ 240.13d-1(b), or 240.13d-2(b) or (c), check whether the person filing is a:</w:t>
      </w:r>
    </w:p>
    <w:p>
      <w:pPr>
        <w:spacing w:after="0" w:line="149"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3" w:lineRule="exact"/>
        <w:rPr>
          <w:sz w:val="20"/>
          <w:szCs w:val="20"/>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5"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2000" w:right="680" w:hanging="696"/>
        <w:spacing w:after="0" w:line="215" w:lineRule="exact"/>
        <w:tabs>
          <w:tab w:leader="none" w:pos="1676"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680" w:hanging="376"/>
        <w:spacing w:after="0" w:line="207" w:lineRule="exact"/>
        <w:tabs>
          <w:tab w:leader="none" w:pos="168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05" w:lineRule="exact"/>
        <w:rPr>
          <w:sz w:val="20"/>
          <w:szCs w:val="20"/>
          <w:color w:val="auto"/>
        </w:rPr>
      </w:pPr>
    </w:p>
    <w:p>
      <w:pPr>
        <w:ind w:left="1300"/>
        <w:spacing w:after="0"/>
        <w:tabs>
          <w:tab w:leader="none" w:pos="9760" w:val="left"/>
          <w:tab w:leader="none" w:pos="9940" w:val="left"/>
          <w:tab w:leader="none" w:pos="10120" w:val="left"/>
        </w:tabs>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w:t>
        <w:tab/>
        <w:t> </w:t>
        <w:tab/>
        <w:t> </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6099175</wp:posOffset>
            </wp:positionH>
            <wp:positionV relativeFrom="paragraph">
              <wp:posOffset>-7620</wp:posOffset>
            </wp:positionV>
            <wp:extent cx="457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1180"/>
          </w:cols>
          <w:pgMar w:left="320" w:top="268" w:right="3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9"/>
        </w:trPr>
        <w:tc>
          <w:tcPr>
            <w:tcW w:w="3820" w:type="dxa"/>
            <w:vAlign w:val="bottom"/>
            <w:tcBorders>
              <w:top w:val="single" w:sz="8" w:color="auto"/>
              <w:left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22"/>
                <w:szCs w:val="22"/>
                <w:color w:val="auto"/>
              </w:rPr>
              <w:t>CUSIP No. 64ESC1997</w:t>
            </w:r>
          </w:p>
        </w:tc>
        <w:tc>
          <w:tcPr>
            <w:tcW w:w="370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Schedule 13G</w:t>
            </w:r>
          </w:p>
        </w:tc>
        <w:tc>
          <w:tcPr>
            <w:tcW w:w="3680" w:type="dxa"/>
            <w:vAlign w:val="bottom"/>
            <w:tcBorders>
              <w:top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22"/>
                <w:szCs w:val="22"/>
                <w:color w:val="auto"/>
              </w:rPr>
              <w:t>Page 3 of 5</w:t>
            </w:r>
          </w:p>
        </w:tc>
      </w:tr>
      <w:tr>
        <w:trPr>
          <w:trHeight w:val="42"/>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2"/>
          <w:szCs w:val="22"/>
          <w:b w:val="1"/>
          <w:bCs w:val="1"/>
          <w:color w:val="auto"/>
        </w:rPr>
        <w:t>Ownership.</w:t>
      </w:r>
    </w:p>
    <w:p>
      <w:pPr>
        <w:spacing w:after="0" w:line="210" w:lineRule="exact"/>
        <w:rPr>
          <w:sz w:val="20"/>
          <w:szCs w:val="20"/>
          <w:color w:val="auto"/>
        </w:rPr>
      </w:pPr>
    </w:p>
    <w:p>
      <w:pPr>
        <w:jc w:val="both"/>
        <w:ind w:right="140" w:firstLine="1235"/>
        <w:spacing w:after="0" w:line="258" w:lineRule="auto"/>
        <w:rPr>
          <w:sz w:val="20"/>
          <w:szCs w:val="20"/>
          <w:color w:val="auto"/>
        </w:rPr>
      </w:pPr>
      <w:r>
        <w:rPr>
          <w:rFonts w:ascii="Times New Roman" w:cs="Times New Roman" w:eastAsia="Times New Roman" w:hAnsi="Times New Roman"/>
          <w:sz w:val="22"/>
          <w:szCs w:val="22"/>
          <w:color w:val="auto"/>
        </w:rPr>
        <w:t>The ownership information below represents beneficial ownership of Ordinary Shares as of the date hereof, based upon 6,233,615 Ordinary Shares outstanding as provided by the Issuer.</w:t>
      </w:r>
    </w:p>
    <w:p>
      <w:pPr>
        <w:spacing w:after="0" w:line="181" w:lineRule="exact"/>
        <w:rPr>
          <w:sz w:val="20"/>
          <w:szCs w:val="20"/>
          <w:color w:val="auto"/>
        </w:rPr>
      </w:pPr>
    </w:p>
    <w:p>
      <w:pPr>
        <w:ind w:left="1800" w:right="6940" w:hanging="1792"/>
        <w:spacing w:after="0" w:line="448" w:lineRule="auto"/>
        <w:tabs>
          <w:tab w:leader="none" w:pos="1231"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  Amount beneficially owned: </w:t>
      </w:r>
      <w:r>
        <w:rPr>
          <w:rFonts w:ascii="Times New Roman" w:cs="Times New Roman" w:eastAsia="Times New Roman" w:hAnsi="Times New Roman"/>
          <w:sz w:val="22"/>
          <w:szCs w:val="22"/>
          <w:color w:val="auto"/>
        </w:rPr>
        <w:t>565,224</w:t>
      </w:r>
    </w:p>
    <w:p>
      <w:pPr>
        <w:ind w:left="1240" w:hanging="1232"/>
        <w:spacing w:after="0"/>
        <w:tabs>
          <w:tab w:leader="none" w:pos="12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   Percent of Class:</w:t>
      </w:r>
    </w:p>
    <w:p>
      <w:pPr>
        <w:spacing w:after="0" w:line="2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9.1%</w:t>
      </w:r>
    </w:p>
    <w:p>
      <w:pPr>
        <w:spacing w:after="0" w:line="229" w:lineRule="exact"/>
        <w:rPr>
          <w:sz w:val="20"/>
          <w:szCs w:val="20"/>
          <w:color w:val="auto"/>
        </w:rPr>
      </w:pPr>
    </w:p>
    <w:p>
      <w:pPr>
        <w:ind w:left="1240" w:hanging="1232"/>
        <w:spacing w:after="0"/>
        <w:tabs>
          <w:tab w:leader="none" w:pos="124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   Number of shares as to which such person has:</w:t>
      </w:r>
    </w:p>
    <w:p>
      <w:pPr>
        <w:spacing w:after="0" w:line="237" w:lineRule="exact"/>
        <w:rPr>
          <w:rFonts w:ascii="Times New Roman" w:cs="Times New Roman" w:eastAsia="Times New Roman" w:hAnsi="Times New Roman"/>
          <w:sz w:val="22"/>
          <w:szCs w:val="22"/>
          <w:b w:val="1"/>
          <w:bCs w:val="1"/>
          <w:color w:val="auto"/>
        </w:rPr>
      </w:pPr>
    </w:p>
    <w:p>
      <w:pPr>
        <w:ind w:left="2360" w:hanging="557"/>
        <w:spacing w:after="0"/>
        <w:tabs>
          <w:tab w:leader="none" w:pos="23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565,224</w:t>
      </w:r>
    </w:p>
    <w:p>
      <w:pPr>
        <w:spacing w:after="0" w:line="14" w:lineRule="exact"/>
        <w:rPr>
          <w:rFonts w:ascii="Times New Roman" w:cs="Times New Roman" w:eastAsia="Times New Roman" w:hAnsi="Times New Roman"/>
          <w:sz w:val="22"/>
          <w:szCs w:val="22"/>
          <w:color w:val="auto"/>
        </w:rPr>
      </w:pPr>
    </w:p>
    <w:p>
      <w:pPr>
        <w:ind w:left="2360" w:hanging="557"/>
        <w:spacing w:after="0" w:line="230" w:lineRule="auto"/>
        <w:tabs>
          <w:tab w:leader="none" w:pos="23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ind w:left="2360" w:hanging="557"/>
        <w:spacing w:after="0" w:line="230" w:lineRule="auto"/>
        <w:tabs>
          <w:tab w:leader="none" w:pos="23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565,224</w:t>
      </w:r>
    </w:p>
    <w:p>
      <w:pPr>
        <w:ind w:left="2360" w:hanging="557"/>
        <w:spacing w:after="0"/>
        <w:tabs>
          <w:tab w:leader="none" w:pos="23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182" w:lineRule="exact"/>
        <w:rPr>
          <w:sz w:val="20"/>
          <w:szCs w:val="20"/>
          <w:color w:val="auto"/>
        </w:rPr>
      </w:pPr>
    </w:p>
    <w:p>
      <w:pPr>
        <w:ind w:firstLine="1235"/>
        <w:spacing w:after="0" w:line="235" w:lineRule="auto"/>
        <w:rPr>
          <w:sz w:val="20"/>
          <w:szCs w:val="20"/>
          <w:color w:val="auto"/>
        </w:rPr>
      </w:pPr>
      <w:r>
        <w:rPr>
          <w:rFonts w:ascii="Times New Roman" w:cs="Times New Roman" w:eastAsia="Times New Roman" w:hAnsi="Times New Roman"/>
          <w:sz w:val="22"/>
          <w:szCs w:val="22"/>
          <w:color w:val="auto"/>
        </w:rPr>
        <w:t>The securities reported in this Schedule 13G are held by investment advisory clients or discretionary accounts of which PIMCO is the investment manager. When an investment management contract (including a sub-advisory agreement) delegates to PIMCO investment discretion or voting power over the securities held in the investment advisory accounts that are subject to that agreement, PIMCO considers the agreement to grant it sole investment discretion or voting authority, as the case may be, unless the agreement specifies otherwise. Accordingly, PIMCO reports on Schedule 13G that it has sole investment discretion and voting authority over the securities covered by any such investment management agreement and may be deemed to beneficially own the securities held by its clients or accounts within the meaning of rule 13d-3 under the Act.</w:t>
      </w:r>
    </w:p>
    <w:p>
      <w:pPr>
        <w:spacing w:after="0" w:line="183" w:lineRule="exact"/>
        <w:rPr>
          <w:sz w:val="20"/>
          <w:szCs w:val="20"/>
          <w:color w:val="auto"/>
        </w:rPr>
      </w:pPr>
    </w:p>
    <w:p>
      <w:pPr>
        <w:ind w:right="80" w:firstLine="1235"/>
        <w:spacing w:after="0" w:line="239" w:lineRule="auto"/>
        <w:rPr>
          <w:sz w:val="20"/>
          <w:szCs w:val="20"/>
          <w:color w:val="auto"/>
        </w:rPr>
      </w:pPr>
      <w:r>
        <w:rPr>
          <w:rFonts w:ascii="Times New Roman" w:cs="Times New Roman" w:eastAsia="Times New Roman" w:hAnsi="Times New Roman"/>
          <w:sz w:val="22"/>
          <w:szCs w:val="22"/>
          <w:color w:val="auto"/>
        </w:rPr>
        <w:t>In accordance with SEC Release No. 34-39538 (January 12, 1998), this Schedule 13G reports the securities beneficially owned or deemed to be beneficially owned by PIMCO. It does not include securities, if any, beneficially owned by PIMCO’s affiliates, whose ownership of securities is disaggregated from that of PIMCO in accordance with that release. PIMCO also disclaims beneficial ownership of these securities except to the extent of its pecuniary interest therein.</w:t>
      </w:r>
    </w:p>
    <w:p>
      <w:pPr>
        <w:spacing w:after="0" w:line="20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2"/>
          <w:szCs w:val="22"/>
          <w:b w:val="1"/>
          <w:bCs w:val="1"/>
          <w:color w:val="auto"/>
        </w:rPr>
        <w:t>Ownership of Five Percent or Less of a Class.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20"/>
          </w:cols>
          <w:pgMar w:left="320" w:top="268" w:right="3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9"/>
        </w:trPr>
        <w:tc>
          <w:tcPr>
            <w:tcW w:w="86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CUSIP No. 64ESC1997</w:t>
            </w:r>
          </w:p>
        </w:tc>
        <w:tc>
          <w:tcPr>
            <w:tcW w:w="370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Schedule 13G</w:t>
            </w:r>
          </w:p>
        </w:tc>
        <w:tc>
          <w:tcPr>
            <w:tcW w:w="3680" w:type="dxa"/>
            <w:vAlign w:val="bottom"/>
            <w:tcBorders>
              <w:top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22"/>
                <w:szCs w:val="22"/>
                <w:color w:val="auto"/>
              </w:rPr>
              <w:t>Page 4 of 5</w:t>
            </w:r>
          </w:p>
        </w:tc>
      </w:tr>
      <w:tr>
        <w:trPr>
          <w:trHeight w:val="42"/>
        </w:trPr>
        <w:tc>
          <w:tcPr>
            <w:tcW w:w="860" w:type="dxa"/>
            <w:vAlign w:val="bottom"/>
            <w:tcBorders>
              <w:left w:val="single" w:sz="8" w:color="auto"/>
              <w:bottom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397"/>
        </w:trPr>
        <w:tc>
          <w:tcPr>
            <w:tcW w:w="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6660" w:type="dxa"/>
            <w:vAlign w:val="bottom"/>
            <w:gridSpan w:val="2"/>
          </w:tcPr>
          <w:p>
            <w:pPr>
              <w:ind w:left="380"/>
              <w:spacing w:after="0"/>
              <w:rPr>
                <w:sz w:val="20"/>
                <w:szCs w:val="20"/>
                <w:color w:val="auto"/>
              </w:rPr>
            </w:pPr>
            <w:r>
              <w:rPr>
                <w:rFonts w:ascii="Times New Roman" w:cs="Times New Roman" w:eastAsia="Times New Roman" w:hAnsi="Times New Roman"/>
                <w:sz w:val="22"/>
                <w:szCs w:val="22"/>
                <w:b w:val="1"/>
                <w:bCs w:val="1"/>
                <w:color w:val="auto"/>
                <w:w w:val="98"/>
              </w:rPr>
              <w:t>Ownership of More than Five Percent on Behalf of Another Person.</w:t>
            </w:r>
          </w:p>
        </w:tc>
        <w:tc>
          <w:tcPr>
            <w:tcW w:w="368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firstLine="1235"/>
        <w:spacing w:after="0" w:line="238" w:lineRule="auto"/>
        <w:rPr>
          <w:sz w:val="20"/>
          <w:szCs w:val="20"/>
          <w:color w:val="auto"/>
        </w:rPr>
      </w:pPr>
      <w:r>
        <w:rPr>
          <w:rFonts w:ascii="Times New Roman" w:cs="Times New Roman" w:eastAsia="Times New Roman" w:hAnsi="Times New Roman"/>
          <w:sz w:val="22"/>
          <w:szCs w:val="22"/>
          <w:color w:val="auto"/>
        </w:rPr>
        <w:t>COF IV Obsidian S.à r.l., a private investment vehicle for which PIMCO is the investment manager, has an interest in 401,309 of the Ordinary Shares reported herein, which represents 6.4% of the class, and holds such securities for the benefit of its investors. COF IV Obsidian S.à r.l. holds these securities in its investment advisory account managed by PIMCO and has the right to receive or the power to direct the receipt of dividends from, or the proceeds from the sale of the securities reported herein.</w:t>
      </w:r>
    </w:p>
    <w:p>
      <w:pPr>
        <w:sectPr>
          <w:pgSz w:w="11900" w:h="16838" w:orient="portrait"/>
          <w:cols w:equalWidth="0" w:num="1">
            <w:col w:w="11200"/>
          </w:cols>
          <w:pgMar w:left="320" w:top="268" w:right="37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154" w:lineRule="exact"/>
        <w:rPr>
          <w:sz w:val="20"/>
          <w:szCs w:val="20"/>
          <w:color w:val="auto"/>
        </w:rPr>
      </w:pPr>
    </w:p>
    <w:p>
      <w:pPr>
        <w:sectPr>
          <w:pgSz w:w="11900" w:h="16838" w:orient="portrait"/>
          <w:cols w:equalWidth="0" w:num="2">
            <w:col w:w="780" w:space="460"/>
            <w:col w:w="9960"/>
          </w:cols>
          <w:pgMar w:left="320" w:top="268" w:right="37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00"/>
          </w:cols>
          <w:pgMar w:left="320" w:top="268" w:right="37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780" w:space="460"/>
            <w:col w:w="9960"/>
          </w:cols>
          <w:pgMar w:left="320" w:top="268" w:right="379" w:bottom="1440" w:gutter="0" w:footer="0" w:header="0"/>
          <w:type w:val="continuous"/>
        </w:sectPr>
      </w:pPr>
    </w:p>
    <w:p>
      <w:pPr>
        <w:spacing w:after="0" w:line="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00"/>
          </w:cols>
          <w:pgMar w:left="320" w:top="268" w:right="37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780" w:space="460"/>
            <w:col w:w="9960"/>
          </w:cols>
          <w:pgMar w:left="320" w:top="268" w:right="379" w:bottom="1440" w:gutter="0" w:footer="0" w:header="0"/>
          <w:type w:val="continuous"/>
        </w:sectPr>
      </w:pPr>
    </w:p>
    <w:p>
      <w:pPr>
        <w:spacing w:after="0" w:line="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00"/>
          </w:cols>
          <w:pgMar w:left="320" w:top="268" w:right="37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00" w:lineRule="exact"/>
        <w:rPr>
          <w:sz w:val="20"/>
          <w:szCs w:val="20"/>
          <w:color w:val="auto"/>
        </w:rPr>
      </w:pPr>
    </w:p>
    <w:p>
      <w:pPr>
        <w:sectPr>
          <w:pgSz w:w="11900" w:h="16838" w:orient="portrait"/>
          <w:cols w:equalWidth="0" w:num="2">
            <w:col w:w="900" w:space="340"/>
            <w:col w:w="9960"/>
          </w:cols>
          <w:pgMar w:left="320" w:top="268" w:right="379" w:bottom="1440" w:gutter="0" w:footer="0" w:header="0"/>
          <w:type w:val="continuous"/>
        </w:sectPr>
      </w:pPr>
    </w:p>
    <w:p>
      <w:pPr>
        <w:spacing w:after="0" w:line="22" w:lineRule="exact"/>
        <w:rPr>
          <w:sz w:val="20"/>
          <w:szCs w:val="20"/>
          <w:color w:val="auto"/>
        </w:rPr>
      </w:pPr>
    </w:p>
    <w:p>
      <w:pPr>
        <w:ind w:right="200" w:firstLine="1235"/>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200"/>
          </w:cols>
          <w:pgMar w:left="320" w:top="268" w:right="37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309"/>
        </w:trPr>
        <w:tc>
          <w:tcPr>
            <w:tcW w:w="3820" w:type="dxa"/>
            <w:vAlign w:val="bottom"/>
            <w:tcBorders>
              <w:top w:val="single" w:sz="8" w:color="auto"/>
              <w:left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22"/>
                <w:szCs w:val="22"/>
                <w:color w:val="auto"/>
              </w:rPr>
              <w:t>CUSIP No. 64ESC1997</w:t>
            </w:r>
          </w:p>
        </w:tc>
        <w:tc>
          <w:tcPr>
            <w:tcW w:w="370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2"/>
                <w:szCs w:val="22"/>
                <w:color w:val="auto"/>
              </w:rPr>
              <w:t>Schedule 13G</w:t>
            </w:r>
          </w:p>
        </w:tc>
        <w:tc>
          <w:tcPr>
            <w:tcW w:w="3680" w:type="dxa"/>
            <w:vAlign w:val="bottom"/>
            <w:tcBorders>
              <w:top w:val="single" w:sz="8" w:color="auto"/>
              <w:right w:val="single" w:sz="8" w:color="auto"/>
            </w:tcBorders>
          </w:tcPr>
          <w:p>
            <w:pPr>
              <w:ind w:left="2600"/>
              <w:spacing w:after="0"/>
              <w:rPr>
                <w:sz w:val="20"/>
                <w:szCs w:val="20"/>
                <w:color w:val="auto"/>
              </w:rPr>
            </w:pPr>
            <w:r>
              <w:rPr>
                <w:rFonts w:ascii="Times New Roman" w:cs="Times New Roman" w:eastAsia="Times New Roman" w:hAnsi="Times New Roman"/>
                <w:sz w:val="22"/>
                <w:szCs w:val="22"/>
                <w:color w:val="auto"/>
              </w:rPr>
              <w:t>Page 5 of 5</w:t>
            </w:r>
          </w:p>
        </w:tc>
      </w:tr>
      <w:tr>
        <w:trPr>
          <w:trHeight w:val="42"/>
        </w:trPr>
        <w:tc>
          <w:tcPr>
            <w:tcW w:w="382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460" w:firstLine="89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February 12, 2024</w:t>
      </w:r>
    </w:p>
    <w:p>
      <w:pPr>
        <w:spacing w:after="0" w:line="23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22"/>
          <w:szCs w:val="22"/>
          <w:b w:val="1"/>
          <w:bCs w:val="1"/>
          <w:color w:val="auto"/>
        </w:rPr>
        <w:t>Pacific Investment Management Company LLC</w:t>
      </w:r>
    </w:p>
    <w:p>
      <w:pPr>
        <w:spacing w:after="0" w:line="359" w:lineRule="exact"/>
        <w:rPr>
          <w:sz w:val="20"/>
          <w:szCs w:val="20"/>
          <w:color w:val="auto"/>
        </w:rPr>
      </w:pPr>
    </w:p>
    <w:tbl>
      <w:tblPr>
        <w:tblLayout w:type="fixed"/>
        <w:tblInd w:w="6420" w:type="dxa"/>
        <w:tblCellMar>
          <w:top w:w="0" w:type="dxa"/>
          <w:left w:w="0" w:type="dxa"/>
          <w:bottom w:w="0" w:type="dxa"/>
          <w:right w:w="0" w:type="dxa"/>
        </w:tblCellMar>
      </w:tblPr>
      <w:tr>
        <w:trPr>
          <w:trHeight w:val="270"/>
        </w:trPr>
        <w:tc>
          <w:tcPr>
            <w:tcW w:w="42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Alyssa Creighton</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r>
      <w:tr>
        <w:trPr>
          <w:trHeight w:val="223"/>
        </w:trPr>
        <w:tc>
          <w:tcPr>
            <w:tcW w:w="4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74"/>
              </w:rPr>
              <w:t>Name:</w:t>
            </w:r>
          </w:p>
        </w:tc>
        <w:tc>
          <w:tcPr>
            <w:tcW w:w="22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Alyssa Creighton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82"/>
        </w:trPr>
        <w:tc>
          <w:tcPr>
            <w:tcW w:w="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3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Senior Vice President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r>
    </w:tbl>
    <w:p>
      <w:pPr>
        <w:spacing w:after="0" w:line="1" w:lineRule="exact"/>
        <w:rPr>
          <w:sz w:val="20"/>
          <w:szCs w:val="20"/>
          <w:color w:val="auto"/>
        </w:rPr>
      </w:pPr>
    </w:p>
    <w:sectPr>
      <w:pgSz w:w="11900" w:h="16838" w:orient="portrait"/>
      <w:cols w:equalWidth="0" w:num="1">
        <w:col w:w="11180"/>
      </w:cols>
      <w:pgMar w:left="320" w:top="2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lvl w:ilvl="1">
      <w:lvlJc w:val="left"/>
      <w:lvlText w:val=" "/>
      <w:numFmt w:val="bullet"/>
      <w:start w:val="1"/>
    </w:lvl>
  </w:abstractNum>
  <w:abstractNum w:abstractNumId="7">
    <w:nsid w:val="1190CDE7"/>
    <w:multiLevelType w:val="hybridMultilevel"/>
    <w:lvl w:ilvl="0">
      <w:lvlJc w:val="left"/>
      <w:lvlText w:val=" "/>
      <w:numFmt w:val="bullet"/>
      <w:start w:val="1"/>
    </w:lvl>
  </w:abstractNum>
  <w:abstractNum w:abstractNumId="8">
    <w:nsid w:val="66EF438D"/>
    <w:multiLevelType w:val="hybridMultilevel"/>
    <w:lvl w:ilvl="0">
      <w:lvlJc w:val="left"/>
      <w:lvlText w:val=" "/>
      <w:numFmt w:val="bullet"/>
      <w:start w:val="1"/>
    </w:lvl>
  </w:abstractNum>
  <w:abstractNum w:abstractNumId="9">
    <w:nsid w:val="140E0F76"/>
    <w:multiLevelType w:val="hybridMultilevel"/>
    <w:lvl w:ilvl="0">
      <w:lvlJc w:val="left"/>
      <w:lvlText w:val=" "/>
      <w:numFmt w:val="bullet"/>
      <w:start w:val="1"/>
    </w:lvl>
  </w:abstractNum>
  <w:abstractNum w:abstractNumId="10">
    <w:nsid w:val="3352255A"/>
    <w:multiLevelType w:val="hybridMultilevel"/>
    <w:lvl w:ilvl="0">
      <w:lvlJc w:val="left"/>
      <w:lvlText w:val=" "/>
      <w:numFmt w:val="bullet"/>
      <w:start w:val="1"/>
    </w:lvl>
  </w:abstractNum>
  <w:abstractNum w:abstractNumId="11">
    <w:nsid w:val="109CF92E"/>
    <w:multiLevelType w:val="hybridMultilevel"/>
    <w:lvl w:ilvl="0">
      <w:lvlJc w:val="left"/>
      <w:lvlText w:val=" "/>
      <w:numFmt w:val="bullet"/>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 "/>
      <w:numFmt w:val="bullet"/>
      <w:start w:val="1"/>
    </w:lvl>
  </w:abstractNum>
  <w:abstractNum w:abstractNumId="14">
    <w:nsid w:val="1BEFD79F"/>
    <w:multiLevelType w:val="hybridMultilevel"/>
    <w:lvl w:ilvl="0">
      <w:lvlJc w:val="left"/>
      <w:lvlText w:val=" "/>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2024-02-13T12:12:13Z</dcterms:created>
  <dcterms:modified xsi:type="dcterms:W3CDTF">2024-02-13T12:12:13Z</dcterms:modified>
</cp:coreProperties>
</file>