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1"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266065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On December 13, 2023, Mynaric AG issued an Ad-Hoc. A copy of the Ad-Hoc is furnished as Exhibit 99.1.</w:t>
      </w:r>
    </w:p>
    <w:p>
      <w:pPr>
        <w:spacing w:after="0" w:line="200" w:lineRule="exact"/>
        <w:rPr>
          <w:sz w:val="24"/>
          <w:szCs w:val="24"/>
          <w:color w:val="auto"/>
        </w:rPr>
      </w:pPr>
    </w:p>
    <w:p>
      <w:pPr>
        <w:spacing w:after="0" w:line="2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20" w:type="dxa"/>
            <w:vAlign w:val="bottom"/>
            <w:gridSpan w:val="2"/>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w w:val="99"/>
              </w:rPr>
              <w:t>DOCUMENTS INCLUDED AS PART OF THIS FORM 6-K</w:t>
            </w:r>
          </w:p>
        </w:tc>
      </w:tr>
      <w:tr>
        <w:trPr>
          <w:trHeight w:val="432"/>
        </w:trPr>
        <w:tc>
          <w:tcPr>
            <w:tcW w:w="1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120" w:type="dxa"/>
            <w:vAlign w:val="bottom"/>
          </w:tcPr>
          <w:p>
            <w:pPr>
              <w:spacing w:after="0"/>
              <w:rPr>
                <w:sz w:val="24"/>
                <w:szCs w:val="24"/>
                <w:color w:val="auto"/>
              </w:rPr>
            </w:pPr>
          </w:p>
        </w:tc>
        <w:tc>
          <w:tcPr>
            <w:tcW w:w="10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190"/>
        </w:trPr>
        <w:tc>
          <w:tcPr>
            <w:tcW w:w="100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20" w:type="dxa"/>
            <w:vAlign w:val="bottom"/>
            <w:shd w:val="clear" w:color="auto" w:fill="CCEEFF"/>
          </w:tcPr>
          <w:p>
            <w:pPr>
              <w:spacing w:after="0"/>
              <w:rPr>
                <w:sz w:val="16"/>
                <w:szCs w:val="16"/>
                <w:color w:val="auto"/>
              </w:rPr>
            </w:pPr>
          </w:p>
        </w:tc>
        <w:tc>
          <w:tcPr>
            <w:tcW w:w="10120" w:type="dxa"/>
            <w:vAlign w:val="bottom"/>
            <w:gridSpan w:val="2"/>
            <w:shd w:val="clear" w:color="auto" w:fill="CCEEFF"/>
          </w:tcPr>
          <w:p>
            <w:pPr>
              <w:spacing w:after="0" w:line="169" w:lineRule="exact"/>
              <w:rPr>
                <w:sz w:val="20"/>
                <w:szCs w:val="20"/>
                <w:color w:val="auto"/>
              </w:rPr>
            </w:pPr>
            <w:r>
              <w:rPr>
                <w:rFonts w:ascii="Times New Roman" w:cs="Times New Roman" w:eastAsia="Times New Roman" w:hAnsi="Times New Roman"/>
                <w:sz w:val="18"/>
                <w:szCs w:val="18"/>
                <w:color w:val="0000EE"/>
              </w:rPr>
              <w:t xml:space="preserve">Mynaric receives US </w:t>
            </w:r>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33 million order from Northrop Grumman</w:t>
            </w:r>
          </w:p>
        </w:tc>
      </w:tr>
      <w:tr>
        <w:trPr>
          <w:trHeight w:val="648"/>
        </w:trPr>
        <w:tc>
          <w:tcPr>
            <w:tcW w:w="320" w:type="dxa"/>
            <w:vAlign w:val="bottom"/>
            <w:tcBorders>
              <w:top w:val="single" w:sz="8" w:color="0000EE"/>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700" w:type="dxa"/>
            <w:vAlign w:val="bottom"/>
            <w:tcBorders>
              <w:top w:val="single" w:sz="8" w:color="0000EE"/>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3</w:t>
            </w:r>
          </w:p>
        </w:tc>
        <w:tc>
          <w:tcPr>
            <w:tcW w:w="542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29" w:lineRule="exact"/>
        <w:rPr>
          <w:sz w:val="24"/>
          <w:szCs w:val="24"/>
          <w:color w:val="auto"/>
        </w:rPr>
      </w:pPr>
    </w:p>
    <w:tbl>
      <w:tblPr>
        <w:tblLayout w:type="fixed"/>
        <w:tblInd w:w="564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Berndt-von Bülow</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Stefan Berndt-von Bülow</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Felix Hacke</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Felix Hacke</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Authorized Representative</w:t>
            </w:r>
          </w:p>
        </w:tc>
      </w:tr>
    </w:tbl>
    <w:p>
      <w:pPr>
        <w:spacing w:after="0" w:line="19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Date: December 13, 2023</w:t>
      </w:r>
    </w:p>
    <w:p>
      <w:pPr>
        <w:sectPr>
          <w:pgSz w:w="11900" w:h="16838" w:orient="portrait"/>
          <w:cols w:equalWidth="0" w:num="1">
            <w:col w:w="11240"/>
          </w:cols>
          <w:pgMar w:left="320" w:top="671" w:right="339" w:bottom="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31750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EQS-Ad-hoc: Mynaric AG / Key word(s): Incoming Orders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Mynaric receives US $33 million order from Northrop Grumman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13-Dec-2023 / 07:57 CET/CEST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Disclosure of an inside information acc. to Article 17 MAR of the Regulation (EU) No 596/2014, transmitted by EQS News - a service of EQS Group AG.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issuer is solely responsible for the content of this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MUNICH, December 13, 2023 </w:t>
      </w:r>
      <w:r>
        <w:rPr>
          <w:rFonts w:ascii="Times New Roman" w:cs="Times New Roman" w:eastAsia="Times New Roman" w:hAnsi="Times New Roman"/>
          <w:sz w:val="18"/>
          <w:szCs w:val="18"/>
          <w:color w:val="auto"/>
        </w:rPr>
        <w:t>– Mynaric (NASDAQ: MYNA)(FRA: M0YN) has today entered into a definitive agreement with Northrop Grumman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delivery of optical communication terminals in the framework of the U.S. Government’s Space Development Agency Tranche 2 Transport Layer-Alpha space vehicles program. The contract, with a value of around US $33 million, foresees payment milestones starting early 2024 and continuing throughout 2025 with product deliveries beginning in 2024 and continuing until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Mynaric (NASDAQ: MYNA) (FRA: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mynaric.com.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forward-looking statements. These risks, uncertainties and assumptions include, but are not limited to (i) the impact of any geopolitical tensions or the global COVID-19 pandemic on the</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w:t>
      </w:r>
    </w:p>
    <w:p>
      <w:pPr>
        <w:spacing w:after="0" w:line="1" w:lineRule="exact"/>
        <w:rPr>
          <w:sz w:val="20"/>
          <w:szCs w:val="20"/>
          <w:color w:val="auto"/>
        </w:rPr>
      </w:pPr>
    </w:p>
    <w:p>
      <w:pPr>
        <w:jc w:val="both"/>
        <w:ind w:firstLine="8"/>
        <w:spacing w:after="0" w:line="251" w:lineRule="auto"/>
        <w:tabs>
          <w:tab w:leader="none" w:pos="355" w:val="left"/>
        </w:tabs>
        <w:numPr>
          <w:ilvl w:val="0"/>
          <w:numId w:val="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 of Inside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1060"/>
        <w:spacing w:after="0" w:line="282" w:lineRule="auto"/>
        <w:rPr>
          <w:sz w:val="20"/>
          <w:szCs w:val="20"/>
          <w:color w:val="auto"/>
        </w:rPr>
      </w:pPr>
      <w:r>
        <w:rPr>
          <w:rFonts w:ascii="Times New Roman" w:cs="Times New Roman" w:eastAsia="Times New Roman" w:hAnsi="Times New Roman"/>
          <w:sz w:val="18"/>
          <w:szCs w:val="18"/>
          <w:color w:val="auto"/>
        </w:rPr>
        <w:t>13-Dec-2023 CET/CEST The EQS Distribution Services include Regulatory Announcements, Financial/Corporate News and Press Releases. Archive at www.eqs-news.com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87" w:gutter="0" w:footer="0" w:header="0"/>
        </w:sectPr>
      </w:pPr>
    </w:p>
    <w:bookmarkStart w:id="3" w:name="page4"/>
    <w:bookmarkEnd w:id="3"/>
    <w:p>
      <w:pPr>
        <w:spacing w:after="0"/>
        <w:tabs>
          <w:tab w:leader="none" w:pos="1100" w:val="left"/>
        </w:tabs>
        <w:rPr>
          <w:sz w:val="20"/>
          <w:szCs w:val="20"/>
          <w:color w:val="auto"/>
        </w:rPr>
      </w:pPr>
      <w:r>
        <w:rPr>
          <w:rFonts w:ascii="Times New Roman" w:cs="Times New Roman" w:eastAsia="Times New Roman" w:hAnsi="Times New Roman"/>
          <w:sz w:val="18"/>
          <w:szCs w:val="18"/>
          <w:color w:val="auto"/>
        </w:rPr>
        <w:t>Language:</w:t>
      </w:r>
      <w:r>
        <w:rPr>
          <w:sz w:val="20"/>
          <w:szCs w:val="20"/>
          <w:color w:val="auto"/>
        </w:rPr>
        <w:tab/>
      </w:r>
      <w:r>
        <w:rPr>
          <w:rFonts w:ascii="Times New Roman" w:cs="Times New Roman" w:eastAsia="Times New Roman" w:hAnsi="Times New Roman"/>
          <w:sz w:val="18"/>
          <w:szCs w:val="18"/>
          <w:color w:val="auto"/>
        </w:rPr>
        <w:t>English</w:t>
      </w:r>
    </w:p>
    <w:p>
      <w:pPr>
        <w:spacing w:after="0" w:line="27"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Company:</w:t>
      </w:r>
      <w:r>
        <w:rPr>
          <w:sz w:val="20"/>
          <w:szCs w:val="20"/>
          <w:color w:val="auto"/>
        </w:rPr>
        <w:tab/>
      </w:r>
      <w:r>
        <w:rPr>
          <w:rFonts w:ascii="Times New Roman" w:cs="Times New Roman" w:eastAsia="Times New Roman" w:hAnsi="Times New Roman"/>
          <w:sz w:val="18"/>
          <w:szCs w:val="18"/>
          <w:color w:val="auto"/>
        </w:rPr>
        <w:t>Mynaric AG</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Dornierstr. 19</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82205 Gilching</w:t>
      </w:r>
    </w:p>
    <w:p>
      <w:pPr>
        <w:spacing w:after="0" w:line="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Germany</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Phone:</w:t>
      </w:r>
      <w:r>
        <w:rPr>
          <w:sz w:val="20"/>
          <w:szCs w:val="20"/>
          <w:color w:val="auto"/>
        </w:rPr>
        <w:tab/>
      </w:r>
      <w:r>
        <w:rPr>
          <w:rFonts w:ascii="Times New Roman" w:cs="Times New Roman" w:eastAsia="Times New Roman" w:hAnsi="Times New Roman"/>
          <w:sz w:val="18"/>
          <w:szCs w:val="18"/>
          <w:color w:val="auto"/>
        </w:rPr>
        <w:t>+49 8105 7999 0</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comms@mynaric.com</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Internet:</w:t>
      </w:r>
      <w:r>
        <w:rPr>
          <w:sz w:val="20"/>
          <w:szCs w:val="20"/>
          <w:color w:val="auto"/>
        </w:rPr>
        <w:tab/>
      </w:r>
      <w:r>
        <w:rPr>
          <w:rFonts w:ascii="Times New Roman" w:cs="Times New Roman" w:eastAsia="Times New Roman" w:hAnsi="Times New Roman"/>
          <w:sz w:val="18"/>
          <w:szCs w:val="18"/>
          <w:color w:val="auto"/>
        </w:rPr>
        <w:t>www.mynaric.com</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ISIN:</w:t>
      </w:r>
      <w:r>
        <w:rPr>
          <w:sz w:val="20"/>
          <w:szCs w:val="20"/>
          <w:color w:val="auto"/>
        </w:rPr>
        <w:tab/>
      </w:r>
      <w:r>
        <w:rPr>
          <w:rFonts w:ascii="Times New Roman" w:cs="Times New Roman" w:eastAsia="Times New Roman" w:hAnsi="Times New Roman"/>
          <w:sz w:val="18"/>
          <w:szCs w:val="18"/>
          <w:color w:val="auto"/>
        </w:rPr>
        <w:t>DE000A31C305</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WKN:</w:t>
      </w:r>
      <w:r>
        <w:rPr>
          <w:sz w:val="20"/>
          <w:szCs w:val="20"/>
          <w:color w:val="auto"/>
        </w:rPr>
        <w:tab/>
      </w:r>
      <w:r>
        <w:rPr>
          <w:rFonts w:ascii="Times New Roman" w:cs="Times New Roman" w:eastAsia="Times New Roman" w:hAnsi="Times New Roman"/>
          <w:sz w:val="18"/>
          <w:szCs w:val="18"/>
          <w:color w:val="auto"/>
        </w:rPr>
        <w:t>A31C30</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8"/>
          <w:szCs w:val="18"/>
          <w:color w:val="auto"/>
        </w:rPr>
        <w:t>Indices:</w:t>
      </w:r>
      <w:r>
        <w:rPr>
          <w:sz w:val="20"/>
          <w:szCs w:val="20"/>
          <w:color w:val="auto"/>
        </w:rPr>
        <w:tab/>
      </w:r>
      <w:r>
        <w:rPr>
          <w:rFonts w:ascii="Times New Roman" w:cs="Times New Roman" w:eastAsia="Times New Roman" w:hAnsi="Times New Roman"/>
          <w:sz w:val="18"/>
          <w:szCs w:val="18"/>
          <w:color w:val="auto"/>
        </w:rPr>
        <w:t>Scale 30</w:t>
      </w:r>
    </w:p>
    <w:p>
      <w:pPr>
        <w:spacing w:after="0" w:line="9" w:lineRule="exact"/>
        <w:rPr>
          <w:sz w:val="20"/>
          <w:szCs w:val="20"/>
          <w:color w:val="auto"/>
        </w:rPr>
      </w:pPr>
    </w:p>
    <w:p>
      <w:pPr>
        <w:spacing w:after="0"/>
        <w:tabs>
          <w:tab w:leader="none" w:pos="1100" w:val="left"/>
        </w:tabs>
        <w:rPr>
          <w:sz w:val="20"/>
          <w:szCs w:val="20"/>
          <w:color w:val="auto"/>
        </w:rPr>
      </w:pPr>
      <w:r>
        <w:rPr>
          <w:rFonts w:ascii="Times New Roman" w:cs="Times New Roman" w:eastAsia="Times New Roman" w:hAnsi="Times New Roman"/>
          <w:sz w:val="17"/>
          <w:szCs w:val="17"/>
          <w:color w:val="auto"/>
        </w:rPr>
        <w:t>Listed:</w:t>
      </w:r>
      <w:r>
        <w:rPr>
          <w:sz w:val="20"/>
          <w:szCs w:val="20"/>
          <w:color w:val="auto"/>
        </w:rPr>
        <w:tab/>
      </w:r>
      <w:r>
        <w:rPr>
          <w:rFonts w:ascii="Times New Roman" w:cs="Times New Roman" w:eastAsia="Times New Roman" w:hAnsi="Times New Roman"/>
          <w:sz w:val="17"/>
          <w:szCs w:val="17"/>
          <w:color w:val="auto"/>
        </w:rPr>
        <w:t>Regulated Unofficial Market in Berlin, Dusseldorf, Frankfurt (Scale), Hamburg, Munich, Stuttgart, Tradegate Exchange; Nasdaq</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EQS News ID: 1795465</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400"/>
      </w:cols>
      <w:pgMar w:left="320" w:top="121" w:right="11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7"/>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2023-12-13T07:25:23Z</dcterms:created>
  <dcterms:modified xsi:type="dcterms:W3CDTF">2023-12-13T07:25:23Z</dcterms:modified>
</cp:coreProperties>
</file>