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12b-25</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NOTIFICATION OF LATE FILING</w:t>
      </w:r>
    </w:p>
    <w:p>
      <w:pPr>
        <w:spacing w:after="0" w:line="21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SEC File Number: 001-41045</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Number: 62857X101</w:t>
      </w:r>
    </w:p>
    <w:p>
      <w:pPr>
        <w:spacing w:after="0" w:line="193" w:lineRule="exact"/>
        <w:rPr>
          <w:sz w:val="24"/>
          <w:szCs w:val="24"/>
          <w:color w:val="auto"/>
        </w:rPr>
      </w:pPr>
    </w:p>
    <w:p>
      <w:pPr>
        <w:ind w:left="1200"/>
        <w:spacing w:after="0" w:line="207" w:lineRule="exact"/>
        <w:tabs>
          <w:tab w:leader="none" w:pos="2300" w:val="left"/>
        </w:tabs>
        <w:rPr>
          <w:sz w:val="20"/>
          <w:szCs w:val="20"/>
          <w:color w:val="auto"/>
        </w:rPr>
      </w:pPr>
      <w:r>
        <w:rPr>
          <w:rFonts w:ascii="Times New Roman" w:cs="Times New Roman" w:eastAsia="Times New Roman" w:hAnsi="Times New Roman"/>
          <w:sz w:val="18"/>
          <w:szCs w:val="18"/>
          <w:i w:val="1"/>
          <w:iCs w:val="1"/>
          <w:color w:val="auto"/>
        </w:rPr>
        <w:t>(Check One):</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Form 10-K</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20-F</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11-K</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10-Q</w:t>
      </w:r>
    </w:p>
    <w:p>
      <w:pPr>
        <w:spacing w:after="0" w:line="63" w:lineRule="exact"/>
        <w:rPr>
          <w:sz w:val="24"/>
          <w:szCs w:val="24"/>
          <w:color w:val="auto"/>
        </w:rPr>
      </w:pPr>
    </w:p>
    <w:p>
      <w:pPr>
        <w:ind w:left="2540" w:hanging="215"/>
        <w:spacing w:after="0" w:line="207" w:lineRule="exact"/>
        <w:tabs>
          <w:tab w:leader="none" w:pos="2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Form 10-D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N-CEN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w:t>
      </w:r>
    </w:p>
    <w:p>
      <w:pPr>
        <w:spacing w:after="0" w:line="333" w:lineRule="exact"/>
        <w:rPr>
          <w:sz w:val="24"/>
          <w:szCs w:val="24"/>
          <w:color w:val="auto"/>
        </w:rPr>
      </w:pPr>
    </w:p>
    <w:p>
      <w:pPr>
        <w:ind w:left="2320"/>
        <w:spacing w:after="0"/>
        <w:tabs>
          <w:tab w:leader="none" w:pos="3900" w:val="left"/>
        </w:tabs>
        <w:rPr>
          <w:sz w:val="20"/>
          <w:szCs w:val="20"/>
          <w:color w:val="auto"/>
        </w:rPr>
      </w:pPr>
      <w:r>
        <w:rPr>
          <w:rFonts w:ascii="Times New Roman" w:cs="Times New Roman" w:eastAsia="Times New Roman" w:hAnsi="Times New Roman"/>
          <w:sz w:val="18"/>
          <w:szCs w:val="18"/>
          <w:color w:val="auto"/>
        </w:rPr>
        <w:t>For Period Ended:</w:t>
      </w:r>
      <w:r>
        <w:rPr>
          <w:sz w:val="20"/>
          <w:szCs w:val="20"/>
          <w:color w:val="auto"/>
        </w:rPr>
        <w:tab/>
      </w:r>
      <w:r>
        <w:rPr>
          <w:rFonts w:ascii="Times New Roman" w:cs="Times New Roman" w:eastAsia="Times New Roman" w:hAnsi="Times New Roman"/>
          <w:sz w:val="17"/>
          <w:szCs w:val="17"/>
          <w:color w:val="auto"/>
        </w:rPr>
        <w:t>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-7620</wp:posOffset>
            </wp:positionV>
            <wp:extent cx="1040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43" w:lineRule="exact"/>
        <w:rPr>
          <w:sz w:val="24"/>
          <w:szCs w:val="24"/>
          <w:color w:val="auto"/>
        </w:rPr>
      </w:pPr>
    </w:p>
    <w:p>
      <w:pPr>
        <w:ind w:left="2540" w:hanging="215"/>
        <w:spacing w:after="0"/>
        <w:tabs>
          <w:tab w:leader="none" w:pos="2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63" w:lineRule="exact"/>
        <w:rPr>
          <w:rFonts w:ascii="MS PGothic" w:cs="MS PGothic" w:eastAsia="MS PGothic" w:hAnsi="MS PGothic"/>
          <w:sz w:val="18"/>
          <w:szCs w:val="18"/>
          <w:color w:val="auto"/>
        </w:rPr>
      </w:pPr>
    </w:p>
    <w:p>
      <w:pPr>
        <w:ind w:left="2540" w:hanging="215"/>
        <w:spacing w:after="0"/>
        <w:tabs>
          <w:tab w:leader="none" w:pos="2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63" w:lineRule="exact"/>
        <w:rPr>
          <w:rFonts w:ascii="MS PGothic" w:cs="MS PGothic" w:eastAsia="MS PGothic" w:hAnsi="MS PGothic"/>
          <w:sz w:val="18"/>
          <w:szCs w:val="18"/>
          <w:color w:val="auto"/>
        </w:rPr>
      </w:pPr>
    </w:p>
    <w:p>
      <w:pPr>
        <w:ind w:left="2540" w:hanging="215"/>
        <w:spacing w:after="0"/>
        <w:tabs>
          <w:tab w:leader="none" w:pos="2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63" w:lineRule="exact"/>
        <w:rPr>
          <w:rFonts w:ascii="MS PGothic" w:cs="MS PGothic" w:eastAsia="MS PGothic" w:hAnsi="MS PGothic"/>
          <w:sz w:val="18"/>
          <w:szCs w:val="18"/>
          <w:color w:val="auto"/>
        </w:rPr>
      </w:pPr>
    </w:p>
    <w:p>
      <w:pPr>
        <w:ind w:left="2320" w:right="6360" w:firstLine="5"/>
        <w:spacing w:after="0" w:line="344" w:lineRule="auto"/>
        <w:tabs>
          <w:tab w:leader="none" w:pos="252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 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3511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70" w:lineRule="exact"/>
        <w:rPr>
          <w:sz w:val="24"/>
          <w:szCs w:val="24"/>
          <w:color w:val="auto"/>
        </w:rPr>
      </w:pPr>
    </w:p>
    <w:p>
      <w:pPr>
        <w:spacing w:after="0"/>
        <w:tabs>
          <w:tab w:leader="none" w:pos="8760" w:val="left"/>
        </w:tabs>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r>
        <w:rPr>
          <w:sz w:val="20"/>
          <w:szCs w:val="20"/>
          <w:color w:val="auto"/>
        </w:rPr>
        <w:tab/>
      </w:r>
      <w:r>
        <w:rPr>
          <w:rFonts w:ascii="Times New Roman" w:cs="Times New Roman" w:eastAsia="Times New Roman" w:hAnsi="Times New Roman"/>
          <w:sz w:val="17"/>
          <w:szCs w:val="17"/>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5433695</wp:posOffset>
            </wp:positionH>
            <wp:positionV relativeFrom="paragraph">
              <wp:posOffset>-7620</wp:posOffset>
            </wp:positionV>
            <wp:extent cx="8439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4391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Mynaric AG</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Bertha-Kipfmüller-Str. 2-8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03"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81249 Munich, Germany</w:t>
      </w:r>
    </w:p>
    <w:p>
      <w:pPr>
        <w:spacing w:after="0" w:line="3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148590</wp:posOffset>
            </wp:positionV>
            <wp:extent cx="8255" cy="1543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1543050"/>
                    </a:xfrm>
                    <a:prstGeom prst="rect">
                      <a:avLst/>
                    </a:prstGeom>
                    <a:noFill/>
                  </pic:spPr>
                </pic:pic>
              </a:graphicData>
            </a:graphic>
          </wp:anchor>
        </w:drawing>
      </w:r>
    </w:p>
    <w:p>
      <w:pPr>
        <w:spacing w:after="0" w:line="30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(a)</w:t>
      </w:r>
    </w:p>
    <w:p>
      <w:pPr>
        <w:ind w:left="1280"/>
        <w:spacing w:after="0"/>
        <w:rPr>
          <w:sz w:val="20"/>
          <w:szCs w:val="20"/>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241" w:lineRule="exact"/>
        <w:rPr>
          <w:sz w:val="20"/>
          <w:szCs w:val="20"/>
          <w:color w:val="auto"/>
        </w:rPr>
      </w:pPr>
    </w:p>
    <w:p>
      <w:pPr>
        <w:ind w:left="1280" w:hanging="1036"/>
        <w:spacing w:after="0"/>
        <w:tabs>
          <w:tab w:leader="none" w:pos="1280" w:val="left"/>
        </w:tabs>
        <w:numPr>
          <w:ilvl w:val="0"/>
          <w:numId w:val="3"/>
        </w:numPr>
        <w:rPr>
          <w:rFonts w:ascii="Arial" w:cs="Arial" w:eastAsia="Arial" w:hAnsi="Arial"/>
          <w:sz w:val="36"/>
          <w:szCs w:val="36"/>
          <w:color w:val="auto"/>
          <w:vertAlign w:val="subscript"/>
        </w:rPr>
      </w:pPr>
      <w:r>
        <w:rPr>
          <w:rFonts w:ascii="Times New Roman" w:cs="Times New Roman" w:eastAsia="Times New Roman" w:hAnsi="Times New Roman"/>
          <w:sz w:val="18"/>
          <w:szCs w:val="18"/>
          <w:color w:val="auto"/>
        </w:rPr>
        <w:t>The subject annual report, semi-annual report, transition report on Form 10-K, Form 20-F, Form 11-K, Form N-CEN or Form N-CSR, or</w:t>
      </w:r>
    </w:p>
    <w:p>
      <w:pPr>
        <w:spacing w:after="0" w:line="1" w:lineRule="exact"/>
        <w:rPr>
          <w:rFonts w:ascii="Arial" w:cs="Arial" w:eastAsia="Arial" w:hAnsi="Arial"/>
          <w:sz w:val="36"/>
          <w:szCs w:val="36"/>
          <w:color w:val="auto"/>
          <w:vertAlign w:val="subscript"/>
        </w:rPr>
      </w:pPr>
    </w:p>
    <w:p>
      <w:pPr>
        <w:jc w:val="both"/>
        <w:ind w:left="1280" w:right="20" w:hanging="515"/>
        <w:spacing w:after="0" w:line="187" w:lineRule="auto"/>
        <w:tabs>
          <w:tab w:leader="none" w:pos="1280" w:val="left"/>
        </w:tabs>
        <w:numPr>
          <w:ilvl w:val="1"/>
          <w:numId w:val="3"/>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252" w:lineRule="exact"/>
        <w:rPr>
          <w:rFonts w:ascii="Times New Roman" w:cs="Times New Roman" w:eastAsia="Times New Roman" w:hAnsi="Times New Roman"/>
          <w:sz w:val="36"/>
          <w:szCs w:val="36"/>
          <w:color w:val="auto"/>
          <w:vertAlign w:val="subscript"/>
        </w:rPr>
      </w:pPr>
    </w:p>
    <w:p>
      <w:pPr>
        <w:ind w:left="1280" w:hanging="510"/>
        <w:spacing w:after="0"/>
        <w:tabs>
          <w:tab w:leader="none" w:pos="12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the reasons why Forms 10-K, 20-F, 11-K, 10-Q, 10-D, N-CEN, N-CSR, or the transition report or portion thereof, could not be filed within the prescribed time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Mynaric AG (the “Company”) has determined that it is unable, without unreasonable effort or expense, to file its Annual Report on Form 20-F for the fiscal year ended December 31, 2024 by the prescribed due date.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7, 2025, Mynaric announced the initiation of proceedings under the German Corporate Stabilization and Restructuring Act (</w:t>
      </w:r>
      <w:r>
        <w:rPr>
          <w:rFonts w:ascii="Times New Roman" w:cs="Times New Roman" w:eastAsia="Times New Roman" w:hAnsi="Times New Roman"/>
          <w:sz w:val="18"/>
          <w:szCs w:val="18"/>
          <w:i w:val="1"/>
          <w:iCs w:val="1"/>
          <w:color w:val="auto"/>
        </w:rPr>
        <w:t>Gesetz über den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Stabilisierungs- und Restrukturierungsrahmen für Unternehmen</w:t>
      </w:r>
      <w:r>
        <w:rPr>
          <w:rFonts w:ascii="Times New Roman" w:cs="Times New Roman" w:eastAsia="Times New Roman" w:hAnsi="Times New Roman"/>
          <w:sz w:val="18"/>
          <w:szCs w:val="18"/>
          <w:color w:val="auto"/>
        </w:rPr>
        <w:t>) at the end of which, if approved by the competent restructuring court, Mynaric will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one remaining shareholder. As a consequence of the proceedings under the German Corporate Stabilization and Restructuring Act, the Company requires additional time to prepare and review its financial statements for the year ended December 31, 2024, and have such financial statements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1151255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00" w:lineRule="exact"/>
        <w:rPr>
          <w:sz w:val="20"/>
          <w:szCs w:val="20"/>
          <w:color w:val="auto"/>
        </w:rPr>
      </w:pPr>
    </w:p>
    <w:p>
      <w:pPr>
        <w:spacing w:after="0" w:line="353" w:lineRule="exact"/>
        <w:rPr>
          <w:sz w:val="20"/>
          <w:szCs w:val="20"/>
          <w:color w:val="auto"/>
        </w:rPr>
      </w:pPr>
    </w:p>
    <w:p>
      <w:pPr>
        <w:ind w:left="600" w:hanging="570"/>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59"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Andreas Reif</w:t>
            </w:r>
          </w:p>
        </w:tc>
        <w:tc>
          <w:tcPr>
            <w:tcW w:w="310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b w:val="1"/>
                <w:bCs w:val="1"/>
                <w:color w:val="auto"/>
              </w:rPr>
              <w:t>+49 (0) 89</w:t>
            </w:r>
          </w:p>
        </w:tc>
        <w:tc>
          <w:tcPr>
            <w:tcW w:w="4100" w:type="dxa"/>
            <w:vAlign w:val="bottom"/>
            <w:gridSpan w:val="2"/>
          </w:tcPr>
          <w:p>
            <w:pPr>
              <w:jc w:val="right"/>
              <w:ind w:right="1268"/>
              <w:spacing w:after="0"/>
              <w:rPr>
                <w:sz w:val="20"/>
                <w:szCs w:val="20"/>
                <w:color w:val="auto"/>
              </w:rPr>
            </w:pPr>
            <w:r>
              <w:rPr>
                <w:rFonts w:ascii="Times New Roman" w:cs="Times New Roman" w:eastAsia="Times New Roman" w:hAnsi="Times New Roman"/>
                <w:sz w:val="18"/>
                <w:szCs w:val="18"/>
                <w:b w:val="1"/>
                <w:bCs w:val="1"/>
                <w:color w:val="auto"/>
              </w:rPr>
              <w:t>5589 428 0</w:t>
            </w:r>
          </w:p>
        </w:tc>
      </w:tr>
      <w:tr>
        <w:trPr>
          <w:trHeight w:val="27"/>
        </w:trPr>
        <w:tc>
          <w:tcPr>
            <w:tcW w:w="25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r>
      <w:tr>
        <w:trPr>
          <w:trHeight w:val="232"/>
        </w:trPr>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w:t>
            </w:r>
          </w:p>
        </w:tc>
        <w:tc>
          <w:tcPr>
            <w:tcW w:w="580" w:type="dxa"/>
            <w:vAlign w:val="bottom"/>
          </w:tcPr>
          <w:p>
            <w:pPr>
              <w:spacing w:after="0"/>
              <w:rPr>
                <w:sz w:val="20"/>
                <w:szCs w:val="20"/>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(Area code)</w:t>
            </w:r>
          </w:p>
        </w:tc>
        <w:tc>
          <w:tcPr>
            <w:tcW w:w="620" w:type="dxa"/>
            <w:vAlign w:val="bottom"/>
          </w:tcPr>
          <w:p>
            <w:pPr>
              <w:spacing w:after="0"/>
              <w:rPr>
                <w:sz w:val="20"/>
                <w:szCs w:val="20"/>
                <w:color w:val="auto"/>
              </w:rPr>
            </w:pP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(Telephone Number)</w:t>
            </w:r>
          </w:p>
        </w:tc>
      </w:tr>
    </w:tbl>
    <w:p>
      <w:pPr>
        <w:spacing w:after="0" w:line="252" w:lineRule="exact"/>
        <w:rPr>
          <w:sz w:val="20"/>
          <w:szCs w:val="20"/>
          <w:color w:val="auto"/>
        </w:rPr>
      </w:pPr>
    </w:p>
    <w:p>
      <w:pPr>
        <w:jc w:val="both"/>
        <w:ind w:left="600" w:right="40" w:hanging="570"/>
        <w:spacing w:after="0" w:line="266" w:lineRule="auto"/>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27" w:lineRule="exact"/>
        <w:rPr>
          <w:rFonts w:ascii="Times New Roman" w:cs="Times New Roman" w:eastAsia="Times New Roman" w:hAnsi="Times New Roman"/>
          <w:sz w:val="18"/>
          <w:szCs w:val="18"/>
          <w:color w:val="auto"/>
        </w:rPr>
      </w:pPr>
    </w:p>
    <w:p>
      <w:pPr>
        <w:ind w:left="9560" w:hanging="205"/>
        <w:spacing w:after="0" w:line="207" w:lineRule="exact"/>
        <w:tabs>
          <w:tab w:leader="none" w:pos="9560" w:val="left"/>
        </w:tabs>
        <w:numPr>
          <w:ilvl w:val="1"/>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1" w:lineRule="exact"/>
        <w:rPr>
          <w:rFonts w:ascii="MS PGothic" w:cs="MS PGothic" w:eastAsia="MS PGothic" w:hAnsi="MS PGothic"/>
          <w:sz w:val="18"/>
          <w:szCs w:val="18"/>
          <w:color w:val="auto"/>
        </w:rPr>
      </w:pPr>
    </w:p>
    <w:p>
      <w:pPr>
        <w:ind w:left="600" w:right="40" w:hanging="570"/>
        <w:spacing w:after="0" w:line="282" w:lineRule="auto"/>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2" w:lineRule="exact"/>
        <w:rPr>
          <w:rFonts w:ascii="Times New Roman" w:cs="Times New Roman" w:eastAsia="Times New Roman" w:hAnsi="Times New Roman"/>
          <w:sz w:val="18"/>
          <w:szCs w:val="18"/>
          <w:color w:val="auto"/>
        </w:rPr>
      </w:pPr>
    </w:p>
    <w:p>
      <w:pPr>
        <w:ind w:left="9600" w:hanging="200"/>
        <w:spacing w:after="0" w:line="207" w:lineRule="exact"/>
        <w:tabs>
          <w:tab w:leader="none" w:pos="9600" w:val="left"/>
        </w:tabs>
        <w:numPr>
          <w:ilvl w:val="2"/>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w:t>
      </w:r>
    </w:p>
    <w:p>
      <w:pPr>
        <w:spacing w:after="0" w:line="158" w:lineRule="exact"/>
        <w:rPr>
          <w:sz w:val="20"/>
          <w:szCs w:val="20"/>
          <w:color w:val="auto"/>
        </w:rPr>
      </w:pPr>
    </w:p>
    <w:p>
      <w:pPr>
        <w:ind w:left="600" w:right="2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1087120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1413" w:right="1239" w:bottom="1440" w:gutter="0" w:footer="0" w:header="0"/>
        </w:sectPr>
      </w:pPr>
    </w:p>
    <w:bookmarkStart w:id="3" w:name="page4"/>
    <w:bookmarkEnd w:id="3"/>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3147695</wp:posOffset>
            </wp:positionH>
            <wp:positionV relativeFrom="paragraph">
              <wp:posOffset>-5080</wp:posOffset>
            </wp:positionV>
            <wp:extent cx="7327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2790" cy="8890"/>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2025</w:t>
            </w:r>
          </w:p>
        </w:tc>
        <w:tc>
          <w:tcPr>
            <w:tcW w:w="23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Joachim Horwath</w:t>
            </w:r>
          </w:p>
        </w:tc>
      </w:tr>
      <w:tr>
        <w:trPr>
          <w:trHeight w:val="27"/>
        </w:trPr>
        <w:tc>
          <w:tcPr>
            <w:tcW w:w="26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37"/>
        </w:trPr>
        <w:tc>
          <w:tcPr>
            <w:tcW w:w="2680" w:type="dxa"/>
            <w:vAlign w:val="bottom"/>
          </w:tcPr>
          <w:p>
            <w:pPr>
              <w:spacing w:after="0"/>
              <w:rPr>
                <w:sz w:val="20"/>
                <w:szCs w:val="20"/>
                <w:color w:val="auto"/>
              </w:rPr>
            </w:pPr>
          </w:p>
        </w:tc>
        <w:tc>
          <w:tcPr>
            <w:tcW w:w="23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Joachim Horwath</w:t>
            </w:r>
          </w:p>
        </w:tc>
      </w:tr>
      <w:tr>
        <w:trPr>
          <w:trHeight w:val="270"/>
        </w:trPr>
        <w:tc>
          <w:tcPr>
            <w:tcW w:w="2680" w:type="dxa"/>
            <w:vAlign w:val="bottom"/>
          </w:tcPr>
          <w:p>
            <w:pPr>
              <w:spacing w:after="0"/>
              <w:rPr>
                <w:sz w:val="23"/>
                <w:szCs w:val="23"/>
                <w:color w:val="auto"/>
              </w:rPr>
            </w:pPr>
          </w:p>
        </w:tc>
        <w:tc>
          <w:tcPr>
            <w:tcW w:w="23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Technology Officer</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 April 30, 2025</w:t>
            </w:r>
          </w:p>
        </w:tc>
        <w:tc>
          <w:tcPr>
            <w:tcW w:w="2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By:</w:t>
            </w: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Andreas Reif</w:t>
            </w:r>
          </w:p>
        </w:tc>
      </w:tr>
      <w:tr>
        <w:trPr>
          <w:trHeight w:val="27"/>
        </w:trPr>
        <w:tc>
          <w:tcPr>
            <w:tcW w:w="27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2760" w:type="dxa"/>
            <w:vAlign w:val="bottom"/>
          </w:tcPr>
          <w:p>
            <w:pPr>
              <w:spacing w:after="0"/>
              <w:rPr>
                <w:sz w:val="20"/>
                <w:szCs w:val="20"/>
                <w:color w:val="auto"/>
              </w:rPr>
            </w:pPr>
          </w:p>
        </w:tc>
        <w:tc>
          <w:tcPr>
            <w:tcW w:w="2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Name:</w:t>
            </w: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Andreas Reif</w:t>
            </w:r>
          </w:p>
        </w:tc>
      </w:tr>
      <w:tr>
        <w:trPr>
          <w:trHeight w:val="270"/>
        </w:trPr>
        <w:tc>
          <w:tcPr>
            <w:tcW w:w="2760" w:type="dxa"/>
            <w:vAlign w:val="bottom"/>
          </w:tcPr>
          <w:p>
            <w:pPr>
              <w:spacing w:after="0"/>
              <w:rPr>
                <w:sz w:val="23"/>
                <w:szCs w:val="23"/>
                <w:color w:val="auto"/>
              </w:rPr>
            </w:pPr>
          </w:p>
        </w:tc>
        <w:tc>
          <w:tcPr>
            <w:tcW w:w="2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Title:</w:t>
            </w: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Restructuring Officer</w:t>
            </w:r>
          </w:p>
        </w:tc>
      </w:tr>
      <w:tr>
        <w:trPr>
          <w:trHeight w:val="1654"/>
        </w:trPr>
        <w:tc>
          <w:tcPr>
            <w:tcW w:w="27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2)"/>
      <w:numFmt w:val="lowerLetter"/>
      <w:start w:val="2"/>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lvl w:ilvl="1">
      <w:lvlJc w:val="left"/>
      <w:lvlText w:val="☒"/>
      <w:numFmt w:val="bullet"/>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2025-04-30T09:19:44Z</dcterms:created>
  <dcterms:modified xsi:type="dcterms:W3CDTF">2025-04-30T09:19:44Z</dcterms:modified>
</cp:coreProperties>
</file>