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November 8, 2021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BY EDGAR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U.S. Securities and Exchange Commission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Division of Corporate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Office of Technology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100 F Street, N.E. Washington, DC 20549-3628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Attention</w:t>
      </w:r>
      <w:r>
        <w:rPr>
          <w:rFonts w:ascii="Arial" w:cs="Arial" w:eastAsia="Arial" w:hAnsi="Arial"/>
          <w:sz w:val="18"/>
          <w:szCs w:val="18"/>
          <w:color w:val="auto"/>
        </w:rPr>
        <w:t>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Alexandra Barone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1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Jan Woo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1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Joseph Cascarano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1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Robert Littlepage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ind w:left="420"/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Re:</w:t>
        <w:tab/>
        <w:t>Mynaric AG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Registration Statement Filed on Form F-1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File No. 333-260357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Ladies and Gentlemen: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jc w:val="both"/>
        <w:ind w:right="540" w:firstLine="4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 connection with the above-captioned Registration Statement, we wish to advise that between November 4, 2021 and the date hereof, the number of Preliminary Prospectuses dated November 4, 2021 which were furnished to 4 prospective underwriters and distributed to underwriters, institutional investors, individuals, dealers, brokers and others was approximately 1,250.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ind w:right="680" w:firstLine="44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We have been informed by the participating underwriters that they will comply with the requirements of Rule 15c2-8 under the Securities Exchange Act of 1934, as amended.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ind w:right="120" w:firstLine="44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We hereby join in the request of the registrant that the effectiveness of the above-captioned Registration Statement, as amended, be accelerated to 4:00 p.m., Eastern time, on November 10, 2021 or as soon thereafter as practicable.</w:t>
      </w: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[Signature Pages Follow]</w:t>
      </w:r>
    </w:p>
    <w:p>
      <w:pPr>
        <w:sectPr>
          <w:pgSz w:w="11900" w:h="16838" w:orient="portrait"/>
          <w:cols w:equalWidth="0" w:num="1">
            <w:col w:w="11020"/>
          </w:cols>
          <w:pgMar w:left="440" w:top="233" w:right="439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87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Very truly yours,</w:t>
      </w:r>
    </w:p>
    <w:p>
      <w:pPr>
        <w:spacing w:after="0" w:line="3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CREDIT SUISSE SECURITIES (USA) LLC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JEFFERIES LLC</w:t>
      </w:r>
    </w:p>
    <w:p>
      <w:pPr>
        <w:spacing w:after="0" w:line="3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As Representatives of the several Underwriters</w:t>
      </w:r>
    </w:p>
    <w:p>
      <w:pPr>
        <w:sectPr>
          <w:pgSz w:w="11900" w:h="16838" w:orient="portrait"/>
          <w:cols w:equalWidth="0" w:num="1">
            <w:col w:w="10019"/>
          </w:cols>
          <w:pgMar w:left="440" w:top="274" w:right="1440" w:bottom="1440" w:gutter="0" w:footer="0" w:header="0"/>
        </w:sectPr>
      </w:pPr>
    </w:p>
    <w:bookmarkStart w:id="2" w:name="page3"/>
    <w:bookmarkEnd w:id="2"/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81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CREDIT SUISSE SECURITIES (USA) LLC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/s/ John Hoffman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3562985</wp:posOffset>
            </wp:positionH>
            <wp:positionV relativeFrom="paragraph">
              <wp:posOffset>14605</wp:posOffset>
            </wp:positionV>
            <wp:extent cx="2794635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6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Name: John Hoffman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Title: Managing Director, ECM</w:t>
      </w:r>
    </w:p>
    <w:p>
      <w:pPr>
        <w:spacing w:after="0" w:line="319" w:lineRule="exact"/>
        <w:rPr>
          <w:sz w:val="20"/>
          <w:szCs w:val="20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i w:val="1"/>
          <w:iCs w:val="1"/>
          <w:color w:val="auto"/>
        </w:rPr>
        <w:t>[Signature Page to Underwriters’ Acceleration Request]</w:t>
      </w:r>
    </w:p>
    <w:p>
      <w:pPr>
        <w:sectPr>
          <w:pgSz w:w="11900" w:h="16838" w:orient="portrait"/>
          <w:cols w:equalWidth="0" w:num="1">
            <w:col w:w="9019"/>
          </w:cols>
          <w:pgMar w:left="1440" w:top="274" w:right="1440" w:bottom="1440" w:gutter="0" w:footer="0" w:header="0"/>
        </w:sectPr>
      </w:pPr>
    </w:p>
    <w:bookmarkStart w:id="3" w:name="page4"/>
    <w:bookmarkEnd w:id="3"/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8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JEFFERIES LLC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/s/ C. Cullom Davis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3562985</wp:posOffset>
            </wp:positionH>
            <wp:positionV relativeFrom="paragraph">
              <wp:posOffset>14605</wp:posOffset>
            </wp:positionV>
            <wp:extent cx="27946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6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right"/>
        <w:ind w:right="16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Name: C. Cullom Davis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Title: Vice Chairman</w:t>
      </w:r>
    </w:p>
    <w:p>
      <w:pPr>
        <w:spacing w:after="0" w:line="319" w:lineRule="exact"/>
        <w:rPr>
          <w:sz w:val="20"/>
          <w:szCs w:val="20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i w:val="1"/>
          <w:iCs w:val="1"/>
          <w:color w:val="auto"/>
        </w:rPr>
        <w:t>[Signature Page to Underwriters’ Acceleration Request]</w:t>
      </w:r>
    </w:p>
    <w:sectPr>
      <w:pgSz w:w="11900" w:h="16838" w:orient="portrait"/>
      <w:cols w:equalWidth="0" w:num="1">
        <w:col w:w="9019"/>
      </w:cols>
      <w:pgMar w:left="1440" w:top="27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2021-12-10T23:08:42Z</dcterms:created>
  <dcterms:modified xsi:type="dcterms:W3CDTF">2021-12-10T23:08:42Z</dcterms:modified>
</cp:coreProperties>
</file>