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2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23"/>
        <w:spacing w:after="0"/>
        <w:rPr>
          <w:sz w:val="20"/>
          <w:szCs w:val="20"/>
          <w:color w:val="auto"/>
        </w:rPr>
      </w:pPr>
      <w:r>
        <w:rPr>
          <w:rFonts w:ascii="Arial" w:cs="Arial" w:eastAsia="Arial" w:hAnsi="Arial"/>
          <w:sz w:val="32"/>
          <w:szCs w:val="32"/>
          <w:b w:val="1"/>
          <w:bCs w:val="1"/>
          <w:color w:val="auto"/>
        </w:rPr>
        <w:t>FORM 8-A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440" w:right="2360"/>
        <w:spacing w:after="0" w:line="243" w:lineRule="auto"/>
        <w:rPr>
          <w:sz w:val="20"/>
          <w:szCs w:val="20"/>
          <w:color w:val="auto"/>
        </w:rPr>
      </w:pPr>
      <w:r>
        <w:rPr>
          <w:rFonts w:ascii="Arial" w:cs="Arial" w:eastAsia="Arial" w:hAnsi="Arial"/>
          <w:sz w:val="22"/>
          <w:szCs w:val="22"/>
          <w:b w:val="1"/>
          <w:bCs w:val="1"/>
          <w:color w:val="auto"/>
        </w:rPr>
        <w:t>FOR REGISTRATION OF CERTAIN CLASSES OF SECURITIES PURSUANT TO SECTION 12(b) OR (g)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215265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ind w:right="-23"/>
        <w:spacing w:after="0"/>
        <w:rPr>
          <w:sz w:val="20"/>
          <w:szCs w:val="20"/>
          <w:color w:val="auto"/>
        </w:rPr>
      </w:pPr>
      <w:r>
        <w:rPr>
          <w:rFonts w:ascii="Arial" w:cs="Arial" w:eastAsia="Arial" w:hAnsi="Arial"/>
          <w:sz w:val="43"/>
          <w:szCs w:val="43"/>
          <w:b w:val="1"/>
          <w:bCs w:val="1"/>
          <w:color w:val="auto"/>
        </w:rPr>
        <w:t>Mynaric AG</w:t>
      </w:r>
    </w:p>
    <w:p>
      <w:pPr>
        <w:spacing w:after="0" w:line="50" w:lineRule="exact"/>
        <w:rPr>
          <w:sz w:val="24"/>
          <w:szCs w:val="24"/>
          <w:color w:val="auto"/>
        </w:rPr>
      </w:pPr>
    </w:p>
    <w:p>
      <w:pPr>
        <w:jc w:val="center"/>
        <w:ind w:right="-2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24" w:type="dxa"/>
        <w:tblCellMar>
          <w:top w:w="0" w:type="dxa"/>
          <w:left w:w="0" w:type="dxa"/>
          <w:bottom w:w="0" w:type="dxa"/>
          <w:right w:w="0" w:type="dxa"/>
        </w:tblCellMar>
      </w:tblPr>
      <w:tr>
        <w:trPr>
          <w:trHeight w:val="212"/>
        </w:trPr>
        <w:tc>
          <w:tcPr>
            <w:tcW w:w="4780" w:type="dxa"/>
            <w:vAlign w:val="bottom"/>
            <w:gridSpan w:val="3"/>
          </w:tcPr>
          <w:p>
            <w:pPr>
              <w:jc w:val="center"/>
              <w:ind w:right="1260"/>
              <w:spacing w:after="0"/>
              <w:rPr>
                <w:sz w:val="20"/>
                <w:szCs w:val="20"/>
                <w:color w:val="auto"/>
              </w:rPr>
            </w:pPr>
            <w:r>
              <w:rPr>
                <w:rFonts w:ascii="Arial" w:cs="Arial" w:eastAsia="Arial" w:hAnsi="Arial"/>
                <w:sz w:val="18"/>
                <w:szCs w:val="18"/>
                <w:b w:val="1"/>
                <w:bCs w:val="1"/>
                <w:color w:val="auto"/>
                <w:w w:val="91"/>
              </w:rPr>
              <w:t>Federal Republic of Germany</w:t>
            </w:r>
          </w:p>
        </w:tc>
        <w:tc>
          <w:tcPr>
            <w:tcW w:w="1680" w:type="dxa"/>
            <w:vAlign w:val="bottom"/>
          </w:tcPr>
          <w:p>
            <w:pPr>
              <w:spacing w:after="0"/>
              <w:rPr>
                <w:sz w:val="18"/>
                <w:szCs w:val="18"/>
                <w:color w:val="auto"/>
              </w:rPr>
            </w:pPr>
          </w:p>
        </w:tc>
        <w:tc>
          <w:tcPr>
            <w:tcW w:w="2120" w:type="dxa"/>
            <w:vAlign w:val="bottom"/>
            <w:gridSpan w:val="2"/>
          </w:tcPr>
          <w:p>
            <w:pPr>
              <w:jc w:val="center"/>
              <w:ind w:right="310"/>
              <w:spacing w:after="0"/>
              <w:rPr>
                <w:sz w:val="20"/>
                <w:szCs w:val="20"/>
                <w:color w:val="auto"/>
              </w:rPr>
            </w:pPr>
            <w:r>
              <w:rPr>
                <w:rFonts w:ascii="Arial" w:cs="Arial" w:eastAsia="Arial" w:hAnsi="Arial"/>
                <w:sz w:val="18"/>
                <w:szCs w:val="18"/>
                <w:b w:val="1"/>
                <w:bCs w:val="1"/>
                <w:color w:val="auto"/>
                <w:w w:val="92"/>
              </w:rPr>
              <w:t>Not Applicable</w:t>
            </w:r>
          </w:p>
        </w:tc>
      </w:tr>
      <w:tr>
        <w:trPr>
          <w:trHeight w:val="186"/>
        </w:trPr>
        <w:tc>
          <w:tcPr>
            <w:tcW w:w="4780" w:type="dxa"/>
            <w:vAlign w:val="bottom"/>
            <w:gridSpan w:val="3"/>
          </w:tcPr>
          <w:p>
            <w:pPr>
              <w:jc w:val="center"/>
              <w:ind w:right="1260"/>
              <w:spacing w:after="0"/>
              <w:rPr>
                <w:sz w:val="20"/>
                <w:szCs w:val="20"/>
                <w:color w:val="auto"/>
              </w:rPr>
            </w:pPr>
            <w:r>
              <w:rPr>
                <w:rFonts w:ascii="Arial" w:cs="Arial" w:eastAsia="Arial" w:hAnsi="Arial"/>
                <w:sz w:val="14"/>
                <w:szCs w:val="14"/>
                <w:b w:val="1"/>
                <w:bCs w:val="1"/>
                <w:color w:val="auto"/>
                <w:w w:val="93"/>
              </w:rPr>
              <w:t>(State of incorporation or organization)</w:t>
            </w:r>
          </w:p>
        </w:tc>
        <w:tc>
          <w:tcPr>
            <w:tcW w:w="3800" w:type="dxa"/>
            <w:vAlign w:val="bottom"/>
            <w:gridSpan w:val="3"/>
          </w:tcPr>
          <w:p>
            <w:pPr>
              <w:jc w:val="center"/>
              <w:ind w:left="1197"/>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426"/>
        </w:trPr>
        <w:tc>
          <w:tcPr>
            <w:tcW w:w="4780" w:type="dxa"/>
            <w:vAlign w:val="bottom"/>
            <w:gridSpan w:val="3"/>
          </w:tcPr>
          <w:p>
            <w:pPr>
              <w:jc w:val="center"/>
              <w:ind w:right="1260"/>
              <w:spacing w:after="0"/>
              <w:rPr>
                <w:sz w:val="20"/>
                <w:szCs w:val="20"/>
                <w:color w:val="auto"/>
              </w:rPr>
            </w:pPr>
            <w:r>
              <w:rPr>
                <w:rFonts w:ascii="Arial" w:cs="Arial" w:eastAsia="Arial" w:hAnsi="Arial"/>
                <w:sz w:val="18"/>
                <w:szCs w:val="18"/>
                <w:b w:val="1"/>
                <w:bCs w:val="1"/>
                <w:color w:val="auto"/>
                <w:w w:val="92"/>
              </w:rPr>
              <w:t>Dornierstraße 19</w:t>
            </w:r>
          </w:p>
        </w:tc>
        <w:tc>
          <w:tcPr>
            <w:tcW w:w="16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25"/>
        </w:trPr>
        <w:tc>
          <w:tcPr>
            <w:tcW w:w="4780" w:type="dxa"/>
            <w:vAlign w:val="bottom"/>
            <w:gridSpan w:val="3"/>
          </w:tcPr>
          <w:p>
            <w:pPr>
              <w:jc w:val="center"/>
              <w:ind w:right="1260"/>
              <w:spacing w:after="0"/>
              <w:rPr>
                <w:sz w:val="20"/>
                <w:szCs w:val="20"/>
                <w:color w:val="auto"/>
              </w:rPr>
            </w:pPr>
            <w:r>
              <w:rPr>
                <w:rFonts w:ascii="Arial" w:cs="Arial" w:eastAsia="Arial" w:hAnsi="Arial"/>
                <w:sz w:val="18"/>
                <w:szCs w:val="18"/>
                <w:b w:val="1"/>
                <w:bCs w:val="1"/>
                <w:color w:val="auto"/>
                <w:w w:val="92"/>
              </w:rPr>
              <w:t>Gilching, Germany</w:t>
            </w:r>
          </w:p>
        </w:tc>
        <w:tc>
          <w:tcPr>
            <w:tcW w:w="3400" w:type="dxa"/>
            <w:vAlign w:val="bottom"/>
            <w:gridSpan w:val="2"/>
          </w:tcPr>
          <w:p>
            <w:pPr>
              <w:jc w:val="center"/>
              <w:ind w:left="1597"/>
              <w:spacing w:after="0"/>
              <w:rPr>
                <w:sz w:val="20"/>
                <w:szCs w:val="20"/>
                <w:color w:val="auto"/>
              </w:rPr>
            </w:pPr>
            <w:r>
              <w:rPr>
                <w:rFonts w:ascii="Arial" w:cs="Arial" w:eastAsia="Arial" w:hAnsi="Arial"/>
                <w:sz w:val="18"/>
                <w:szCs w:val="18"/>
                <w:b w:val="1"/>
                <w:bCs w:val="1"/>
                <w:color w:val="auto"/>
                <w:w w:val="87"/>
              </w:rPr>
              <w:t>82205</w:t>
            </w:r>
          </w:p>
        </w:tc>
        <w:tc>
          <w:tcPr>
            <w:tcW w:w="400" w:type="dxa"/>
            <w:vAlign w:val="bottom"/>
          </w:tcPr>
          <w:p>
            <w:pPr>
              <w:spacing w:after="0"/>
              <w:rPr>
                <w:sz w:val="19"/>
                <w:szCs w:val="19"/>
                <w:color w:val="auto"/>
              </w:rPr>
            </w:pPr>
          </w:p>
        </w:tc>
      </w:tr>
      <w:tr>
        <w:trPr>
          <w:trHeight w:val="186"/>
        </w:trPr>
        <w:tc>
          <w:tcPr>
            <w:tcW w:w="4780" w:type="dxa"/>
            <w:vAlign w:val="bottom"/>
            <w:gridSpan w:val="3"/>
          </w:tcPr>
          <w:p>
            <w:pPr>
              <w:jc w:val="center"/>
              <w:ind w:right="1280"/>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680" w:type="dxa"/>
            <w:vAlign w:val="bottom"/>
          </w:tcPr>
          <w:p>
            <w:pPr>
              <w:spacing w:after="0"/>
              <w:rPr>
                <w:sz w:val="16"/>
                <w:szCs w:val="16"/>
                <w:color w:val="auto"/>
              </w:rPr>
            </w:pPr>
          </w:p>
        </w:tc>
        <w:tc>
          <w:tcPr>
            <w:tcW w:w="2120" w:type="dxa"/>
            <w:vAlign w:val="bottom"/>
            <w:gridSpan w:val="2"/>
          </w:tcPr>
          <w:p>
            <w:pPr>
              <w:jc w:val="center"/>
              <w:ind w:right="310"/>
              <w:spacing w:after="0"/>
              <w:rPr>
                <w:sz w:val="20"/>
                <w:szCs w:val="20"/>
                <w:color w:val="auto"/>
              </w:rPr>
            </w:pPr>
            <w:r>
              <w:rPr>
                <w:rFonts w:ascii="Arial" w:cs="Arial" w:eastAsia="Arial" w:hAnsi="Arial"/>
                <w:sz w:val="14"/>
                <w:szCs w:val="14"/>
                <w:b w:val="1"/>
                <w:bCs w:val="1"/>
                <w:color w:val="auto"/>
                <w:w w:val="98"/>
              </w:rPr>
              <w:t>(Zip Code)</w:t>
            </w:r>
          </w:p>
        </w:tc>
      </w:tr>
      <w:tr>
        <w:trPr>
          <w:trHeight w:val="417"/>
        </w:trPr>
        <w:tc>
          <w:tcPr>
            <w:tcW w:w="1200" w:type="dxa"/>
            <w:vAlign w:val="bottom"/>
          </w:tcPr>
          <w:p>
            <w:pPr>
              <w:spacing w:after="0"/>
              <w:rPr>
                <w:sz w:val="24"/>
                <w:szCs w:val="24"/>
                <w:color w:val="auto"/>
              </w:rPr>
            </w:pPr>
          </w:p>
        </w:tc>
        <w:tc>
          <w:tcPr>
            <w:tcW w:w="7380" w:type="dxa"/>
            <w:vAlign w:val="bottom"/>
            <w:gridSpan w:val="5"/>
          </w:tcPr>
          <w:p>
            <w:pPr>
              <w:ind w:left="880"/>
              <w:spacing w:after="0"/>
              <w:rPr>
                <w:sz w:val="20"/>
                <w:szCs w:val="20"/>
                <w:color w:val="auto"/>
              </w:rPr>
            </w:pPr>
            <w:r>
              <w:rPr>
                <w:rFonts w:ascii="Arial" w:cs="Arial" w:eastAsia="Arial" w:hAnsi="Arial"/>
                <w:sz w:val="18"/>
                <w:szCs w:val="18"/>
                <w:b w:val="1"/>
                <w:bCs w:val="1"/>
                <w:color w:val="auto"/>
              </w:rPr>
              <w:t>Securities to be registered pursuant to Section 12(b) of the Act:</w:t>
            </w:r>
          </w:p>
        </w:tc>
      </w:tr>
      <w:tr>
        <w:trPr>
          <w:trHeight w:val="369"/>
        </w:trPr>
        <w:tc>
          <w:tcPr>
            <w:tcW w:w="1200" w:type="dxa"/>
            <w:vAlign w:val="bottom"/>
          </w:tcPr>
          <w:p>
            <w:pPr>
              <w:spacing w:after="0"/>
              <w:rPr>
                <w:sz w:val="24"/>
                <w:szCs w:val="24"/>
                <w:color w:val="auto"/>
              </w:rPr>
            </w:pPr>
          </w:p>
        </w:tc>
        <w:tc>
          <w:tcPr>
            <w:tcW w:w="3580" w:type="dxa"/>
            <w:vAlign w:val="bottom"/>
            <w:gridSpan w:val="2"/>
          </w:tcPr>
          <w:p>
            <w:pPr>
              <w:jc w:val="center"/>
              <w:ind w:right="2460"/>
              <w:spacing w:after="0"/>
              <w:rPr>
                <w:sz w:val="20"/>
                <w:szCs w:val="20"/>
                <w:color w:val="auto"/>
              </w:rPr>
            </w:pPr>
            <w:r>
              <w:rPr>
                <w:rFonts w:ascii="Arial" w:cs="Arial" w:eastAsia="Arial" w:hAnsi="Arial"/>
                <w:sz w:val="14"/>
                <w:szCs w:val="14"/>
                <w:b w:val="1"/>
                <w:bCs w:val="1"/>
                <w:color w:val="auto"/>
                <w:w w:val="89"/>
              </w:rPr>
              <w:t>Title of each class</w:t>
            </w:r>
          </w:p>
        </w:tc>
        <w:tc>
          <w:tcPr>
            <w:tcW w:w="3800" w:type="dxa"/>
            <w:vAlign w:val="bottom"/>
            <w:gridSpan w:val="3"/>
          </w:tcPr>
          <w:p>
            <w:pPr>
              <w:jc w:val="center"/>
              <w:ind w:left="1197"/>
              <w:spacing w:after="0"/>
              <w:rPr>
                <w:sz w:val="20"/>
                <w:szCs w:val="20"/>
                <w:color w:val="auto"/>
              </w:rPr>
            </w:pPr>
            <w:r>
              <w:rPr>
                <w:rFonts w:ascii="Arial" w:cs="Arial" w:eastAsia="Arial" w:hAnsi="Arial"/>
                <w:sz w:val="14"/>
                <w:szCs w:val="14"/>
                <w:b w:val="1"/>
                <w:bCs w:val="1"/>
                <w:color w:val="auto"/>
                <w:w w:val="91"/>
              </w:rPr>
              <w:t>Name of each exchange on which</w:t>
            </w:r>
          </w:p>
        </w:tc>
      </w:tr>
      <w:tr>
        <w:trPr>
          <w:trHeight w:val="171"/>
        </w:trPr>
        <w:tc>
          <w:tcPr>
            <w:tcW w:w="120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 be so registered</w:t>
            </w:r>
          </w:p>
        </w:tc>
        <w:tc>
          <w:tcPr>
            <w:tcW w:w="24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each class is to be registered</w:t>
            </w:r>
          </w:p>
        </w:tc>
        <w:tc>
          <w:tcPr>
            <w:tcW w:w="400" w:type="dxa"/>
            <w:vAlign w:val="bottom"/>
          </w:tcPr>
          <w:p>
            <w:pPr>
              <w:spacing w:after="0"/>
              <w:rPr>
                <w:sz w:val="14"/>
                <w:szCs w:val="14"/>
                <w:color w:val="auto"/>
              </w:rPr>
            </w:pPr>
          </w:p>
        </w:tc>
      </w:tr>
      <w:tr>
        <w:trPr>
          <w:trHeight w:val="191"/>
        </w:trPr>
        <w:tc>
          <w:tcPr>
            <w:tcW w:w="1200" w:type="dxa"/>
            <w:vAlign w:val="bottom"/>
          </w:tcPr>
          <w:p>
            <w:pPr>
              <w:ind w:left="440"/>
              <w:spacing w:after="0" w:line="191" w:lineRule="exact"/>
              <w:rPr>
                <w:sz w:val="20"/>
                <w:szCs w:val="20"/>
                <w:color w:val="auto"/>
              </w:rPr>
            </w:pPr>
            <w:r>
              <w:rPr>
                <w:rFonts w:ascii="Arial" w:cs="Arial" w:eastAsia="Arial" w:hAnsi="Arial"/>
                <w:sz w:val="18"/>
                <w:szCs w:val="18"/>
                <w:b w:val="1"/>
                <w:bCs w:val="1"/>
                <w:color w:val="auto"/>
                <w:w w:val="90"/>
              </w:rPr>
              <w:t>American</w:t>
            </w:r>
          </w:p>
        </w:tc>
        <w:tc>
          <w:tcPr>
            <w:tcW w:w="3580" w:type="dxa"/>
            <w:vAlign w:val="bottom"/>
            <w:gridSpan w:val="2"/>
          </w:tcPr>
          <w:p>
            <w:pPr>
              <w:ind w:left="40"/>
              <w:spacing w:after="0" w:line="191" w:lineRule="exact"/>
              <w:rPr>
                <w:sz w:val="20"/>
                <w:szCs w:val="20"/>
                <w:color w:val="auto"/>
              </w:rPr>
            </w:pPr>
            <w:r>
              <w:rPr>
                <w:rFonts w:ascii="Arial" w:cs="Arial" w:eastAsia="Arial" w:hAnsi="Arial"/>
                <w:sz w:val="18"/>
                <w:szCs w:val="18"/>
                <w:b w:val="1"/>
                <w:bCs w:val="1"/>
                <w:color w:val="auto"/>
              </w:rPr>
              <w:t>Depositary Shares, each</w:t>
            </w:r>
          </w:p>
        </w:tc>
        <w:tc>
          <w:tcPr>
            <w:tcW w:w="1680" w:type="dxa"/>
            <w:vAlign w:val="bottom"/>
          </w:tcPr>
          <w:p>
            <w:pPr>
              <w:ind w:left="1320"/>
              <w:spacing w:after="0" w:line="191" w:lineRule="exact"/>
              <w:rPr>
                <w:sz w:val="20"/>
                <w:szCs w:val="20"/>
                <w:color w:val="auto"/>
              </w:rPr>
            </w:pPr>
            <w:r>
              <w:rPr>
                <w:rFonts w:ascii="Arial" w:cs="Arial" w:eastAsia="Arial" w:hAnsi="Arial"/>
                <w:sz w:val="18"/>
                <w:szCs w:val="18"/>
                <w:b w:val="1"/>
                <w:bCs w:val="1"/>
                <w:color w:val="auto"/>
              </w:rPr>
              <w:t>The</w:t>
            </w:r>
          </w:p>
        </w:tc>
        <w:tc>
          <w:tcPr>
            <w:tcW w:w="1720" w:type="dxa"/>
            <w:vAlign w:val="bottom"/>
          </w:tcPr>
          <w:p>
            <w:pPr>
              <w:spacing w:after="0" w:line="191" w:lineRule="exact"/>
              <w:rPr>
                <w:sz w:val="20"/>
                <w:szCs w:val="20"/>
                <w:color w:val="auto"/>
              </w:rPr>
            </w:pPr>
            <w:r>
              <w:rPr>
                <w:rFonts w:ascii="Arial" w:cs="Arial" w:eastAsia="Arial" w:hAnsi="Arial"/>
                <w:sz w:val="18"/>
                <w:szCs w:val="18"/>
                <w:b w:val="1"/>
                <w:bCs w:val="1"/>
                <w:color w:val="auto"/>
                <w:w w:val="93"/>
              </w:rPr>
              <w:t>Nasdaq Stock Market</w:t>
            </w:r>
          </w:p>
        </w:tc>
        <w:tc>
          <w:tcPr>
            <w:tcW w:w="400" w:type="dxa"/>
            <w:vAlign w:val="bottom"/>
          </w:tcPr>
          <w:p>
            <w:pPr>
              <w:spacing w:after="0" w:line="191" w:lineRule="exact"/>
              <w:rPr>
                <w:sz w:val="20"/>
                <w:szCs w:val="20"/>
                <w:color w:val="auto"/>
              </w:rPr>
            </w:pPr>
            <w:r>
              <w:rPr>
                <w:rFonts w:ascii="Arial" w:cs="Arial" w:eastAsia="Arial" w:hAnsi="Arial"/>
                <w:sz w:val="18"/>
                <w:szCs w:val="18"/>
                <w:b w:val="1"/>
                <w:bCs w:val="1"/>
                <w:color w:val="auto"/>
              </w:rPr>
              <w:t>LLC</w:t>
            </w:r>
          </w:p>
        </w:tc>
      </w:tr>
      <w:tr>
        <w:trPr>
          <w:trHeight w:val="230"/>
        </w:trPr>
        <w:tc>
          <w:tcPr>
            <w:tcW w:w="4780" w:type="dxa"/>
            <w:vAlign w:val="bottom"/>
            <w:gridSpan w:val="3"/>
          </w:tcPr>
          <w:p>
            <w:pPr>
              <w:jc w:val="center"/>
              <w:ind w:right="1260"/>
              <w:spacing w:after="0"/>
              <w:rPr>
                <w:sz w:val="20"/>
                <w:szCs w:val="20"/>
                <w:color w:val="auto"/>
              </w:rPr>
            </w:pPr>
            <w:r>
              <w:rPr>
                <w:rFonts w:ascii="Arial" w:cs="Arial" w:eastAsia="Arial" w:hAnsi="Arial"/>
                <w:sz w:val="18"/>
                <w:szCs w:val="18"/>
                <w:b w:val="1"/>
                <w:bCs w:val="1"/>
                <w:color w:val="auto"/>
                <w:w w:val="89"/>
              </w:rPr>
              <w:t>representing one-fourth of one ordinary share</w:t>
            </w:r>
          </w:p>
        </w:tc>
        <w:tc>
          <w:tcPr>
            <w:tcW w:w="16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34"/>
        </w:trPr>
        <w:tc>
          <w:tcPr>
            <w:tcW w:w="4780" w:type="dxa"/>
            <w:vAlign w:val="bottom"/>
            <w:gridSpan w:val="3"/>
          </w:tcPr>
          <w:p>
            <w:pPr>
              <w:jc w:val="center"/>
              <w:ind w:right="1260"/>
              <w:spacing w:after="0"/>
              <w:rPr>
                <w:sz w:val="20"/>
                <w:szCs w:val="20"/>
                <w:color w:val="auto"/>
              </w:rPr>
            </w:pPr>
            <w:r>
              <w:rPr>
                <w:rFonts w:ascii="Arial" w:cs="Arial" w:eastAsia="Arial" w:hAnsi="Arial"/>
                <w:sz w:val="18"/>
                <w:szCs w:val="18"/>
                <w:b w:val="1"/>
                <w:bCs w:val="1"/>
                <w:color w:val="auto"/>
                <w:w w:val="91"/>
              </w:rPr>
              <w:t>Ordinary shares, no par value*</w:t>
            </w:r>
          </w:p>
        </w:tc>
        <w:tc>
          <w:tcPr>
            <w:tcW w:w="3800" w:type="dxa"/>
            <w:vAlign w:val="bottom"/>
            <w:gridSpan w:val="3"/>
          </w:tcPr>
          <w:p>
            <w:pPr>
              <w:jc w:val="center"/>
              <w:ind w:left="1197"/>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231140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ind w:left="4" w:right="720"/>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12(b) of the Exchange Act and is effective pursuant to General Instruction A.(c) or (e),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ind w:left="4" w:right="720"/>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12(g) of the Exchange Act and is effective pursuant to General Instruction A.(d) or (e), check the following box. </w:t>
      </w:r>
      <w:r>
        <w:rPr>
          <w:rFonts w:ascii="MS PGothic" w:cs="MS PGothic" w:eastAsia="MS PGothic" w:hAnsi="MS PGothic"/>
          <w:sz w:val="18"/>
          <w:szCs w:val="18"/>
          <w:color w:val="auto"/>
        </w:rPr>
        <w:t>☐</w:t>
      </w:r>
    </w:p>
    <w:p>
      <w:pPr>
        <w:spacing w:after="0" w:line="150"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If this form relates to the registration of a class of securities concurrently with a Regulation A offering, check the following box. </w:t>
      </w:r>
      <w:r>
        <w:rPr>
          <w:rFonts w:ascii="MS PGothic" w:cs="MS PGothic" w:eastAsia="MS PGothic" w:hAnsi="MS PGothic"/>
          <w:sz w:val="18"/>
          <w:szCs w:val="18"/>
          <w:color w:val="auto"/>
        </w:rPr>
        <w:t>☐</w:t>
      </w:r>
    </w:p>
    <w:p>
      <w:pPr>
        <w:spacing w:after="0" w:line="254" w:lineRule="exact"/>
        <w:rPr>
          <w:sz w:val="24"/>
          <w:szCs w:val="24"/>
          <w:color w:val="auto"/>
        </w:rPr>
      </w:pPr>
    </w:p>
    <w:p>
      <w:pPr>
        <w:jc w:val="center"/>
        <w:ind w:right="-23"/>
        <w:spacing w:after="0"/>
        <w:rPr>
          <w:sz w:val="20"/>
          <w:szCs w:val="20"/>
          <w:color w:val="auto"/>
        </w:rPr>
      </w:pPr>
      <w:r>
        <w:rPr>
          <w:rFonts w:ascii="Arial" w:cs="Arial" w:eastAsia="Arial" w:hAnsi="Arial"/>
          <w:sz w:val="18"/>
          <w:szCs w:val="18"/>
          <w:b w:val="1"/>
          <w:bCs w:val="1"/>
          <w:color w:val="auto"/>
        </w:rPr>
        <w:t>Securities Act registration statement or Regulation A offering statement file number to which this form relates:</w:t>
      </w:r>
    </w:p>
    <w:p>
      <w:pPr>
        <w:spacing w:after="0" w:line="27" w:lineRule="exact"/>
        <w:rPr>
          <w:sz w:val="24"/>
          <w:szCs w:val="24"/>
          <w:color w:val="auto"/>
        </w:rPr>
      </w:pPr>
    </w:p>
    <w:p>
      <w:pPr>
        <w:jc w:val="center"/>
        <w:ind w:right="-23"/>
        <w:spacing w:after="0"/>
        <w:rPr>
          <w:sz w:val="20"/>
          <w:szCs w:val="20"/>
          <w:color w:val="auto"/>
        </w:rPr>
      </w:pPr>
      <w:r>
        <w:rPr>
          <w:rFonts w:ascii="Arial" w:cs="Arial" w:eastAsia="Arial" w:hAnsi="Arial"/>
          <w:sz w:val="18"/>
          <w:szCs w:val="18"/>
          <w:b w:val="1"/>
          <w:bCs w:val="1"/>
          <w:color w:val="auto"/>
        </w:rPr>
        <w:t>333- 260357</w:t>
      </w:r>
    </w:p>
    <w:p>
      <w:pPr>
        <w:spacing w:after="0" w:line="207" w:lineRule="exact"/>
        <w:rPr>
          <w:sz w:val="24"/>
          <w:szCs w:val="24"/>
          <w:color w:val="auto"/>
        </w:rPr>
      </w:pPr>
    </w:p>
    <w:p>
      <w:pPr>
        <w:jc w:val="center"/>
        <w:ind w:right="-23"/>
        <w:spacing w:after="0"/>
        <w:rPr>
          <w:sz w:val="20"/>
          <w:szCs w:val="20"/>
          <w:color w:val="auto"/>
        </w:rPr>
      </w:pPr>
      <w:r>
        <w:rPr>
          <w:rFonts w:ascii="Arial" w:cs="Arial" w:eastAsia="Arial" w:hAnsi="Arial"/>
          <w:sz w:val="18"/>
          <w:szCs w:val="18"/>
          <w:b w:val="1"/>
          <w:bCs w:val="1"/>
          <w:color w:val="auto"/>
        </w:rPr>
        <w:t>Securities to be registered pursuant to Section 12(g) of the Act:</w:t>
      </w:r>
    </w:p>
    <w:p>
      <w:pPr>
        <w:spacing w:after="0" w:line="27" w:lineRule="exact"/>
        <w:rPr>
          <w:sz w:val="24"/>
          <w:szCs w:val="24"/>
          <w:color w:val="auto"/>
        </w:rPr>
      </w:pPr>
    </w:p>
    <w:p>
      <w:pPr>
        <w:jc w:val="center"/>
        <w:ind w:right="-23"/>
        <w:spacing w:after="0"/>
        <w:rPr>
          <w:sz w:val="20"/>
          <w:szCs w:val="20"/>
          <w:color w:val="auto"/>
        </w:rPr>
      </w:pPr>
      <w:r>
        <w:rPr>
          <w:rFonts w:ascii="Arial" w:cs="Arial" w:eastAsia="Arial" w:hAnsi="Arial"/>
          <w:sz w:val="18"/>
          <w:szCs w:val="18"/>
          <w:b w:val="1"/>
          <w:bCs w:val="1"/>
          <w:color w:val="auto"/>
        </w:rPr>
        <w:t>None</w:t>
      </w:r>
    </w:p>
    <w:p>
      <w:pPr>
        <w:spacing w:after="0" w:line="238" w:lineRule="exact"/>
        <w:rPr>
          <w:sz w:val="24"/>
          <w:szCs w:val="24"/>
          <w:color w:val="auto"/>
        </w:rPr>
      </w:pPr>
    </w:p>
    <w:p>
      <w:pPr>
        <w:ind w:left="424" w:hanging="424"/>
        <w:spacing w:after="0" w:line="279" w:lineRule="auto"/>
        <w:tabs>
          <w:tab w:leader="none" w:pos="424" w:val="left"/>
        </w:tabs>
        <w:numPr>
          <w:ilvl w:val="0"/>
          <w:numId w:val="1"/>
        </w:numPr>
        <w:rPr>
          <w:rFonts w:ascii="Arial" w:cs="Arial" w:eastAsia="Arial" w:hAnsi="Arial"/>
          <w:sz w:val="17"/>
          <w:szCs w:val="17"/>
          <w:color w:val="auto"/>
        </w:rPr>
      </w:pPr>
      <w:r>
        <w:rPr>
          <w:rFonts w:ascii="Arial" w:cs="Arial" w:eastAsia="Arial" w:hAnsi="Arial"/>
          <w:sz w:val="17"/>
          <w:szCs w:val="17"/>
          <w:color w:val="auto"/>
        </w:rPr>
        <w:t>Not for trading, but only in connection with the listing of the American Depositary Shares on The Nasdaq Stock Market LLC. The American Depositary Shares each represent one-fourth of one ordinary share and are being registered under the Securities Act of 1933, as amended, pursuant to a separate Registration Statement on Form F-6 (File No. 333-260613). Accordingly, the American Depositary Shares are exempt from the operation of Section 12(a) of the Securities Exchange Act of 1934, as amended, pursuant to Rule 12a-8.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126365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168910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04"/>
          </w:cols>
          <w:pgMar w:left="436" w:top="368" w:right="4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 Description of Registrant’s Securities to be Registered.</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Mynaric AG (the “Company”) hereby incorporates by reference (a) the description of its ordinary shares, no par value, contained under the heading</w:t>
      </w:r>
    </w:p>
    <w:p>
      <w:pPr>
        <w:spacing w:after="0" w:line="4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Description of Share Capital and Articles of Association</w:t>
      </w:r>
      <w:r>
        <w:rPr>
          <w:rFonts w:ascii="Arial" w:cs="Arial" w:eastAsia="Arial" w:hAnsi="Arial"/>
          <w:sz w:val="17"/>
          <w:szCs w:val="17"/>
          <w:color w:val="auto"/>
        </w:rPr>
        <w:t>,” (b) the description of its American Depositary Shares, each representing one-fourth of one ordinary share, no par value, contained under the heading “</w:t>
      </w:r>
      <w:r>
        <w:rPr>
          <w:rFonts w:ascii="Arial" w:cs="Arial" w:eastAsia="Arial" w:hAnsi="Arial"/>
          <w:sz w:val="17"/>
          <w:szCs w:val="17"/>
          <w:i w:val="1"/>
          <w:iCs w:val="1"/>
          <w:color w:val="auto"/>
        </w:rPr>
        <w:t>Description of American Depositary Shares</w:t>
      </w:r>
      <w:r>
        <w:rPr>
          <w:rFonts w:ascii="Arial" w:cs="Arial" w:eastAsia="Arial" w:hAnsi="Arial"/>
          <w:sz w:val="17"/>
          <w:szCs w:val="17"/>
          <w:color w:val="auto"/>
        </w:rPr>
        <w:t>” and (c) the information set forth under the heading “</w:t>
      </w:r>
      <w:r>
        <w:rPr>
          <w:rFonts w:ascii="Arial" w:cs="Arial" w:eastAsia="Arial" w:hAnsi="Arial"/>
          <w:sz w:val="17"/>
          <w:szCs w:val="17"/>
          <w:i w:val="1"/>
          <w:iCs w:val="1"/>
          <w:color w:val="auto"/>
        </w:rPr>
        <w:t>Taxation</w:t>
      </w:r>
      <w:r>
        <w:rPr>
          <w:rFonts w:ascii="Arial" w:cs="Arial" w:eastAsia="Arial" w:hAnsi="Arial"/>
          <w:sz w:val="17"/>
          <w:szCs w:val="17"/>
          <w:color w:val="auto"/>
        </w:rPr>
        <w:t>,” in each case, in the Company’s Registration Statement on Form F-1 (File No. 333-260357), originally filed with the Securities and Exchange Commission (the “Commission”) on October 19, 2021, as subsequently amended (the “Registration Statement”), and any prospectus that constitutes part of the Registration Statement to be filed separately by the Company with the Commission pursuant to Rule 424(b) under the Securities Act of 1933, as amended, which information shall also be deemed to be incorporated herein by reference.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Exhibits.</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accordance with the “Instructions as to Exhibits” for Form 8-A, no exhibits are required to be filed as part of this registration statement because no other securities of the Company are registered on The Nasdaq Stock Market LLC, and the securities registered hereby are not being registered pursuant to Section 12(g) of the Securities Exchange Act of 1934, as amended.</w:t>
      </w:r>
    </w:p>
    <w:p>
      <w:pPr>
        <w:sectPr>
          <w:pgSz w:w="11900" w:h="16838" w:orient="portrait"/>
          <w:cols w:equalWidth="0" w:num="1">
            <w:col w:w="10880"/>
          </w:cols>
          <w:pgMar w:left="440" w:top="270" w:right="5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12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MYNARIC AG</w:t>
            </w:r>
          </w:p>
        </w:tc>
      </w:tr>
      <w:tr>
        <w:trPr>
          <w:trHeight w:val="432"/>
        </w:trPr>
        <w:tc>
          <w:tcPr>
            <w:tcW w:w="3580" w:type="dxa"/>
            <w:vAlign w:val="bottom"/>
          </w:tcPr>
          <w:p>
            <w:pPr>
              <w:spacing w:after="0"/>
              <w:rPr>
                <w:sz w:val="20"/>
                <w:szCs w:val="20"/>
                <w:color w:val="auto"/>
              </w:rPr>
            </w:pPr>
            <w:r>
              <w:rPr>
                <w:rFonts w:ascii="Arial" w:cs="Arial" w:eastAsia="Arial" w:hAnsi="Arial"/>
                <w:sz w:val="18"/>
                <w:szCs w:val="18"/>
                <w:color w:val="auto"/>
              </w:rPr>
              <w:t>Dated: November 8, 2021</w:t>
            </w:r>
          </w:p>
        </w:tc>
        <w:tc>
          <w:tcPr>
            <w:tcW w:w="2160" w:type="dxa"/>
            <w:vAlign w:val="bottom"/>
          </w:tcPr>
          <w:p>
            <w:pPr>
              <w:ind w:left="1740"/>
              <w:spacing w:after="0"/>
              <w:rPr>
                <w:sz w:val="20"/>
                <w:szCs w:val="20"/>
                <w:color w:val="auto"/>
              </w:rPr>
            </w:pPr>
            <w:r>
              <w:rPr>
                <w:rFonts w:ascii="Arial" w:cs="Arial" w:eastAsia="Arial" w:hAnsi="Arial"/>
                <w:sz w:val="18"/>
                <w:szCs w:val="18"/>
                <w:color w:val="auto"/>
              </w:rPr>
              <w:t>By:</w:t>
            </w:r>
          </w:p>
        </w:tc>
        <w:tc>
          <w:tcPr>
            <w:tcW w:w="5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Bulent Altan</w:t>
            </w:r>
          </w:p>
        </w:tc>
      </w:tr>
      <w:tr>
        <w:trPr>
          <w:trHeight w:val="209"/>
        </w:trPr>
        <w:tc>
          <w:tcPr>
            <w:tcW w:w="35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700" w:type="dxa"/>
            <w:vAlign w:val="bottom"/>
          </w:tcPr>
          <w:p>
            <w:pPr>
              <w:ind w:left="80"/>
              <w:spacing w:after="0"/>
              <w:rPr>
                <w:sz w:val="20"/>
                <w:szCs w:val="20"/>
                <w:color w:val="auto"/>
              </w:rPr>
            </w:pPr>
            <w:r>
              <w:rPr>
                <w:rFonts w:ascii="Arial" w:cs="Arial" w:eastAsia="Arial" w:hAnsi="Arial"/>
                <w:sz w:val="18"/>
                <w:szCs w:val="18"/>
                <w:color w:val="auto"/>
              </w:rPr>
              <w:t>Bulent Altan</w:t>
            </w:r>
          </w:p>
        </w:tc>
      </w:tr>
      <w:tr>
        <w:trPr>
          <w:trHeight w:val="230"/>
        </w:trPr>
        <w:tc>
          <w:tcPr>
            <w:tcW w:w="35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700" w:type="dxa"/>
            <w:vAlign w:val="bottom"/>
          </w:tcPr>
          <w:p>
            <w:pPr>
              <w:ind w:left="80"/>
              <w:spacing w:after="0"/>
              <w:rPr>
                <w:sz w:val="20"/>
                <w:szCs w:val="20"/>
                <w:color w:val="auto"/>
              </w:rPr>
            </w:pPr>
            <w:r>
              <w:rPr>
                <w:rFonts w:ascii="Arial" w:cs="Arial" w:eastAsia="Arial" w:hAnsi="Arial"/>
                <w:sz w:val="18"/>
                <w:szCs w:val="18"/>
                <w:color w:val="auto"/>
              </w:rPr>
              <w:t>Chief Executive Officer</w:t>
            </w:r>
          </w:p>
        </w:tc>
      </w:tr>
      <w:tr>
        <w:trPr>
          <w:trHeight w:val="432"/>
        </w:trPr>
        <w:tc>
          <w:tcPr>
            <w:tcW w:w="3580" w:type="dxa"/>
            <w:vAlign w:val="bottom"/>
          </w:tcPr>
          <w:p>
            <w:pPr>
              <w:spacing w:after="0"/>
              <w:rPr>
                <w:sz w:val="20"/>
                <w:szCs w:val="20"/>
                <w:color w:val="auto"/>
              </w:rPr>
            </w:pPr>
            <w:r>
              <w:rPr>
                <w:rFonts w:ascii="Arial" w:cs="Arial" w:eastAsia="Arial" w:hAnsi="Arial"/>
                <w:sz w:val="18"/>
                <w:szCs w:val="18"/>
                <w:color w:val="auto"/>
              </w:rPr>
              <w:t>Dated: November 8, 2021</w:t>
            </w:r>
          </w:p>
        </w:tc>
        <w:tc>
          <w:tcPr>
            <w:tcW w:w="2160" w:type="dxa"/>
            <w:vAlign w:val="bottom"/>
          </w:tcPr>
          <w:p>
            <w:pPr>
              <w:ind w:left="1740"/>
              <w:spacing w:after="0"/>
              <w:rPr>
                <w:sz w:val="20"/>
                <w:szCs w:val="20"/>
                <w:color w:val="auto"/>
              </w:rPr>
            </w:pPr>
            <w:r>
              <w:rPr>
                <w:rFonts w:ascii="Arial" w:cs="Arial" w:eastAsia="Arial" w:hAnsi="Arial"/>
                <w:sz w:val="18"/>
                <w:szCs w:val="18"/>
                <w:color w:val="auto"/>
              </w:rPr>
              <w:t>By:</w:t>
            </w:r>
          </w:p>
        </w:tc>
        <w:tc>
          <w:tcPr>
            <w:tcW w:w="5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Stefan Berndt-von Bülow</w:t>
            </w:r>
          </w:p>
        </w:tc>
      </w:tr>
      <w:tr>
        <w:trPr>
          <w:trHeight w:val="209"/>
        </w:trPr>
        <w:tc>
          <w:tcPr>
            <w:tcW w:w="35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700" w:type="dxa"/>
            <w:vAlign w:val="bottom"/>
          </w:tcPr>
          <w:p>
            <w:pPr>
              <w:ind w:left="80"/>
              <w:spacing w:after="0"/>
              <w:rPr>
                <w:sz w:val="20"/>
                <w:szCs w:val="20"/>
                <w:color w:val="auto"/>
              </w:rPr>
            </w:pPr>
            <w:r>
              <w:rPr>
                <w:rFonts w:ascii="Arial" w:cs="Arial" w:eastAsia="Arial" w:hAnsi="Arial"/>
                <w:sz w:val="18"/>
                <w:szCs w:val="18"/>
                <w:color w:val="auto"/>
              </w:rPr>
              <w:t>Stefan Berndt-von Bülow</w:t>
            </w:r>
          </w:p>
        </w:tc>
      </w:tr>
      <w:tr>
        <w:trPr>
          <w:trHeight w:val="230"/>
        </w:trPr>
        <w:tc>
          <w:tcPr>
            <w:tcW w:w="35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700" w:type="dxa"/>
            <w:vAlign w:val="bottom"/>
          </w:tcPr>
          <w:p>
            <w:pPr>
              <w:ind w:left="8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2021-11-09T05:15:20Z</dcterms:created>
  <dcterms:modified xsi:type="dcterms:W3CDTF">2021-11-09T05:15:20Z</dcterms:modified>
</cp:coreProperties>
</file>