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205" w:lineRule="exact"/>
        <w:rPr>
          <w:sz w:val="24"/>
          <w:szCs w:val="24"/>
          <w:color w:val="auto"/>
        </w:rPr>
      </w:pPr>
    </w:p>
    <w:p>
      <w:pPr>
        <w:jc w:val="center"/>
        <w:ind w:right="-1140"/>
        <w:spacing w:after="0"/>
        <w:rPr>
          <w:sz w:val="20"/>
          <w:szCs w:val="20"/>
          <w:color w:val="auto"/>
        </w:rPr>
      </w:pPr>
      <w:r>
        <w:rPr>
          <w:rFonts w:ascii="Arial" w:cs="Arial" w:eastAsia="Arial" w:hAnsi="Arial"/>
          <w:sz w:val="10"/>
          <w:szCs w:val="10"/>
          <w:b w:val="1"/>
          <w:bCs w:val="1"/>
          <w:color w:val="auto"/>
        </w:rPr>
        <w:t>Amendment No. 2 to the draft registration statement as confidentially submitted to the U.S. Securities and Exchange Commission on September 24, 2021.</w:t>
      </w:r>
    </w:p>
    <w:p>
      <w:pPr>
        <w:spacing w:after="0" w:line="25" w:lineRule="exact"/>
        <w:rPr>
          <w:sz w:val="24"/>
          <w:szCs w:val="24"/>
          <w:color w:val="auto"/>
        </w:rPr>
      </w:pPr>
    </w:p>
    <w:p>
      <w:pPr>
        <w:jc w:val="center"/>
        <w:ind w:right="-1140"/>
        <w:spacing w:after="0"/>
        <w:rPr>
          <w:sz w:val="20"/>
          <w:szCs w:val="20"/>
          <w:color w:val="auto"/>
        </w:rPr>
      </w:pPr>
      <w:r>
        <w:rPr>
          <w:rFonts w:ascii="Arial" w:cs="Arial" w:eastAsia="Arial" w:hAnsi="Arial"/>
          <w:sz w:val="11"/>
          <w:szCs w:val="11"/>
          <w:b w:val="1"/>
          <w:bCs w:val="1"/>
          <w:color w:val="auto"/>
        </w:rPr>
        <w:t>This draft registration statement has not been publicly filed with the</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1"/>
          <w:szCs w:val="11"/>
          <w:b w:val="1"/>
          <w:bCs w:val="1"/>
          <w:color w:val="auto"/>
        </w:rPr>
        <w:t>U.S. Securities and Exchange Commission and all information herein remains strictly confidential.</w:t>
      </w:r>
    </w:p>
    <w:p>
      <w:pPr>
        <w:spacing w:after="0" w:line="144" w:lineRule="exact"/>
        <w:rPr>
          <w:sz w:val="24"/>
          <w:szCs w:val="24"/>
          <w:color w:val="auto"/>
        </w:rPr>
      </w:pPr>
    </w:p>
    <w:p>
      <w:pPr>
        <w:ind w:left="7920"/>
        <w:spacing w:after="0"/>
        <w:rPr>
          <w:sz w:val="20"/>
          <w:szCs w:val="20"/>
          <w:color w:val="auto"/>
        </w:rPr>
      </w:pPr>
      <w:r>
        <w:rPr>
          <w:rFonts w:ascii="Arial" w:cs="Arial" w:eastAsia="Arial" w:hAnsi="Arial"/>
          <w:sz w:val="10"/>
          <w:szCs w:val="10"/>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83820</wp:posOffset>
            </wp:positionV>
            <wp:extent cx="46634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2286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129540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5"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140"/>
        <w:spacing w:after="0"/>
        <w:rPr>
          <w:sz w:val="20"/>
          <w:szCs w:val="20"/>
          <w:color w:val="auto"/>
        </w:rPr>
      </w:pPr>
      <w:r>
        <w:rPr>
          <w:rFonts w:ascii="Arial" w:cs="Arial" w:eastAsia="Arial" w:hAnsi="Arial"/>
          <w:sz w:val="12"/>
          <w:szCs w:val="12"/>
          <w:b w:val="1"/>
          <w:bCs w:val="1"/>
          <w:color w:val="auto"/>
        </w:rPr>
        <w:t>Washington, D.C. 20549</w:t>
      </w:r>
    </w:p>
    <w:p>
      <w:pPr>
        <w:spacing w:after="0" w:line="55"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FORM F-1</w:t>
      </w:r>
    </w:p>
    <w:p>
      <w:pPr>
        <w:spacing w:after="0" w:line="29"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REGISTRATION STATEMENT</w:t>
      </w:r>
    </w:p>
    <w:p>
      <w:pPr>
        <w:spacing w:after="0" w:line="8"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UNDER</w:t>
      </w:r>
    </w:p>
    <w:p>
      <w:pPr>
        <w:spacing w:after="0" w:line="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52" w:lineRule="exact"/>
        <w:rPr>
          <w:sz w:val="24"/>
          <w:szCs w:val="24"/>
          <w:color w:val="auto"/>
        </w:rPr>
      </w:pPr>
    </w:p>
    <w:p>
      <w:pPr>
        <w:jc w:val="center"/>
        <w:ind w:right="-1140"/>
        <w:spacing w:after="0"/>
        <w:rPr>
          <w:sz w:val="20"/>
          <w:szCs w:val="20"/>
          <w:color w:val="auto"/>
        </w:rPr>
      </w:pPr>
      <w:r>
        <w:rPr>
          <w:rFonts w:ascii="Arial" w:cs="Arial" w:eastAsia="Arial" w:hAnsi="Arial"/>
          <w:sz w:val="24"/>
          <w:szCs w:val="24"/>
          <w:b w:val="1"/>
          <w:bCs w:val="1"/>
          <w:color w:val="auto"/>
        </w:rPr>
        <w:t>MYNARIC AG</w:t>
      </w:r>
    </w:p>
    <w:p>
      <w:pPr>
        <w:spacing w:after="0" w:line="23" w:lineRule="exact"/>
        <w:rPr>
          <w:sz w:val="24"/>
          <w:szCs w:val="24"/>
          <w:color w:val="auto"/>
        </w:rPr>
      </w:pPr>
    </w:p>
    <w:p>
      <w:pPr>
        <w:ind w:left="4540"/>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139" w:lineRule="exact"/>
        <w:rPr>
          <w:sz w:val="24"/>
          <w:szCs w:val="24"/>
          <w:color w:val="auto"/>
        </w:rPr>
      </w:pPr>
    </w:p>
    <w:tbl>
      <w:tblPr>
        <w:tblLayout w:type="fixed"/>
        <w:tblInd w:w="2520" w:type="dxa"/>
        <w:tblCellMar>
          <w:top w:w="0" w:type="dxa"/>
          <w:left w:w="0" w:type="dxa"/>
          <w:bottom w:w="0" w:type="dxa"/>
          <w:right w:w="0" w:type="dxa"/>
        </w:tblCellMar>
      </w:tblPr>
      <w:tr>
        <w:trPr>
          <w:trHeight w:val="144"/>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89"/>
              </w:rPr>
              <w:t>Federal Republic of</w:t>
            </w: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89"/>
              </w:rPr>
              <w:t>4899</w:t>
            </w:r>
          </w:p>
        </w:tc>
        <w:tc>
          <w:tcPr>
            <w:tcW w:w="1700" w:type="dxa"/>
            <w:vAlign w:val="bottom"/>
          </w:tcPr>
          <w:p>
            <w:pPr>
              <w:jc w:val="center"/>
              <w:ind w:left="520"/>
              <w:spacing w:after="0"/>
              <w:rPr>
                <w:sz w:val="20"/>
                <w:szCs w:val="20"/>
                <w:color w:val="auto"/>
              </w:rPr>
            </w:pPr>
            <w:r>
              <w:rPr>
                <w:rFonts w:ascii="Arial" w:cs="Arial" w:eastAsia="Arial" w:hAnsi="Arial"/>
                <w:sz w:val="12"/>
                <w:szCs w:val="12"/>
                <w:b w:val="1"/>
                <w:bCs w:val="1"/>
                <w:color w:val="auto"/>
                <w:w w:val="96"/>
              </w:rPr>
              <w:t>N/A</w:t>
            </w:r>
          </w:p>
        </w:tc>
      </w:tr>
      <w:tr>
        <w:trPr>
          <w:trHeight w:val="148"/>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92"/>
              </w:rPr>
              <w:t>Germany</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(Primary Standard Industrial</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2"/>
              </w:rPr>
              <w:t>(IRS Employer</w:t>
            </w:r>
          </w:p>
        </w:tc>
      </w:tr>
      <w:tr>
        <w:trPr>
          <w:trHeight w:val="153"/>
        </w:trPr>
        <w:tc>
          <w:tcPr>
            <w:tcW w:w="1940" w:type="dxa"/>
            <w:vAlign w:val="bottom"/>
          </w:tcPr>
          <w:p>
            <w:pPr>
              <w:jc w:val="center"/>
              <w:ind w:right="480"/>
              <w:spacing w:after="0"/>
              <w:rPr>
                <w:sz w:val="20"/>
                <w:szCs w:val="20"/>
                <w:color w:val="auto"/>
              </w:rPr>
            </w:pPr>
            <w:r>
              <w:rPr>
                <w:rFonts w:ascii="Arial" w:cs="Arial" w:eastAsia="Arial" w:hAnsi="Arial"/>
                <w:sz w:val="12"/>
                <w:szCs w:val="12"/>
                <w:color w:val="auto"/>
                <w:w w:val="93"/>
              </w:rPr>
              <w:t>(State or other jurisdiction of</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Classification Code Number)</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5"/>
              </w:rPr>
              <w:t>Identification Number)</w:t>
            </w:r>
          </w:p>
        </w:tc>
      </w:tr>
    </w:tbl>
    <w:p>
      <w:pPr>
        <w:ind w:left="2500"/>
        <w:spacing w:after="0"/>
        <w:rPr>
          <w:sz w:val="20"/>
          <w:szCs w:val="20"/>
          <w:color w:val="auto"/>
        </w:rPr>
      </w:pPr>
      <w:r>
        <w:rPr>
          <w:rFonts w:ascii="Arial" w:cs="Arial" w:eastAsia="Arial" w:hAnsi="Arial"/>
          <w:sz w:val="12"/>
          <w:szCs w:val="12"/>
          <w:color w:val="auto"/>
        </w:rPr>
        <w:t>incorporation or organization)</w:t>
      </w:r>
    </w:p>
    <w:p>
      <w:pPr>
        <w:spacing w:after="0" w:line="137"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Dornierstraße 19</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82205 Gilching, Germany</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+49 (0) 8105 79990</w:t>
      </w:r>
    </w:p>
    <w:p>
      <w:pPr>
        <w:jc w:val="center"/>
        <w:ind w:right="-1140"/>
        <w:spacing w:after="0"/>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2"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Puglisi &amp; Associates</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850 Library Avenue, Suite 204</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Newark, Delaware 19711</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+1 (302) 738-6680</w:t>
      </w:r>
    </w:p>
    <w:p>
      <w:pPr>
        <w:jc w:val="center"/>
        <w:ind w:right="-1140"/>
        <w:spacing w:after="0"/>
        <w:rPr>
          <w:sz w:val="20"/>
          <w:szCs w:val="20"/>
          <w:color w:val="auto"/>
        </w:rPr>
      </w:pPr>
      <w:r>
        <w:rPr>
          <w:rFonts w:ascii="Arial" w:cs="Arial" w:eastAsia="Arial" w:hAnsi="Arial"/>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Copies of all communications, including communications</w:t>
      </w:r>
    </w:p>
    <w:p>
      <w:pPr>
        <w:spacing w:after="0" w:line="1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sent to agent for service, should be sent to:</w:t>
      </w:r>
    </w:p>
    <w:p>
      <w:pPr>
        <w:spacing w:after="0" w:line="159" w:lineRule="exact"/>
        <w:rPr>
          <w:sz w:val="24"/>
          <w:szCs w:val="24"/>
          <w:color w:val="auto"/>
        </w:rPr>
      </w:pPr>
    </w:p>
    <w:tbl>
      <w:tblPr>
        <w:tblLayout w:type="fixed"/>
        <w:tblInd w:w="3200" w:type="dxa"/>
        <w:tblCellMar>
          <w:top w:w="0" w:type="dxa"/>
          <w:left w:w="0" w:type="dxa"/>
          <w:bottom w:w="0" w:type="dxa"/>
          <w:right w:w="0" w:type="dxa"/>
        </w:tblCellMar>
      </w:tblP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3"/>
              </w:rPr>
              <w:t>Krystian M. Czerniecki</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1"/>
              </w:rPr>
              <w:t>Craig F. Arcella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4"/>
              </w:rPr>
              <w:t>Sullivan &amp; Cromwell LLP</w:t>
            </w:r>
          </w:p>
        </w:tc>
        <w:tc>
          <w:tcPr>
            <w:tcW w:w="2640" w:type="dxa"/>
            <w:vAlign w:val="bottom"/>
          </w:tcPr>
          <w:p>
            <w:pPr>
              <w:jc w:val="center"/>
              <w:ind w:left="1146"/>
              <w:spacing w:after="0"/>
              <w:rPr>
                <w:sz w:val="20"/>
                <w:szCs w:val="20"/>
                <w:color w:val="auto"/>
              </w:rPr>
            </w:pPr>
            <w:r>
              <w:rPr>
                <w:rFonts w:ascii="Arial" w:cs="Arial" w:eastAsia="Arial" w:hAnsi="Arial"/>
                <w:sz w:val="11"/>
                <w:szCs w:val="11"/>
                <w:b w:val="1"/>
                <w:bCs w:val="1"/>
                <w:color w:val="auto"/>
                <w:w w:val="88"/>
              </w:rPr>
              <w:t>Sasha Rosenthal-Larrea</w:t>
            </w:r>
          </w:p>
        </w:tc>
      </w:tr>
      <w:tr>
        <w:trPr>
          <w:trHeight w:val="135"/>
        </w:trPr>
        <w:tc>
          <w:tcPr>
            <w:tcW w:w="2420" w:type="dxa"/>
            <w:vAlign w:val="bottom"/>
          </w:tcPr>
          <w:p>
            <w:pPr>
              <w:jc w:val="center"/>
              <w:ind w:right="1126"/>
              <w:spacing w:after="0"/>
              <w:rPr>
                <w:sz w:val="20"/>
                <w:szCs w:val="20"/>
                <w:color w:val="auto"/>
              </w:rPr>
            </w:pPr>
            <w:r>
              <w:rPr>
                <w:rFonts w:ascii="Arial" w:cs="Arial" w:eastAsia="Arial" w:hAnsi="Arial"/>
                <w:sz w:val="11"/>
                <w:szCs w:val="11"/>
                <w:b w:val="1"/>
                <w:bCs w:val="1"/>
                <w:color w:val="auto"/>
                <w:w w:val="90"/>
              </w:rPr>
              <w:t>Neue Mainzer Straße 52</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3"/>
              </w:rPr>
              <w:t>Cravath, Swaine &amp; Moore LLP</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2"/>
              </w:rPr>
              <w:t>60311 Frankfurt, Germany</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Worldwide Plaza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89"/>
              </w:rPr>
              <w:t>+49 (69) 4272 5200</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7"/>
              </w:rPr>
              <w:t>825 Eighth Avenue</w:t>
            </w:r>
          </w:p>
        </w:tc>
      </w:tr>
      <w:tr>
        <w:trPr>
          <w:trHeight w:val="135"/>
        </w:trPr>
        <w:tc>
          <w:tcPr>
            <w:tcW w:w="2420" w:type="dxa"/>
            <w:vAlign w:val="bottom"/>
          </w:tcPr>
          <w:p>
            <w:pPr>
              <w:spacing w:after="0"/>
              <w:rPr>
                <w:sz w:val="11"/>
                <w:szCs w:val="11"/>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New York, New York 10019</w:t>
            </w:r>
          </w:p>
        </w:tc>
      </w:tr>
      <w:tr>
        <w:trPr>
          <w:trHeight w:val="140"/>
        </w:trPr>
        <w:tc>
          <w:tcPr>
            <w:tcW w:w="2420" w:type="dxa"/>
            <w:vAlign w:val="bottom"/>
          </w:tcPr>
          <w:p>
            <w:pPr>
              <w:spacing w:after="0"/>
              <w:rPr>
                <w:sz w:val="12"/>
                <w:szCs w:val="12"/>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0"/>
              </w:rPr>
              <w:t>+1 (212)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71120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15" w:lineRule="exact"/>
        <w:rPr>
          <w:sz w:val="24"/>
          <w:szCs w:val="24"/>
          <w:color w:val="auto"/>
        </w:rPr>
      </w:pPr>
    </w:p>
    <w:p>
      <w:pPr>
        <w:ind w:left="2260"/>
        <w:spacing w:after="0"/>
        <w:rPr>
          <w:sz w:val="20"/>
          <w:szCs w:val="20"/>
          <w:color w:val="auto"/>
        </w:rPr>
      </w:pPr>
      <w:r>
        <w:rPr>
          <w:rFonts w:ascii="Arial" w:cs="Arial" w:eastAsia="Arial" w:hAnsi="Arial"/>
          <w:sz w:val="10"/>
          <w:szCs w:val="10"/>
          <w:b w:val="1"/>
          <w:bCs w:val="1"/>
          <w:color w:val="auto"/>
        </w:rPr>
        <w:t>Approximate date of commencement of proposed sale to the public</w:t>
      </w:r>
      <w:r>
        <w:rPr>
          <w:rFonts w:ascii="Arial" w:cs="Arial" w:eastAsia="Arial" w:hAnsi="Arial"/>
          <w:sz w:val="10"/>
          <w:szCs w:val="10"/>
          <w:color w:val="auto"/>
        </w:rPr>
        <w:t>: As soon as practicable after this registration statement becomes effective.</w:t>
      </w:r>
    </w:p>
    <w:p>
      <w:pPr>
        <w:spacing w:after="0" w:line="105"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2"/>
          <w:szCs w:val="12"/>
          <w:color w:val="auto"/>
        </w:rPr>
        <w:t>☐</w:t>
      </w:r>
    </w:p>
    <w:p>
      <w:pPr>
        <w:spacing w:after="0" w:line="124" w:lineRule="exact"/>
        <w:rPr>
          <w:sz w:val="24"/>
          <w:szCs w:val="24"/>
          <w:color w:val="auto"/>
        </w:rPr>
      </w:pPr>
    </w:p>
    <w:p>
      <w:pPr>
        <w:ind w:left="1980" w:right="1019" w:firstLine="294"/>
        <w:spacing w:after="0" w:line="155"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3"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ectPr>
          <w:pgSz w:w="11900" w:h="16838" w:orient="portrait"/>
          <w:cols w:equalWidth="0" w:num="1">
            <w:col w:w="10159"/>
          </w:cols>
          <w:pgMar w:left="300" w:top="201" w:right="1440" w:bottom="1440" w:gutter="0" w:footer="0" w:header="0"/>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w:t>
      </w:r>
    </w:p>
    <w:p>
      <w:pPr>
        <w:spacing w:after="0" w:line="128" w:lineRule="exact"/>
        <w:rPr>
          <w:sz w:val="20"/>
          <w:szCs w:val="20"/>
          <w:color w:val="auto"/>
        </w:rPr>
      </w:pPr>
    </w:p>
    <w:p>
      <w:pPr>
        <w:ind w:left="2260"/>
        <w:spacing w:after="0" w:line="138" w:lineRule="exact"/>
        <w:tabs>
          <w:tab w:leader="none" w:pos="394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0"/>
          <w:szCs w:val="20"/>
          <w:color w:val="auto"/>
        </w:rPr>
      </w:pPr>
    </w:p>
    <w:p>
      <w:pPr>
        <w:ind w:left="1980" w:right="919" w:firstLine="294"/>
        <w:spacing w:after="0" w:line="151"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61" w:lineRule="exact"/>
        <w:rPr>
          <w:sz w:val="20"/>
          <w:szCs w:val="20"/>
          <w:color w:val="auto"/>
        </w:rPr>
      </w:pPr>
    </w:p>
    <w:p>
      <w:pPr>
        <w:ind w:left="2260" w:right="1399" w:hanging="288"/>
        <w:spacing w:after="0" w:line="276" w:lineRule="auto"/>
        <w:tabs>
          <w:tab w:leader="none" w:pos="226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111"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34925</wp:posOffset>
            </wp:positionV>
            <wp:extent cx="46634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60" w:lineRule="exact"/>
        <w:rPr>
          <w:sz w:val="20"/>
          <w:szCs w:val="20"/>
          <w:color w:val="auto"/>
        </w:rPr>
      </w:pPr>
    </w:p>
    <w:tbl>
      <w:tblPr>
        <w:tblLayout w:type="fixed"/>
        <w:tblInd w:w="1990" w:type="dxa"/>
        <w:tblCellMar>
          <w:top w:w="0" w:type="dxa"/>
          <w:left w:w="0" w:type="dxa"/>
          <w:bottom w:w="0" w:type="dxa"/>
          <w:right w:w="0" w:type="dxa"/>
        </w:tblCellMar>
      </w:tblPr>
      <w:tr>
        <w:trPr>
          <w:trHeight w:val="135"/>
        </w:trPr>
        <w:tc>
          <w:tcPr>
            <w:tcW w:w="1760" w:type="dxa"/>
            <w:vAlign w:val="bottom"/>
            <w:tcBorders>
              <w:top w:val="single" w:sz="8" w:color="auto"/>
              <w:left w:val="single" w:sz="8" w:color="auto"/>
              <w:right w:val="single" w:sz="8" w:color="auto"/>
            </w:tcBorders>
          </w:tcPr>
          <w:p>
            <w:pPr>
              <w:spacing w:after="0"/>
              <w:rPr>
                <w:sz w:val="11"/>
                <w:szCs w:val="11"/>
                <w:color w:val="auto"/>
              </w:rPr>
            </w:pPr>
          </w:p>
        </w:tc>
        <w:tc>
          <w:tcPr>
            <w:tcW w:w="1620" w:type="dxa"/>
            <w:vAlign w:val="bottom"/>
            <w:tcBorders>
              <w:top w:val="single" w:sz="8" w:color="auto"/>
              <w:right w:val="single" w:sz="8" w:color="auto"/>
            </w:tcBorders>
          </w:tcPr>
          <w:p>
            <w:pPr>
              <w:spacing w:after="0"/>
              <w:rPr>
                <w:sz w:val="11"/>
                <w:szCs w:val="11"/>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Proposed Maximum</w:t>
            </w:r>
          </w:p>
        </w:tc>
        <w:tc>
          <w:tcPr>
            <w:tcW w:w="2340" w:type="dxa"/>
            <w:vAlign w:val="bottom"/>
            <w:tcBorders>
              <w:top w:val="single" w:sz="8" w:color="auto"/>
              <w:right w:val="single" w:sz="8" w:color="auto"/>
            </w:tcBorders>
          </w:tcPr>
          <w:p>
            <w:pPr>
              <w:spacing w:after="0"/>
              <w:rPr>
                <w:sz w:val="11"/>
                <w:szCs w:val="11"/>
                <w:color w:val="auto"/>
              </w:rPr>
            </w:pPr>
          </w:p>
        </w:tc>
      </w:tr>
      <w:tr>
        <w:trPr>
          <w:trHeight w:val="135"/>
        </w:trPr>
        <w:tc>
          <w:tcPr>
            <w:tcW w:w="1760" w:type="dxa"/>
            <w:vAlign w:val="bottom"/>
            <w:tcBorders>
              <w:left w:val="single" w:sz="8" w:color="auto"/>
              <w:right w:val="single" w:sz="8" w:color="auto"/>
            </w:tcBorders>
          </w:tcPr>
          <w:p>
            <w:pPr>
              <w:jc w:val="center"/>
              <w:ind w:left="44"/>
              <w:spacing w:after="0"/>
              <w:rPr>
                <w:sz w:val="20"/>
                <w:szCs w:val="20"/>
                <w:color w:val="auto"/>
              </w:rPr>
            </w:pPr>
            <w:r>
              <w:rPr>
                <w:rFonts w:ascii="Arial" w:cs="Arial" w:eastAsia="Arial" w:hAnsi="Arial"/>
                <w:sz w:val="11"/>
                <w:szCs w:val="11"/>
                <w:b w:val="1"/>
                <w:bCs w:val="1"/>
                <w:color w:val="auto"/>
                <w:w w:val="88"/>
              </w:rPr>
              <w:t>Title of Each Class of</w:t>
            </w:r>
          </w:p>
        </w:tc>
        <w:tc>
          <w:tcPr>
            <w:tcW w:w="162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Aggregate</w:t>
            </w:r>
          </w:p>
        </w:tc>
        <w:tc>
          <w:tcPr>
            <w:tcW w:w="2340" w:type="dxa"/>
            <w:vAlign w:val="bottom"/>
            <w:tcBorders>
              <w:right w:val="single" w:sz="8" w:color="auto"/>
            </w:tcBorders>
          </w:tcPr>
          <w:p>
            <w:pPr>
              <w:jc w:val="center"/>
              <w:ind w:right="684"/>
              <w:spacing w:after="0"/>
              <w:rPr>
                <w:sz w:val="20"/>
                <w:szCs w:val="20"/>
                <w:color w:val="auto"/>
              </w:rPr>
            </w:pPr>
            <w:r>
              <w:rPr>
                <w:rFonts w:ascii="Arial" w:cs="Arial" w:eastAsia="Arial" w:hAnsi="Arial"/>
                <w:sz w:val="11"/>
                <w:szCs w:val="11"/>
                <w:b w:val="1"/>
                <w:bCs w:val="1"/>
                <w:color w:val="auto"/>
                <w:w w:val="87"/>
              </w:rPr>
              <w:t>Amount of</w:t>
            </w:r>
          </w:p>
        </w:tc>
      </w:tr>
      <w:tr>
        <w:trPr>
          <w:trHeight w:val="142"/>
        </w:trPr>
        <w:tc>
          <w:tcPr>
            <w:tcW w:w="1760" w:type="dxa"/>
            <w:vAlign w:val="bottom"/>
            <w:tcBorders>
              <w:left w:val="single" w:sz="8" w:color="auto"/>
              <w:bottom w:val="single" w:sz="8" w:color="auto"/>
              <w:right w:val="single" w:sz="8" w:color="auto"/>
            </w:tcBorders>
          </w:tcPr>
          <w:p>
            <w:pPr>
              <w:jc w:val="center"/>
              <w:ind w:left="24"/>
              <w:spacing w:after="0"/>
              <w:rPr>
                <w:sz w:val="20"/>
                <w:szCs w:val="20"/>
                <w:color w:val="auto"/>
              </w:rPr>
            </w:pPr>
            <w:r>
              <w:rPr>
                <w:rFonts w:ascii="Arial" w:cs="Arial" w:eastAsia="Arial" w:hAnsi="Arial"/>
                <w:sz w:val="11"/>
                <w:szCs w:val="11"/>
                <w:b w:val="1"/>
                <w:bCs w:val="1"/>
                <w:color w:val="auto"/>
                <w:w w:val="87"/>
              </w:rPr>
              <w:t>Securities to be Registered(1)</w:t>
            </w:r>
          </w:p>
        </w:tc>
        <w:tc>
          <w:tcPr>
            <w:tcW w:w="162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Offering Price(2)(3)</w:t>
            </w:r>
          </w:p>
        </w:tc>
        <w:tc>
          <w:tcPr>
            <w:tcW w:w="2340" w:type="dxa"/>
            <w:vAlign w:val="bottom"/>
            <w:tcBorders>
              <w:bottom w:val="single" w:sz="8" w:color="auto"/>
              <w:right w:val="single" w:sz="8" w:color="auto"/>
            </w:tcBorders>
          </w:tcPr>
          <w:p>
            <w:pPr>
              <w:jc w:val="center"/>
              <w:ind w:right="684"/>
              <w:spacing w:after="0"/>
              <w:rPr>
                <w:sz w:val="20"/>
                <w:szCs w:val="20"/>
                <w:color w:val="auto"/>
              </w:rPr>
            </w:pPr>
            <w:r>
              <w:rPr>
                <w:rFonts w:ascii="Arial" w:cs="Arial" w:eastAsia="Arial" w:hAnsi="Arial"/>
                <w:sz w:val="11"/>
                <w:szCs w:val="11"/>
                <w:b w:val="1"/>
                <w:bCs w:val="1"/>
                <w:color w:val="auto"/>
                <w:w w:val="88"/>
              </w:rPr>
              <w:t>Registration Fee</w:t>
            </w:r>
          </w:p>
        </w:tc>
      </w:tr>
      <w:tr>
        <w:trPr>
          <w:trHeight w:val="135"/>
        </w:trPr>
        <w:tc>
          <w:tcPr>
            <w:tcW w:w="1760" w:type="dxa"/>
            <w:vAlign w:val="bottom"/>
            <w:tcBorders>
              <w:left w:val="single" w:sz="8" w:color="auto"/>
              <w:bottom w:val="single" w:sz="8" w:color="auto"/>
              <w:right w:val="single" w:sz="8" w:color="auto"/>
            </w:tcBorders>
          </w:tcPr>
          <w:p>
            <w:pPr>
              <w:ind w:left="100"/>
              <w:spacing w:after="0" w:line="135" w:lineRule="exact"/>
              <w:rPr>
                <w:sz w:val="20"/>
                <w:szCs w:val="20"/>
                <w:color w:val="auto"/>
              </w:rPr>
            </w:pPr>
            <w:r>
              <w:rPr>
                <w:rFonts w:ascii="Arial" w:cs="Arial" w:eastAsia="Arial" w:hAnsi="Arial"/>
                <w:sz w:val="12"/>
                <w:szCs w:val="12"/>
                <w:color w:val="auto"/>
              </w:rPr>
              <w:t>Ordinary shares, no par value</w:t>
            </w:r>
          </w:p>
        </w:tc>
        <w:tc>
          <w:tcPr>
            <w:tcW w:w="162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jc w:val="right"/>
              <w:ind w:right="905"/>
              <w:spacing w:after="0" w:line="135" w:lineRule="exact"/>
              <w:rPr>
                <w:sz w:val="20"/>
                <w:szCs w:val="20"/>
                <w:color w:val="auto"/>
              </w:rPr>
            </w:pPr>
            <w:r>
              <w:rPr>
                <w:rFonts w:ascii="Arial" w:cs="Arial" w:eastAsia="Arial" w:hAnsi="Arial"/>
                <w:sz w:val="12"/>
                <w:szCs w:val="12"/>
                <w:color w:val="auto"/>
              </w:rPr>
              <w:t>$</w:t>
            </w:r>
          </w:p>
        </w:tc>
        <w:tc>
          <w:tcPr>
            <w:tcW w:w="2340" w:type="dxa"/>
            <w:vAlign w:val="bottom"/>
            <w:tcBorders>
              <w:bottom w:val="single" w:sz="8" w:color="auto"/>
              <w:right w:val="single" w:sz="8" w:color="auto"/>
            </w:tcBorders>
          </w:tcPr>
          <w:p>
            <w:pPr>
              <w:jc w:val="right"/>
              <w:ind w:right="2164"/>
              <w:spacing w:after="0" w:line="135" w:lineRule="exact"/>
              <w:rPr>
                <w:sz w:val="20"/>
                <w:szCs w:val="20"/>
                <w:color w:val="auto"/>
              </w:rPr>
            </w:pPr>
            <w:r>
              <w:rPr>
                <w:rFonts w:ascii="Arial" w:cs="Arial" w:eastAsia="Arial" w:hAnsi="Arial"/>
                <w:sz w:val="12"/>
                <w:szCs w:val="12"/>
                <w:color w:val="auto"/>
              </w:rPr>
              <w:t>$</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260" w:hanging="288"/>
        <w:spacing w:after="0"/>
        <w:tabs>
          <w:tab w:leader="none" w:pos="2260" w:val="left"/>
        </w:tabs>
        <w:numPr>
          <w:ilvl w:val="0"/>
          <w:numId w:val="2"/>
        </w:numPr>
        <w:rPr>
          <w:rFonts w:ascii="Arial" w:cs="Arial" w:eastAsia="Arial" w:hAnsi="Arial"/>
          <w:sz w:val="10"/>
          <w:szCs w:val="10"/>
          <w:color w:val="auto"/>
        </w:rPr>
      </w:pPr>
      <w:r>
        <w:rPr>
          <w:rFonts w:ascii="Arial" w:cs="Arial" w:eastAsia="Arial" w:hAnsi="Arial"/>
          <w:sz w:val="10"/>
          <w:szCs w:val="10"/>
          <w:color w:val="auto"/>
        </w:rPr>
        <w:t>American depositary shares (“ADSs”), evidenced by American depositary receipts, issuable upon deposit of the ordinary shares registered hereby will be</w:t>
      </w:r>
    </w:p>
    <w:p>
      <w:pPr>
        <w:spacing w:after="0" w:line="21" w:lineRule="exact"/>
        <w:rPr>
          <w:sz w:val="20"/>
          <w:szCs w:val="20"/>
          <w:color w:val="auto"/>
        </w:rPr>
      </w:pPr>
    </w:p>
    <w:p>
      <w:pPr>
        <w:ind w:left="2260"/>
        <w:spacing w:after="0"/>
        <w:tabs>
          <w:tab w:leader="none" w:pos="5660" w:val="left"/>
        </w:tabs>
        <w:rPr>
          <w:sz w:val="20"/>
          <w:szCs w:val="20"/>
          <w:color w:val="auto"/>
        </w:rPr>
      </w:pPr>
      <w:r>
        <w:rPr>
          <w:rFonts w:ascii="Arial" w:cs="Arial" w:eastAsia="Arial" w:hAnsi="Arial"/>
          <w:sz w:val="11"/>
          <w:szCs w:val="11"/>
          <w:color w:val="auto"/>
        </w:rPr>
        <w:t>registered under a separate registration statement on Form F-6. Every</w:t>
      </w:r>
      <w:r>
        <w:rPr>
          <w:sz w:val="20"/>
          <w:szCs w:val="20"/>
          <w:color w:val="auto"/>
        </w:rPr>
        <w:tab/>
      </w:r>
      <w:r>
        <w:rPr>
          <w:rFonts w:ascii="Arial" w:cs="Arial" w:eastAsia="Arial" w:hAnsi="Arial"/>
          <w:sz w:val="9"/>
          <w:szCs w:val="9"/>
          <w:color w:val="auto"/>
        </w:rPr>
        <w:t>ADSs represent one ordinary share.</w:t>
      </w:r>
    </w:p>
    <w:p>
      <w:pPr>
        <w:spacing w:after="0" w:line="88" w:lineRule="exact"/>
        <w:rPr>
          <w:sz w:val="20"/>
          <w:szCs w:val="20"/>
          <w:color w:val="auto"/>
        </w:rPr>
      </w:pPr>
    </w:p>
    <w:p>
      <w:pPr>
        <w:ind w:left="2260" w:hanging="288"/>
        <w:spacing w:after="0"/>
        <w:tabs>
          <w:tab w:leader="none" w:pos="2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Includes the aggregate offering price of additional ordinary shares, represented by ADSs, that the underwriters have the option to purchase.</w:t>
      </w:r>
    </w:p>
    <w:p>
      <w:pPr>
        <w:spacing w:after="0" w:line="89" w:lineRule="exact"/>
        <w:rPr>
          <w:rFonts w:ascii="Arial" w:cs="Arial" w:eastAsia="Arial" w:hAnsi="Arial"/>
          <w:sz w:val="11"/>
          <w:szCs w:val="11"/>
          <w:color w:val="auto"/>
        </w:rPr>
      </w:pPr>
    </w:p>
    <w:p>
      <w:pPr>
        <w:ind w:left="2260" w:hanging="288"/>
        <w:spacing w:after="0"/>
        <w:tabs>
          <w:tab w:leader="none" w:pos="2260" w:val="left"/>
        </w:tabs>
        <w:numPr>
          <w:ilvl w:val="0"/>
          <w:numId w:val="3"/>
        </w:numPr>
        <w:rPr>
          <w:rFonts w:ascii="Arial" w:cs="Arial" w:eastAsia="Arial" w:hAnsi="Arial"/>
          <w:sz w:val="10"/>
          <w:szCs w:val="10"/>
          <w:color w:val="auto"/>
        </w:rPr>
      </w:pPr>
      <w:r>
        <w:rPr>
          <w:rFonts w:ascii="Arial" w:cs="Arial" w:eastAsia="Arial" w:hAnsi="Arial"/>
          <w:sz w:val="10"/>
          <w:szCs w:val="10"/>
          <w:color w:val="auto"/>
        </w:rPr>
        <w:t>Estimated solely for the purpose of determining the amount of registration fee in accordance with Rule 457(o) under the Securities Act of 1933, as amended.</w:t>
      </w:r>
    </w:p>
    <w:p>
      <w:pPr>
        <w:spacing w:after="0" w:line="84" w:lineRule="exact"/>
        <w:rPr>
          <w:sz w:val="20"/>
          <w:szCs w:val="20"/>
          <w:color w:val="auto"/>
        </w:rPr>
      </w:pPr>
    </w:p>
    <w:p>
      <w:pPr>
        <w:ind w:left="1980" w:right="859" w:firstLine="294"/>
        <w:spacing w:after="0" w:line="292"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160020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217170</wp:posOffset>
            </wp:positionV>
            <wp:extent cx="46634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2286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right="919"/>
        <w:spacing w:after="0" w:line="266" w:lineRule="auto"/>
        <w:rPr>
          <w:sz w:val="20"/>
          <w:szCs w:val="20"/>
          <w:color w:val="auto"/>
        </w:rPr>
      </w:pPr>
      <w:r>
        <w:rPr>
          <w:rFonts w:ascii="Arial" w:cs="Arial" w:eastAsia="Arial" w:hAnsi="Arial"/>
          <w:sz w:val="12"/>
          <w:szCs w:val="12"/>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B0029"/>
        </w:rPr>
        <w:t>PROSPECTUS (Subject to Completion)</w:t>
      </w:r>
    </w:p>
    <w:p>
      <w:pPr>
        <w:spacing w:after="0" w:line="19" w:lineRule="exact"/>
        <w:rPr>
          <w:sz w:val="20"/>
          <w:szCs w:val="20"/>
          <w:color w:val="auto"/>
        </w:rPr>
      </w:pPr>
    </w:p>
    <w:p>
      <w:pPr>
        <w:ind w:left="1980"/>
        <w:spacing w:after="0"/>
        <w:tabs>
          <w:tab w:leader="none" w:pos="2760" w:val="left"/>
        </w:tabs>
        <w:rPr>
          <w:sz w:val="20"/>
          <w:szCs w:val="20"/>
          <w:color w:val="auto"/>
        </w:rPr>
      </w:pPr>
      <w:r>
        <w:rPr>
          <w:rFonts w:ascii="Arial" w:cs="Arial" w:eastAsia="Arial" w:hAnsi="Arial"/>
          <w:sz w:val="12"/>
          <w:szCs w:val="12"/>
          <w:b w:val="1"/>
          <w:bCs w:val="1"/>
          <w:color w:val="EB0029"/>
        </w:rPr>
        <w:t>Dated</w:t>
      </w:r>
      <w:r>
        <w:rPr>
          <w:sz w:val="20"/>
          <w:szCs w:val="20"/>
          <w:color w:val="auto"/>
        </w:rPr>
        <w:tab/>
      </w:r>
      <w:r>
        <w:rPr>
          <w:rFonts w:ascii="Arial" w:cs="Arial" w:eastAsia="Arial" w:hAnsi="Arial"/>
          <w:sz w:val="12"/>
          <w:szCs w:val="12"/>
          <w:b w:val="1"/>
          <w:bCs w:val="1"/>
          <w:color w:val="EB0029"/>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106680</wp:posOffset>
            </wp:positionV>
            <wp:extent cx="1062990" cy="1062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980" w:type="dxa"/>
        <w:tblCellMar>
          <w:top w:w="0" w:type="dxa"/>
          <w:left w:w="0" w:type="dxa"/>
          <w:bottom w:w="0" w:type="dxa"/>
          <w:right w:w="0" w:type="dxa"/>
        </w:tblCellMar>
      </w:tblPr>
      <w:tr>
        <w:trPr>
          <w:trHeight w:val="280"/>
        </w:trPr>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40" w:type="dxa"/>
            <w:vAlign w:val="bottom"/>
            <w:gridSpan w:val="5"/>
          </w:tcPr>
          <w:p>
            <w:pPr>
              <w:ind w:left="160"/>
              <w:spacing w:after="0"/>
              <w:rPr>
                <w:sz w:val="20"/>
                <w:szCs w:val="20"/>
                <w:color w:val="auto"/>
              </w:rPr>
            </w:pPr>
            <w:r>
              <w:rPr>
                <w:rFonts w:ascii="Arial" w:cs="Arial" w:eastAsia="Arial" w:hAnsi="Arial"/>
                <w:sz w:val="22"/>
                <w:szCs w:val="22"/>
                <w:b w:val="1"/>
                <w:bCs w:val="1"/>
                <w:color w:val="auto"/>
                <w:w w:val="95"/>
              </w:rPr>
              <w:t>American Depositary Shares</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5"/>
        </w:trPr>
        <w:tc>
          <w:tcPr>
            <w:tcW w:w="174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22"/>
                <w:szCs w:val="22"/>
                <w:b w:val="1"/>
                <w:bCs w:val="1"/>
                <w:color w:val="auto"/>
                <w:w w:val="85"/>
              </w:rPr>
              <w:t>Representing</w:t>
            </w:r>
          </w:p>
        </w:tc>
        <w:tc>
          <w:tcPr>
            <w:tcW w:w="140" w:type="dxa"/>
            <w:vAlign w:val="bottom"/>
          </w:tcPr>
          <w:p>
            <w:pPr>
              <w:spacing w:after="0"/>
              <w:rPr>
                <w:sz w:val="24"/>
                <w:szCs w:val="24"/>
                <w:color w:val="auto"/>
              </w:rPr>
            </w:pPr>
          </w:p>
        </w:tc>
        <w:tc>
          <w:tcPr>
            <w:tcW w:w="2700" w:type="dxa"/>
            <w:vAlign w:val="bottom"/>
            <w:gridSpan w:val="3"/>
          </w:tcPr>
          <w:p>
            <w:pPr>
              <w:ind w:left="820"/>
              <w:spacing w:after="0"/>
              <w:rPr>
                <w:sz w:val="20"/>
                <w:szCs w:val="20"/>
                <w:color w:val="auto"/>
              </w:rPr>
            </w:pPr>
            <w:r>
              <w:rPr>
                <w:rFonts w:ascii="Arial" w:cs="Arial" w:eastAsia="Arial" w:hAnsi="Arial"/>
                <w:sz w:val="22"/>
                <w:szCs w:val="22"/>
                <w:b w:val="1"/>
                <w:bCs w:val="1"/>
                <w:color w:val="auto"/>
              </w:rPr>
              <w:t>Ordinary Shares</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2"/>
        </w:trPr>
        <w:tc>
          <w:tcPr>
            <w:tcW w:w="2880" w:type="dxa"/>
            <w:vAlign w:val="bottom"/>
            <w:gridSpan w:val="3"/>
          </w:tcPr>
          <w:p>
            <w:pPr>
              <w:spacing w:after="0"/>
              <w:rPr>
                <w:sz w:val="13"/>
                <w:szCs w:val="13"/>
                <w:color w:val="auto"/>
              </w:rPr>
            </w:pPr>
          </w:p>
        </w:tc>
        <w:tc>
          <w:tcPr>
            <w:tcW w:w="1560" w:type="dxa"/>
            <w:vAlign w:val="bottom"/>
            <w:tcBorders>
              <w:bottom w:val="single" w:sz="8" w:color="auto"/>
            </w:tcBorders>
            <w:gridSpan w:val="3"/>
          </w:tcPr>
          <w:p>
            <w:pPr>
              <w:spacing w:after="0"/>
              <w:rPr>
                <w:sz w:val="13"/>
                <w:szCs w:val="13"/>
                <w:color w:val="auto"/>
              </w:rPr>
            </w:pPr>
          </w:p>
        </w:tc>
        <w:tc>
          <w:tcPr>
            <w:tcW w:w="2400" w:type="dxa"/>
            <w:vAlign w:val="bottom"/>
            <w:gridSpan w:val="3"/>
          </w:tcPr>
          <w:p>
            <w:pPr>
              <w:spacing w:after="0"/>
              <w:rPr>
                <w:sz w:val="13"/>
                <w:szCs w:val="13"/>
                <w:color w:val="auto"/>
              </w:rPr>
            </w:pPr>
          </w:p>
        </w:tc>
        <w:tc>
          <w:tcPr>
            <w:tcW w:w="360" w:type="dxa"/>
            <w:vAlign w:val="bottom"/>
          </w:tcPr>
          <w:p>
            <w:pPr>
              <w:spacing w:after="0"/>
              <w:rPr>
                <w:sz w:val="13"/>
                <w:szCs w:val="13"/>
                <w:color w:val="auto"/>
              </w:rPr>
            </w:pPr>
          </w:p>
        </w:tc>
      </w:tr>
      <w:tr>
        <w:trPr>
          <w:trHeight w:val="196"/>
        </w:trPr>
        <w:tc>
          <w:tcPr>
            <w:tcW w:w="6840" w:type="dxa"/>
            <w:vAlign w:val="bottom"/>
            <w:gridSpan w:val="9"/>
          </w:tcPr>
          <w:p>
            <w:pPr>
              <w:ind w:left="280"/>
              <w:spacing w:after="0"/>
              <w:rPr>
                <w:sz w:val="20"/>
                <w:szCs w:val="20"/>
                <w:color w:val="auto"/>
              </w:rPr>
            </w:pPr>
            <w:r>
              <w:rPr>
                <w:rFonts w:ascii="Arial" w:cs="Arial" w:eastAsia="Arial" w:hAnsi="Arial"/>
                <w:sz w:val="12"/>
                <w:szCs w:val="12"/>
                <w:color w:val="auto"/>
                <w:w w:val="93"/>
              </w:rPr>
              <w:t>This is the initial public offering of American depositary shares (“ADS”), representing ordinary shares of Mynaric AG, a German stock</w:t>
            </w:r>
          </w:p>
        </w:tc>
        <w:tc>
          <w:tcPr>
            <w:tcW w:w="360" w:type="dxa"/>
            <w:vAlign w:val="bottom"/>
          </w:tcPr>
          <w:p>
            <w:pPr>
              <w:spacing w:after="0"/>
              <w:rPr>
                <w:sz w:val="17"/>
                <w:szCs w:val="17"/>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2"/>
                <w:szCs w:val="12"/>
                <w:color w:val="auto"/>
              </w:rPr>
              <w:t>corporation. We are offering</w:t>
            </w:r>
          </w:p>
        </w:tc>
        <w:tc>
          <w:tcPr>
            <w:tcW w:w="1280" w:type="dxa"/>
            <w:vAlign w:val="bottom"/>
            <w:gridSpan w:val="3"/>
          </w:tcPr>
          <w:p>
            <w:pPr>
              <w:ind w:left="160"/>
              <w:spacing w:after="0"/>
              <w:rPr>
                <w:sz w:val="20"/>
                <w:szCs w:val="20"/>
                <w:color w:val="auto"/>
              </w:rPr>
            </w:pPr>
            <w:r>
              <w:rPr>
                <w:rFonts w:ascii="Arial" w:cs="Arial" w:eastAsia="Arial" w:hAnsi="Arial"/>
                <w:sz w:val="12"/>
                <w:szCs w:val="12"/>
                <w:color w:val="auto"/>
              </w:rPr>
              <w:t>ADSs. Every</w:t>
            </w:r>
          </w:p>
        </w:tc>
        <w:tc>
          <w:tcPr>
            <w:tcW w:w="4180" w:type="dxa"/>
            <w:vAlign w:val="bottom"/>
            <w:gridSpan w:val="6"/>
          </w:tcPr>
          <w:p>
            <w:pPr>
              <w:jc w:val="right"/>
              <w:ind w:right="20"/>
              <w:spacing w:after="0"/>
              <w:rPr>
                <w:sz w:val="20"/>
                <w:szCs w:val="20"/>
                <w:color w:val="auto"/>
              </w:rPr>
            </w:pPr>
            <w:r>
              <w:rPr>
                <w:rFonts w:ascii="Arial" w:cs="Arial" w:eastAsia="Arial" w:hAnsi="Arial"/>
                <w:sz w:val="12"/>
                <w:szCs w:val="12"/>
                <w:color w:val="auto"/>
                <w:w w:val="91"/>
              </w:rPr>
              <w:t>ADSs will represent one ordinary share with a notional value of €1.00 per share. We</w:t>
            </w:r>
          </w:p>
        </w:tc>
      </w:tr>
      <w:tr>
        <w:trPr>
          <w:trHeight w:val="153"/>
        </w:trPr>
        <w:tc>
          <w:tcPr>
            <w:tcW w:w="1740" w:type="dxa"/>
            <w:vAlign w:val="bottom"/>
          </w:tcPr>
          <w:p>
            <w:pPr>
              <w:spacing w:after="0"/>
              <w:rPr>
                <w:sz w:val="20"/>
                <w:szCs w:val="20"/>
                <w:color w:val="auto"/>
              </w:rPr>
            </w:pPr>
            <w:r>
              <w:rPr>
                <w:rFonts w:ascii="Arial" w:cs="Arial" w:eastAsia="Arial" w:hAnsi="Arial"/>
                <w:sz w:val="12"/>
                <w:szCs w:val="12"/>
                <w:color w:val="auto"/>
                <w:w w:val="95"/>
              </w:rPr>
              <w:t>intend to apply to list our ADSs on</w:t>
            </w:r>
          </w:p>
        </w:tc>
        <w:tc>
          <w:tcPr>
            <w:tcW w:w="44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Arial" w:cs="Arial" w:eastAsia="Arial" w:hAnsi="Arial"/>
                <w:sz w:val="12"/>
                <w:szCs w:val="12"/>
                <w:color w:val="auto"/>
                <w:w w:val="94"/>
              </w:rPr>
              <w:t>under the symbol “</w:t>
            </w:r>
          </w:p>
        </w:tc>
        <w:tc>
          <w:tcPr>
            <w:tcW w:w="206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7"/>
        </w:trPr>
        <w:tc>
          <w:tcPr>
            <w:tcW w:w="5220" w:type="dxa"/>
            <w:vAlign w:val="bottom"/>
            <w:gridSpan w:val="7"/>
          </w:tcPr>
          <w:p>
            <w:pPr>
              <w:ind w:left="280"/>
              <w:spacing w:after="0"/>
              <w:rPr>
                <w:sz w:val="20"/>
                <w:szCs w:val="20"/>
                <w:color w:val="auto"/>
              </w:rPr>
            </w:pPr>
            <w:r>
              <w:rPr>
                <w:rFonts w:ascii="Arial" w:cs="Arial" w:eastAsia="Arial" w:hAnsi="Arial"/>
                <w:sz w:val="12"/>
                <w:szCs w:val="12"/>
                <w:color w:val="auto"/>
              </w:rPr>
              <w:t>Our ordinary shares are listed on the Frankfurt Stock Exchange under the symbol “M0Y.” On</w:t>
            </w:r>
          </w:p>
        </w:tc>
        <w:tc>
          <w:tcPr>
            <w:tcW w:w="1980" w:type="dxa"/>
            <w:vAlign w:val="bottom"/>
            <w:gridSpan w:val="3"/>
          </w:tcPr>
          <w:p>
            <w:pPr>
              <w:jc w:val="right"/>
              <w:ind w:right="200"/>
              <w:spacing w:after="0"/>
              <w:rPr>
                <w:sz w:val="20"/>
                <w:szCs w:val="20"/>
                <w:color w:val="auto"/>
              </w:rPr>
            </w:pPr>
            <w:r>
              <w:rPr>
                <w:rFonts w:ascii="Arial" w:cs="Arial" w:eastAsia="Arial" w:hAnsi="Arial"/>
                <w:sz w:val="12"/>
                <w:szCs w:val="12"/>
                <w:color w:val="auto"/>
                <w:w w:val="92"/>
              </w:rPr>
              <w:t>, 2021, the last closing price of our</w:t>
            </w:r>
          </w:p>
        </w:tc>
      </w:tr>
      <w:tr>
        <w:trPr>
          <w:trHeight w:val="144"/>
        </w:trPr>
        <w:tc>
          <w:tcPr>
            <w:tcW w:w="3020" w:type="dxa"/>
            <w:vAlign w:val="bottom"/>
            <w:gridSpan w:val="4"/>
          </w:tcPr>
          <w:p>
            <w:pPr>
              <w:spacing w:after="0"/>
              <w:rPr>
                <w:sz w:val="20"/>
                <w:szCs w:val="20"/>
                <w:color w:val="auto"/>
              </w:rPr>
            </w:pPr>
            <w:r>
              <w:rPr>
                <w:rFonts w:ascii="Arial" w:cs="Arial" w:eastAsia="Arial" w:hAnsi="Arial"/>
                <w:sz w:val="12"/>
                <w:szCs w:val="12"/>
                <w:color w:val="auto"/>
              </w:rPr>
              <w:t>ordinary shares on the Frankfurt Stock Exchange was €</w:t>
            </w:r>
          </w:p>
        </w:tc>
        <w:tc>
          <w:tcPr>
            <w:tcW w:w="2200" w:type="dxa"/>
            <w:vAlign w:val="bottom"/>
            <w:gridSpan w:val="3"/>
          </w:tcPr>
          <w:p>
            <w:pPr>
              <w:jc w:val="center"/>
              <w:ind w:right="40"/>
              <w:spacing w:after="0"/>
              <w:rPr>
                <w:sz w:val="20"/>
                <w:szCs w:val="20"/>
                <w:color w:val="auto"/>
              </w:rPr>
            </w:pPr>
            <w:r>
              <w:rPr>
                <w:rFonts w:ascii="Arial" w:cs="Arial" w:eastAsia="Arial" w:hAnsi="Arial"/>
                <w:sz w:val="12"/>
                <w:szCs w:val="12"/>
                <w:color w:val="auto"/>
                <w:w w:val="90"/>
              </w:rPr>
              <w:t>per ordinary share, equivalent to a price of $</w:t>
            </w:r>
          </w:p>
        </w:tc>
        <w:tc>
          <w:tcPr>
            <w:tcW w:w="1980" w:type="dxa"/>
            <w:vAlign w:val="bottom"/>
            <w:gridSpan w:val="3"/>
          </w:tcPr>
          <w:p>
            <w:pPr>
              <w:jc w:val="right"/>
              <w:spacing w:after="0"/>
              <w:rPr>
                <w:sz w:val="20"/>
                <w:szCs w:val="20"/>
                <w:color w:val="auto"/>
              </w:rPr>
            </w:pPr>
            <w:r>
              <w:rPr>
                <w:rFonts w:ascii="Arial" w:cs="Arial" w:eastAsia="Arial" w:hAnsi="Arial"/>
                <w:sz w:val="12"/>
                <w:szCs w:val="12"/>
                <w:color w:val="auto"/>
              </w:rPr>
              <w:t>per ADS, after giving effect to the</w:t>
            </w:r>
          </w:p>
        </w:tc>
      </w:tr>
      <w:tr>
        <w:trPr>
          <w:trHeight w:val="144"/>
        </w:trPr>
        <w:tc>
          <w:tcPr>
            <w:tcW w:w="2180" w:type="dxa"/>
            <w:vAlign w:val="bottom"/>
            <w:gridSpan w:val="2"/>
          </w:tcPr>
          <w:p>
            <w:pPr>
              <w:spacing w:after="0"/>
              <w:rPr>
                <w:sz w:val="20"/>
                <w:szCs w:val="20"/>
                <w:color w:val="auto"/>
              </w:rPr>
            </w:pPr>
            <w:r>
              <w:rPr>
                <w:rFonts w:ascii="Arial" w:cs="Arial" w:eastAsia="Arial" w:hAnsi="Arial"/>
                <w:sz w:val="12"/>
                <w:szCs w:val="12"/>
                <w:color w:val="auto"/>
                <w:w w:val="92"/>
              </w:rPr>
              <w:t>Euro/U.S. dollar exchange rate of €1.00 to $</w:t>
            </w:r>
          </w:p>
        </w:tc>
        <w:tc>
          <w:tcPr>
            <w:tcW w:w="840" w:type="dxa"/>
            <w:vAlign w:val="bottom"/>
            <w:gridSpan w:val="2"/>
          </w:tcPr>
          <w:p>
            <w:pPr>
              <w:ind w:left="320"/>
              <w:spacing w:after="0"/>
              <w:rPr>
                <w:sz w:val="20"/>
                <w:szCs w:val="20"/>
                <w:color w:val="auto"/>
              </w:rPr>
            </w:pPr>
            <w:r>
              <w:rPr>
                <w:rFonts w:ascii="Arial" w:cs="Arial" w:eastAsia="Arial" w:hAnsi="Arial"/>
                <w:sz w:val="12"/>
                <w:szCs w:val="12"/>
                <w:color w:val="auto"/>
              </w:rPr>
              <w:t>as of</w:t>
            </w:r>
          </w:p>
        </w:tc>
        <w:tc>
          <w:tcPr>
            <w:tcW w:w="140" w:type="dxa"/>
            <w:vAlign w:val="bottom"/>
          </w:tcPr>
          <w:p>
            <w:pPr>
              <w:spacing w:after="0"/>
              <w:rPr>
                <w:sz w:val="12"/>
                <w:szCs w:val="12"/>
                <w:color w:val="auto"/>
              </w:rPr>
            </w:pPr>
          </w:p>
        </w:tc>
        <w:tc>
          <w:tcPr>
            <w:tcW w:w="206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 2021, and an ADS to share ratio of</w:t>
            </w:r>
          </w:p>
        </w:tc>
        <w:tc>
          <w:tcPr>
            <w:tcW w:w="640" w:type="dxa"/>
            <w:vAlign w:val="bottom"/>
          </w:tcPr>
          <w:p>
            <w:pPr>
              <w:ind w:left="300"/>
              <w:spacing w:after="0"/>
              <w:rPr>
                <w:sz w:val="20"/>
                <w:szCs w:val="20"/>
                <w:color w:val="auto"/>
              </w:rPr>
            </w:pPr>
            <w:r>
              <w:rPr>
                <w:rFonts w:ascii="Arial" w:cs="Arial" w:eastAsia="Arial" w:hAnsi="Arial"/>
                <w:sz w:val="12"/>
                <w:szCs w:val="12"/>
                <w:color w:val="auto"/>
              </w:rPr>
              <w:t>to</w:t>
            </w: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 We expect that the</w:t>
            </w:r>
          </w:p>
        </w:tc>
      </w:tr>
      <w:tr>
        <w:trPr>
          <w:trHeight w:val="153"/>
        </w:trPr>
        <w:tc>
          <w:tcPr>
            <w:tcW w:w="2180" w:type="dxa"/>
            <w:vAlign w:val="bottom"/>
            <w:gridSpan w:val="2"/>
          </w:tcPr>
          <w:p>
            <w:pPr>
              <w:spacing w:after="0"/>
              <w:rPr>
                <w:sz w:val="20"/>
                <w:szCs w:val="20"/>
                <w:color w:val="auto"/>
              </w:rPr>
            </w:pPr>
            <w:r>
              <w:rPr>
                <w:rFonts w:ascii="Arial" w:cs="Arial" w:eastAsia="Arial" w:hAnsi="Arial"/>
                <w:sz w:val="12"/>
                <w:szCs w:val="12"/>
                <w:color w:val="auto"/>
                <w:w w:val="93"/>
              </w:rPr>
              <w:t>initial public offering price will be between $</w:t>
            </w:r>
          </w:p>
        </w:tc>
        <w:tc>
          <w:tcPr>
            <w:tcW w:w="840" w:type="dxa"/>
            <w:vAlign w:val="bottom"/>
            <w:gridSpan w:val="2"/>
          </w:tcPr>
          <w:p>
            <w:pPr>
              <w:ind w:left="380"/>
              <w:spacing w:after="0"/>
              <w:rPr>
                <w:sz w:val="20"/>
                <w:szCs w:val="20"/>
                <w:color w:val="auto"/>
              </w:rPr>
            </w:pPr>
            <w:r>
              <w:rPr>
                <w:rFonts w:ascii="Arial" w:cs="Arial" w:eastAsia="Arial" w:hAnsi="Arial"/>
                <w:sz w:val="12"/>
                <w:szCs w:val="12"/>
                <w:color w:val="auto"/>
              </w:rPr>
              <w:t>and $</w:t>
            </w:r>
          </w:p>
        </w:tc>
        <w:tc>
          <w:tcPr>
            <w:tcW w:w="140" w:type="dxa"/>
            <w:vAlign w:val="bottom"/>
          </w:tcPr>
          <w:p>
            <w:pPr>
              <w:spacing w:after="0"/>
              <w:rPr>
                <w:sz w:val="13"/>
                <w:szCs w:val="13"/>
                <w:color w:val="auto"/>
              </w:rPr>
            </w:pPr>
          </w:p>
        </w:tc>
        <w:tc>
          <w:tcPr>
            <w:tcW w:w="2060" w:type="dxa"/>
            <w:vAlign w:val="bottom"/>
            <w:gridSpan w:val="2"/>
          </w:tcPr>
          <w:p>
            <w:pPr>
              <w:ind w:left="40"/>
              <w:spacing w:after="0"/>
              <w:rPr>
                <w:sz w:val="20"/>
                <w:szCs w:val="20"/>
                <w:color w:val="auto"/>
              </w:rPr>
            </w:pPr>
            <w:r>
              <w:rPr>
                <w:rFonts w:ascii="Arial" w:cs="Arial" w:eastAsia="Arial" w:hAnsi="Arial"/>
                <w:sz w:val="12"/>
                <w:szCs w:val="12"/>
                <w:color w:val="auto"/>
              </w:rPr>
              <w:t>per ADS.</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16"/>
        </w:trPr>
        <w:tc>
          <w:tcPr>
            <w:tcW w:w="6840" w:type="dxa"/>
            <w:vAlign w:val="bottom"/>
            <w:gridSpan w:val="9"/>
          </w:tcPr>
          <w:p>
            <w:pPr>
              <w:ind w:left="280"/>
              <w:spacing w:after="0"/>
              <w:rPr>
                <w:sz w:val="20"/>
                <w:szCs w:val="20"/>
                <w:color w:val="auto"/>
              </w:rPr>
            </w:pPr>
            <w:r>
              <w:rPr>
                <w:rFonts w:ascii="Arial" w:cs="Arial" w:eastAsia="Arial" w:hAnsi="Arial"/>
                <w:sz w:val="12"/>
                <w:szCs w:val="12"/>
                <w:color w:val="auto"/>
                <w:w w:val="98"/>
              </w:rPr>
              <w:t>We intend to terminate the listing of our ordinary shares on the Frankfurt Stock Exchange following listing of our ADSs on the</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rPr>
              <w:t>.</w:t>
            </w:r>
          </w:p>
        </w:tc>
      </w:tr>
    </w:tbl>
    <w:p>
      <w:pPr>
        <w:spacing w:after="0" w:line="63"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are both an “emerging growth company” and a “foreign private issuer” as defined under applicable U.S. federal securities laws and, as such, may elect to comply with certain reduced public company reporting requirements for this and future filings. See “Prospectus Summary—Implications of Being an Emerging Growth Company” and “Prospectus Summary—Implications of Being a Foreign Private Issuer.”</w:t>
      </w:r>
    </w:p>
    <w:p>
      <w:pPr>
        <w:spacing w:after="0" w:line="29" w:lineRule="exact"/>
        <w:rPr>
          <w:sz w:val="20"/>
          <w:szCs w:val="20"/>
          <w:color w:val="auto"/>
        </w:rPr>
      </w:pPr>
    </w:p>
    <w:p>
      <w:pPr>
        <w:ind w:left="22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Investing in our ADSs involves risks. See “</w:t>
      </w:r>
      <w:hyperlink w:anchor="page31">
        <w:r>
          <w:rPr>
            <w:rFonts w:ascii="Arial" w:cs="Arial" w:eastAsia="Arial" w:hAnsi="Arial"/>
            <w:sz w:val="12"/>
            <w:szCs w:val="12"/>
            <w:b w:val="1"/>
            <w:bCs w:val="1"/>
            <w:u w:val="single" w:color="auto"/>
            <w:color w:val="0000EE"/>
          </w:rPr>
          <w:t>Risk Factors</w:t>
        </w:r>
      </w:hyperlink>
      <w:r>
        <w:rPr>
          <w:rFonts w:ascii="Arial" w:cs="Arial" w:eastAsia="Arial" w:hAnsi="Arial"/>
          <w:sz w:val="12"/>
          <w:szCs w:val="12"/>
          <w:b w:val="1"/>
          <w:bCs w:val="1"/>
          <w:color w:val="auto"/>
        </w:rPr>
        <w:t>” beginning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109220</wp:posOffset>
            </wp:positionV>
            <wp:extent cx="9829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2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880" w:type="dxa"/>
            <w:vAlign w:val="bottom"/>
          </w:tcPr>
          <w:p>
            <w:pPr>
              <w:spacing w:after="0"/>
              <w:rPr>
                <w:sz w:val="13"/>
                <w:szCs w:val="13"/>
                <w:color w:val="auto"/>
              </w:rPr>
            </w:pP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PRICE $</w:t>
            </w:r>
          </w:p>
        </w:tc>
        <w:tc>
          <w:tcPr>
            <w:tcW w:w="3380" w:type="dxa"/>
            <w:vAlign w:val="bottom"/>
            <w:gridSpan w:val="4"/>
          </w:tcPr>
          <w:p>
            <w:pPr>
              <w:ind w:left="200"/>
              <w:spacing w:after="0"/>
              <w:rPr>
                <w:sz w:val="20"/>
                <w:szCs w:val="20"/>
                <w:color w:val="auto"/>
              </w:rPr>
            </w:pPr>
            <w:r>
              <w:rPr>
                <w:rFonts w:ascii="Arial" w:cs="Arial" w:eastAsia="Arial" w:hAnsi="Arial"/>
                <w:sz w:val="12"/>
                <w:szCs w:val="12"/>
                <w:b w:val="1"/>
                <w:bCs w:val="1"/>
                <w:color w:val="auto"/>
              </w:rPr>
              <w:t>PER ADS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0" w:type="dxa"/>
            <w:vAlign w:val="bottom"/>
          </w:tcPr>
          <w:p>
            <w:pPr>
              <w:spacing w:after="0"/>
              <w:rPr>
                <w:sz w:val="13"/>
                <w:szCs w:val="1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Per ADS</w:t>
            </w:r>
          </w:p>
        </w:tc>
        <w:tc>
          <w:tcPr>
            <w:tcW w:w="3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64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2800" w:type="dxa"/>
            <w:vAlign w:val="bottom"/>
            <w:tcBorders>
              <w:top w:val="single" w:sz="8" w:color="CCEEFF"/>
            </w:tcBorders>
            <w:gridSpan w:val="2"/>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40" w:type="dxa"/>
            <w:vAlign w:val="bottom"/>
            <w:gridSpan w:val="2"/>
          </w:tcPr>
          <w:p>
            <w:pPr>
              <w:spacing w:after="0" w:line="135" w:lineRule="exact"/>
              <w:rPr>
                <w:sz w:val="20"/>
                <w:szCs w:val="20"/>
                <w:color w:val="auto"/>
              </w:rPr>
            </w:pPr>
            <w:r>
              <w:rPr>
                <w:rFonts w:ascii="Arial" w:cs="Arial" w:eastAsia="Arial" w:hAnsi="Arial"/>
                <w:sz w:val="9"/>
                <w:szCs w:val="9"/>
                <w:color w:val="auto"/>
              </w:rPr>
              <w:t>Underwriting discounts and commissions</w:t>
            </w:r>
            <w:r>
              <w:rPr>
                <w:rFonts w:ascii="Arial" w:cs="Arial" w:eastAsia="Arial" w:hAnsi="Arial"/>
                <w:sz w:val="15"/>
                <w:szCs w:val="15"/>
                <w:color w:val="auto"/>
                <w:vertAlign w:val="superscript"/>
              </w:rPr>
              <w:t>(1)</w:t>
            </w:r>
          </w:p>
        </w:tc>
        <w:tc>
          <w:tcPr>
            <w:tcW w:w="3200" w:type="dxa"/>
            <w:vAlign w:val="bottom"/>
            <w:gridSpan w:val="3"/>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80" w:type="dxa"/>
            <w:vAlign w:val="bottom"/>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to Mynaric AG before expenses</w:t>
            </w:r>
          </w:p>
        </w:tc>
        <w:tc>
          <w:tcPr>
            <w:tcW w:w="3200" w:type="dxa"/>
            <w:vAlign w:val="bottom"/>
            <w:gridSpan w:val="3"/>
            <w:shd w:val="clear" w:color="auto" w:fill="CCEEFF"/>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hanging="288"/>
        <w:spacing w:after="0"/>
        <w:tabs>
          <w:tab w:leader="none" w:pos="2260" w:val="left"/>
        </w:tabs>
        <w:numPr>
          <w:ilvl w:val="0"/>
          <w:numId w:val="4"/>
        </w:numPr>
        <w:rPr>
          <w:rFonts w:ascii="Arial" w:cs="Arial" w:eastAsia="Arial" w:hAnsi="Arial"/>
          <w:sz w:val="10"/>
          <w:szCs w:val="10"/>
          <w:color w:val="auto"/>
        </w:rPr>
      </w:pPr>
      <w:r>
        <w:rPr>
          <w:rFonts w:ascii="Arial" w:cs="Arial" w:eastAsia="Arial" w:hAnsi="Arial"/>
          <w:sz w:val="10"/>
          <w:szCs w:val="10"/>
          <w:color w:val="auto"/>
        </w:rPr>
        <w:t>See “Underwriting” for a description of the compensation payable to the underwriters.</w:t>
      </w:r>
    </w:p>
    <w:p>
      <w:pPr>
        <w:sectPr>
          <w:pgSz w:w="11900" w:h="16838" w:orient="portrait"/>
          <w:cols w:equalWidth="0" w:num="1">
            <w:col w:w="10159"/>
          </w:cols>
          <w:pgMar w:left="300" w:top="354" w:right="1440" w:bottom="1440" w:gutter="0" w:footer="0" w:header="0"/>
        </w:sectPr>
      </w:pPr>
    </w:p>
    <w:p>
      <w:pPr>
        <w:spacing w:after="0" w:line="60" w:lineRule="exact"/>
        <w:rPr>
          <w:sz w:val="20"/>
          <w:szCs w:val="20"/>
          <w:color w:val="auto"/>
        </w:rPr>
      </w:pPr>
    </w:p>
    <w:p>
      <w:pPr>
        <w:jc w:val="both"/>
        <w:ind w:left="1980" w:firstLine="294"/>
        <w:spacing w:after="0" w:line="375" w:lineRule="auto"/>
        <w:rPr>
          <w:sz w:val="20"/>
          <w:szCs w:val="20"/>
          <w:color w:val="auto"/>
        </w:rPr>
      </w:pPr>
      <w:r>
        <w:rPr>
          <w:rFonts w:ascii="Arial" w:cs="Arial" w:eastAsia="Arial" w:hAnsi="Arial"/>
          <w:sz w:val="10"/>
          <w:szCs w:val="10"/>
          <w:color w:val="auto"/>
        </w:rPr>
        <w:t>The underwriters have the option to purchase up to an additional discount, until the date that is 30 days after the date of this prospectus.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ADSs from us at the initial public offering price, less the underwriting</w:t>
      </w:r>
    </w:p>
    <w:p>
      <w:pPr>
        <w:spacing w:after="0" w:line="233" w:lineRule="exact"/>
        <w:rPr>
          <w:sz w:val="20"/>
          <w:szCs w:val="20"/>
          <w:color w:val="auto"/>
        </w:rPr>
      </w:pPr>
    </w:p>
    <w:p>
      <w:pPr>
        <w:sectPr>
          <w:pgSz w:w="11900" w:h="16838" w:orient="portrait"/>
          <w:cols w:equalWidth="0" w:num="2">
            <w:col w:w="5360" w:space="420"/>
            <w:col w:w="4379"/>
          </w:cols>
          <w:pgMar w:left="300" w:top="354" w:right="1440" w:bottom="1440" w:gutter="0" w:footer="0" w:header="0"/>
          <w:type w:val="continuous"/>
        </w:sectPr>
      </w:pPr>
    </w:p>
    <w:p>
      <w:pPr>
        <w:ind w:left="1980" w:right="1319" w:firstLine="294"/>
        <w:spacing w:after="0" w:line="276" w:lineRule="auto"/>
        <w:rPr>
          <w:sz w:val="20"/>
          <w:szCs w:val="20"/>
          <w:color w:val="auto"/>
        </w:rPr>
      </w:pPr>
      <w:r>
        <w:rPr>
          <w:rFonts w:ascii="Arial" w:cs="Arial" w:eastAsia="Arial" w:hAnsi="Arial"/>
          <w:sz w:val="12"/>
          <w:szCs w:val="12"/>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3" w:lineRule="exact"/>
        <w:rPr>
          <w:sz w:val="20"/>
          <w:szCs w:val="20"/>
          <w:color w:val="auto"/>
        </w:rPr>
      </w:pPr>
    </w:p>
    <w:tbl>
      <w:tblPr>
        <w:tblLayout w:type="fixed"/>
        <w:tblInd w:w="2260" w:type="dxa"/>
        <w:tblCellMar>
          <w:top w:w="0" w:type="dxa"/>
          <w:left w:w="0" w:type="dxa"/>
          <w:bottom w:w="0" w:type="dxa"/>
          <w:right w:w="0" w:type="dxa"/>
        </w:tblCellMar>
      </w:tblPr>
      <w:tr>
        <w:trPr>
          <w:trHeight w:val="153"/>
        </w:trPr>
        <w:tc>
          <w:tcPr>
            <w:tcW w:w="3660" w:type="dxa"/>
            <w:vAlign w:val="bottom"/>
          </w:tcPr>
          <w:p>
            <w:pPr>
              <w:spacing w:after="0"/>
              <w:rPr>
                <w:sz w:val="20"/>
                <w:szCs w:val="20"/>
                <w:color w:val="auto"/>
              </w:rPr>
            </w:pPr>
            <w:r>
              <w:rPr>
                <w:rFonts w:ascii="Arial" w:cs="Arial" w:eastAsia="Arial" w:hAnsi="Arial"/>
                <w:sz w:val="12"/>
                <w:szCs w:val="12"/>
                <w:color w:val="auto"/>
                <w:w w:val="97"/>
              </w:rPr>
              <w:t>The underwriters expect to deliver the ADSs to purchasers on or about</w:t>
            </w:r>
          </w:p>
        </w:tc>
        <w:tc>
          <w:tcPr>
            <w:tcW w:w="600" w:type="dxa"/>
            <w:vAlign w:val="bottom"/>
          </w:tcPr>
          <w:p>
            <w:pPr>
              <w:jc w:val="right"/>
              <w:spacing w:after="0"/>
              <w:rPr>
                <w:sz w:val="20"/>
                <w:szCs w:val="20"/>
                <w:color w:val="auto"/>
              </w:rPr>
            </w:pPr>
            <w:r>
              <w:rPr>
                <w:rFonts w:ascii="Arial" w:cs="Arial" w:eastAsia="Arial" w:hAnsi="Arial"/>
                <w:sz w:val="12"/>
                <w:szCs w:val="12"/>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97155</wp:posOffset>
            </wp:positionV>
            <wp:extent cx="9829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0"/>
          <w:szCs w:val="20"/>
          <w:color w:val="auto"/>
        </w:rPr>
      </w:pPr>
    </w:p>
    <w:tbl>
      <w:tblPr>
        <w:tblLayout w:type="fixed"/>
        <w:tblInd w:w="2460" w:type="dxa"/>
        <w:tblCellMar>
          <w:top w:w="0" w:type="dxa"/>
          <w:left w:w="0" w:type="dxa"/>
          <w:bottom w:w="0" w:type="dxa"/>
          <w:right w:w="0" w:type="dxa"/>
        </w:tblCellMar>
      </w:tblPr>
      <w:tr>
        <w:trPr>
          <w:trHeight w:val="198"/>
        </w:trPr>
        <w:tc>
          <w:tcPr>
            <w:tcW w:w="3180" w:type="dxa"/>
            <w:vAlign w:val="bottom"/>
            <w:gridSpan w:val="2"/>
          </w:tcPr>
          <w:p>
            <w:pPr>
              <w:ind w:left="2160"/>
              <w:spacing w:after="0"/>
              <w:rPr>
                <w:sz w:val="20"/>
                <w:szCs w:val="20"/>
                <w:color w:val="auto"/>
              </w:rPr>
            </w:pPr>
            <w:r>
              <w:rPr>
                <w:rFonts w:ascii="Arial" w:cs="Arial" w:eastAsia="Arial" w:hAnsi="Arial"/>
                <w:sz w:val="17"/>
                <w:szCs w:val="17"/>
                <w:b w:val="1"/>
                <w:bCs w:val="1"/>
                <w:color w:val="auto"/>
                <w:w w:val="91"/>
              </w:rPr>
              <w:t>Credit Suisse</w:t>
            </w:r>
          </w:p>
        </w:tc>
        <w:tc>
          <w:tcPr>
            <w:tcW w:w="1460" w:type="dxa"/>
            <w:vAlign w:val="bottom"/>
            <w:gridSpan w:val="2"/>
          </w:tcPr>
          <w:p>
            <w:pPr>
              <w:ind w:left="420"/>
              <w:spacing w:after="0"/>
              <w:rPr>
                <w:sz w:val="20"/>
                <w:szCs w:val="20"/>
                <w:color w:val="auto"/>
              </w:rPr>
            </w:pPr>
            <w:r>
              <w:rPr>
                <w:rFonts w:ascii="Arial" w:cs="Arial" w:eastAsia="Arial" w:hAnsi="Arial"/>
                <w:sz w:val="17"/>
                <w:szCs w:val="17"/>
                <w:b w:val="1"/>
                <w:bCs w:val="1"/>
                <w:color w:val="auto"/>
              </w:rPr>
              <w:t>Jefferies</w:t>
            </w:r>
          </w:p>
        </w:tc>
        <w:tc>
          <w:tcPr>
            <w:tcW w:w="0" w:type="dxa"/>
            <w:vAlign w:val="bottom"/>
          </w:tcPr>
          <w:p>
            <w:pPr>
              <w:spacing w:after="0"/>
              <w:rPr>
                <w:sz w:val="1"/>
                <w:szCs w:val="1"/>
                <w:color w:val="auto"/>
              </w:rPr>
            </w:pPr>
          </w:p>
        </w:tc>
      </w:tr>
      <w:tr>
        <w:trPr>
          <w:trHeight w:val="218"/>
        </w:trPr>
        <w:tc>
          <w:tcPr>
            <w:tcW w:w="3180" w:type="dxa"/>
            <w:vAlign w:val="bottom"/>
            <w:gridSpan w:val="2"/>
          </w:tcPr>
          <w:p>
            <w:pPr>
              <w:ind w:left="1720"/>
              <w:spacing w:after="0"/>
              <w:rPr>
                <w:sz w:val="20"/>
                <w:szCs w:val="20"/>
                <w:color w:val="auto"/>
              </w:rPr>
            </w:pPr>
            <w:r>
              <w:rPr>
                <w:rFonts w:ascii="Arial" w:cs="Arial" w:eastAsia="Arial" w:hAnsi="Arial"/>
                <w:sz w:val="17"/>
                <w:szCs w:val="17"/>
                <w:b w:val="1"/>
                <w:bCs w:val="1"/>
                <w:color w:val="auto"/>
              </w:rPr>
              <w:t>William Blair</w:t>
            </w:r>
          </w:p>
        </w:tc>
        <w:tc>
          <w:tcPr>
            <w:tcW w:w="1460" w:type="dxa"/>
            <w:vAlign w:val="bottom"/>
            <w:gridSpan w:val="2"/>
          </w:tcPr>
          <w:p>
            <w:pPr>
              <w:ind w:left="60"/>
              <w:spacing w:after="0"/>
              <w:rPr>
                <w:sz w:val="20"/>
                <w:szCs w:val="20"/>
                <w:color w:val="auto"/>
              </w:rPr>
            </w:pPr>
            <w:r>
              <w:rPr>
                <w:rFonts w:ascii="Arial" w:cs="Arial" w:eastAsia="Arial" w:hAnsi="Arial"/>
                <w:sz w:val="17"/>
                <w:szCs w:val="17"/>
                <w:b w:val="1"/>
                <w:bCs w:val="1"/>
                <w:color w:val="auto"/>
                <w:w w:val="88"/>
              </w:rPr>
              <w:t>Canaccord Genuity</w:t>
            </w:r>
          </w:p>
        </w:tc>
        <w:tc>
          <w:tcPr>
            <w:tcW w:w="0" w:type="dxa"/>
            <w:vAlign w:val="bottom"/>
          </w:tcPr>
          <w:p>
            <w:pPr>
              <w:spacing w:after="0"/>
              <w:rPr>
                <w:sz w:val="1"/>
                <w:szCs w:val="1"/>
                <w:color w:val="auto"/>
              </w:rPr>
            </w:pPr>
          </w:p>
        </w:tc>
      </w:tr>
      <w:tr>
        <w:trPr>
          <w:trHeight w:val="175"/>
        </w:trPr>
        <w:tc>
          <w:tcPr>
            <w:tcW w:w="2400" w:type="dxa"/>
            <w:vAlign w:val="bottom"/>
            <w:vMerge w:val="restart"/>
          </w:tcPr>
          <w:p>
            <w:pPr>
              <w:jc w:val="right"/>
              <w:ind w:right="2024"/>
              <w:spacing w:after="0"/>
              <w:rPr>
                <w:sz w:val="20"/>
                <w:szCs w:val="20"/>
                <w:color w:val="auto"/>
              </w:rPr>
            </w:pPr>
            <w:r>
              <w:rPr>
                <w:rFonts w:ascii="Arial" w:cs="Arial" w:eastAsia="Arial" w:hAnsi="Arial"/>
                <w:sz w:val="12"/>
                <w:szCs w:val="12"/>
                <w:color w:val="auto"/>
                <w:w w:val="83"/>
              </w:rPr>
              <w:t>, 2021</w:t>
            </w: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type w:val="continuous"/>
        </w:sectPr>
      </w:pPr>
    </w:p>
    <w:bookmarkStart w:id="3" w:name="page4"/>
    <w:bookmarkEnd w:id="3"/>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4" w:name="page5"/>
    <w:bookmarkEnd w:id="4"/>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5" w:name="page6"/>
    <w:bookmarkEnd w:id="5"/>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6" w:name="page7"/>
    <w:bookmarkEnd w:id="6"/>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6035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63440" cy="60350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TABLE OF CONTENTS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80" w:type="dxa"/>
            <w:vAlign w:val="bottom"/>
            <w:gridSpan w:val="13"/>
            <w:vMerge w:val="restart"/>
          </w:tcPr>
          <w:p>
            <w:pPr>
              <w:spacing w:after="0"/>
              <w:rPr>
                <w:rFonts w:ascii="Arial" w:cs="Arial" w:eastAsia="Arial" w:hAnsi="Arial"/>
                <w:sz w:val="12"/>
                <w:szCs w:val="12"/>
                <w:color w:val="0000EE"/>
              </w:rPr>
            </w:pPr>
            <w:hyperlink w:anchor="page9">
              <w:r>
                <w:rPr>
                  <w:rFonts w:ascii="Arial" w:cs="Arial" w:eastAsia="Arial" w:hAnsi="Arial"/>
                  <w:sz w:val="12"/>
                  <w:szCs w:val="12"/>
                  <w:color w:val="0000EE"/>
                </w:rPr>
                <w:t>About This Prospectus</w:t>
              </w:r>
            </w:hyperlink>
          </w:p>
        </w:tc>
        <w:tc>
          <w:tcPr>
            <w:tcW w:w="4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75"/>
              </w:rPr>
              <w:t>Page</w:t>
            </w:r>
          </w:p>
        </w:tc>
        <w:tc>
          <w:tcPr>
            <w:tcW w:w="3340" w:type="dxa"/>
            <w:vAlign w:val="bottom"/>
            <w:gridSpan w:val="14"/>
            <w:vMerge w:val="restart"/>
          </w:tcPr>
          <w:p>
            <w:pPr>
              <w:spacing w:after="0"/>
              <w:rPr>
                <w:rFonts w:ascii="Arial" w:cs="Arial" w:eastAsia="Arial" w:hAnsi="Arial"/>
                <w:sz w:val="12"/>
                <w:szCs w:val="12"/>
                <w:color w:val="0000EE"/>
              </w:rPr>
            </w:pPr>
            <w:hyperlink w:anchor="page85">
              <w:r>
                <w:rPr>
                  <w:rFonts w:ascii="Arial" w:cs="Arial" w:eastAsia="Arial" w:hAnsi="Arial"/>
                  <w:sz w:val="12"/>
                  <w:szCs w:val="12"/>
                  <w:color w:val="0000EE"/>
                </w:rPr>
                <w:t>Business</w:t>
              </w:r>
            </w:hyperlink>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75"/>
              </w:rPr>
              <w:t>Page</w:t>
            </w:r>
          </w:p>
        </w:tc>
        <w:tc>
          <w:tcPr>
            <w:tcW w:w="0" w:type="dxa"/>
            <w:vAlign w:val="bottom"/>
          </w:tcPr>
          <w:p>
            <w:pPr>
              <w:spacing w:after="0"/>
              <w:rPr>
                <w:sz w:val="1"/>
                <w:szCs w:val="1"/>
                <w:color w:val="auto"/>
              </w:rPr>
            </w:pPr>
          </w:p>
        </w:tc>
      </w:tr>
      <w:tr>
        <w:trPr>
          <w:trHeight w:val="97"/>
        </w:trPr>
        <w:tc>
          <w:tcPr>
            <w:tcW w:w="3280" w:type="dxa"/>
            <w:vAlign w:val="bottom"/>
            <w:gridSpan w:val="13"/>
            <w:vMerge w:val="continue"/>
          </w:tcPr>
          <w:p>
            <w:pPr>
              <w:spacing w:after="0"/>
              <w:rPr>
                <w:sz w:val="8"/>
                <w:szCs w:val="8"/>
                <w:color w:val="auto"/>
              </w:rPr>
            </w:pPr>
          </w:p>
        </w:tc>
        <w:tc>
          <w:tcPr>
            <w:tcW w:w="2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ii</w:t>
            </w:r>
          </w:p>
        </w:tc>
        <w:tc>
          <w:tcPr>
            <w:tcW w:w="260" w:type="dxa"/>
            <w:vAlign w:val="bottom"/>
          </w:tcPr>
          <w:p>
            <w:pPr>
              <w:spacing w:after="0"/>
              <w:rPr>
                <w:sz w:val="8"/>
                <w:szCs w:val="8"/>
                <w:color w:val="auto"/>
              </w:rPr>
            </w:pPr>
          </w:p>
        </w:tc>
        <w:tc>
          <w:tcPr>
            <w:tcW w:w="3340" w:type="dxa"/>
            <w:vAlign w:val="bottom"/>
            <w:gridSpan w:val="14"/>
            <w:vMerge w:val="continue"/>
          </w:tcPr>
          <w:p>
            <w:pPr>
              <w:spacing w:after="0"/>
              <w:rPr>
                <w:sz w:val="8"/>
                <w:szCs w:val="8"/>
                <w:color w:val="auto"/>
              </w:rPr>
            </w:pPr>
          </w:p>
        </w:tc>
        <w:tc>
          <w:tcPr>
            <w:tcW w:w="2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80" w:type="dxa"/>
            <w:vAlign w:val="bottom"/>
            <w:gridSpan w:val="13"/>
          </w:tcPr>
          <w:p>
            <w:pPr>
              <w:spacing w:after="0" w:line="133" w:lineRule="exact"/>
              <w:rPr>
                <w:rFonts w:ascii="Arial" w:cs="Arial" w:eastAsia="Arial" w:hAnsi="Arial"/>
                <w:sz w:val="12"/>
                <w:szCs w:val="12"/>
                <w:color w:val="0000EE"/>
              </w:rPr>
            </w:pPr>
            <w:hyperlink w:anchor="page9">
              <w:r>
                <w:rPr>
                  <w:rFonts w:ascii="Arial" w:cs="Arial" w:eastAsia="Arial" w:hAnsi="Arial"/>
                  <w:sz w:val="12"/>
                  <w:szCs w:val="12"/>
                  <w:color w:val="0000EE"/>
                </w:rPr>
                <w:t>Presentation of Financial and Other Information</w:t>
              </w:r>
            </w:hyperlink>
          </w:p>
        </w:tc>
        <w:tc>
          <w:tcPr>
            <w:tcW w:w="46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ii</w:t>
            </w:r>
          </w:p>
        </w:tc>
        <w:tc>
          <w:tcPr>
            <w:tcW w:w="3340" w:type="dxa"/>
            <w:vAlign w:val="bottom"/>
            <w:gridSpan w:val="14"/>
          </w:tcPr>
          <w:p>
            <w:pPr>
              <w:spacing w:after="0" w:line="133" w:lineRule="exact"/>
              <w:rPr>
                <w:rFonts w:ascii="Arial" w:cs="Arial" w:eastAsia="Arial" w:hAnsi="Arial"/>
                <w:sz w:val="12"/>
                <w:szCs w:val="12"/>
                <w:color w:val="0000EE"/>
              </w:rPr>
            </w:pPr>
            <w:hyperlink w:anchor="page103">
              <w:r>
                <w:rPr>
                  <w:rFonts w:ascii="Arial" w:cs="Arial" w:eastAsia="Arial" w:hAnsi="Arial"/>
                  <w:sz w:val="12"/>
                  <w:szCs w:val="12"/>
                  <w:color w:val="0000EE"/>
                </w:rPr>
                <w:t>Regulatory Environment</w:t>
              </w:r>
            </w:hyperlink>
          </w:p>
        </w:tc>
        <w:tc>
          <w:tcPr>
            <w:tcW w:w="220" w:type="dxa"/>
            <w:vAlign w:val="bottom"/>
          </w:tcPr>
          <w:p>
            <w:pPr>
              <w:jc w:val="right"/>
              <w:spacing w:after="0" w:line="133" w:lineRule="exact"/>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24"/>
        </w:trPr>
        <w:tc>
          <w:tcPr>
            <w:tcW w:w="1240" w:type="dxa"/>
            <w:vAlign w:val="bottom"/>
            <w:tcBorders>
              <w:top w:val="single" w:sz="8" w:color="0000EE"/>
            </w:tcBorders>
            <w:gridSpan w:val="7"/>
          </w:tcPr>
          <w:p>
            <w:pPr>
              <w:spacing w:after="0" w:line="124" w:lineRule="exact"/>
              <w:rPr>
                <w:rFonts w:ascii="Arial" w:cs="Arial" w:eastAsia="Arial" w:hAnsi="Arial"/>
                <w:sz w:val="12"/>
                <w:szCs w:val="12"/>
                <w:color w:val="0000EE"/>
                <w:w w:val="89"/>
              </w:rPr>
            </w:pPr>
            <w:hyperlink w:anchor="page9">
              <w:r>
                <w:rPr>
                  <w:rFonts w:ascii="Arial" w:cs="Arial" w:eastAsia="Arial" w:hAnsi="Arial"/>
                  <w:sz w:val="12"/>
                  <w:szCs w:val="12"/>
                  <w:color w:val="0000EE"/>
                  <w:w w:val="89"/>
                </w:rPr>
                <w:t>Market and Industry Data</w:t>
              </w:r>
            </w:hyperlink>
          </w:p>
        </w:tc>
        <w:tc>
          <w:tcPr>
            <w:tcW w:w="1060" w:type="dxa"/>
            <w:vAlign w:val="bottom"/>
            <w:tcBorders>
              <w:top w:val="single" w:sz="8" w:color="0000EE"/>
            </w:tcBorders>
            <w:gridSpan w:val="3"/>
          </w:tcPr>
          <w:p>
            <w:pPr>
              <w:spacing w:after="0"/>
              <w:rPr>
                <w:sz w:val="10"/>
                <w:szCs w:val="10"/>
                <w:color w:val="auto"/>
              </w:rPr>
            </w:pPr>
          </w:p>
        </w:tc>
        <w:tc>
          <w:tcPr>
            <w:tcW w:w="980" w:type="dxa"/>
            <w:vAlign w:val="bottom"/>
            <w:gridSpan w:val="3"/>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11">
              <w:r>
                <w:rPr>
                  <w:rFonts w:ascii="Arial" w:cs="Arial" w:eastAsia="Arial" w:hAnsi="Arial"/>
                  <w:sz w:val="12"/>
                  <w:szCs w:val="12"/>
                  <w:color w:val="0000EE"/>
                </w:rPr>
                <w:t>Management</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100</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tcBorders>
              <w:bottom w:val="single" w:sz="8" w:color="0000EE"/>
            </w:tcBorders>
            <w:gridSpan w:val="9"/>
          </w:tcPr>
          <w:p>
            <w:pPr>
              <w:spacing w:after="0" w:line="124" w:lineRule="exact"/>
              <w:rPr>
                <w:rFonts w:ascii="Arial" w:cs="Arial" w:eastAsia="Arial" w:hAnsi="Arial"/>
                <w:sz w:val="12"/>
                <w:szCs w:val="12"/>
                <w:color w:val="0000EE"/>
                <w:w w:val="88"/>
              </w:rPr>
            </w:pPr>
            <w:hyperlink w:anchor="page10">
              <w:r>
                <w:rPr>
                  <w:rFonts w:ascii="Arial" w:cs="Arial" w:eastAsia="Arial" w:hAnsi="Arial"/>
                  <w:sz w:val="12"/>
                  <w:szCs w:val="12"/>
                  <w:color w:val="0000EE"/>
                  <w:w w:val="88"/>
                </w:rPr>
                <w:t>Trademarks, Service Marks and Trade Names</w:t>
              </w:r>
            </w:hyperlink>
          </w:p>
        </w:tc>
        <w:tc>
          <w:tcPr>
            <w:tcW w:w="1080" w:type="dxa"/>
            <w:vAlign w:val="bottom"/>
            <w:gridSpan w:val="4"/>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iii</w:t>
            </w:r>
          </w:p>
        </w:tc>
        <w:tc>
          <w:tcPr>
            <w:tcW w:w="110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w:anchor="page129">
              <w:r>
                <w:rPr>
                  <w:rFonts w:ascii="Arial" w:cs="Arial" w:eastAsia="Arial" w:hAnsi="Arial"/>
                  <w:sz w:val="12"/>
                  <w:szCs w:val="12"/>
                  <w:color w:val="0000EE"/>
                  <w:w w:val="89"/>
                </w:rPr>
                <w:t>Principal Shareholders</w:t>
              </w:r>
            </w:hyperlink>
          </w:p>
        </w:tc>
        <w:tc>
          <w:tcPr>
            <w:tcW w:w="2240" w:type="dxa"/>
            <w:vAlign w:val="bottom"/>
            <w:gridSpan w:val="10"/>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118</w:t>
            </w:r>
          </w:p>
        </w:tc>
        <w:tc>
          <w:tcPr>
            <w:tcW w:w="0" w:type="dxa"/>
            <w:vAlign w:val="bottom"/>
          </w:tcPr>
          <w:p>
            <w:pPr>
              <w:spacing w:after="0"/>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82"/>
              </w:rPr>
            </w:pPr>
            <w:hyperlink w:anchor="page11">
              <w:r>
                <w:rPr>
                  <w:rFonts w:ascii="Arial" w:cs="Arial" w:eastAsia="Arial" w:hAnsi="Arial"/>
                  <w:sz w:val="12"/>
                  <w:szCs w:val="12"/>
                  <w:color w:val="0000EE"/>
                  <w:w w:val="82"/>
                </w:rPr>
                <w:t>Frequently Used Terms</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iv</w:t>
            </w:r>
          </w:p>
        </w:tc>
        <w:tc>
          <w:tcPr>
            <w:tcW w:w="3340" w:type="dxa"/>
            <w:vAlign w:val="bottom"/>
            <w:gridSpan w:val="14"/>
          </w:tcPr>
          <w:p>
            <w:pPr>
              <w:spacing w:after="0" w:line="124" w:lineRule="exact"/>
              <w:rPr>
                <w:rFonts w:ascii="Arial" w:cs="Arial" w:eastAsia="Arial" w:hAnsi="Arial"/>
                <w:sz w:val="12"/>
                <w:szCs w:val="12"/>
                <w:color w:val="0000EE"/>
              </w:rPr>
            </w:pPr>
            <w:hyperlink w:anchor="page131">
              <w:r>
                <w:rPr>
                  <w:rFonts w:ascii="Arial" w:cs="Arial" w:eastAsia="Arial" w:hAnsi="Arial"/>
                  <w:sz w:val="12"/>
                  <w:szCs w:val="12"/>
                  <w:color w:val="0000EE"/>
                </w:rPr>
                <w:t>Related Party Transactions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120</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90"/>
              </w:rPr>
            </w:pPr>
            <w:hyperlink w:anchor="page12">
              <w:r>
                <w:rPr>
                  <w:rFonts w:ascii="Arial" w:cs="Arial" w:eastAsia="Arial" w:hAnsi="Arial"/>
                  <w:sz w:val="12"/>
                  <w:szCs w:val="12"/>
                  <w:color w:val="0000EE"/>
                  <w:w w:val="90"/>
                </w:rPr>
                <w:t>Prospectus Summary</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w:t>
            </w:r>
          </w:p>
        </w:tc>
        <w:tc>
          <w:tcPr>
            <w:tcW w:w="3340" w:type="dxa"/>
            <w:vAlign w:val="bottom"/>
            <w:gridSpan w:val="14"/>
          </w:tcPr>
          <w:p>
            <w:pPr>
              <w:spacing w:after="0" w:line="124" w:lineRule="exact"/>
              <w:rPr>
                <w:rFonts w:ascii="Arial" w:cs="Arial" w:eastAsia="Arial" w:hAnsi="Arial"/>
                <w:sz w:val="12"/>
                <w:szCs w:val="12"/>
                <w:color w:val="0000EE"/>
              </w:rPr>
            </w:pPr>
            <w:hyperlink w:anchor="page133">
              <w:r>
                <w:rPr>
                  <w:rFonts w:ascii="Arial" w:cs="Arial" w:eastAsia="Arial" w:hAnsi="Arial"/>
                  <w:sz w:val="12"/>
                  <w:szCs w:val="12"/>
                  <w:color w:val="0000EE"/>
                </w:rPr>
                <w:t>Description of Share Capital and Articles of Association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122</w:t>
            </w:r>
          </w:p>
        </w:tc>
        <w:tc>
          <w:tcPr>
            <w:tcW w:w="0" w:type="dxa"/>
            <w:vAlign w:val="bottom"/>
          </w:tcPr>
          <w:p>
            <w:pPr>
              <w:spacing w:after="0"/>
              <w:rPr>
                <w:sz w:val="1"/>
                <w:szCs w:val="1"/>
                <w:color w:val="auto"/>
              </w:rPr>
            </w:pPr>
          </w:p>
        </w:tc>
      </w:tr>
      <w:tr>
        <w:trPr>
          <w:trHeight w:val="124"/>
        </w:trPr>
        <w:tc>
          <w:tcPr>
            <w:tcW w:w="108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25">
              <w:r>
                <w:rPr>
                  <w:rFonts w:ascii="Arial" w:cs="Arial" w:eastAsia="Arial" w:hAnsi="Arial"/>
                  <w:sz w:val="12"/>
                  <w:szCs w:val="12"/>
                  <w:color w:val="0000EE"/>
                </w:rPr>
                <w:t>The Offering</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14</w:t>
            </w:r>
          </w:p>
        </w:tc>
        <w:tc>
          <w:tcPr>
            <w:tcW w:w="270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w:anchor="page152">
              <w:r>
                <w:rPr>
                  <w:rFonts w:ascii="Arial" w:cs="Arial" w:eastAsia="Arial" w:hAnsi="Arial"/>
                  <w:sz w:val="12"/>
                  <w:szCs w:val="12"/>
                  <w:color w:val="0000EE"/>
                </w:rPr>
                <w:t>Description of American Depositary Shares</w:t>
              </w:r>
            </w:hyperlink>
          </w:p>
        </w:tc>
        <w:tc>
          <w:tcPr>
            <w:tcW w:w="640" w:type="dxa"/>
            <w:vAlign w:val="bottom"/>
            <w:gridSpan w:val="2"/>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141</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w:anchor="page28">
              <w:r>
                <w:rPr>
                  <w:rFonts w:ascii="Arial" w:cs="Arial" w:eastAsia="Arial" w:hAnsi="Arial"/>
                  <w:sz w:val="12"/>
                  <w:szCs w:val="12"/>
                  <w:color w:val="0000EE"/>
                  <w:w w:val="91"/>
                </w:rPr>
                <w:t>Summary Financial Data</w:t>
              </w:r>
            </w:hyperlink>
          </w:p>
        </w:tc>
        <w:tc>
          <w:tcPr>
            <w:tcW w:w="2040" w:type="dxa"/>
            <w:vAlign w:val="bottom"/>
            <w:gridSpan w:val="6"/>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17</w:t>
            </w:r>
          </w:p>
        </w:tc>
        <w:tc>
          <w:tcPr>
            <w:tcW w:w="2000" w:type="dxa"/>
            <w:vAlign w:val="bottom"/>
            <w:tcBorders>
              <w:bottom w:val="single" w:sz="8" w:color="0000EE"/>
            </w:tcBorders>
            <w:gridSpan w:val="10"/>
          </w:tcPr>
          <w:p>
            <w:pPr>
              <w:spacing w:after="0" w:line="124" w:lineRule="exact"/>
              <w:rPr>
                <w:rFonts w:ascii="Arial" w:cs="Arial" w:eastAsia="Arial" w:hAnsi="Arial"/>
                <w:sz w:val="12"/>
                <w:szCs w:val="12"/>
                <w:color w:val="0000EE"/>
                <w:w w:val="89"/>
              </w:rPr>
            </w:pPr>
            <w:hyperlink w:anchor="page160">
              <w:r>
                <w:rPr>
                  <w:rFonts w:ascii="Arial" w:cs="Arial" w:eastAsia="Arial" w:hAnsi="Arial"/>
                  <w:sz w:val="12"/>
                  <w:szCs w:val="12"/>
                  <w:color w:val="0000EE"/>
                  <w:w w:val="89"/>
                </w:rPr>
                <w:t>Shares and ADSs Eligible for Future Sale</w:t>
              </w:r>
            </w:hyperlink>
          </w:p>
        </w:tc>
        <w:tc>
          <w:tcPr>
            <w:tcW w:w="1340" w:type="dxa"/>
            <w:vAlign w:val="bottom"/>
            <w:gridSpan w:val="4"/>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149</w:t>
            </w:r>
          </w:p>
        </w:tc>
        <w:tc>
          <w:tcPr>
            <w:tcW w:w="0" w:type="dxa"/>
            <w:vAlign w:val="bottom"/>
          </w:tcPr>
          <w:p>
            <w:pPr>
              <w:spacing w:after="0"/>
              <w:rPr>
                <w:sz w:val="1"/>
                <w:szCs w:val="1"/>
                <w:color w:val="auto"/>
              </w:rPr>
            </w:pPr>
          </w:p>
        </w:tc>
      </w:tr>
      <w:tr>
        <w:trPr>
          <w:trHeight w:val="124"/>
        </w:trPr>
        <w:tc>
          <w:tcPr>
            <w:tcW w:w="600" w:type="dxa"/>
            <w:vAlign w:val="bottom"/>
            <w:gridSpan w:val="3"/>
          </w:tcPr>
          <w:p>
            <w:pPr>
              <w:spacing w:after="0" w:line="124" w:lineRule="exact"/>
              <w:rPr>
                <w:rFonts w:ascii="Arial" w:cs="Arial" w:eastAsia="Arial" w:hAnsi="Arial"/>
                <w:sz w:val="12"/>
                <w:szCs w:val="12"/>
                <w:color w:val="0000EE"/>
                <w:w w:val="83"/>
              </w:rPr>
            </w:pPr>
            <w:hyperlink w:anchor="page31">
              <w:r>
                <w:rPr>
                  <w:rFonts w:ascii="Arial" w:cs="Arial" w:eastAsia="Arial" w:hAnsi="Arial"/>
                  <w:sz w:val="12"/>
                  <w:szCs w:val="12"/>
                  <w:color w:val="0000EE"/>
                  <w:w w:val="83"/>
                </w:rPr>
                <w:t>Risk Factors</w:t>
              </w:r>
            </w:hyperlink>
          </w:p>
        </w:tc>
        <w:tc>
          <w:tcPr>
            <w:tcW w:w="2680" w:type="dxa"/>
            <w:vAlign w:val="bottom"/>
            <w:gridSpan w:val="10"/>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20</w:t>
            </w:r>
          </w:p>
        </w:tc>
        <w:tc>
          <w:tcPr>
            <w:tcW w:w="3340" w:type="dxa"/>
            <w:vAlign w:val="bottom"/>
            <w:gridSpan w:val="14"/>
          </w:tcPr>
          <w:p>
            <w:pPr>
              <w:spacing w:after="0" w:line="124" w:lineRule="exact"/>
              <w:rPr>
                <w:rFonts w:ascii="Arial" w:cs="Arial" w:eastAsia="Arial" w:hAnsi="Arial"/>
                <w:sz w:val="12"/>
                <w:szCs w:val="12"/>
                <w:color w:val="0000EE"/>
              </w:rPr>
            </w:pPr>
            <w:hyperlink w:anchor="page162">
              <w:r>
                <w:rPr>
                  <w:rFonts w:ascii="Arial" w:cs="Arial" w:eastAsia="Arial" w:hAnsi="Arial"/>
                  <w:sz w:val="12"/>
                  <w:szCs w:val="12"/>
                  <w:color w:val="0000EE"/>
                </w:rPr>
                <w:t>Exchange Controls and Limitations Affecting Shareholders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151</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61">
              <w:r>
                <w:rPr>
                  <w:rFonts w:ascii="Arial" w:cs="Arial" w:eastAsia="Arial" w:hAnsi="Arial"/>
                  <w:sz w:val="12"/>
                  <w:szCs w:val="12"/>
                  <w:color w:val="0000EE"/>
                  <w:w w:val="98"/>
                </w:rPr>
                <w:t>Cautionary Statement Regarding Forward-Looking Statements</w:t>
              </w:r>
            </w:hyperlink>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50</w:t>
            </w:r>
          </w:p>
        </w:tc>
        <w:tc>
          <w:tcPr>
            <w:tcW w:w="3340" w:type="dxa"/>
            <w:vAlign w:val="bottom"/>
            <w:gridSpan w:val="14"/>
          </w:tcPr>
          <w:p>
            <w:pPr>
              <w:spacing w:after="0" w:line="124" w:lineRule="exact"/>
              <w:rPr>
                <w:rFonts w:ascii="Arial" w:cs="Arial" w:eastAsia="Arial" w:hAnsi="Arial"/>
                <w:sz w:val="12"/>
                <w:szCs w:val="12"/>
                <w:color w:val="0000EE"/>
              </w:rPr>
            </w:pPr>
            <w:hyperlink w:anchor="page163">
              <w:r>
                <w:rPr>
                  <w:rFonts w:ascii="Arial" w:cs="Arial" w:eastAsia="Arial" w:hAnsi="Arial"/>
                  <w:sz w:val="12"/>
                  <w:szCs w:val="12"/>
                  <w:color w:val="0000EE"/>
                </w:rPr>
                <w:t>Taxation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152</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85"/>
              </w:rPr>
            </w:pPr>
            <w:hyperlink w:anchor="page64">
              <w:r>
                <w:rPr>
                  <w:rFonts w:ascii="Arial" w:cs="Arial" w:eastAsia="Arial" w:hAnsi="Arial"/>
                  <w:sz w:val="12"/>
                  <w:szCs w:val="12"/>
                  <w:color w:val="0000EE"/>
                  <w:w w:val="85"/>
                </w:rPr>
                <w:t>Use of Proceeds</w:t>
              </w:r>
            </w:hyperlink>
          </w:p>
        </w:tc>
        <w:tc>
          <w:tcPr>
            <w:tcW w:w="2220" w:type="dxa"/>
            <w:vAlign w:val="bottom"/>
            <w:gridSpan w:val="6"/>
          </w:tcPr>
          <w:p>
            <w:pPr>
              <w:spacing w:after="0"/>
              <w:rPr>
                <w:sz w:val="10"/>
                <w:szCs w:val="10"/>
                <w:color w:val="auto"/>
              </w:rPr>
            </w:pPr>
          </w:p>
        </w:tc>
        <w:tc>
          <w:tcPr>
            <w:tcW w:w="280" w:type="dxa"/>
            <w:vAlign w:val="bottom"/>
            <w:gridSpan w:val="2"/>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53</w:t>
            </w:r>
          </w:p>
        </w:tc>
        <w:tc>
          <w:tcPr>
            <w:tcW w:w="3340" w:type="dxa"/>
            <w:vAlign w:val="bottom"/>
            <w:gridSpan w:val="14"/>
          </w:tcPr>
          <w:p>
            <w:pPr>
              <w:spacing w:after="0" w:line="124" w:lineRule="exact"/>
              <w:rPr>
                <w:rFonts w:ascii="Arial" w:cs="Arial" w:eastAsia="Arial" w:hAnsi="Arial"/>
                <w:sz w:val="12"/>
                <w:szCs w:val="12"/>
                <w:color w:val="0000EE"/>
              </w:rPr>
            </w:pPr>
            <w:hyperlink w:anchor="page177">
              <w:r>
                <w:rPr>
                  <w:rFonts w:ascii="Arial" w:cs="Arial" w:eastAsia="Arial" w:hAnsi="Arial"/>
                  <w:sz w:val="12"/>
                  <w:szCs w:val="12"/>
                  <w:color w:val="0000EE"/>
                </w:rPr>
                <w:t>Underwriting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166</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92"/>
              </w:rPr>
            </w:pPr>
            <w:hyperlink w:anchor="page65">
              <w:r>
                <w:rPr>
                  <w:rFonts w:ascii="Arial" w:cs="Arial" w:eastAsia="Arial" w:hAnsi="Arial"/>
                  <w:sz w:val="12"/>
                  <w:szCs w:val="12"/>
                  <w:color w:val="0000EE"/>
                  <w:w w:val="92"/>
                </w:rPr>
                <w:t>Dividend Policy</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54</w:t>
            </w:r>
          </w:p>
        </w:tc>
        <w:tc>
          <w:tcPr>
            <w:tcW w:w="3340" w:type="dxa"/>
            <w:vAlign w:val="bottom"/>
            <w:gridSpan w:val="14"/>
          </w:tcPr>
          <w:p>
            <w:pPr>
              <w:spacing w:after="0" w:line="124" w:lineRule="exact"/>
              <w:rPr>
                <w:rFonts w:ascii="Arial" w:cs="Arial" w:eastAsia="Arial" w:hAnsi="Arial"/>
                <w:sz w:val="12"/>
                <w:szCs w:val="12"/>
                <w:color w:val="0000EE"/>
              </w:rPr>
            </w:pPr>
            <w:hyperlink w:anchor="page185">
              <w:r>
                <w:rPr>
                  <w:rFonts w:ascii="Arial" w:cs="Arial" w:eastAsia="Arial" w:hAnsi="Arial"/>
                  <w:sz w:val="12"/>
                  <w:szCs w:val="12"/>
                  <w:color w:val="0000EE"/>
                </w:rPr>
                <w:t>Expenses of the Offering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174</w:t>
            </w:r>
          </w:p>
        </w:tc>
        <w:tc>
          <w:tcPr>
            <w:tcW w:w="0" w:type="dxa"/>
            <w:vAlign w:val="bottom"/>
          </w:tcPr>
          <w:p>
            <w:pPr>
              <w:spacing w:after="0"/>
              <w:rPr>
                <w:sz w:val="1"/>
                <w:szCs w:val="1"/>
                <w:color w:val="auto"/>
              </w:rPr>
            </w:pPr>
          </w:p>
        </w:tc>
      </w:tr>
      <w:tr>
        <w:trPr>
          <w:trHeight w:val="124"/>
        </w:trPr>
        <w:tc>
          <w:tcPr>
            <w:tcW w:w="78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66">
              <w:r>
                <w:rPr>
                  <w:rFonts w:ascii="Arial" w:cs="Arial" w:eastAsia="Arial" w:hAnsi="Arial"/>
                  <w:sz w:val="12"/>
                  <w:szCs w:val="12"/>
                  <w:color w:val="0000EE"/>
                </w:rPr>
                <w:t>Capitalization</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55</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86">
              <w:r>
                <w:rPr>
                  <w:rFonts w:ascii="Arial" w:cs="Arial" w:eastAsia="Arial" w:hAnsi="Arial"/>
                  <w:sz w:val="12"/>
                  <w:szCs w:val="12"/>
                  <w:color w:val="0000EE"/>
                </w:rPr>
                <w:t>Legal Matters</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175</w:t>
            </w:r>
          </w:p>
        </w:tc>
        <w:tc>
          <w:tcPr>
            <w:tcW w:w="0" w:type="dxa"/>
            <w:vAlign w:val="bottom"/>
          </w:tcPr>
          <w:p>
            <w:pPr>
              <w:spacing w:after="0"/>
              <w:rPr>
                <w:sz w:val="1"/>
                <w:szCs w:val="1"/>
                <w:color w:val="auto"/>
              </w:rPr>
            </w:pPr>
          </w:p>
        </w:tc>
      </w:tr>
      <w:tr>
        <w:trPr>
          <w:trHeight w:val="124"/>
        </w:trPr>
        <w:tc>
          <w:tcPr>
            <w:tcW w:w="400" w:type="dxa"/>
            <w:vAlign w:val="bottom"/>
            <w:tcBorders>
              <w:top w:val="single" w:sz="8" w:color="0000EE"/>
            </w:tcBorders>
            <w:gridSpan w:val="2"/>
          </w:tcPr>
          <w:p>
            <w:pPr>
              <w:spacing w:after="0" w:line="124" w:lineRule="exact"/>
              <w:rPr>
                <w:rFonts w:ascii="Arial" w:cs="Arial" w:eastAsia="Arial" w:hAnsi="Arial"/>
                <w:sz w:val="12"/>
                <w:szCs w:val="12"/>
                <w:color w:val="0000EE"/>
                <w:w w:val="94"/>
              </w:rPr>
            </w:pPr>
            <w:hyperlink w:anchor="page67">
              <w:r>
                <w:rPr>
                  <w:rFonts w:ascii="Arial" w:cs="Arial" w:eastAsia="Arial" w:hAnsi="Arial"/>
                  <w:sz w:val="12"/>
                  <w:szCs w:val="12"/>
                  <w:color w:val="0000EE"/>
                  <w:w w:val="94"/>
                </w:rPr>
                <w:t>Dilution</w:t>
              </w:r>
            </w:hyperlink>
          </w:p>
        </w:tc>
        <w:tc>
          <w:tcPr>
            <w:tcW w:w="260" w:type="dxa"/>
            <w:vAlign w:val="bottom"/>
            <w:tcBorders>
              <w:top w:val="single" w:sz="8" w:color="0000EE"/>
            </w:tcBorders>
            <w:gridSpan w:val="2"/>
          </w:tcPr>
          <w:p>
            <w:pPr>
              <w:spacing w:after="0"/>
              <w:rPr>
                <w:sz w:val="10"/>
                <w:szCs w:val="10"/>
                <w:color w:val="auto"/>
              </w:rPr>
            </w:pPr>
          </w:p>
        </w:tc>
        <w:tc>
          <w:tcPr>
            <w:tcW w:w="2620" w:type="dxa"/>
            <w:vAlign w:val="bottom"/>
            <w:gridSpan w:val="9"/>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56</w:t>
            </w:r>
          </w:p>
        </w:tc>
        <w:tc>
          <w:tcPr>
            <w:tcW w:w="680" w:type="dxa"/>
            <w:vAlign w:val="bottom"/>
            <w:tcBorders>
              <w:top w:val="single" w:sz="8" w:color="0000EE"/>
            </w:tcBorders>
            <w:gridSpan w:val="3"/>
          </w:tcPr>
          <w:p>
            <w:pPr>
              <w:spacing w:after="0" w:line="124" w:lineRule="exact"/>
              <w:rPr>
                <w:rFonts w:ascii="Arial" w:cs="Arial" w:eastAsia="Arial" w:hAnsi="Arial"/>
                <w:sz w:val="12"/>
                <w:szCs w:val="12"/>
                <w:color w:val="0000EE"/>
              </w:rPr>
            </w:pPr>
            <w:hyperlink w:anchor="page187">
              <w:r>
                <w:rPr>
                  <w:rFonts w:ascii="Arial" w:cs="Arial" w:eastAsia="Arial" w:hAnsi="Arial"/>
                  <w:sz w:val="12"/>
                  <w:szCs w:val="12"/>
                  <w:color w:val="0000EE"/>
                </w:rPr>
                <w:t>Experts</w:t>
              </w:r>
            </w:hyperlink>
          </w:p>
        </w:tc>
        <w:tc>
          <w:tcPr>
            <w:tcW w:w="2660" w:type="dxa"/>
            <w:vAlign w:val="bottom"/>
            <w:gridSpan w:val="11"/>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176</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69">
              <w:r>
                <w:rPr>
                  <w:rFonts w:ascii="Arial" w:cs="Arial" w:eastAsia="Arial" w:hAnsi="Arial"/>
                  <w:sz w:val="12"/>
                  <w:szCs w:val="12"/>
                  <w:color w:val="0000EE"/>
                  <w:w w:val="98"/>
                </w:rPr>
                <w:t>Management’s Discussion and Analysis of Financial Condition</w:t>
              </w:r>
            </w:hyperlink>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40" w:type="dxa"/>
            <w:vAlign w:val="bottom"/>
            <w:gridSpan w:val="14"/>
          </w:tcPr>
          <w:p>
            <w:pPr>
              <w:spacing w:after="0" w:line="124" w:lineRule="exact"/>
              <w:rPr>
                <w:rFonts w:ascii="Arial" w:cs="Arial" w:eastAsia="Arial" w:hAnsi="Arial"/>
                <w:sz w:val="12"/>
                <w:szCs w:val="12"/>
                <w:color w:val="0000EE"/>
              </w:rPr>
            </w:pPr>
            <w:hyperlink w:anchor="page188">
              <w:r>
                <w:rPr>
                  <w:rFonts w:ascii="Arial" w:cs="Arial" w:eastAsia="Arial" w:hAnsi="Arial"/>
                  <w:sz w:val="12"/>
                  <w:szCs w:val="12"/>
                  <w:color w:val="0000EE"/>
                </w:rPr>
                <w:t>Enforcement of Civil Liabilities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177</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87"/>
              </w:rPr>
            </w:pPr>
            <w:hyperlink w:anchor="page69">
              <w:r>
                <w:rPr>
                  <w:rFonts w:ascii="Arial" w:cs="Arial" w:eastAsia="Arial" w:hAnsi="Arial"/>
                  <w:sz w:val="12"/>
                  <w:szCs w:val="12"/>
                  <w:color w:val="0000EE"/>
                  <w:w w:val="87"/>
                </w:rPr>
                <w:t>and Results of Operations</w:t>
              </w:r>
            </w:hyperlink>
          </w:p>
        </w:tc>
        <w:tc>
          <w:tcPr>
            <w:tcW w:w="1660" w:type="dxa"/>
            <w:vAlign w:val="bottom"/>
            <w:gridSpan w:val="4"/>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58</w:t>
            </w:r>
          </w:p>
        </w:tc>
        <w:tc>
          <w:tcPr>
            <w:tcW w:w="1920" w:type="dxa"/>
            <w:vAlign w:val="bottom"/>
            <w:tcBorders>
              <w:bottom w:val="single" w:sz="8" w:color="0000EE"/>
            </w:tcBorders>
            <w:gridSpan w:val="9"/>
          </w:tcPr>
          <w:p>
            <w:pPr>
              <w:spacing w:after="0" w:line="124" w:lineRule="exact"/>
              <w:rPr>
                <w:rFonts w:ascii="Arial" w:cs="Arial" w:eastAsia="Arial" w:hAnsi="Arial"/>
                <w:sz w:val="12"/>
                <w:szCs w:val="12"/>
                <w:color w:val="0000EE"/>
                <w:w w:val="92"/>
              </w:rPr>
            </w:pPr>
            <w:hyperlink w:anchor="page189">
              <w:r>
                <w:rPr>
                  <w:rFonts w:ascii="Arial" w:cs="Arial" w:eastAsia="Arial" w:hAnsi="Arial"/>
                  <w:sz w:val="12"/>
                  <w:szCs w:val="12"/>
                  <w:color w:val="0000EE"/>
                  <w:w w:val="92"/>
                </w:rPr>
                <w:t>Where You Can Find More Information</w:t>
              </w:r>
            </w:hyperlink>
          </w:p>
        </w:tc>
        <w:tc>
          <w:tcPr>
            <w:tcW w:w="1420" w:type="dxa"/>
            <w:vAlign w:val="bottom"/>
            <w:gridSpan w:val="5"/>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178</w:t>
            </w: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bottom w:val="single" w:sz="8" w:color="0000EE"/>
            </w:tcBorders>
            <w:gridSpan w:val="7"/>
          </w:tcPr>
          <w:p>
            <w:pPr>
              <w:spacing w:after="0" w:line="124" w:lineRule="exact"/>
              <w:rPr>
                <w:rFonts w:ascii="Arial" w:cs="Arial" w:eastAsia="Arial" w:hAnsi="Arial"/>
                <w:sz w:val="12"/>
                <w:szCs w:val="12"/>
                <w:color w:val="0000EE"/>
                <w:w w:val="89"/>
              </w:rPr>
            </w:pPr>
            <w:hyperlink w:anchor="page190">
              <w:r>
                <w:rPr>
                  <w:rFonts w:ascii="Arial" w:cs="Arial" w:eastAsia="Arial" w:hAnsi="Arial"/>
                  <w:sz w:val="12"/>
                  <w:szCs w:val="12"/>
                  <w:color w:val="0000EE"/>
                  <w:w w:val="89"/>
                </w:rPr>
                <w:t>Index to Financial Statements</w:t>
              </w:r>
            </w:hyperlink>
          </w:p>
        </w:tc>
        <w:tc>
          <w:tcPr>
            <w:tcW w:w="1900" w:type="dxa"/>
            <w:vAlign w:val="bottom"/>
            <w:gridSpan w:val="7"/>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99"/>
              </w:rPr>
              <w:t>F-1</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980" w:right="1019" w:firstLine="294"/>
        <w:spacing w:after="0" w:line="289" w:lineRule="auto"/>
        <w:rPr>
          <w:sz w:val="20"/>
          <w:szCs w:val="20"/>
          <w:color w:val="auto"/>
        </w:rPr>
      </w:pPr>
      <w:r>
        <w:rPr>
          <w:rFonts w:ascii="Arial" w:cs="Arial" w:eastAsia="Arial" w:hAnsi="Arial"/>
          <w:sz w:val="11"/>
          <w:szCs w:val="11"/>
          <w:color w:val="auto"/>
        </w:rPr>
        <w:t>For investors outside the United States of America (“United States” or “U.S.”):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our ADSs and the distribution of this prospectus outside the United States.</w:t>
      </w:r>
    </w:p>
    <w:p>
      <w:pPr>
        <w:spacing w:after="0" w:line="111"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Neither we nor the underwriters have authorized anyone to provide you with any information or to make any representations other than those contained in this prospectus or in any free writing prospectuses we have prepared, and neither we nor the underwriters take responsibility for, nor provide any assurance as to, the reliability of, any other information others may give you. We and the underwriters are not making an offer to sell, or seeking offers to buy, these securities in any jurisdiction where the offer or sale is not permitted. You should not assume that the information contained in this prospectus is accurate as of any date other than its date, regardless of the time of delivery of this prospectus or of any sale of the ADSs.</w:t>
      </w:r>
    </w:p>
    <w:p>
      <w:pPr>
        <w:spacing w:after="0" w:line="5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0159"/>
          </w:cols>
          <w:pgMar w:left="300" w:top="354" w:right="1440"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ABOUT THIS PROSPECTUS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Unless otherwise indicated or the context otherwise requires, all references in this prospectus to “Mynaric,” the “Company,” “we,” “our,” “ours,” “ourselves,” “us” or similar terms refer to Mynaric AG together with its subsidiaries.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Under the rules of the U.S. Securities and Exchange Commission (“SEC”), Mynaric AG is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111"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PRESENTATION OF FINANCIAL AND OTHER INFORMATION</w:t>
      </w:r>
    </w:p>
    <w:p>
      <w:pPr>
        <w:spacing w:after="0" w:line="154" w:lineRule="exact"/>
        <w:rPr>
          <w:sz w:val="20"/>
          <w:szCs w:val="20"/>
          <w:color w:val="auto"/>
        </w:rPr>
      </w:pPr>
    </w:p>
    <w:p>
      <w:pPr>
        <w:ind w:left="1980" w:right="839" w:firstLine="294"/>
        <w:spacing w:after="0" w:line="275" w:lineRule="auto"/>
        <w:rPr>
          <w:sz w:val="20"/>
          <w:szCs w:val="20"/>
          <w:color w:val="auto"/>
        </w:rPr>
      </w:pPr>
      <w:r>
        <w:rPr>
          <w:rFonts w:ascii="Arial" w:cs="Arial" w:eastAsia="Arial" w:hAnsi="Arial"/>
          <w:sz w:val="11"/>
          <w:szCs w:val="11"/>
          <w:color w:val="auto"/>
        </w:rPr>
        <w:t>Unless otherwise indicated, the individual financial statements and related notes included in this prospectus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as reflected by our IFRS financial statements that are included in this prospectus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 Financial information is presented in this document in Euros. For the convenience of the reader, we have translated some financial information into U.S. dollars. Unless otherwise indicated, these translations were made</w:t>
      </w:r>
    </w:p>
    <w:p>
      <w:pPr>
        <w:spacing w:after="0" w:line="1" w:lineRule="exact"/>
        <w:rPr>
          <w:sz w:val="20"/>
          <w:szCs w:val="20"/>
          <w:color w:val="auto"/>
        </w:rPr>
      </w:pPr>
    </w:p>
    <w:p>
      <w:pPr>
        <w:ind w:left="1980"/>
        <w:spacing w:after="0"/>
        <w:tabs>
          <w:tab w:leader="none" w:pos="6700" w:val="left"/>
          <w:tab w:leader="none" w:pos="8560" w:val="left"/>
        </w:tabs>
        <w:rPr>
          <w:sz w:val="20"/>
          <w:szCs w:val="20"/>
          <w:color w:val="auto"/>
        </w:rPr>
      </w:pPr>
      <w:r>
        <w:rPr>
          <w:rFonts w:ascii="Arial" w:cs="Arial" w:eastAsia="Arial" w:hAnsi="Arial"/>
          <w:sz w:val="12"/>
          <w:szCs w:val="12"/>
          <w:color w:val="auto"/>
        </w:rPr>
        <w:t>based on the Euro/U.S. dollar exchange rate published by the European Central Bank on</w:t>
      </w:r>
      <w:r>
        <w:rPr>
          <w:sz w:val="20"/>
          <w:szCs w:val="20"/>
          <w:color w:val="auto"/>
        </w:rPr>
        <w:tab/>
      </w:r>
      <w:r>
        <w:rPr>
          <w:rFonts w:ascii="Arial" w:cs="Arial" w:eastAsia="Arial" w:hAnsi="Arial"/>
          <w:sz w:val="12"/>
          <w:szCs w:val="12"/>
          <w:color w:val="auto"/>
        </w:rPr>
        <w:t>, 2021, which was €1.00 to $</w:t>
      </w:r>
      <w:r>
        <w:rPr>
          <w:sz w:val="20"/>
          <w:szCs w:val="20"/>
          <w:color w:val="auto"/>
        </w:rPr>
        <w:tab/>
      </w:r>
      <w:r>
        <w:rPr>
          <w:rFonts w:ascii="Arial" w:cs="Arial" w:eastAsia="Arial" w:hAnsi="Arial"/>
          <w:sz w:val="12"/>
          <w:szCs w:val="12"/>
          <w:color w:val="auto"/>
        </w:rPr>
        <w:t>.</w:t>
      </w:r>
    </w:p>
    <w:p>
      <w:pPr>
        <w:spacing w:after="0" w:line="141"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Financial information in thousands or millions, and percentage figures in this prospectus, have been rounded. Rounded total and sub-total figures in tables in this prospectus may differ marginally from unrounded figures indicated elsewhere in this prospectus or in the financial statements. Moreover, rounded individual figures and percentages may not produce the exact arithmetic totals and sub-totals indicated elsewhere in this prospectus.</w:t>
      </w:r>
    </w:p>
    <w:p>
      <w:pPr>
        <w:spacing w:after="0" w:line="83"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MARKET AND INDUSTRY DATA</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obtained the industry, market and competitive position data in this prospectus from our own internal estimates, surveys, and research as well as from publicly available information, industry and general publications and research, surveys and studies conducted by third parties, including, but not limited to, Air Force Magazine, ArkInvest, Breaking Defense, C4ISRNet, Congressional Research Service, Grand View Research, MarketsandMarkets, National Defense Magazine, ResearchandMarkets, Space News, the U.S. Air Force, the German Aerospace Center, and the Stockholm International Peace Research Institute.</w:t>
      </w:r>
    </w:p>
    <w:p>
      <w:pPr>
        <w:spacing w:after="0" w:line="128"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w:t>
      </w:r>
    </w:p>
    <w:p>
      <w:pPr>
        <w:spacing w:after="0" w:line="5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159"/>
          </w:cols>
          <w:pgMar w:left="300" w:top="354" w:right="1440"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TRADEMARKS, SERVICE MARKS AND TRADE NAMES</w:t>
      </w:r>
    </w:p>
    <w:p>
      <w:pPr>
        <w:spacing w:after="0" w:line="154" w:lineRule="exact"/>
        <w:rPr>
          <w:sz w:val="20"/>
          <w:szCs w:val="20"/>
          <w:color w:val="auto"/>
        </w:rPr>
      </w:pPr>
    </w:p>
    <w:p>
      <w:pPr>
        <w:jc w:val="both"/>
        <w:ind w:left="1980" w:right="899" w:firstLine="294"/>
        <w:spacing w:after="0" w:line="289" w:lineRule="auto"/>
        <w:rPr>
          <w:sz w:val="20"/>
          <w:szCs w:val="20"/>
          <w:color w:val="auto"/>
        </w:rPr>
      </w:pPr>
      <w:r>
        <w:rPr>
          <w:rFonts w:ascii="Arial" w:cs="Arial" w:eastAsia="Arial" w:hAnsi="Arial"/>
          <w:sz w:val="11"/>
          <w:szCs w:val="11"/>
          <w:color w:val="auto"/>
        </w:rPr>
        <w:t xml:space="preserve">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w:t>
      </w:r>
      <w:r>
        <w:rPr>
          <w:rFonts w:ascii="Arial" w:cs="Arial" w:eastAsia="Arial" w:hAnsi="Arial"/>
          <w:sz w:val="9"/>
          <w:szCs w:val="9"/>
          <w:color w:val="auto"/>
        </w:rPr>
        <w:t>®</w:t>
      </w:r>
      <w:r>
        <w:rPr>
          <w:rFonts w:ascii="Arial" w:cs="Arial" w:eastAsia="Arial" w:hAnsi="Arial"/>
          <w:sz w:val="11"/>
          <w:szCs w:val="11"/>
          <w:color w:val="auto"/>
        </w:rPr>
        <w:t xml:space="preserve"> and </w:t>
      </w:r>
      <w:r>
        <w:rPr>
          <w:rFonts w:ascii="Arial" w:cs="Arial" w:eastAsia="Arial" w:hAnsi="Arial"/>
          <w:sz w:val="9"/>
          <w:szCs w:val="9"/>
          <w:color w:val="auto"/>
        </w:rPr>
        <w:t>™</w:t>
      </w:r>
      <w:r>
        <w:rPr>
          <w:rFonts w:ascii="Arial" w:cs="Arial" w:eastAsia="Arial" w:hAnsi="Arial"/>
          <w:sz w:val="11"/>
          <w:szCs w:val="11"/>
          <w:color w:val="auto"/>
        </w:rPr>
        <w:t xml:space="preserve"> symbols, but such references are not intended to indicate, in any way, that we will not assert, to the fullest extent under applicable law, our rights or the rights of the applicable licensors to these trademarks, service marks and trade names.</w:t>
      </w:r>
    </w:p>
    <w:p>
      <w:pPr>
        <w:spacing w:after="0" w:line="111"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79"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820"/>
        <w:spacing w:after="0"/>
        <w:rPr>
          <w:sz w:val="20"/>
          <w:szCs w:val="20"/>
          <w:color w:val="auto"/>
        </w:rPr>
      </w:pPr>
      <w:r>
        <w:rPr>
          <w:rFonts w:ascii="Arial" w:cs="Arial" w:eastAsia="Arial" w:hAnsi="Arial"/>
          <w:sz w:val="12"/>
          <w:szCs w:val="12"/>
          <w:b w:val="1"/>
          <w:bCs w:val="1"/>
          <w:color w:val="auto"/>
        </w:rPr>
        <w:t>FREQUENTLY USED TERMS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this prospectus: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CJADC2</w:t>
      </w:r>
      <w:r>
        <w:rPr>
          <w:rFonts w:ascii="Arial" w:cs="Arial" w:eastAsia="Arial" w:hAnsi="Arial"/>
          <w:sz w:val="12"/>
          <w:szCs w:val="12"/>
          <w:color w:val="auto"/>
        </w:rPr>
        <w:t>” refers to Combined Joint All Domain Command and Control architecture.</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Coarse pointing assembly</w:t>
      </w:r>
      <w:r>
        <w:rPr>
          <w:rFonts w:ascii="Arial" w:cs="Arial" w:eastAsia="Arial" w:hAnsi="Arial"/>
          <w:sz w:val="12"/>
          <w:szCs w:val="12"/>
          <w:color w:val="auto"/>
        </w:rPr>
        <w:t>” refers to a two axis gimballed mirror for independent steering of optical communication terminals. It is a device that is mounted on a terminal telescope and allows the terminal to operate without constraining the satellite attitude. It is used in inter-satellite links in high-and low-earth orbits.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DARPA</w:t>
      </w:r>
      <w:r>
        <w:rPr>
          <w:rFonts w:ascii="Arial" w:cs="Arial" w:eastAsia="Arial" w:hAnsi="Arial"/>
          <w:sz w:val="12"/>
          <w:szCs w:val="12"/>
          <w:color w:val="auto"/>
        </w:rPr>
        <w:t>” refers to the U.S. Defense Advanced Research Projects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DLR</w:t>
      </w:r>
      <w:r>
        <w:rPr>
          <w:rFonts w:ascii="Arial" w:cs="Arial" w:eastAsia="Arial" w:hAnsi="Arial"/>
          <w:sz w:val="12"/>
          <w:szCs w:val="12"/>
          <w:color w:val="auto"/>
        </w:rPr>
        <w:t>” refers to the German Aerospace Center (</w:t>
      </w:r>
      <w:r>
        <w:rPr>
          <w:rFonts w:ascii="Arial" w:cs="Arial" w:eastAsia="Arial" w:hAnsi="Arial"/>
          <w:sz w:val="12"/>
          <w:szCs w:val="12"/>
          <w:i w:val="1"/>
          <w:iCs w:val="1"/>
          <w:color w:val="auto"/>
        </w:rPr>
        <w:t>Deutsches Zentrum für Luft- und Raumfahrt e.V.</w:t>
      </w:r>
      <w:r>
        <w:rPr>
          <w:rFonts w:ascii="Arial" w:cs="Arial" w:eastAsia="Arial" w:hAnsi="Arial"/>
          <w:sz w:val="12"/>
          <w:szCs w:val="12"/>
          <w:color w:val="auto"/>
        </w:rPr>
        <w:t>).</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Free space optic communication</w:t>
      </w:r>
      <w:r>
        <w:rPr>
          <w:rFonts w:ascii="Arial" w:cs="Arial" w:eastAsia="Arial" w:hAnsi="Arial"/>
          <w:sz w:val="12"/>
          <w:szCs w:val="12"/>
          <w:color w:val="auto"/>
        </w:rPr>
        <w:t>” is the wireless transmission of data via a modulated optical beam directed through free space, without fiber optics or other optical systems guiding the light.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Inter-plane</w:t>
      </w:r>
      <w:r>
        <w:rPr>
          <w:rFonts w:ascii="Arial" w:cs="Arial" w:eastAsia="Arial" w:hAnsi="Arial"/>
          <w:sz w:val="11"/>
          <w:szCs w:val="11"/>
          <w:color w:val="auto"/>
        </w:rPr>
        <w:t>” refers to the communication between satellites in different orbital planes occurring through inter-plane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Intra-plane</w:t>
      </w:r>
      <w:r>
        <w:rPr>
          <w:rFonts w:ascii="Arial" w:cs="Arial" w:eastAsia="Arial" w:hAnsi="Arial"/>
          <w:sz w:val="11"/>
          <w:szCs w:val="11"/>
          <w:color w:val="auto"/>
        </w:rPr>
        <w:t>” refers to the communication between satellites in the same orbital plane occurring through intra-plane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LEO</w:t>
      </w:r>
      <w:r>
        <w:rPr>
          <w:rFonts w:ascii="Arial" w:cs="Arial" w:eastAsia="Arial" w:hAnsi="Arial"/>
          <w:sz w:val="11"/>
          <w:szCs w:val="11"/>
          <w:color w:val="auto"/>
        </w:rPr>
        <w:t>” refers to low Earth orbit, which is an orbit around Earth with an altitude above Earth’s surface from 160 kilometers to 2,000 kilometers.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MEO</w:t>
      </w:r>
      <w:r>
        <w:rPr>
          <w:rFonts w:ascii="Arial" w:cs="Arial" w:eastAsia="Arial" w:hAnsi="Arial"/>
          <w:sz w:val="12"/>
          <w:szCs w:val="12"/>
          <w:color w:val="auto"/>
        </w:rPr>
        <w:t>” refers to medium Earth orbit, which is an orbit around Earth with a distance of 2,000 kilometers to 35,786 kilometers.</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Mesh Network</w:t>
      </w:r>
      <w:r>
        <w:rPr>
          <w:rFonts w:ascii="Arial" w:cs="Arial" w:eastAsia="Arial" w:hAnsi="Arial"/>
          <w:sz w:val="11"/>
          <w:szCs w:val="11"/>
          <w:color w:val="auto"/>
        </w:rPr>
        <w:t>” means a type of wireless network topology, where each network node participates in the distribution of data across the 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NDSA</w:t>
      </w:r>
      <w:r>
        <w:rPr>
          <w:rFonts w:ascii="Arial" w:cs="Arial" w:eastAsia="Arial" w:hAnsi="Arial"/>
          <w:sz w:val="12"/>
          <w:szCs w:val="12"/>
          <w:color w:val="auto"/>
        </w:rPr>
        <w:t>” refers to the SDA’s National Defense Space Architecture.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OISLs</w:t>
      </w:r>
      <w:r>
        <w:rPr>
          <w:rFonts w:ascii="Arial" w:cs="Arial" w:eastAsia="Arial" w:hAnsi="Arial"/>
          <w:sz w:val="12"/>
          <w:szCs w:val="12"/>
          <w:color w:val="auto"/>
        </w:rPr>
        <w:t>” refers to optical-intersatellite links, which are wireless communication links using optical signals to interconnect satellites.</w:t>
      </w:r>
    </w:p>
    <w:p>
      <w:pPr>
        <w:spacing w:after="0" w:line="150"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Quantum key distribution</w:t>
      </w:r>
      <w:r>
        <w:rPr>
          <w:rFonts w:ascii="Arial" w:cs="Arial" w:eastAsia="Arial" w:hAnsi="Arial"/>
          <w:sz w:val="12"/>
          <w:szCs w:val="12"/>
          <w:color w:val="auto"/>
        </w:rPr>
        <w:t>” refers to a technique that enables secure communications between devices using a cryptographic protocol that is partly based on quantum mechanics.</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RF</w:t>
      </w:r>
      <w:r>
        <w:rPr>
          <w:rFonts w:ascii="Arial" w:cs="Arial" w:eastAsia="Arial" w:hAnsi="Arial"/>
          <w:sz w:val="12"/>
          <w:szCs w:val="12"/>
          <w:color w:val="auto"/>
        </w:rPr>
        <w:t>” refers to radio frequency, which is a measurement representing the oscillation rate of electromagnetic radiation spectrum, or electromagnetic radio waves, from frequencies ranging from 300 gigahertz (GHz) to as low as 9 kilohertz (kHz).</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SDA</w:t>
      </w:r>
      <w:r>
        <w:rPr>
          <w:rFonts w:ascii="Arial" w:cs="Arial" w:eastAsia="Arial" w:hAnsi="Arial"/>
          <w:sz w:val="12"/>
          <w:szCs w:val="12"/>
          <w:color w:val="auto"/>
        </w:rPr>
        <w:t>” refers to the U.S. Space Development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UAVs</w:t>
      </w:r>
      <w:r>
        <w:rPr>
          <w:rFonts w:ascii="Arial" w:cs="Arial" w:eastAsia="Arial" w:hAnsi="Arial"/>
          <w:sz w:val="12"/>
          <w:szCs w:val="12"/>
          <w:color w:val="auto"/>
        </w:rPr>
        <w:t>” refers to unmanned aerial vehicles.</w:t>
      </w:r>
    </w:p>
    <w:p>
      <w:pPr>
        <w:spacing w:after="0" w:line="105"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0159"/>
          </w:cols>
          <w:pgMar w:left="300" w:top="354"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81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70425" cy="4081780"/>
                    </a:xfrm>
                    <a:prstGeom prst="rect">
                      <a:avLst/>
                    </a:prstGeom>
                    <a:noFill/>
                  </pic:spPr>
                </pic:pic>
              </a:graphicData>
            </a:graphic>
          </wp:anchor>
        </w:drawing>
      </w:r>
    </w:p>
    <w:p>
      <w:pPr>
        <w:spacing w:after="0" w:line="308" w:lineRule="exact"/>
        <w:rPr>
          <w:sz w:val="20"/>
          <w:szCs w:val="20"/>
          <w:color w:val="auto"/>
        </w:rPr>
      </w:pPr>
    </w:p>
    <w:p>
      <w:pPr>
        <w:ind w:left="4920"/>
        <w:spacing w:after="0"/>
        <w:rPr>
          <w:sz w:val="20"/>
          <w:szCs w:val="20"/>
          <w:color w:val="auto"/>
        </w:rPr>
      </w:pPr>
      <w:r>
        <w:rPr>
          <w:rFonts w:ascii="Arial" w:cs="Arial" w:eastAsia="Arial" w:hAnsi="Arial"/>
          <w:sz w:val="12"/>
          <w:szCs w:val="12"/>
          <w:b w:val="1"/>
          <w:bCs w:val="1"/>
          <w:color w:val="auto"/>
        </w:rPr>
        <w:t>PROSPECTUS SUMMARY</w:t>
      </w:r>
    </w:p>
    <w:p>
      <w:pPr>
        <w:spacing w:after="0" w:line="154" w:lineRule="exact"/>
        <w:rPr>
          <w:sz w:val="20"/>
          <w:szCs w:val="20"/>
          <w:color w:val="auto"/>
        </w:rPr>
      </w:pPr>
    </w:p>
    <w:p>
      <w:pPr>
        <w:ind w:left="2100" w:right="1079" w:firstLine="284"/>
        <w:spacing w:after="0" w:line="289" w:lineRule="auto"/>
        <w:rPr>
          <w:sz w:val="20"/>
          <w:szCs w:val="20"/>
          <w:color w:val="auto"/>
        </w:rPr>
      </w:pPr>
      <w:r>
        <w:rPr>
          <w:rFonts w:ascii="Arial" w:cs="Arial" w:eastAsia="Arial" w:hAnsi="Arial"/>
          <w:sz w:val="11"/>
          <w:szCs w:val="11"/>
          <w:i w:val="1"/>
          <w:iCs w:val="1"/>
          <w:color w:val="auto"/>
        </w:rPr>
        <w:t>This summary highlights information contained in more detail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historical audited consolidated financial statements, including the notes thereto, included elsewhere in this prospectus, before deciding to invest in our ADSs.</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Mynaric</w:t>
      </w:r>
    </w:p>
    <w:p>
      <w:pPr>
        <w:spacing w:after="0" w:line="154"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2100" w:right="1019" w:firstLine="28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2100" w:right="1019" w:firstLine="284"/>
        <w:spacing w:after="0" w:line="278"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radio frequency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German Aerospace Center,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9"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the Defense Advanced Research Projects Agency (“DARPA”) and the Space Development Agency (“SDA”), respectively. We also received an order from a major U.S. aerospace and defense company for our HAWK AIR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24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159"/>
          </w:cols>
          <w:pgMar w:left="30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4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70425" cy="3944620"/>
                    </a:xfrm>
                    <a:prstGeom prst="rect">
                      <a:avLst/>
                    </a:prstGeom>
                    <a:noFill/>
                  </pic:spPr>
                </pic:pic>
              </a:graphicData>
            </a:graphic>
          </wp:anchor>
        </w:drawing>
      </w:r>
    </w:p>
    <w:p>
      <w:pPr>
        <w:spacing w:after="0" w:line="312"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AIR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19" w:lineRule="exact"/>
        <w:rPr>
          <w:sz w:val="20"/>
          <w:szCs w:val="20"/>
          <w:color w:val="auto"/>
        </w:rPr>
      </w:pPr>
    </w:p>
    <w:p>
      <w:pPr>
        <w:ind w:left="2100" w:right="1079" w:firstLine="284"/>
        <w:spacing w:after="0" w:line="311" w:lineRule="auto"/>
        <w:rPr>
          <w:sz w:val="20"/>
          <w:szCs w:val="20"/>
          <w:color w:val="auto"/>
        </w:rPr>
      </w:pPr>
      <w:r>
        <w:rPr>
          <w:rFonts w:ascii="Arial" w:cs="Arial" w:eastAsia="Arial" w:hAnsi="Arial"/>
          <w:sz w:val="10"/>
          <w:szCs w:val="10"/>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AIR terminal. Our measure of segment profitability for each reportable segment is operating profit / (loss) (EBIT). We are headquartered in Gilching, near Munich, Germany, with additional offices in Los Angeles and the Washington D.C. area, and had 200 full-time equivalent employees (“FTE”) as of March 31, 2021.</w:t>
      </w:r>
    </w:p>
    <w:p>
      <w:pPr>
        <w:spacing w:after="0" w:line="104"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Market Opportunity</w:t>
      </w:r>
    </w:p>
    <w:p>
      <w:pPr>
        <w:spacing w:after="0" w:line="150" w:lineRule="exact"/>
        <w:rPr>
          <w:sz w:val="20"/>
          <w:szCs w:val="20"/>
          <w:color w:val="auto"/>
        </w:rPr>
      </w:pPr>
    </w:p>
    <w:p>
      <w:pPr>
        <w:ind w:left="2100" w:right="999" w:firstLine="284"/>
        <w:spacing w:after="0" w:line="280" w:lineRule="auto"/>
        <w:rPr>
          <w:sz w:val="20"/>
          <w:szCs w:val="20"/>
          <w:color w:val="auto"/>
        </w:rPr>
      </w:pPr>
      <w:r>
        <w:rPr>
          <w:rFonts w:ascii="Arial" w:cs="Arial" w:eastAsia="Arial" w:hAnsi="Arial"/>
          <w:sz w:val="11"/>
          <w:szCs w:val="11"/>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internet of things (“IoT”), which are to be supported by high speed, high bandwidth networks.</w:t>
      </w:r>
    </w:p>
    <w:p>
      <w:pPr>
        <w:spacing w:after="0" w:line="115" w:lineRule="exact"/>
        <w:rPr>
          <w:sz w:val="20"/>
          <w:szCs w:val="20"/>
          <w:color w:val="auto"/>
        </w:rPr>
      </w:pPr>
    </w:p>
    <w:p>
      <w:pPr>
        <w:ind w:left="2100" w:right="1159" w:firstLine="284"/>
        <w:spacing w:after="0" w:line="255" w:lineRule="auto"/>
        <w:rPr>
          <w:sz w:val="20"/>
          <w:szCs w:val="20"/>
          <w:color w:val="auto"/>
        </w:rPr>
      </w:pPr>
      <w:r>
        <w:rPr>
          <w:rFonts w:ascii="Arial" w:cs="Arial" w:eastAsia="Arial" w:hAnsi="Arial"/>
          <w:sz w:val="12"/>
          <w:szCs w:val="12"/>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28" w:lineRule="exact"/>
        <w:rPr>
          <w:sz w:val="20"/>
          <w:szCs w:val="20"/>
          <w:color w:val="auto"/>
        </w:rPr>
      </w:pPr>
    </w:p>
    <w:p>
      <w:pPr>
        <w:ind w:left="2100" w:right="1159" w:firstLine="284"/>
        <w:spacing w:after="0" w:line="340" w:lineRule="auto"/>
        <w:rPr>
          <w:sz w:val="20"/>
          <w:szCs w:val="20"/>
          <w:color w:val="auto"/>
        </w:rPr>
      </w:pPr>
      <w:r>
        <w:rPr>
          <w:rFonts w:ascii="Arial" w:cs="Arial" w:eastAsia="Arial" w:hAnsi="Arial"/>
          <w:sz w:val="10"/>
          <w:szCs w:val="10"/>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159"/>
          </w:cols>
          <w:pgMar w:left="30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5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70425" cy="3956050"/>
                    </a:xfrm>
                    <a:prstGeom prst="rect">
                      <a:avLst/>
                    </a:prstGeom>
                    <a:noFill/>
                  </pic:spPr>
                </pic:pic>
              </a:graphicData>
            </a:graphic>
          </wp:anchor>
        </w:drawing>
      </w:r>
    </w:p>
    <w:p>
      <w:pPr>
        <w:spacing w:after="0" w:line="312" w:lineRule="exact"/>
        <w:rPr>
          <w:sz w:val="20"/>
          <w:szCs w:val="20"/>
          <w:color w:val="auto"/>
        </w:rPr>
      </w:pPr>
    </w:p>
    <w:p>
      <w:pPr>
        <w:ind w:left="2100" w:right="999"/>
        <w:spacing w:after="0" w:line="281" w:lineRule="auto"/>
        <w:rPr>
          <w:sz w:val="20"/>
          <w:szCs w:val="20"/>
          <w:color w:val="auto"/>
        </w:rPr>
      </w:pPr>
      <w:r>
        <w:rPr>
          <w:rFonts w:ascii="Arial" w:cs="Arial" w:eastAsia="Arial" w:hAnsi="Arial"/>
          <w:sz w:val="11"/>
          <w:szCs w:val="11"/>
          <w:color w:val="auto"/>
        </w:rPr>
        <w:t>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15"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aerospace communication networks in low Earth orbit (“LEO”).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15" w:lineRule="exact"/>
        <w:rPr>
          <w:sz w:val="20"/>
          <w:szCs w:val="20"/>
          <w:color w:val="auto"/>
        </w:rPr>
      </w:pPr>
    </w:p>
    <w:p>
      <w:pPr>
        <w:ind w:left="2100" w:right="959" w:firstLine="28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Value Proposition</w:t>
      </w:r>
    </w:p>
    <w:p>
      <w:pPr>
        <w:spacing w:after="0" w:line="150"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87" w:lineRule="exact"/>
        <w:rPr>
          <w:sz w:val="20"/>
          <w:szCs w:val="20"/>
          <w:color w:val="auto"/>
        </w:rPr>
      </w:pPr>
    </w:p>
    <w:p>
      <w:pPr>
        <w:ind w:left="2720" w:right="979" w:hanging="275"/>
        <w:spacing w:after="0" w:line="256" w:lineRule="auto"/>
        <w:tabs>
          <w:tab w:leader="none" w:pos="272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wavelength of approximately 1550 nanometers to transmit data wirelessly through air and allows for superior performance parameters compared to RF-based communication 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65" w:lineRule="exact"/>
        <w:rPr>
          <w:rFonts w:ascii="Arial" w:cs="Arial" w:eastAsia="Arial" w:hAnsi="Arial"/>
          <w:sz w:val="12"/>
          <w:szCs w:val="12"/>
          <w:color w:val="auto"/>
        </w:rPr>
      </w:pPr>
    </w:p>
    <w:p>
      <w:pPr>
        <w:ind w:left="2720" w:right="1279" w:hanging="275"/>
        <w:spacing w:after="0" w:line="340" w:lineRule="auto"/>
        <w:tabs>
          <w:tab w:leader="none" w:pos="2720" w:val="left"/>
        </w:tabs>
        <w:numPr>
          <w:ilvl w:val="0"/>
          <w:numId w:val="5"/>
        </w:numPr>
        <w:rPr>
          <w:rFonts w:ascii="Arial" w:cs="Arial" w:eastAsia="Arial" w:hAnsi="Arial"/>
          <w:sz w:val="10"/>
          <w:szCs w:val="10"/>
          <w:color w:val="auto"/>
        </w:rPr>
      </w:pPr>
      <w:r>
        <w:rPr>
          <w:rFonts w:ascii="Arial" w:cs="Arial" w:eastAsia="Arial" w:hAnsi="Arial"/>
          <w:sz w:val="10"/>
          <w:szCs w:val="10"/>
          <w:b w:val="1"/>
          <w:bCs w:val="1"/>
          <w:i w:val="1"/>
          <w:iCs w:val="1"/>
          <w:color w:val="auto"/>
        </w:rPr>
        <w:t>Standardization enabling multiple use cases</w:t>
      </w:r>
      <w:r>
        <w:rPr>
          <w:rFonts w:ascii="Arial" w:cs="Arial" w:eastAsia="Arial" w:hAnsi="Arial"/>
          <w:sz w:val="10"/>
          <w:szCs w:val="10"/>
          <w:color w:val="auto"/>
        </w:rPr>
        <w:t>: Unlike traditional aerospace companies, which historically focused on developing</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bespoke solutions for individual customers, we seek to offer standardized and modularized products suitable for a wide array of customers and applications. Our technology is designed to serve multiple use cases and potential markets, extending beyond</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354"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64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70425" cy="3864610"/>
                    </a:xfrm>
                    <a:prstGeom prst="rect">
                      <a:avLst/>
                    </a:prstGeom>
                    <a:noFill/>
                  </pic:spPr>
                </pic:pic>
              </a:graphicData>
            </a:graphic>
          </wp:anchor>
        </w:drawing>
      </w:r>
    </w:p>
    <w:p>
      <w:pPr>
        <w:spacing w:after="0" w:line="312" w:lineRule="exact"/>
        <w:rPr>
          <w:sz w:val="20"/>
          <w:szCs w:val="20"/>
          <w:color w:val="auto"/>
        </w:rPr>
      </w:pPr>
    </w:p>
    <w:p>
      <w:pPr>
        <w:ind w:left="2720" w:right="979"/>
        <w:spacing w:after="0" w:line="285" w:lineRule="auto"/>
        <w:rPr>
          <w:sz w:val="20"/>
          <w:szCs w:val="20"/>
          <w:color w:val="auto"/>
        </w:rPr>
      </w:pPr>
      <w:r>
        <w:rPr>
          <w:rFonts w:ascii="Arial" w:cs="Arial" w:eastAsia="Arial" w:hAnsi="Arial"/>
          <w:sz w:val="11"/>
          <w:szCs w:val="11"/>
          <w:color w:val="auto"/>
        </w:rPr>
        <w:t>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optical-intersatellite links (“OISL”) industry standard.</w:t>
      </w:r>
    </w:p>
    <w:p>
      <w:pPr>
        <w:spacing w:after="0" w:line="50" w:lineRule="exact"/>
        <w:rPr>
          <w:sz w:val="20"/>
          <w:szCs w:val="20"/>
          <w:color w:val="auto"/>
        </w:rPr>
      </w:pPr>
    </w:p>
    <w:p>
      <w:pPr>
        <w:ind w:left="2720" w:right="979" w:hanging="275"/>
        <w:spacing w:after="0" w:line="283" w:lineRule="auto"/>
        <w:tabs>
          <w:tab w:leader="none" w:pos="2720" w:val="left"/>
        </w:tabs>
        <w:numPr>
          <w:ilvl w:val="0"/>
          <w:numId w:val="6"/>
        </w:numPr>
        <w:rPr>
          <w:rFonts w:ascii="Arial" w:cs="Arial" w:eastAsia="Arial" w:hAnsi="Arial"/>
          <w:sz w:val="11"/>
          <w:szCs w:val="11"/>
          <w:color w:val="auto"/>
        </w:rPr>
      </w:pPr>
      <w:r>
        <w:rPr>
          <w:rFonts w:ascii="Arial" w:cs="Arial" w:eastAsia="Arial" w:hAnsi="Arial"/>
          <w:sz w:val="11"/>
          <w:szCs w:val="11"/>
          <w:b w:val="1"/>
          <w:bCs w:val="1"/>
          <w:i w:val="1"/>
          <w:iCs w:val="1"/>
          <w:color w:val="auto"/>
        </w:rPr>
        <w:t>Cost-efficiency</w:t>
      </w:r>
      <w:r>
        <w:rPr>
          <w:rFonts w:ascii="Arial" w:cs="Arial" w:eastAsia="Arial" w:hAnsi="Arial"/>
          <w:sz w:val="11"/>
          <w:szCs w:val="11"/>
          <w:color w:val="auto"/>
        </w:rPr>
        <w:t>: We aim to industrialize laser communication by focusing on cost-efficient solutions to decrease the costs of deploying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laser 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more than 60%. We expect to be able to further reduce both material costs and assembly costs in connection with the commencement of serial production.</w:t>
      </w:r>
    </w:p>
    <w:p>
      <w:pPr>
        <w:spacing w:after="0" w:line="50" w:lineRule="exact"/>
        <w:rPr>
          <w:rFonts w:ascii="Arial" w:cs="Arial" w:eastAsia="Arial" w:hAnsi="Arial"/>
          <w:sz w:val="11"/>
          <w:szCs w:val="11"/>
          <w:color w:val="auto"/>
        </w:rPr>
      </w:pPr>
    </w:p>
    <w:p>
      <w:pPr>
        <w:ind w:left="2720" w:right="1019" w:hanging="275"/>
        <w:spacing w:after="0" w:line="285" w:lineRule="auto"/>
        <w:tabs>
          <w:tab w:leader="none" w:pos="2720" w:val="left"/>
        </w:tabs>
        <w:numPr>
          <w:ilvl w:val="0"/>
          <w:numId w:val="6"/>
        </w:numPr>
        <w:rPr>
          <w:rFonts w:ascii="Arial" w:cs="Arial" w:eastAsia="Arial" w:hAnsi="Arial"/>
          <w:sz w:val="11"/>
          <w:szCs w:val="11"/>
          <w:color w:val="auto"/>
        </w:rPr>
      </w:pPr>
      <w:r>
        <w:rPr>
          <w:rFonts w:ascii="Arial" w:cs="Arial" w:eastAsia="Arial" w:hAnsi="Arial"/>
          <w:sz w:val="11"/>
          <w:szCs w:val="11"/>
          <w:b w:val="1"/>
          <w:bCs w:val="1"/>
          <w:i w:val="1"/>
          <w:iCs w:val="1"/>
          <w:color w:val="auto"/>
        </w:rPr>
        <w:t>High volume terminal production capabilities</w:t>
      </w:r>
      <w:r>
        <w:rPr>
          <w:rFonts w:ascii="Arial" w:cs="Arial" w:eastAsia="Arial" w:hAnsi="Arial"/>
          <w:sz w:val="11"/>
          <w:szCs w:val="11"/>
          <w:color w:val="auto"/>
        </w:rPr>
        <w:t>: We believe that the ability to manufacture laser terminals at scale will be a key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differentiator 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Key Investment Highlights</w:t>
      </w:r>
    </w:p>
    <w:p>
      <w:pPr>
        <w:spacing w:after="0" w:line="15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Significant growth potential for laser communication in government and commercial markets</w:t>
      </w:r>
    </w:p>
    <w:p>
      <w:pPr>
        <w:spacing w:after="0" w:line="150"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159"/>
          </w:cols>
          <w:pgMar w:left="300" w:top="354" w:right="1440"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64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70425" cy="3864610"/>
                    </a:xfrm>
                    <a:prstGeom prst="rect">
                      <a:avLst/>
                    </a:prstGeom>
                    <a:noFill/>
                  </pic:spPr>
                </pic:pic>
              </a:graphicData>
            </a:graphic>
          </wp:anchor>
        </w:drawing>
      </w:r>
    </w:p>
    <w:p>
      <w:pPr>
        <w:spacing w:after="0" w:line="312" w:lineRule="exact"/>
        <w:rPr>
          <w:sz w:val="20"/>
          <w:szCs w:val="20"/>
          <w:color w:val="auto"/>
        </w:rPr>
      </w:pPr>
    </w:p>
    <w:p>
      <w:pPr>
        <w:ind w:left="2100" w:right="1019"/>
        <w:spacing w:after="0" w:line="283" w:lineRule="auto"/>
        <w:rPr>
          <w:sz w:val="20"/>
          <w:szCs w:val="20"/>
          <w:color w:val="auto"/>
        </w:rPr>
      </w:pPr>
      <w:r>
        <w:rPr>
          <w:rFonts w:ascii="Arial" w:cs="Arial" w:eastAsia="Arial" w:hAnsi="Arial"/>
          <w:sz w:val="11"/>
          <w:szCs w:val="11"/>
          <w:color w:val="auto"/>
        </w:rPr>
        <w:t>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medium Earth orbit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13"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 advantages for high quantity and low value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Multi-year government programs driving near-term adoption and technology validation</w:t>
      </w:r>
    </w:p>
    <w:p>
      <w:pPr>
        <w:spacing w:after="0" w:line="150" w:lineRule="exact"/>
        <w:rPr>
          <w:sz w:val="20"/>
          <w:szCs w:val="20"/>
          <w:color w:val="auto"/>
        </w:rPr>
      </w:pPr>
    </w:p>
    <w:p>
      <w:pPr>
        <w:ind w:left="2100" w:right="979" w:firstLine="284"/>
        <w:spacing w:after="0" w:line="326" w:lineRule="auto"/>
        <w:rPr>
          <w:sz w:val="20"/>
          <w:szCs w:val="20"/>
          <w:color w:val="auto"/>
        </w:rPr>
      </w:pPr>
      <w:r>
        <w:rPr>
          <w:rFonts w:ascii="Arial" w:cs="Arial" w:eastAsia="Arial" w:hAnsi="Arial"/>
          <w:sz w:val="10"/>
          <w:szCs w:val="10"/>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 Domain Command and Control architecture (“CJADC2”), the ultimate goal of which is to digitally connect all elements of the U.S. military across all five warfighting domains, consisting of air, land, sea, space and cyberspace.</w:t>
      </w:r>
    </w:p>
    <w:p>
      <w:pPr>
        <w:spacing w:after="0" w:line="95" w:lineRule="exact"/>
        <w:rPr>
          <w:sz w:val="20"/>
          <w:szCs w:val="20"/>
          <w:color w:val="auto"/>
        </w:rPr>
      </w:pPr>
    </w:p>
    <w:p>
      <w:pPr>
        <w:ind w:left="2100" w:right="1099" w:firstLine="284"/>
        <w:spacing w:after="0" w:line="259" w:lineRule="auto"/>
        <w:rPr>
          <w:sz w:val="20"/>
          <w:szCs w:val="20"/>
          <w:color w:val="auto"/>
        </w:rPr>
      </w:pPr>
      <w:r>
        <w:rPr>
          <w:rFonts w:ascii="Arial" w:cs="Arial" w:eastAsia="Arial" w:hAnsi="Arial"/>
          <w:sz w:val="12"/>
          <w:szCs w:val="12"/>
          <w:color w:val="auto"/>
        </w:rPr>
        <w:t>The most prominent government projects currently deploying laser communication are the SDA’s “National Defense Space Architecture”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57" w:lineRule="exact"/>
        <w:rPr>
          <w:sz w:val="20"/>
          <w:szCs w:val="20"/>
          <w:color w:val="auto"/>
        </w:rPr>
      </w:pPr>
    </w:p>
    <w:p>
      <w:pPr>
        <w:ind w:left="2720" w:right="999" w:hanging="275"/>
        <w:spacing w:after="0" w:line="279" w:lineRule="auto"/>
        <w:tabs>
          <w:tab w:leader="none" w:pos="2720" w:val="left"/>
        </w:tabs>
        <w:numPr>
          <w:ilvl w:val="0"/>
          <w:numId w:val="7"/>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w:t>
      </w:r>
      <w:r>
        <w:rPr>
          <w:rFonts w:ascii="Arial" w:cs="Arial" w:eastAsia="Arial" w:hAnsi="Arial"/>
          <w:sz w:val="11"/>
          <w:szCs w:val="11"/>
          <w:b w:val="1"/>
          <w:bCs w:val="1"/>
          <w:color w:val="auto"/>
        </w:rPr>
        <w:t xml:space="preserve"> </w:t>
      </w:r>
      <w:r>
        <w:rPr>
          <w:rFonts w:ascii="Arial" w:cs="Arial" w:eastAsia="Arial" w:hAnsi="Arial"/>
          <w:sz w:val="11"/>
          <w:szCs w:val="11"/>
          <w:color w:val="auto"/>
        </w:rPr>
        <w:t>layers will 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 SDA issued a request for proposal soliciting bids for its “Tranche 1” constellation in August 2021. Tranche 1, expected to launch in late 2024, will include a transport layer with roughly 144 data relay satellites equipped with 430 to 720 laser communication terminals (assuming three to five terminals per satellite).</w:t>
      </w:r>
    </w:p>
    <w:p>
      <w:pPr>
        <w:spacing w:after="0" w:line="47" w:lineRule="exact"/>
        <w:rPr>
          <w:rFonts w:ascii="Arial" w:cs="Arial" w:eastAsia="Arial" w:hAnsi="Arial"/>
          <w:sz w:val="11"/>
          <w:szCs w:val="11"/>
          <w:color w:val="auto"/>
        </w:rPr>
      </w:pPr>
    </w:p>
    <w:p>
      <w:pPr>
        <w:ind w:left="2720" w:right="1379" w:hanging="275"/>
        <w:spacing w:after="0" w:line="283"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DARPA’s Blackjack program</w:t>
      </w:r>
      <w:r>
        <w:rPr>
          <w:rFonts w:ascii="Arial" w:cs="Arial" w:eastAsia="Arial" w:hAnsi="Arial"/>
          <w:sz w:val="12"/>
          <w:szCs w:val="12"/>
          <w:color w:val="auto"/>
        </w:rPr>
        <w:t>: Much of the technology that the SDA needs for its constellations is being co-developed under</w:t>
      </w:r>
      <w:r>
        <w:rPr>
          <w:rFonts w:ascii="Arial" w:cs="Arial" w:eastAsia="Arial" w:hAnsi="Arial"/>
          <w:sz w:val="12"/>
          <w:szCs w:val="12"/>
          <w:b w:val="1"/>
          <w:bCs w:val="1"/>
          <w:color w:val="auto"/>
        </w:rPr>
        <w:t xml:space="preserve"> </w:t>
      </w:r>
      <w:r>
        <w:rPr>
          <w:rFonts w:ascii="Arial" w:cs="Arial" w:eastAsia="Arial" w:hAnsi="Arial"/>
          <w:sz w:val="12"/>
          <w:szCs w:val="12"/>
          <w:color w:val="auto"/>
        </w:rPr>
        <w:t>DARPA’s Blackjack program. Blackjack seeks to incorporate and capitalize</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354" w:right="1440"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5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70425" cy="3853180"/>
                    </a:xfrm>
                    <a:prstGeom prst="rect">
                      <a:avLst/>
                    </a:prstGeom>
                    <a:noFill/>
                  </pic:spPr>
                </pic:pic>
              </a:graphicData>
            </a:graphic>
          </wp:anchor>
        </w:drawing>
      </w:r>
    </w:p>
    <w:p>
      <w:pPr>
        <w:spacing w:after="0" w:line="312" w:lineRule="exact"/>
        <w:rPr>
          <w:sz w:val="20"/>
          <w:szCs w:val="20"/>
          <w:color w:val="auto"/>
        </w:rPr>
      </w:pPr>
    </w:p>
    <w:p>
      <w:pPr>
        <w:ind w:left="2720" w:right="1139"/>
        <w:spacing w:after="0" w:line="285" w:lineRule="auto"/>
        <w:rPr>
          <w:sz w:val="20"/>
          <w:szCs w:val="20"/>
          <w:color w:val="auto"/>
        </w:rPr>
      </w:pPr>
      <w:r>
        <w:rPr>
          <w:rFonts w:ascii="Arial" w:cs="Arial" w:eastAsia="Arial" w:hAnsi="Arial"/>
          <w:sz w:val="11"/>
          <w:szCs w:val="11"/>
          <w:color w:val="auto"/>
        </w:rPr>
        <w:t>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113"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Advanced Battle Management System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unmanned aerial vehicles (“UAVs”) that can communicate via a network shared with manned aircraft, enabling “manned-unmanned teaming”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16" w:lineRule="exact"/>
        <w:rPr>
          <w:sz w:val="20"/>
          <w:szCs w:val="20"/>
          <w:color w:val="auto"/>
        </w:rPr>
      </w:pPr>
    </w:p>
    <w:p>
      <w:pPr>
        <w:ind w:left="2100" w:right="1059" w:firstLine="28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Well-positioned in the government market with significant program wins</w:t>
      </w:r>
    </w:p>
    <w:p>
      <w:pPr>
        <w:spacing w:after="0" w:line="150" w:lineRule="exact"/>
        <w:rPr>
          <w:sz w:val="20"/>
          <w:szCs w:val="20"/>
          <w:color w:val="auto"/>
        </w:rPr>
      </w:pPr>
    </w:p>
    <w:p>
      <w:pPr>
        <w:ind w:left="2100" w:right="1079" w:firstLine="28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 airborne terminal.</w:t>
      </w:r>
    </w:p>
    <w:p>
      <w:pPr>
        <w:spacing w:after="0" w:line="124" w:lineRule="exact"/>
        <w:rPr>
          <w:sz w:val="20"/>
          <w:szCs w:val="20"/>
          <w:color w:val="auto"/>
        </w:rPr>
      </w:pPr>
    </w:p>
    <w:p>
      <w:pPr>
        <w:ind w:left="2100" w:right="1019" w:firstLine="284"/>
        <w:spacing w:after="0" w:line="254" w:lineRule="auto"/>
        <w:rPr>
          <w:sz w:val="20"/>
          <w:szCs w:val="20"/>
          <w:color w:val="auto"/>
        </w:rPr>
      </w:pPr>
      <w:r>
        <w:rPr>
          <w:rFonts w:ascii="Arial" w:cs="Arial" w:eastAsia="Arial" w:hAnsi="Arial"/>
          <w:sz w:val="12"/>
          <w:szCs w:val="12"/>
          <w:color w:val="auto"/>
        </w:rPr>
        <w:t>Most notably, in connection with the SDA’s NDSA, in September 2020, we were awarded the first part of an expected multi-million Euro contract in the mid-seven digit range for the delivery of our CONDOR terminals to a customer for its work on Tranche 0, with delivery scheduled for the second half of 2021. Tranche 0 is set to launch at the end of 2022 and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30" w:lineRule="exact"/>
        <w:rPr>
          <w:sz w:val="20"/>
          <w:szCs w:val="20"/>
          <w:color w:val="auto"/>
        </w:rPr>
      </w:pPr>
    </w:p>
    <w:p>
      <w:pPr>
        <w:jc w:val="both"/>
        <w:ind w:left="2100" w:right="1039" w:firstLine="284"/>
        <w:spacing w:after="0" w:line="289" w:lineRule="auto"/>
        <w:rPr>
          <w:sz w:val="20"/>
          <w:szCs w:val="20"/>
          <w:color w:val="auto"/>
        </w:rPr>
      </w:pPr>
      <w:r>
        <w:rPr>
          <w:rFonts w:ascii="Arial" w:cs="Arial" w:eastAsia="Arial" w:hAnsi="Arial"/>
          <w:sz w:val="11"/>
          <w:szCs w:val="11"/>
          <w:color w:val="auto"/>
        </w:rPr>
        <w:t>In October 2020, we were selected by Telesat to supply multiple units of our CONDOR terminals for Telesat’s work on DARPA’s Blackjack program. Our CONDOR terminals are scheduled to be delivered in mid-2021 to Lockheed Martin, which is acting as DARPA’s system integrator, with the satellites scheduled to launch in late 2021. As part of our engagement in the Blackjack program, we agreed to establish the industry’s first laser communication interoperability laboratory in Los Angeles that will simulate conditions in space to test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578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70425" cy="3578860"/>
                    </a:xfrm>
                    <a:prstGeom prst="rect">
                      <a:avLst/>
                    </a:prstGeom>
                    <a:noFill/>
                  </pic:spPr>
                </pic:pic>
              </a:graphicData>
            </a:graphic>
          </wp:anchor>
        </w:drawing>
      </w:r>
    </w:p>
    <w:p>
      <w:pPr>
        <w:spacing w:after="0" w:line="312" w:lineRule="exact"/>
        <w:rPr>
          <w:sz w:val="20"/>
          <w:szCs w:val="20"/>
          <w:color w:val="auto"/>
        </w:rPr>
      </w:pPr>
    </w:p>
    <w:p>
      <w:pPr>
        <w:ind w:left="2100" w:right="1059"/>
        <w:spacing w:after="0" w:line="263" w:lineRule="auto"/>
        <w:rPr>
          <w:sz w:val="20"/>
          <w:szCs w:val="20"/>
          <w:color w:val="auto"/>
        </w:rPr>
      </w:pPr>
      <w:r>
        <w:rPr>
          <w:rFonts w:ascii="Arial" w:cs="Arial" w:eastAsia="Arial" w:hAnsi="Arial"/>
          <w:sz w:val="12"/>
          <w:szCs w:val="12"/>
          <w:color w:val="auto"/>
        </w:rPr>
        <w:t>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22" w:lineRule="exact"/>
        <w:rPr>
          <w:sz w:val="20"/>
          <w:szCs w:val="20"/>
          <w:color w:val="auto"/>
        </w:rPr>
      </w:pPr>
    </w:p>
    <w:p>
      <w:pPr>
        <w:ind w:left="2100" w:right="1119" w:firstLine="284"/>
        <w:spacing w:after="0" w:line="289" w:lineRule="auto"/>
        <w:rPr>
          <w:sz w:val="20"/>
          <w:szCs w:val="20"/>
          <w:color w:val="auto"/>
        </w:rPr>
      </w:pPr>
      <w:r>
        <w:rPr>
          <w:rFonts w:ascii="Arial" w:cs="Arial" w:eastAsia="Arial" w:hAnsi="Arial"/>
          <w:sz w:val="11"/>
          <w:szCs w:val="11"/>
          <w:color w:val="auto"/>
        </w:rPr>
        <w:t>In 2020, we received an order for two of our HAWK AIR terminals from a U.S. aerospace and defense customer, introducing our HAWK AIR product to the U.S. government market. We delivered the pre-serial product versions of our HAWK AIR terminals to this customer in the fourth quarter of 2020, and our customer has started initial system testing and demonstrations in deployment scenarios. Through this partnership, we believe that we are well-positioned to successfully introduce our HAWK AIR terminal to other U.S. government programs.</w:t>
      </w:r>
    </w:p>
    <w:p>
      <w:pPr>
        <w:spacing w:after="0" w:line="111" w:lineRule="exact"/>
        <w:rPr>
          <w:sz w:val="20"/>
          <w:szCs w:val="20"/>
          <w:color w:val="auto"/>
        </w:rPr>
      </w:pPr>
    </w:p>
    <w:p>
      <w:pPr>
        <w:ind w:left="2100" w:right="1079" w:firstLine="28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Strong positioning in the commercial market, leveraging government track record</w:t>
      </w:r>
    </w:p>
    <w:p>
      <w:pPr>
        <w:spacing w:after="0" w:line="150" w:lineRule="exact"/>
        <w:rPr>
          <w:sz w:val="20"/>
          <w:szCs w:val="20"/>
          <w:color w:val="auto"/>
        </w:rPr>
      </w:pPr>
    </w:p>
    <w:p>
      <w:pPr>
        <w:ind w:left="2100" w:right="979" w:firstLine="284"/>
        <w:spacing w:after="0" w:line="277" w:lineRule="auto"/>
        <w:rPr>
          <w:sz w:val="20"/>
          <w:szCs w:val="20"/>
          <w:color w:val="auto"/>
        </w:rPr>
      </w:pPr>
      <w:r>
        <w:rPr>
          <w:rFonts w:ascii="Arial" w:cs="Arial" w:eastAsia="Arial" w:hAnsi="Arial"/>
          <w:sz w:val="11"/>
          <w:szCs w:val="11"/>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20" w:lineRule="exact"/>
        <w:rPr>
          <w:sz w:val="20"/>
          <w:szCs w:val="20"/>
          <w:color w:val="auto"/>
        </w:rPr>
      </w:pPr>
    </w:p>
    <w:p>
      <w:pPr>
        <w:ind w:left="2100" w:right="999" w:firstLine="284"/>
        <w:spacing w:after="0" w:line="309" w:lineRule="auto"/>
        <w:rPr>
          <w:sz w:val="20"/>
          <w:szCs w:val="20"/>
          <w:color w:val="auto"/>
        </w:rPr>
      </w:pPr>
      <w:r>
        <w:rPr>
          <w:rFonts w:ascii="Arial" w:cs="Arial" w:eastAsia="Arial" w:hAnsi="Arial"/>
          <w:sz w:val="10"/>
          <w:szCs w:val="10"/>
          <w:color w:val="auto"/>
        </w:rPr>
        <w:t>As a result of our government track record and our first mover advantage, we have also been able to secure initial wins in the commercial market. In May 2021, we signed a memorandum of understanding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Corp.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159"/>
          </w:cols>
          <w:pgMar w:left="30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0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70425" cy="4007485"/>
                    </a:xfrm>
                    <a:prstGeom prst="rect">
                      <a:avLst/>
                    </a:prstGeom>
                    <a:noFill/>
                  </pic:spPr>
                </pic:pic>
              </a:graphicData>
            </a:graphic>
          </wp:anchor>
        </w:drawing>
      </w:r>
    </w:p>
    <w:p>
      <w:pPr>
        <w:spacing w:after="0" w:line="312" w:lineRule="exact"/>
        <w:rPr>
          <w:sz w:val="20"/>
          <w:szCs w:val="20"/>
          <w:color w:val="auto"/>
        </w:rPr>
      </w:pPr>
    </w:p>
    <w:p>
      <w:pPr>
        <w:ind w:left="2100" w:right="959" w:firstLine="28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Industry leading production capabilities with flexibility to scale</w:t>
      </w:r>
    </w:p>
    <w:p>
      <w:pPr>
        <w:spacing w:after="0" w:line="150"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AIR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Learning curve benefits driving continued cost reductions over time</w:t>
      </w:r>
    </w:p>
    <w:p>
      <w:pPr>
        <w:spacing w:after="0" w:line="150" w:lineRule="exact"/>
        <w:rPr>
          <w:sz w:val="20"/>
          <w:szCs w:val="20"/>
          <w:color w:val="auto"/>
        </w:rPr>
      </w:pPr>
    </w:p>
    <w:p>
      <w:pPr>
        <w:jc w:val="both"/>
        <w:ind w:left="2100" w:right="1019" w:firstLine="284"/>
        <w:spacing w:after="0" w:line="326" w:lineRule="auto"/>
        <w:rPr>
          <w:sz w:val="20"/>
          <w:szCs w:val="20"/>
          <w:color w:val="auto"/>
        </w:rPr>
      </w:pPr>
      <w:r>
        <w:rPr>
          <w:rFonts w:ascii="Arial" w:cs="Arial" w:eastAsia="Arial" w:hAnsi="Arial"/>
          <w:sz w:val="10"/>
          <w:szCs w:val="10"/>
          <w:color w:val="auto"/>
        </w:rPr>
        <w:t>By realizing learning curve benefits as we have scaled from singular prototype production to pre-serial production, we have already reduced our material costs per unit by more than 60%.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9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Highly skilled management team with strong industry expertise and deep relationships</w:t>
      </w:r>
    </w:p>
    <w:p>
      <w:pPr>
        <w:spacing w:after="0" w:line="150" w:lineRule="exact"/>
        <w:rPr>
          <w:sz w:val="20"/>
          <w:szCs w:val="20"/>
          <w:color w:val="auto"/>
        </w:rPr>
      </w:pPr>
    </w:p>
    <w:p>
      <w:pPr>
        <w:ind w:left="2100" w:right="979" w:firstLine="284"/>
        <w:spacing w:after="0" w:line="283" w:lineRule="auto"/>
        <w:rPr>
          <w:sz w:val="20"/>
          <w:szCs w:val="20"/>
          <w:color w:val="auto"/>
        </w:rPr>
      </w:pPr>
      <w:r>
        <w:rPr>
          <w:rFonts w:ascii="Arial" w:cs="Arial" w:eastAsia="Arial" w:hAnsi="Arial"/>
          <w:sz w:val="11"/>
          <w:szCs w:val="11"/>
          <w:color w:val="auto"/>
        </w:rPr>
        <w:t>We are led by a dedicated and highly skilled senior management team with significant industry experience, including at SpaceX, Boeing, SES, Iridium, Siemens, Panasonic and, in case of our co-founder and Chief 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Summary of Risks Associated with Our Industry, Business, Operations and Financial Position</w:t>
      </w:r>
    </w:p>
    <w:p>
      <w:pPr>
        <w:spacing w:after="0" w:line="150" w:lineRule="exact"/>
        <w:rPr>
          <w:sz w:val="20"/>
          <w:szCs w:val="20"/>
          <w:color w:val="auto"/>
        </w:rPr>
      </w:pPr>
    </w:p>
    <w:p>
      <w:pPr>
        <w:ind w:left="2100" w:right="1139" w:firstLine="284"/>
        <w:spacing w:after="0" w:line="323" w:lineRule="auto"/>
        <w:rPr>
          <w:sz w:val="20"/>
          <w:szCs w:val="20"/>
          <w:color w:val="auto"/>
        </w:rPr>
      </w:pPr>
      <w:r>
        <w:rPr>
          <w:rFonts w:ascii="Arial" w:cs="Arial" w:eastAsia="Arial" w:hAnsi="Arial"/>
          <w:sz w:val="11"/>
          <w:szCs w:val="11"/>
          <w:color w:val="auto"/>
        </w:rPr>
        <w:t>Investing in our ADSs entails numerous risks, as is more fully described in the section entitled “Risk Factors.” You should read these risks before you invest in our ADSs. In particular, risks associated with investing in our ADSs include, but are not limited to, the following:</w:t>
      </w:r>
    </w:p>
    <w:p>
      <w:pPr>
        <w:spacing w:after="0" w:line="29" w:lineRule="exact"/>
        <w:rPr>
          <w:sz w:val="20"/>
          <w:szCs w:val="20"/>
          <w:color w:val="auto"/>
        </w:rPr>
      </w:pPr>
    </w:p>
    <w:p>
      <w:pPr>
        <w:ind w:left="2720" w:right="11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720" w:right="111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159"/>
          </w:cols>
          <w:pgMar w:left="30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87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70425" cy="4087495"/>
                    </a:xfrm>
                    <a:prstGeom prst="rect">
                      <a:avLst/>
                    </a:prstGeom>
                    <a:noFill/>
                  </pic:spPr>
                </pic:pic>
              </a:graphicData>
            </a:graphic>
          </wp:anchor>
        </w:drawing>
      </w:r>
    </w:p>
    <w:p>
      <w:pPr>
        <w:spacing w:after="0" w:line="312" w:lineRule="exact"/>
        <w:rPr>
          <w:sz w:val="20"/>
          <w:szCs w:val="20"/>
          <w:color w:val="auto"/>
        </w:rPr>
      </w:pPr>
    </w:p>
    <w:p>
      <w:pPr>
        <w:ind w:left="2720" w:right="101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720" w:right="125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720" w:right="113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ind w:left="2720" w:right="1159" w:hanging="275"/>
        <w:spacing w:after="0" w:line="263"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720" w:right="1339" w:hanging="275"/>
        <w:spacing w:after="0" w:line="323" w:lineRule="auto"/>
        <w:tabs>
          <w:tab w:leader="none" w:pos="2720" w:val="left"/>
        </w:tabs>
        <w:numPr>
          <w:ilvl w:val="0"/>
          <w:numId w:val="9"/>
        </w:numPr>
        <w:rPr>
          <w:rFonts w:ascii="Arial" w:cs="Arial" w:eastAsia="Arial" w:hAnsi="Arial"/>
          <w:sz w:val="11"/>
          <w:szCs w:val="11"/>
          <w:color w:val="auto"/>
        </w:rPr>
      </w:pPr>
      <w:r>
        <w:rPr>
          <w:rFonts w:ascii="Arial" w:cs="Arial" w:eastAsia="Arial" w:hAnsi="Arial"/>
          <w:sz w:val="11"/>
          <w:szCs w:val="1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720" w:right="1419" w:hanging="275"/>
        <w:spacing w:after="0" w:line="323" w:lineRule="auto"/>
        <w:tabs>
          <w:tab w:leader="none" w:pos="2720" w:val="left"/>
        </w:tabs>
        <w:numPr>
          <w:ilvl w:val="0"/>
          <w:numId w:val="9"/>
        </w:numPr>
        <w:rPr>
          <w:rFonts w:ascii="Arial" w:cs="Arial" w:eastAsia="Arial" w:hAnsi="Arial"/>
          <w:sz w:val="11"/>
          <w:szCs w:val="11"/>
          <w:color w:val="auto"/>
        </w:rPr>
      </w:pPr>
      <w:r>
        <w:rPr>
          <w:rFonts w:ascii="Arial" w:cs="Arial" w:eastAsia="Arial" w:hAnsi="Arial"/>
          <w:sz w:val="11"/>
          <w:szCs w:val="1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9"/>
        </w:numPr>
        <w:rPr>
          <w:rFonts w:ascii="Arial" w:cs="Arial" w:eastAsia="Arial" w:hAnsi="Arial"/>
          <w:sz w:val="10"/>
          <w:szCs w:val="10"/>
          <w:color w:val="auto"/>
        </w:rPr>
      </w:pPr>
      <w:r>
        <w:rPr>
          <w:rFonts w:ascii="Arial" w:cs="Arial" w:eastAsia="Arial" w:hAnsi="Arial"/>
          <w:sz w:val="10"/>
          <w:szCs w:val="10"/>
          <w:color w:val="auto"/>
        </w:rPr>
        <w:t>our business and operations would suffer in the event of computer system failures, cyber-attacks or deficiencies in our cyber-security;</w:t>
      </w:r>
    </w:p>
    <w:p>
      <w:pPr>
        <w:spacing w:after="0" w:line="110" w:lineRule="exact"/>
        <w:rPr>
          <w:rFonts w:ascii="Arial" w:cs="Arial" w:eastAsia="Arial" w:hAnsi="Arial"/>
          <w:sz w:val="10"/>
          <w:szCs w:val="10"/>
          <w:color w:val="auto"/>
        </w:rPr>
      </w:pPr>
    </w:p>
    <w:p>
      <w:pPr>
        <w:ind w:left="2720" w:right="115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720" w:right="109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720" w:right="103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720" w:right="123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159"/>
          </w:cols>
          <w:pgMar w:left="30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418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70425" cy="3418840"/>
                    </a:xfrm>
                    <a:prstGeom prst="rect">
                      <a:avLst/>
                    </a:prstGeom>
                    <a:noFill/>
                  </pic:spPr>
                </pic:pic>
              </a:graphicData>
            </a:graphic>
          </wp:anchor>
        </w:drawing>
      </w:r>
    </w:p>
    <w:p>
      <w:pPr>
        <w:spacing w:after="0" w:line="312" w:lineRule="exact"/>
        <w:rPr>
          <w:sz w:val="20"/>
          <w:szCs w:val="20"/>
          <w:color w:val="auto"/>
        </w:rPr>
      </w:pPr>
    </w:p>
    <w:p>
      <w:pPr>
        <w:ind w:left="2720" w:right="1059" w:hanging="275"/>
        <w:spacing w:after="0" w:line="276" w:lineRule="auto"/>
        <w:tabs>
          <w:tab w:leader="none" w:pos="2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720" w:right="1199" w:hanging="275"/>
        <w:spacing w:after="0" w:line="276" w:lineRule="auto"/>
        <w:tabs>
          <w:tab w:leader="none" w:pos="2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720" w:right="1399" w:hanging="275"/>
        <w:spacing w:after="0" w:line="323" w:lineRule="auto"/>
        <w:tabs>
          <w:tab w:leader="none" w:pos="27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28" w:lineRule="exact"/>
        <w:rPr>
          <w:rFonts w:ascii="Arial" w:cs="Arial" w:eastAsia="Arial" w:hAnsi="Arial"/>
          <w:sz w:val="11"/>
          <w:szCs w:val="11"/>
          <w:color w:val="auto"/>
        </w:rPr>
      </w:pPr>
    </w:p>
    <w:p>
      <w:pPr>
        <w:ind w:left="2720" w:right="1179" w:hanging="275"/>
        <w:spacing w:after="0" w:line="276" w:lineRule="auto"/>
        <w:tabs>
          <w:tab w:leader="none" w:pos="2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Corporate Information</w:t>
      </w:r>
    </w:p>
    <w:p>
      <w:pPr>
        <w:spacing w:after="0" w:line="150" w:lineRule="exact"/>
        <w:rPr>
          <w:sz w:val="20"/>
          <w:szCs w:val="20"/>
          <w:color w:val="auto"/>
        </w:rPr>
      </w:pPr>
    </w:p>
    <w:p>
      <w:pPr>
        <w:ind w:left="2100" w:right="979" w:firstLine="284"/>
        <w:spacing w:after="0" w:line="280"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under German law, which was incorporated on June 15, 2009. In preparation for our initial public offering on the Frankfurt Stock</w:t>
      </w:r>
      <w:r>
        <w:rPr>
          <w:rFonts w:ascii="Arial" w:cs="Arial" w:eastAsia="Arial" w:hAnsi="Arial"/>
          <w:sz w:val="11"/>
          <w:szCs w:val="11"/>
          <w:i w:val="1"/>
          <w:iCs w:val="1"/>
          <w:color w:val="auto"/>
        </w:rPr>
        <w:t xml:space="preserve"> </w:t>
      </w:r>
      <w:r>
        <w:rPr>
          <w:rFonts w:ascii="Arial" w:cs="Arial" w:eastAsia="Arial" w:hAnsi="Arial"/>
          <w:sz w:val="11"/>
          <w:szCs w:val="11"/>
          <w:color w:val="auto"/>
        </w:rPr>
        <w:t>Exchange, the shareholders of ViaLight Communications GmbH decided to incorporate a new entity in the form of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against the issuance of new ordinary shares in Blitz 17-625 AG. Subsequently, in August 2017, our general shareholders’ meeting resolved to change our legal name from Blitz 17-625 AG to Mynaric AG. See “Description of Share Capital and Articles of Association—Company History.”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Our principal executive offices are located at Dornierstraße 19, 82205 Gilching, Federal Republic of Germany. Our telephone number is +49</w:t>
      </w:r>
    </w:p>
    <w:p>
      <w:pPr>
        <w:spacing w:after="0" w:line="38" w:lineRule="exact"/>
        <w:rPr>
          <w:sz w:val="20"/>
          <w:szCs w:val="20"/>
          <w:color w:val="auto"/>
        </w:rPr>
      </w:pPr>
    </w:p>
    <w:p>
      <w:pPr>
        <w:ind w:left="2100" w:right="1239" w:hanging="6"/>
        <w:spacing w:after="0" w:line="255" w:lineRule="auto"/>
        <w:tabs>
          <w:tab w:leader="none" w:pos="2270" w:val="left"/>
        </w:tabs>
        <w:numPr>
          <w:ilvl w:val="0"/>
          <w:numId w:val="11"/>
        </w:numPr>
        <w:rPr>
          <w:rFonts w:ascii="Arial" w:cs="Arial" w:eastAsia="Arial" w:hAnsi="Arial"/>
          <w:sz w:val="12"/>
          <w:szCs w:val="12"/>
          <w:color w:val="auto"/>
        </w:rPr>
      </w:pPr>
      <w:r>
        <w:rPr>
          <w:rFonts w:ascii="Arial" w:cs="Arial" w:eastAsia="Arial" w:hAnsi="Arial"/>
          <w:sz w:val="12"/>
          <w:szCs w:val="12"/>
          <w:color w:val="auto"/>
        </w:rPr>
        <w:t>8105 79990. Our website address is www.mynaric.com.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ADSs.</w:t>
      </w:r>
    </w:p>
    <w:p>
      <w:pPr>
        <w:spacing w:after="0" w:line="127"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ordinary shares are currently listed on the Frankfurt Stock Exchange under the symbol “M0Y.”</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Organizational Structure</w:t>
      </w:r>
    </w:p>
    <w:p>
      <w:pPr>
        <w:spacing w:after="0" w:line="150" w:lineRule="exact"/>
        <w:rPr>
          <w:sz w:val="20"/>
          <w:szCs w:val="20"/>
          <w:color w:val="auto"/>
        </w:rPr>
      </w:pPr>
    </w:p>
    <w:p>
      <w:pPr>
        <w:ind w:left="2100" w:right="1139" w:firstLine="284"/>
        <w:spacing w:after="0" w:line="263" w:lineRule="auto"/>
        <w:rPr>
          <w:sz w:val="20"/>
          <w:szCs w:val="20"/>
          <w:color w:val="auto"/>
        </w:rPr>
      </w:pPr>
      <w:r>
        <w:rPr>
          <w:rFonts w:ascii="Arial" w:cs="Arial" w:eastAsia="Arial" w:hAnsi="Arial"/>
          <w:sz w:val="12"/>
          <w:szCs w:val="12"/>
          <w:color w:val="auto"/>
        </w:rPr>
        <w:t>Our subsidiaries, each of which is wholly owned by Mynaric AG, are Mynaric Lasercom GmbH (a company organized under the laws of Germany), Mynaric Systems GmbH (a company organized under the laws of Germany) and Mynaric USA, Inc. (a company organized under the laws of Delaware).</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159"/>
          </w:cols>
          <w:pgMar w:left="300" w:top="354"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81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70425" cy="4081780"/>
                    </a:xfrm>
                    <a:prstGeom prst="rect">
                      <a:avLst/>
                    </a:prstGeom>
                    <a:noFill/>
                  </pic:spPr>
                </pic:pic>
              </a:graphicData>
            </a:graphic>
          </wp:anchor>
        </w:drawing>
      </w:r>
    </w:p>
    <w:p>
      <w:pPr>
        <w:spacing w:after="0" w:line="312" w:lineRule="exact"/>
        <w:rPr>
          <w:sz w:val="20"/>
          <w:szCs w:val="20"/>
          <w:color w:val="auto"/>
        </w:rPr>
      </w:pPr>
    </w:p>
    <w:p>
      <w:pPr>
        <w:jc w:val="center"/>
        <w:ind w:right="-1020"/>
        <w:spacing w:after="0"/>
        <w:rPr>
          <w:sz w:val="20"/>
          <w:szCs w:val="20"/>
          <w:color w:val="auto"/>
        </w:rPr>
      </w:pPr>
      <w:r>
        <w:rPr>
          <w:rFonts w:ascii="Arial" w:cs="Arial" w:eastAsia="Arial" w:hAnsi="Arial"/>
          <w:sz w:val="12"/>
          <w:szCs w:val="12"/>
          <w:color w:val="auto"/>
        </w:rPr>
        <w:t>The following chart shows our organizational structure and our direct and indirect subsidiaries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Enforcement of Civil Liabilities</w:t>
      </w:r>
    </w:p>
    <w:p>
      <w:pPr>
        <w:spacing w:after="0" w:line="150" w:lineRule="exact"/>
        <w:rPr>
          <w:sz w:val="20"/>
          <w:szCs w:val="20"/>
          <w:color w:val="auto"/>
        </w:rPr>
      </w:pPr>
    </w:p>
    <w:p>
      <w:pPr>
        <w:ind w:left="2100" w:right="959" w:firstLine="284"/>
        <w:spacing w:after="0" w:line="285"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organized and existing under the laws of the Federal Republic of Germany. Our registered office and substantially all of our assets are located outside the United States. In addition, two out of three members of our management board, four out of five members of our supervisory board and the experts named herein are residents of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w:t>
      </w:r>
    </w:p>
    <w:p>
      <w:pPr>
        <w:spacing w:after="0" w:line="113"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 See “Enforcement of Civil Liabilities” for more detail.</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an Emerging Growth Company</w:t>
      </w:r>
    </w:p>
    <w:p>
      <w:pPr>
        <w:spacing w:after="0" w:line="150" w:lineRule="exact"/>
        <w:rPr>
          <w:sz w:val="20"/>
          <w:szCs w:val="20"/>
          <w:color w:val="auto"/>
        </w:rPr>
      </w:pPr>
    </w:p>
    <w:p>
      <w:pPr>
        <w:ind w:left="2100" w:right="979" w:firstLine="284"/>
        <w:spacing w:after="0" w:line="263" w:lineRule="auto"/>
        <w:rPr>
          <w:sz w:val="20"/>
          <w:szCs w:val="20"/>
          <w:color w:val="auto"/>
        </w:rPr>
      </w:pPr>
      <w:r>
        <w:rPr>
          <w:rFonts w:ascii="Arial" w:cs="Arial" w:eastAsia="Arial" w:hAnsi="Arial"/>
          <w:sz w:val="12"/>
          <w:szCs w:val="12"/>
          <w:color w:val="auto"/>
        </w:rPr>
        <w:t>We qualify as an “emerging growth company” as defined in the Jumpstart Our Business Startups Act of 2012 (the “JOBS Act”). An emerging growth company may take advantage of specified reduced reporting and is exempt from other burdens that are otherwise generally applicable to public companies. These provisions include:</w:t>
      </w:r>
    </w:p>
    <w:p>
      <w:pPr>
        <w:spacing w:after="0" w:line="59" w:lineRule="exact"/>
        <w:rPr>
          <w:sz w:val="20"/>
          <w:szCs w:val="20"/>
          <w:color w:val="auto"/>
        </w:rPr>
      </w:pPr>
    </w:p>
    <w:p>
      <w:pPr>
        <w:ind w:left="2720" w:right="1419" w:hanging="275"/>
        <w:spacing w:after="0" w:line="276"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ability to include only two years of audited consolidated financial statements and only two years of related Management’s Discussion and Analysis of Financial Condition and Results of Operations disclosure;</w:t>
      </w:r>
    </w:p>
    <w:p>
      <w:pPr>
        <w:spacing w:after="0" w:line="51" w:lineRule="exact"/>
        <w:rPr>
          <w:rFonts w:ascii="Arial" w:cs="Arial" w:eastAsia="Arial" w:hAnsi="Arial"/>
          <w:sz w:val="12"/>
          <w:szCs w:val="12"/>
          <w:color w:val="auto"/>
        </w:rPr>
      </w:pPr>
    </w:p>
    <w:p>
      <w:pPr>
        <w:ind w:left="2720" w:right="1259" w:hanging="275"/>
        <w:spacing w:after="0" w:line="263"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 exemption from the auditor attestation requirement with respect to our internal control over financial reporting pursuant to the Sarbanes-Oxley Act of 2002, as amended (the “Sarbanes-Oxley Act”), which would otherwise be applicable beginning with our second annual report following completion of this offering;</w:t>
      </w:r>
    </w:p>
    <w:p>
      <w:pPr>
        <w:spacing w:after="0" w:line="59"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if we no longer qualify as a foreign private issuer, (1) reduced disclosure obligations regarding executive compensation in our periodic reports and proxy statements and (2) exemptions from the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159"/>
          </w:cols>
          <w:pgMar w:left="30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3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70425" cy="3836035"/>
                    </a:xfrm>
                    <a:prstGeom prst="rect">
                      <a:avLst/>
                    </a:prstGeom>
                    <a:noFill/>
                  </pic:spPr>
                </pic:pic>
              </a:graphicData>
            </a:graphic>
          </wp:anchor>
        </w:drawing>
      </w:r>
    </w:p>
    <w:p>
      <w:pPr>
        <w:spacing w:after="0" w:line="312" w:lineRule="exact"/>
        <w:rPr>
          <w:sz w:val="20"/>
          <w:szCs w:val="20"/>
          <w:color w:val="auto"/>
        </w:rPr>
      </w:pPr>
    </w:p>
    <w:p>
      <w:pPr>
        <w:ind w:left="2720"/>
        <w:spacing w:after="0"/>
        <w:rPr>
          <w:sz w:val="20"/>
          <w:szCs w:val="20"/>
          <w:color w:val="auto"/>
        </w:rPr>
      </w:pPr>
      <w:r>
        <w:rPr>
          <w:rFonts w:ascii="Arial" w:cs="Arial" w:eastAsia="Arial" w:hAnsi="Arial"/>
          <w:sz w:val="11"/>
          <w:szCs w:val="11"/>
          <w:color w:val="auto"/>
        </w:rPr>
        <w:t>requirements of holding a non-binding advisory vote on executive compensation, including golden parachute compensation; and</w:t>
      </w:r>
    </w:p>
    <w:p>
      <w:pPr>
        <w:spacing w:after="0" w:line="99" w:lineRule="exact"/>
        <w:rPr>
          <w:sz w:val="20"/>
          <w:szCs w:val="20"/>
          <w:color w:val="auto"/>
        </w:rPr>
      </w:pPr>
    </w:p>
    <w:p>
      <w:pPr>
        <w:ind w:left="2720" w:right="1019" w:hanging="275"/>
        <w:spacing w:after="0" w:line="256" w:lineRule="auto"/>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 exemption from compliance with the requirement that the Public Company Accounting Oversight Board has adopted that would otherwise require our independent registered public accounting firm to communicate “critical audit matters” in its report. A critical audit matter is any matter arising from the audit of the financial statements that was communicated or required to be communicated to the audit committee and that (1) relates to accounts or disclosures that are material to the financial statements and (2) involved especially challenging, subjective or complex auditor judgment.</w:t>
      </w:r>
    </w:p>
    <w:p>
      <w:pPr>
        <w:spacing w:after="0" w:line="128"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We may take advantage of these provisions for up to five years following the completion of this offering or, if earlier, the time that we cease to be an emerging growth company. We would cease to be an emerging growth company upon the earliest to occur of (1) the last day of the first fiscal year in which we have more than $1.07 billion in annual gross revenue, (2) the first day of the fiscal year following the first fiscal year in which, as of the last business day of our most recently completed second fiscal quarter, we have a non-affiliate market capitalization of more than $700 million, and (3) the date on which we have issued more than $1.0 billion of non-convertible debt over the previous three-year period. We may choose to take advantage of some but not all of these reduced burdens. We have taken advantage of reduced reporting requirements in this prospectus. Accordingly, the information contained herein may be different than the information you receive from other public companies in which you hold equity securities.</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 Foreign Private Issuer</w:t>
      </w:r>
    </w:p>
    <w:p>
      <w:pPr>
        <w:spacing w:after="0" w:line="150"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Upon completion of this offering, we will report under the Securities Exchange Act of 1934, as amended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61" w:lineRule="exact"/>
        <w:rPr>
          <w:sz w:val="20"/>
          <w:szCs w:val="20"/>
          <w:color w:val="auto"/>
        </w:rPr>
      </w:pPr>
    </w:p>
    <w:p>
      <w:pPr>
        <w:ind w:left="2720" w:hanging="275"/>
        <w:spacing w:after="0"/>
        <w:tabs>
          <w:tab w:leader="none" w:pos="27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rules under the Exchange Act requiring domestic filers to issue financial statements prepared in accordance with U.S. GAAP;</w:t>
      </w:r>
    </w:p>
    <w:p>
      <w:pPr>
        <w:spacing w:after="0" w:line="98" w:lineRule="exact"/>
        <w:rPr>
          <w:rFonts w:ascii="Arial" w:cs="Arial" w:eastAsia="Arial" w:hAnsi="Arial"/>
          <w:sz w:val="11"/>
          <w:szCs w:val="11"/>
          <w:color w:val="auto"/>
        </w:rPr>
      </w:pPr>
    </w:p>
    <w:p>
      <w:pPr>
        <w:ind w:left="2720" w:right="1159" w:hanging="275"/>
        <w:spacing w:after="0" w:line="276" w:lineRule="auto"/>
        <w:tabs>
          <w:tab w:leader="none" w:pos="2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sections of the Exchange Act regulating the solicitation of proxies, consents or authorizations in respect of a security registered under the Exchange Act;</w:t>
      </w:r>
    </w:p>
    <w:p>
      <w:pPr>
        <w:spacing w:after="0" w:line="51" w:lineRule="exact"/>
        <w:rPr>
          <w:rFonts w:ascii="Arial" w:cs="Arial" w:eastAsia="Arial" w:hAnsi="Arial"/>
          <w:sz w:val="12"/>
          <w:szCs w:val="12"/>
          <w:color w:val="auto"/>
        </w:rPr>
      </w:pPr>
    </w:p>
    <w:p>
      <w:pPr>
        <w:ind w:left="2720" w:right="1559" w:hanging="275"/>
        <w:spacing w:after="0" w:line="276" w:lineRule="auto"/>
        <w:tabs>
          <w:tab w:leader="none" w:pos="2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sections of the Exchange Act requiring insiders to file public reports of their stock ownership and trading activities and establishing liability for insiders who profit from trades made in a short period of time; and</w:t>
      </w:r>
    </w:p>
    <w:p>
      <w:pPr>
        <w:spacing w:after="0" w:line="51" w:lineRule="exact"/>
        <w:rPr>
          <w:rFonts w:ascii="Arial" w:cs="Arial" w:eastAsia="Arial" w:hAnsi="Arial"/>
          <w:sz w:val="12"/>
          <w:szCs w:val="12"/>
          <w:color w:val="auto"/>
        </w:rPr>
      </w:pPr>
    </w:p>
    <w:p>
      <w:pPr>
        <w:ind w:left="2720" w:right="1079" w:hanging="275"/>
        <w:spacing w:after="0" w:line="323" w:lineRule="auto"/>
        <w:tabs>
          <w:tab w:leader="none" w:pos="27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rules under the Exchange Act requiring the filing with the SEC of quarterly reports on Form 10-Q containing unaudited financial and other specified information, and current reports on Form 8-K upon the occurrence of specified significant events.</w:t>
      </w:r>
    </w:p>
    <w:p>
      <w:pPr>
        <w:spacing w:after="0" w:line="92" w:lineRule="exact"/>
        <w:rPr>
          <w:sz w:val="20"/>
          <w:szCs w:val="20"/>
          <w:color w:val="auto"/>
        </w:rPr>
      </w:pPr>
    </w:p>
    <w:p>
      <w:pPr>
        <w:ind w:left="2100" w:right="1199" w:firstLine="284"/>
        <w:spacing w:after="0" w:line="323" w:lineRule="auto"/>
        <w:rPr>
          <w:sz w:val="20"/>
          <w:szCs w:val="20"/>
          <w:color w:val="auto"/>
        </w:rPr>
      </w:pPr>
      <w:r>
        <w:rPr>
          <w:rFonts w:ascii="Arial" w:cs="Arial" w:eastAsia="Arial" w:hAnsi="Arial"/>
          <w:sz w:val="11"/>
          <w:szCs w:val="11"/>
          <w:color w:val="auto"/>
        </w:rPr>
        <w:t>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92" w:lineRule="exact"/>
        <w:rPr>
          <w:sz w:val="20"/>
          <w:szCs w:val="20"/>
          <w:color w:val="auto"/>
        </w:rPr>
      </w:pPr>
    </w:p>
    <w:p>
      <w:pPr>
        <w:ind w:left="2100" w:right="1259" w:firstLine="284"/>
        <w:spacing w:after="0" w:line="289" w:lineRule="auto"/>
        <w:rPr>
          <w:sz w:val="20"/>
          <w:szCs w:val="20"/>
          <w:color w:val="auto"/>
        </w:rPr>
      </w:pPr>
      <w:r>
        <w:rPr>
          <w:rFonts w:ascii="Arial" w:cs="Arial" w:eastAsia="Arial" w:hAnsi="Arial"/>
          <w:sz w:val="11"/>
          <w:szCs w:val="11"/>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159"/>
          </w:cols>
          <w:pgMar w:left="300" w:top="354"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561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70425" cy="561340"/>
                    </a:xfrm>
                    <a:prstGeom prst="rect">
                      <a:avLst/>
                    </a:prstGeom>
                    <a:noFill/>
                  </pic:spPr>
                </pic:pic>
              </a:graphicData>
            </a:graphic>
          </wp:anchor>
        </w:drawing>
      </w:r>
    </w:p>
    <w:p>
      <w:pPr>
        <w:spacing w:after="0" w:line="312"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Foreign private issuers are also exempt from certain more extensive executive compensation disclosure rules. Thus, if we no longer qualify as an emerging growth company but remain a foreign private issuer, we will continue to be exempt from the more extensive compensation disclosure requirements for companies that are neither an emerging growth company nor a foreign private issuer and will continue to be permitted to follow our home country practice on such matters.</w:t>
      </w: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159"/>
          </w:cols>
          <w:pgMar w:left="30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ADSs offered by us</w:t>
      </w:r>
    </w:p>
    <w:p>
      <w:pPr>
        <w:spacing w:after="0" w:line="177" w:lineRule="exact"/>
        <w:rPr>
          <w:sz w:val="20"/>
          <w:szCs w:val="20"/>
          <w:color w:val="auto"/>
        </w:rPr>
      </w:pPr>
    </w:p>
    <w:p>
      <w:pPr>
        <w:ind w:left="2100"/>
        <w:spacing w:after="0"/>
        <w:rPr>
          <w:sz w:val="20"/>
          <w:szCs w:val="20"/>
          <w:color w:val="auto"/>
        </w:rPr>
      </w:pPr>
      <w:r>
        <w:rPr>
          <w:rFonts w:ascii="Arial" w:cs="Arial" w:eastAsia="Arial" w:hAnsi="Arial"/>
          <w:sz w:val="11"/>
          <w:szCs w:val="11"/>
          <w:b w:val="1"/>
          <w:bCs w:val="1"/>
          <w:color w:val="auto"/>
        </w:rPr>
        <w:t>ADSs to be outstanding immediately after this</w:t>
      </w:r>
    </w:p>
    <w:p>
      <w:pPr>
        <w:spacing w:after="0" w:line="30" w:lineRule="exact"/>
        <w:rPr>
          <w:sz w:val="20"/>
          <w:szCs w:val="20"/>
          <w:color w:val="auto"/>
        </w:rPr>
      </w:pPr>
    </w:p>
    <w:p>
      <w:pPr>
        <w:ind w:left="2140"/>
        <w:spacing w:after="0"/>
        <w:rPr>
          <w:sz w:val="20"/>
          <w:szCs w:val="20"/>
          <w:color w:val="auto"/>
        </w:rPr>
      </w:pPr>
      <w:r>
        <w:rPr>
          <w:rFonts w:ascii="Arial" w:cs="Arial" w:eastAsia="Arial" w:hAnsi="Arial"/>
          <w:sz w:val="12"/>
          <w:szCs w:val="12"/>
          <w:b w:val="1"/>
          <w:bCs w:val="1"/>
          <w:color w:val="auto"/>
        </w:rPr>
        <w:t>offering</w:t>
      </w:r>
    </w:p>
    <w:p>
      <w:pPr>
        <w:spacing w:after="0" w:line="299" w:lineRule="exact"/>
        <w:rPr>
          <w:sz w:val="20"/>
          <w:szCs w:val="20"/>
          <w:color w:val="auto"/>
        </w:rPr>
      </w:pPr>
    </w:p>
    <w:p>
      <w:pPr>
        <w:ind w:left="2140" w:hanging="52"/>
        <w:spacing w:after="0" w:line="283" w:lineRule="auto"/>
        <w:rPr>
          <w:sz w:val="20"/>
          <w:szCs w:val="20"/>
          <w:color w:val="auto"/>
        </w:rPr>
      </w:pPr>
      <w:r>
        <w:rPr>
          <w:rFonts w:ascii="Arial" w:cs="Arial" w:eastAsia="Arial" w:hAnsi="Arial"/>
          <w:sz w:val="12"/>
          <w:szCs w:val="12"/>
          <w:b w:val="1"/>
          <w:bCs w:val="1"/>
          <w:color w:val="auto"/>
        </w:rPr>
        <w:t>Ordinary shares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Option to purchase additional ADSs</w:t>
      </w:r>
    </w:p>
    <w:p>
      <w:pPr>
        <w:spacing w:after="0" w:line="200" w:lineRule="exact"/>
        <w:rPr>
          <w:sz w:val="20"/>
          <w:szCs w:val="20"/>
          <w:color w:val="auto"/>
        </w:rPr>
      </w:pPr>
    </w:p>
    <w:p>
      <w:pPr>
        <w:spacing w:after="0" w:line="256" w:lineRule="exact"/>
        <w:rPr>
          <w:sz w:val="20"/>
          <w:szCs w:val="20"/>
          <w:color w:val="auto"/>
        </w:rPr>
      </w:pPr>
    </w:p>
    <w:p>
      <w:pPr>
        <w:jc w:val="center"/>
        <w:ind w:left="1980"/>
        <w:spacing w:after="0"/>
        <w:rPr>
          <w:sz w:val="20"/>
          <w:szCs w:val="20"/>
          <w:color w:val="auto"/>
        </w:rPr>
      </w:pPr>
      <w:r>
        <w:rPr>
          <w:rFonts w:ascii="Arial" w:cs="Arial" w:eastAsia="Arial" w:hAnsi="Arial"/>
          <w:sz w:val="12"/>
          <w:szCs w:val="12"/>
          <w:b w:val="1"/>
          <w:bCs w:val="1"/>
          <w:color w:val="auto"/>
        </w:rPr>
        <w:t>The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-518795</wp:posOffset>
            </wp:positionV>
            <wp:extent cx="7214870" cy="4112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4112895"/>
                    </a:xfrm>
                    <a:prstGeom prst="rect">
                      <a:avLst/>
                    </a:prstGeom>
                    <a:noFill/>
                  </pic:spPr>
                </pic:pic>
              </a:graphicData>
            </a:graphic>
          </wp:anchor>
        </w:drawing>
      </w:r>
    </w:p>
    <w:p>
      <w:pPr>
        <w:spacing w:after="0" w:line="152"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2"/>
          <w:szCs w:val="12"/>
          <w:color w:val="auto"/>
        </w:rPr>
        <w:t>ADSs; every</w:t>
      </w:r>
      <w:r>
        <w:rPr>
          <w:sz w:val="20"/>
          <w:szCs w:val="20"/>
          <w:color w:val="auto"/>
        </w:rPr>
        <w:tab/>
      </w:r>
      <w:r>
        <w:rPr>
          <w:rFonts w:ascii="Arial" w:cs="Arial" w:eastAsia="Arial" w:hAnsi="Arial"/>
          <w:sz w:val="10"/>
          <w:szCs w:val="10"/>
          <w:color w:val="auto"/>
        </w:rPr>
        <w:t>ADSs represent one ordinary share.</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1"/>
          <w:szCs w:val="11"/>
          <w:color w:val="auto"/>
        </w:rPr>
        <w:t>ADSs, assuming no exercise of the underwriters’ option to purchase additional</w:t>
      </w:r>
    </w:p>
    <w:p>
      <w:pPr>
        <w:spacing w:after="0" w:line="26" w:lineRule="exact"/>
        <w:rPr>
          <w:sz w:val="20"/>
          <w:szCs w:val="20"/>
          <w:color w:val="auto"/>
        </w:rPr>
      </w:pPr>
    </w:p>
    <w:p>
      <w:pPr>
        <w:ind w:right="1099"/>
        <w:spacing w:after="0" w:line="260" w:lineRule="auto"/>
        <w:rPr>
          <w:sz w:val="20"/>
          <w:szCs w:val="20"/>
          <w:color w:val="auto"/>
        </w:rPr>
      </w:pPr>
      <w:r>
        <w:rPr>
          <w:rFonts w:ascii="Arial" w:cs="Arial" w:eastAsia="Arial" w:hAnsi="Arial"/>
          <w:sz w:val="12"/>
          <w:szCs w:val="12"/>
          <w:color w:val="auto"/>
        </w:rPr>
        <w:t>ADSs; or ADSs, assuming full exercise of the underwriters’ option to purchase additional ADSs within 30 days from the date of this prospectus.</w:t>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1"/>
          <w:szCs w:val="11"/>
          <w:color w:val="auto"/>
        </w:rPr>
        <w:t>ordinary shares, assuming no exercise of the underwriters’ option to purchase</w:t>
      </w:r>
    </w:p>
    <w:p>
      <w:pPr>
        <w:spacing w:after="0" w:line="26" w:lineRule="exact"/>
        <w:rPr>
          <w:sz w:val="20"/>
          <w:szCs w:val="20"/>
          <w:color w:val="auto"/>
        </w:rPr>
      </w:pPr>
    </w:p>
    <w:p>
      <w:pPr>
        <w:ind w:right="1059"/>
        <w:spacing w:after="0" w:line="260" w:lineRule="auto"/>
        <w:rPr>
          <w:sz w:val="20"/>
          <w:szCs w:val="20"/>
          <w:color w:val="auto"/>
        </w:rPr>
      </w:pPr>
      <w:r>
        <w:rPr>
          <w:rFonts w:ascii="Arial" w:cs="Arial" w:eastAsia="Arial" w:hAnsi="Arial"/>
          <w:sz w:val="12"/>
          <w:szCs w:val="12"/>
          <w:color w:val="auto"/>
        </w:rPr>
        <w:t>additional ADSs; or ordinary shares, assuming full exercise of the underwriters’ option to purchase additional ADSs.</w:t>
      </w:r>
    </w:p>
    <w:p>
      <w:pPr>
        <w:spacing w:after="0" w:line="142" w:lineRule="exact"/>
        <w:rPr>
          <w:sz w:val="20"/>
          <w:szCs w:val="20"/>
          <w:color w:val="auto"/>
        </w:rPr>
      </w:pPr>
    </w:p>
    <w:p>
      <w:pPr>
        <w:ind w:right="979"/>
        <w:spacing w:after="0" w:line="306" w:lineRule="auto"/>
        <w:rPr>
          <w:sz w:val="20"/>
          <w:szCs w:val="20"/>
          <w:color w:val="auto"/>
        </w:rPr>
      </w:pPr>
      <w:r>
        <w:rPr>
          <w:rFonts w:ascii="Arial" w:cs="Arial" w:eastAsia="Arial" w:hAnsi="Arial"/>
          <w:sz w:val="10"/>
          <w:szCs w:val="10"/>
          <w:color w:val="auto"/>
        </w:rPr>
        <w:t>Our founders, members of our management and supervisory boards and known five percent shareholders, together with their affiliates, collectively own approximately 17.6% of our outstanding share capital, and following the completion of this offering will collectively</w:t>
      </w:r>
    </w:p>
    <w:p>
      <w:pPr>
        <w:spacing w:after="0" w:line="1" w:lineRule="exact"/>
        <w:rPr>
          <w:sz w:val="20"/>
          <w:szCs w:val="20"/>
          <w:color w:val="auto"/>
        </w:rPr>
      </w:pPr>
    </w:p>
    <w:p>
      <w:pPr>
        <w:ind w:right="979"/>
        <w:spacing w:after="0" w:line="284" w:lineRule="auto"/>
        <w:rPr>
          <w:sz w:val="20"/>
          <w:szCs w:val="20"/>
          <w:color w:val="auto"/>
        </w:rPr>
      </w:pPr>
      <w:r>
        <w:rPr>
          <w:rFonts w:ascii="Arial" w:cs="Arial" w:eastAsia="Arial" w:hAnsi="Arial"/>
          <w:sz w:val="11"/>
          <w:szCs w:val="11"/>
          <w:color w:val="auto"/>
        </w:rPr>
        <w:t>own approximately % of our outstanding share capital (or approximately % of our outstanding share capital if the underwriters exercise their option to purchase additional ADSs from us in full). See “Principal Shareholders.” The interests of our existing shareholders may deviate from our interests or those of our other shareholders.</w:t>
      </w:r>
    </w:p>
    <w:p>
      <w:pPr>
        <w:spacing w:after="0" w:line="130" w:lineRule="exact"/>
        <w:rPr>
          <w:sz w:val="20"/>
          <w:szCs w:val="20"/>
          <w:color w:val="auto"/>
        </w:rPr>
      </w:pPr>
    </w:p>
    <w:p>
      <w:pPr>
        <w:spacing w:after="0"/>
        <w:tabs>
          <w:tab w:leader="none" w:pos="3520" w:val="left"/>
        </w:tabs>
        <w:rPr>
          <w:sz w:val="20"/>
          <w:szCs w:val="20"/>
          <w:color w:val="auto"/>
        </w:rPr>
      </w:pPr>
      <w:r>
        <w:rPr>
          <w:rFonts w:ascii="Arial" w:cs="Arial" w:eastAsia="Arial" w:hAnsi="Arial"/>
          <w:sz w:val="12"/>
          <w:szCs w:val="12"/>
          <w:color w:val="auto"/>
        </w:rPr>
        <w:t>We intend to grant the underwriters an option to purchase up to</w:t>
      </w:r>
      <w:r>
        <w:rPr>
          <w:sz w:val="20"/>
          <w:szCs w:val="20"/>
          <w:color w:val="auto"/>
        </w:rPr>
        <w:tab/>
      </w:r>
      <w:r>
        <w:rPr>
          <w:rFonts w:ascii="Arial" w:cs="Arial" w:eastAsia="Arial" w:hAnsi="Arial"/>
          <w:sz w:val="11"/>
          <w:szCs w:val="11"/>
          <w:color w:val="auto"/>
        </w:rPr>
        <w:t>additional ADSs</w:t>
      </w:r>
    </w:p>
    <w:p>
      <w:pPr>
        <w:spacing w:after="0" w:line="15" w:lineRule="exact"/>
        <w:rPr>
          <w:sz w:val="20"/>
          <w:szCs w:val="20"/>
          <w:color w:val="auto"/>
        </w:rPr>
      </w:pPr>
    </w:p>
    <w:p>
      <w:pPr>
        <w:spacing w:after="0"/>
        <w:tabs>
          <w:tab w:leader="none" w:pos="1520" w:val="left"/>
        </w:tabs>
        <w:rPr>
          <w:sz w:val="20"/>
          <w:szCs w:val="20"/>
          <w:color w:val="auto"/>
        </w:rPr>
      </w:pPr>
      <w:r>
        <w:rPr>
          <w:rFonts w:ascii="Arial" w:cs="Arial" w:eastAsia="Arial" w:hAnsi="Arial"/>
          <w:sz w:val="12"/>
          <w:szCs w:val="12"/>
          <w:color w:val="auto"/>
        </w:rPr>
        <w:t>from us, representing</w:t>
      </w:r>
      <w:r>
        <w:rPr>
          <w:sz w:val="20"/>
          <w:szCs w:val="20"/>
          <w:color w:val="auto"/>
        </w:rPr>
        <w:tab/>
      </w:r>
      <w:r>
        <w:rPr>
          <w:rFonts w:ascii="Arial" w:cs="Arial" w:eastAsia="Arial" w:hAnsi="Arial"/>
          <w:sz w:val="10"/>
          <w:szCs w:val="10"/>
          <w:color w:val="auto"/>
        </w:rPr>
        <w:t>ordinary shares, for a period of 30 days from the date 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 underwriters will deliver the ordinary shares in the form of ADSs. Every</w:t>
      </w:r>
    </w:p>
    <w:p>
      <w:pPr>
        <w:spacing w:after="0" w:line="15" w:lineRule="exact"/>
        <w:rPr>
          <w:sz w:val="20"/>
          <w:szCs w:val="20"/>
          <w:color w:val="auto"/>
        </w:rPr>
      </w:pPr>
    </w:p>
    <w:p>
      <w:pPr>
        <w:ind w:right="1119" w:firstLine="473"/>
        <w:spacing w:after="0" w:line="260" w:lineRule="auto"/>
        <w:rPr>
          <w:sz w:val="20"/>
          <w:szCs w:val="20"/>
          <w:color w:val="auto"/>
        </w:rPr>
      </w:pPr>
      <w:r>
        <w:rPr>
          <w:rFonts w:ascii="Arial" w:cs="Arial" w:eastAsia="Arial" w:hAnsi="Arial"/>
          <w:sz w:val="12"/>
          <w:szCs w:val="12"/>
          <w:color w:val="auto"/>
        </w:rPr>
        <w:t>ADSs, which may be evidenced by an American Depositary Receipt (“ADR”), represent one ordinary share of us.</w:t>
      </w:r>
    </w:p>
    <w:p>
      <w:pPr>
        <w:spacing w:after="0" w:line="142" w:lineRule="exact"/>
        <w:rPr>
          <w:sz w:val="20"/>
          <w:szCs w:val="20"/>
          <w:color w:val="auto"/>
        </w:rPr>
      </w:pPr>
    </w:p>
    <w:p>
      <w:pPr>
        <w:spacing w:after="0"/>
        <w:rPr>
          <w:sz w:val="20"/>
          <w:szCs w:val="20"/>
          <w:color w:val="auto"/>
        </w:rPr>
      </w:pPr>
      <w:r>
        <w:rPr>
          <w:rFonts w:ascii="Arial" w:cs="Arial" w:eastAsia="Arial" w:hAnsi="Arial"/>
          <w:sz w:val="10"/>
          <w:szCs w:val="10"/>
          <w:color w:val="auto"/>
        </w:rPr>
        <w:t>As an ADS holder, you will not be treated as one of our shareholders and you will not have</w:t>
      </w:r>
    </w:p>
    <w:p>
      <w:pPr>
        <w:spacing w:after="0" w:line="38" w:lineRule="exact"/>
        <w:rPr>
          <w:sz w:val="20"/>
          <w:szCs w:val="20"/>
          <w:color w:val="auto"/>
        </w:rPr>
      </w:pPr>
    </w:p>
    <w:p>
      <w:pPr>
        <w:ind w:right="1119"/>
        <w:spacing w:after="0" w:line="251" w:lineRule="auto"/>
        <w:rPr>
          <w:sz w:val="20"/>
          <w:szCs w:val="20"/>
          <w:color w:val="auto"/>
        </w:rPr>
      </w:pPr>
      <w:r>
        <w:rPr>
          <w:rFonts w:ascii="Arial" w:cs="Arial" w:eastAsia="Arial" w:hAnsi="Arial"/>
          <w:sz w:val="12"/>
          <w:szCs w:val="12"/>
          <w:color w:val="auto"/>
        </w:rPr>
        <w:t>shareholder rights. The depositary, , or the custodian, , will be the holder of the ordinary shares underlying your ADSs. You will have rights as provided in the deposit agreement. You may surrender your ADSs and withdraw the underlying ordinary shares as provided, and subject to the limitations set forth in, the deposit agreement. The depositary will charge you fees for, among other acts, any such surrender for the purpose of withdrawal. In certain limited instances described in the deposit agreement, we may amend or terminate the deposit agreement without your consent. If you continue to hold your ADSs, you agree to be bound by the terms of the deposit agreement then in effect.</w:t>
      </w:r>
    </w:p>
    <w:p>
      <w:pPr>
        <w:spacing w:after="0" w:line="200" w:lineRule="exact"/>
        <w:rPr>
          <w:sz w:val="20"/>
          <w:szCs w:val="20"/>
          <w:color w:val="auto"/>
        </w:rPr>
      </w:pPr>
    </w:p>
    <w:p>
      <w:pPr>
        <w:sectPr>
          <w:pgSz w:w="11900" w:h="16838" w:orient="portrait"/>
          <w:cols w:equalWidth="0" w:num="2">
            <w:col w:w="4520" w:space="260"/>
            <w:col w:w="5379"/>
          </w:cols>
          <w:pgMar w:left="300" w:top="354" w:right="1440" w:bottom="1440" w:gutter="0" w:footer="0" w:header="0"/>
        </w:sectPr>
      </w:pPr>
    </w:p>
    <w:p>
      <w:pPr>
        <w:spacing w:after="0" w:line="58"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14</w:t>
      </w:r>
    </w:p>
    <w:p>
      <w:pPr>
        <w:sectPr>
          <w:pgSz w:w="11900" w:h="16838" w:orient="portrait"/>
          <w:cols w:equalWidth="0" w:num="1">
            <w:col w:w="10159"/>
          </w:cols>
          <w:pgMar w:left="300" w:top="354" w:right="1440" w:bottom="1440" w:gutter="0" w:footer="0" w:header="0"/>
          <w:type w:val="continuous"/>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230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70425" cy="4230370"/>
                    </a:xfrm>
                    <a:prstGeom prst="rect">
                      <a:avLst/>
                    </a:prstGeom>
                    <a:noFill/>
                  </pic:spPr>
                </pic:pic>
              </a:graphicData>
            </a:graphic>
          </wp:anchor>
        </w:drawing>
      </w:r>
    </w:p>
    <w:p>
      <w:pPr>
        <w:spacing w:after="0" w:line="312" w:lineRule="exact"/>
        <w:rPr>
          <w:sz w:val="20"/>
          <w:szCs w:val="20"/>
          <w:color w:val="auto"/>
        </w:rPr>
      </w:pPr>
    </w:p>
    <w:p>
      <w:pPr>
        <w:ind w:left="4780"/>
        <w:spacing w:after="0"/>
        <w:rPr>
          <w:sz w:val="20"/>
          <w:szCs w:val="20"/>
          <w:color w:val="auto"/>
        </w:rPr>
      </w:pPr>
      <w:r>
        <w:rPr>
          <w:rFonts w:ascii="Arial" w:cs="Arial" w:eastAsia="Arial" w:hAnsi="Arial"/>
          <w:sz w:val="11"/>
          <w:szCs w:val="11"/>
          <w:color w:val="auto"/>
        </w:rPr>
        <w:t>To better understand the terms of the ADSs, you should carefully read the “Description of</w:t>
      </w:r>
    </w:p>
    <w:p>
      <w:pPr>
        <w:spacing w:after="0" w:line="26" w:lineRule="exact"/>
        <w:rPr>
          <w:sz w:val="20"/>
          <w:szCs w:val="20"/>
          <w:color w:val="auto"/>
        </w:rPr>
      </w:pPr>
    </w:p>
    <w:p>
      <w:pPr>
        <w:ind w:left="4780"/>
        <w:spacing w:after="0"/>
        <w:rPr>
          <w:sz w:val="20"/>
          <w:szCs w:val="20"/>
          <w:color w:val="auto"/>
        </w:rPr>
      </w:pPr>
      <w:r>
        <w:rPr>
          <w:rFonts w:ascii="Arial" w:cs="Arial" w:eastAsia="Arial" w:hAnsi="Arial"/>
          <w:sz w:val="10"/>
          <w:szCs w:val="10"/>
          <w:color w:val="auto"/>
        </w:rPr>
        <w:t>American Depositary Shares” section of this prospectus. You should also read the deposit</w:t>
      </w:r>
    </w:p>
    <w:p>
      <w:pPr>
        <w:spacing w:after="0" w:line="29" w:lineRule="exact"/>
        <w:rPr>
          <w:sz w:val="20"/>
          <w:szCs w:val="20"/>
          <w:color w:val="auto"/>
        </w:rPr>
      </w:pPr>
    </w:p>
    <w:p>
      <w:pPr>
        <w:ind w:left="4780"/>
        <w:spacing w:after="0"/>
        <w:rPr>
          <w:sz w:val="20"/>
          <w:szCs w:val="20"/>
          <w:color w:val="auto"/>
        </w:rPr>
      </w:pPr>
      <w:r>
        <w:rPr>
          <w:rFonts w:ascii="Arial" w:cs="Arial" w:eastAsia="Arial" w:hAnsi="Arial"/>
          <w:sz w:val="10"/>
          <w:szCs w:val="10"/>
          <w:color w:val="auto"/>
        </w:rPr>
        <w:t>agreement, which is an exhibit to the registration statement of which this prospectus forms</w:t>
      </w:r>
    </w:p>
    <w:p>
      <w:pPr>
        <w:spacing w:after="0" w:line="29"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a part.</w:t>
      </w:r>
    </w:p>
    <w:p>
      <w:pPr>
        <w:spacing w:after="0" w:line="110"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Depositary</w:t>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Custodian</w:t>
      </w:r>
    </w:p>
    <w:p>
      <w:pPr>
        <w:spacing w:after="0" w:line="312"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color w:val="auto"/>
        </w:rPr>
        <w:t>We estimate that the net proceeds to us from this offering will be approximately</w:t>
      </w:r>
    </w:p>
    <w:p>
      <w:pPr>
        <w:spacing w:after="0" w:line="15" w:lineRule="exact"/>
        <w:rPr>
          <w:sz w:val="20"/>
          <w:szCs w:val="20"/>
          <w:color w:val="auto"/>
        </w:rPr>
      </w:pPr>
    </w:p>
    <w:p>
      <w:pPr>
        <w:spacing w:after="0"/>
        <w:tabs>
          <w:tab w:leader="none" w:pos="440" w:val="left"/>
          <w:tab w:leader="none" w:pos="21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million (or approximately $</w:t>
      </w:r>
      <w:r>
        <w:rPr>
          <w:sz w:val="20"/>
          <w:szCs w:val="20"/>
          <w:color w:val="auto"/>
        </w:rPr>
        <w:tab/>
      </w:r>
      <w:r>
        <w:rPr>
          <w:rFonts w:ascii="Arial" w:cs="Arial" w:eastAsia="Arial" w:hAnsi="Arial"/>
          <w:sz w:val="11"/>
          <w:szCs w:val="11"/>
          <w:color w:val="auto"/>
        </w:rPr>
        <w:t>million if the underwriters exercise their</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option to purchase additional ADSs from us in full), based on an assumed initial public</w:t>
      </w:r>
    </w:p>
    <w:p>
      <w:pPr>
        <w:spacing w:after="0" w:line="18" w:lineRule="exact"/>
        <w:rPr>
          <w:sz w:val="20"/>
          <w:szCs w:val="20"/>
          <w:color w:val="auto"/>
        </w:rPr>
      </w:pPr>
    </w:p>
    <w:p>
      <w:pPr>
        <w:spacing w:after="0"/>
        <w:tabs>
          <w:tab w:leader="none" w:pos="1240" w:val="left"/>
        </w:tabs>
        <w:rPr>
          <w:sz w:val="20"/>
          <w:szCs w:val="20"/>
          <w:color w:val="auto"/>
        </w:rPr>
      </w:pPr>
      <w:r>
        <w:rPr>
          <w:rFonts w:ascii="Arial" w:cs="Arial" w:eastAsia="Arial" w:hAnsi="Arial"/>
          <w:sz w:val="12"/>
          <w:szCs w:val="12"/>
          <w:color w:val="auto"/>
        </w:rPr>
        <w:t>offering price of $</w:t>
      </w:r>
      <w:r>
        <w:rPr>
          <w:sz w:val="20"/>
          <w:szCs w:val="20"/>
          <w:color w:val="auto"/>
        </w:rPr>
        <w:tab/>
      </w:r>
      <w:r>
        <w:rPr>
          <w:rFonts w:ascii="Arial" w:cs="Arial" w:eastAsia="Arial" w:hAnsi="Arial"/>
          <w:sz w:val="10"/>
          <w:szCs w:val="10"/>
          <w:color w:val="auto"/>
        </w:rPr>
        <w:t>per ADS, the midpoint of the price range set forth on the cover</w:t>
      </w:r>
    </w:p>
    <w:p>
      <w:pPr>
        <w:spacing w:after="0" w:line="6" w:lineRule="exact"/>
        <w:rPr>
          <w:sz w:val="20"/>
          <w:szCs w:val="20"/>
          <w:color w:val="auto"/>
        </w:rPr>
      </w:pPr>
    </w:p>
    <w:p>
      <w:pPr>
        <w:spacing w:after="0"/>
        <w:tabs>
          <w:tab w:leader="none" w:pos="3460" w:val="left"/>
          <w:tab w:leader="none" w:pos="4060" w:val="left"/>
        </w:tabs>
        <w:rPr>
          <w:sz w:val="20"/>
          <w:szCs w:val="20"/>
          <w:color w:val="auto"/>
        </w:rPr>
      </w:pPr>
      <w:r>
        <w:rPr>
          <w:rFonts w:ascii="Arial" w:cs="Arial" w:eastAsia="Arial" w:hAnsi="Arial"/>
          <w:sz w:val="12"/>
          <w:szCs w:val="12"/>
          <w:color w:val="auto"/>
        </w:rPr>
        <w:t>page of this prospectus, and an ADS to ordinary share ratio of</w:t>
      </w:r>
      <w:r>
        <w:rPr>
          <w:sz w:val="20"/>
          <w:szCs w:val="20"/>
          <w:color w:val="auto"/>
        </w:rPr>
        <w:tab/>
      </w:r>
      <w:r>
        <w:rPr>
          <w:rFonts w:ascii="Arial" w:cs="Arial" w:eastAsia="Arial" w:hAnsi="Arial"/>
          <w:sz w:val="12"/>
          <w:szCs w:val="12"/>
          <w:color w:val="auto"/>
        </w:rPr>
        <w:t>to</w:t>
      </w:r>
      <w:r>
        <w:rPr>
          <w:sz w:val="20"/>
          <w:szCs w:val="20"/>
          <w:color w:val="auto"/>
        </w:rPr>
        <w:tab/>
      </w:r>
      <w:r>
        <w:rPr>
          <w:rFonts w:ascii="Arial" w:cs="Arial" w:eastAsia="Arial" w:hAnsi="Arial"/>
          <w:sz w:val="10"/>
          <w:szCs w:val="10"/>
          <w:color w:val="auto"/>
        </w:rPr>
        <w:t>, after</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deducting the estimated underwriting discounts and commissions and estimated offering</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expenses payable by us.</w:t>
      </w:r>
    </w:p>
    <w:p>
      <w:pPr>
        <w:spacing w:after="0" w:line="159"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4780"/>
        <w:spacing w:after="0"/>
        <w:rPr>
          <w:sz w:val="20"/>
          <w:szCs w:val="20"/>
          <w:color w:val="auto"/>
        </w:rPr>
      </w:pPr>
      <w:r>
        <w:rPr>
          <w:rFonts w:ascii="Arial" w:cs="Arial" w:eastAsia="Arial" w:hAnsi="Arial"/>
          <w:sz w:val="11"/>
          <w:szCs w:val="11"/>
          <w:color w:val="auto"/>
        </w:rPr>
        <w:t>The principal reasons for this offering are to further fund our business, to increase our</w:t>
      </w:r>
    </w:p>
    <w:p>
      <w:pPr>
        <w:spacing w:after="0" w:line="26" w:lineRule="exact"/>
        <w:rPr>
          <w:sz w:val="20"/>
          <w:szCs w:val="20"/>
          <w:color w:val="auto"/>
        </w:rPr>
      </w:pPr>
    </w:p>
    <w:p>
      <w:pPr>
        <w:ind w:left="4780"/>
        <w:spacing w:after="0"/>
        <w:rPr>
          <w:sz w:val="20"/>
          <w:szCs w:val="20"/>
          <w:color w:val="auto"/>
        </w:rPr>
      </w:pPr>
      <w:r>
        <w:rPr>
          <w:rFonts w:ascii="Arial" w:cs="Arial" w:eastAsia="Arial" w:hAnsi="Arial"/>
          <w:sz w:val="10"/>
          <w:szCs w:val="10"/>
          <w:color w:val="auto"/>
        </w:rPr>
        <w:t>public profile and awareness, create a public market for our ADSs and facilitate our future</w:t>
      </w:r>
    </w:p>
    <w:p>
      <w:pPr>
        <w:spacing w:after="0" w:line="29" w:lineRule="exact"/>
        <w:rPr>
          <w:sz w:val="20"/>
          <w:szCs w:val="20"/>
          <w:color w:val="auto"/>
        </w:rPr>
      </w:pPr>
    </w:p>
    <w:p>
      <w:pPr>
        <w:ind w:left="4780"/>
        <w:spacing w:after="0"/>
        <w:rPr>
          <w:sz w:val="20"/>
          <w:szCs w:val="20"/>
          <w:color w:val="auto"/>
        </w:rPr>
      </w:pPr>
      <w:r>
        <w:rPr>
          <w:rFonts w:ascii="Arial" w:cs="Arial" w:eastAsia="Arial" w:hAnsi="Arial"/>
          <w:sz w:val="11"/>
          <w:szCs w:val="11"/>
          <w:color w:val="auto"/>
        </w:rPr>
        <w:t>access to public equity markets. We intend to use the net proceeds from this offering as</w:t>
      </w:r>
    </w:p>
    <w:p>
      <w:pPr>
        <w:spacing w:after="0" w:line="18"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follows:</w:t>
      </w:r>
    </w:p>
    <w:p>
      <w:pPr>
        <w:sectPr>
          <w:pgSz w:w="11900" w:h="16838" w:orient="portrait"/>
          <w:cols w:equalWidth="0" w:num="1">
            <w:col w:w="10159"/>
          </w:cols>
          <w:pgMar w:left="300" w:top="354" w:right="1440" w:bottom="1440" w:gutter="0" w:footer="0" w:header="0"/>
          <w:type w:val="continuous"/>
        </w:sectPr>
      </w:pPr>
    </w:p>
    <w:p>
      <w:pPr>
        <w:spacing w:after="0" w:line="159"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1179"/>
        <w:spacing w:after="0" w:line="276" w:lineRule="auto"/>
        <w:rPr>
          <w:sz w:val="20"/>
          <w:szCs w:val="20"/>
          <w:color w:val="auto"/>
        </w:rPr>
      </w:pPr>
      <w:r>
        <w:rPr>
          <w:rFonts w:ascii="Arial" w:cs="Arial" w:eastAsia="Arial" w:hAnsi="Arial"/>
          <w:sz w:val="12"/>
          <w:szCs w:val="12"/>
          <w:color w:val="auto"/>
        </w:rPr>
        <w:t>approximately 45% to ramp-up serial production to allow for short-term product deployment within large-scale customer programs;</w:t>
      </w:r>
    </w:p>
    <w:p>
      <w:pPr>
        <w:spacing w:after="0" w:line="52" w:lineRule="exact"/>
        <w:rPr>
          <w:sz w:val="20"/>
          <w:szCs w:val="20"/>
          <w:color w:val="auto"/>
        </w:rPr>
      </w:pPr>
    </w:p>
    <w:p>
      <w:pPr>
        <w:sectPr>
          <w:pgSz w:w="11900" w:h="16838" w:orient="portrait"/>
          <w:cols w:equalWidth="0" w:num="2">
            <w:col w:w="4980" w:space="140"/>
            <w:col w:w="5039"/>
          </w:cols>
          <w:pgMar w:left="300" w:top="354" w:right="1440" w:bottom="1440" w:gutter="0" w:footer="0" w:header="0"/>
          <w:type w:val="continuous"/>
        </w:sectPr>
      </w:pPr>
    </w:p>
    <w:p>
      <w:pPr>
        <w:ind w:left="49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1059"/>
        <w:spacing w:after="0" w:line="379" w:lineRule="auto"/>
        <w:rPr>
          <w:sz w:val="20"/>
          <w:szCs w:val="20"/>
          <w:color w:val="auto"/>
        </w:rPr>
      </w:pPr>
      <w:r>
        <w:rPr>
          <w:rFonts w:ascii="Arial" w:cs="Arial" w:eastAsia="Arial" w:hAnsi="Arial"/>
          <w:sz w:val="10"/>
          <w:szCs w:val="10"/>
          <w:color w:val="auto"/>
        </w:rPr>
        <w:t>approximately 35% to further advance our existing products and to expand our product portfolio to support new applications and increase our addressable market;</w:t>
      </w:r>
    </w:p>
    <w:p>
      <w:pPr>
        <w:spacing w:after="0" w:line="6" w:lineRule="exact"/>
        <w:rPr>
          <w:sz w:val="20"/>
          <w:szCs w:val="20"/>
          <w:color w:val="auto"/>
        </w:rPr>
      </w:pPr>
    </w:p>
    <w:p>
      <w:pPr>
        <w:sectPr>
          <w:pgSz w:w="11900" w:h="16838" w:orient="portrait"/>
          <w:cols w:equalWidth="0" w:num="2">
            <w:col w:w="4980" w:space="140"/>
            <w:col w:w="5039"/>
          </w:cols>
          <w:pgMar w:left="300" w:top="354" w:right="1440" w:bottom="1440" w:gutter="0" w:footer="0" w:header="0"/>
          <w:type w:val="continuous"/>
        </w:sectPr>
      </w:pPr>
    </w:p>
    <w:p>
      <w:pPr>
        <w:ind w:left="49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1079"/>
        <w:spacing w:after="0" w:line="263" w:lineRule="auto"/>
        <w:rPr>
          <w:sz w:val="20"/>
          <w:szCs w:val="20"/>
          <w:color w:val="auto"/>
        </w:rPr>
      </w:pPr>
      <w:r>
        <w:rPr>
          <w:rFonts w:ascii="Arial" w:cs="Arial" w:eastAsia="Arial" w:hAnsi="Arial"/>
          <w:sz w:val="12"/>
          <w:szCs w:val="12"/>
          <w:color w:val="auto"/>
        </w:rPr>
        <w:t>approximately 15% for investments in additional research and development equipment to further accelerate product development in both our German and U.S. facilities; and</w:t>
      </w:r>
    </w:p>
    <w:p>
      <w:pPr>
        <w:spacing w:after="0" w:line="59" w:lineRule="exact"/>
        <w:rPr>
          <w:sz w:val="20"/>
          <w:szCs w:val="20"/>
          <w:color w:val="auto"/>
        </w:rPr>
      </w:pPr>
    </w:p>
    <w:p>
      <w:pPr>
        <w:sectPr>
          <w:pgSz w:w="11900" w:h="16838" w:orient="portrait"/>
          <w:cols w:equalWidth="0" w:num="2">
            <w:col w:w="4980" w:space="140"/>
            <w:col w:w="5039"/>
          </w:cols>
          <w:pgMar w:left="300" w:top="354" w:right="1440" w:bottom="1440" w:gutter="0" w:footer="0" w:header="0"/>
          <w:type w:val="continuous"/>
        </w:sectPr>
      </w:pPr>
    </w:p>
    <w:p>
      <w:pPr>
        <w:ind w:left="49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999"/>
        <w:spacing w:after="0" w:line="263" w:lineRule="auto"/>
        <w:rPr>
          <w:sz w:val="20"/>
          <w:szCs w:val="20"/>
          <w:color w:val="auto"/>
        </w:rPr>
      </w:pPr>
      <w:r>
        <w:rPr>
          <w:rFonts w:ascii="Arial" w:cs="Arial" w:eastAsia="Arial" w:hAnsi="Arial"/>
          <w:sz w:val="12"/>
          <w:szCs w:val="12"/>
          <w:color w:val="auto"/>
        </w:rPr>
        <w:t>approximately 5% to grow our sales and marketing efforts to expand access to government and commercial customers, including the establishment of a U.S. entity cleared for access to classified information.</w:t>
      </w:r>
    </w:p>
    <w:p>
      <w:pPr>
        <w:spacing w:after="0" w:line="140" w:lineRule="exact"/>
        <w:rPr>
          <w:sz w:val="20"/>
          <w:szCs w:val="20"/>
          <w:color w:val="auto"/>
        </w:rPr>
      </w:pPr>
    </w:p>
    <w:p>
      <w:pPr>
        <w:sectPr>
          <w:pgSz w:w="11900" w:h="16838" w:orient="portrait"/>
          <w:cols w:equalWidth="0" w:num="2">
            <w:col w:w="4980" w:space="140"/>
            <w:col w:w="5039"/>
          </w:cols>
          <w:pgMar w:left="300" w:top="354" w:right="1440" w:bottom="1440" w:gutter="0" w:footer="0" w:header="0"/>
          <w:type w:val="continuous"/>
        </w:sectPr>
      </w:pPr>
    </w:p>
    <w:p>
      <w:pPr>
        <w:ind w:left="4780"/>
        <w:spacing w:after="0"/>
        <w:rPr>
          <w:sz w:val="20"/>
          <w:szCs w:val="20"/>
          <w:color w:val="auto"/>
        </w:rPr>
      </w:pPr>
      <w:r>
        <w:rPr>
          <w:rFonts w:ascii="Arial" w:cs="Arial" w:eastAsia="Arial" w:hAnsi="Arial"/>
          <w:sz w:val="10"/>
          <w:szCs w:val="10"/>
          <w:color w:val="auto"/>
        </w:rPr>
        <w:t>See “Use of Proceeds.”</w:t>
      </w:r>
    </w:p>
    <w:p>
      <w:pPr>
        <w:sectPr>
          <w:pgSz w:w="11900" w:h="16838" w:orient="portrait"/>
          <w:cols w:equalWidth="0" w:num="1">
            <w:col w:w="10159"/>
          </w:cols>
          <w:pgMar w:left="300" w:top="354" w:right="1440" w:bottom="1440" w:gutter="0" w:footer="0" w:header="0"/>
          <w:type w:val="continuous"/>
        </w:sectPr>
      </w:pPr>
    </w:p>
    <w:p>
      <w:pPr>
        <w:spacing w:after="0" w:line="187"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Dividend policy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059"/>
        <w:spacing w:after="0" w:line="309" w:lineRule="auto"/>
        <w:rPr>
          <w:sz w:val="20"/>
          <w:szCs w:val="20"/>
          <w:color w:val="auto"/>
        </w:rPr>
      </w:pPr>
      <w:r>
        <w:rPr>
          <w:rFonts w:ascii="Arial" w:cs="Arial" w:eastAsia="Arial" w:hAnsi="Arial"/>
          <w:sz w:val="10"/>
          <w:szCs w:val="10"/>
          <w:color w:val="auto"/>
        </w:rPr>
        <w:t>We have never paid or declared any dividends in the past, and we do not anticipate paying any dividends in the foreseeable future. We intend to retain all available funds and any</w:t>
      </w:r>
    </w:p>
    <w:p>
      <w:pPr>
        <w:spacing w:after="0" w:line="1"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4780"/>
        <w:spacing w:after="0"/>
        <w:rPr>
          <w:sz w:val="20"/>
          <w:szCs w:val="20"/>
          <w:color w:val="auto"/>
        </w:rPr>
      </w:pPr>
      <w:r>
        <w:rPr>
          <w:rFonts w:ascii="Arial" w:cs="Arial" w:eastAsia="Arial" w:hAnsi="Arial"/>
          <w:sz w:val="10"/>
          <w:szCs w:val="10"/>
          <w:color w:val="auto"/>
        </w:rPr>
        <w:t>future earnings to fund the development of our technology and products and the start of</w:t>
      </w:r>
    </w:p>
    <w:p>
      <w:pPr>
        <w:spacing w:after="0" w:line="29"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serial production as well as the further development and expansion of our</w:t>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0159"/>
          </w:cols>
          <w:pgMar w:left="300" w:top="354" w:right="1440" w:bottom="1440" w:gutter="0" w:footer="0" w:header="0"/>
          <w:type w:val="continuous"/>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2835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70425" cy="2835910"/>
                    </a:xfrm>
                    <a:prstGeom prst="rect">
                      <a:avLst/>
                    </a:prstGeom>
                    <a:noFill/>
                  </pic:spPr>
                </pic:pic>
              </a:graphicData>
            </a:graphic>
          </wp:anchor>
        </w:drawing>
      </w:r>
    </w:p>
    <w:p>
      <w:pPr>
        <w:spacing w:after="0" w:line="312" w:lineRule="exact"/>
        <w:rPr>
          <w:sz w:val="20"/>
          <w:szCs w:val="20"/>
          <w:color w:val="auto"/>
        </w:rPr>
      </w:pPr>
    </w:p>
    <w:tbl>
      <w:tblPr>
        <w:tblLayout w:type="fixed"/>
        <w:tblInd w:w="2100" w:type="dxa"/>
        <w:tblCellMar>
          <w:top w:w="0" w:type="dxa"/>
          <w:left w:w="0" w:type="dxa"/>
          <w:bottom w:w="0" w:type="dxa"/>
          <w:right w:w="0" w:type="dxa"/>
        </w:tblCellMar>
      </w:tblP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6"/>
              </w:rPr>
              <w:t>business. Any future determination to pay dividends will be made in accordance with</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5"/>
              </w:rPr>
              <w:t>applicable laws, and will depend upon, among other factors, our results of operations,</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8"/>
              </w:rPr>
              <w:t>financial condition, contractual restrictions and capital requirements. See “Dividend</w:t>
            </w:r>
          </w:p>
        </w:tc>
      </w:tr>
      <w:tr>
        <w:trPr>
          <w:trHeight w:val="153"/>
        </w:trPr>
        <w:tc>
          <w:tcPr>
            <w:tcW w:w="2200" w:type="dxa"/>
            <w:vAlign w:val="bottom"/>
          </w:tcPr>
          <w:p>
            <w:pPr>
              <w:spacing w:after="0"/>
              <w:rPr>
                <w:sz w:val="13"/>
                <w:szCs w:val="13"/>
                <w:color w:val="auto"/>
              </w:rPr>
            </w:pPr>
          </w:p>
        </w:tc>
        <w:tc>
          <w:tcPr>
            <w:tcW w:w="940" w:type="dxa"/>
            <w:vAlign w:val="bottom"/>
          </w:tcPr>
          <w:p>
            <w:pPr>
              <w:ind w:left="480"/>
              <w:spacing w:after="0"/>
              <w:rPr>
                <w:sz w:val="20"/>
                <w:szCs w:val="20"/>
                <w:color w:val="auto"/>
              </w:rPr>
            </w:pPr>
            <w:r>
              <w:rPr>
                <w:rFonts w:ascii="Arial" w:cs="Arial" w:eastAsia="Arial" w:hAnsi="Arial"/>
                <w:sz w:val="12"/>
                <w:szCs w:val="12"/>
                <w:color w:val="auto"/>
              </w:rPr>
              <w:t>Policy.”</w:t>
            </w:r>
          </w:p>
        </w:tc>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06"/>
        </w:trPr>
        <w:tc>
          <w:tcPr>
            <w:tcW w:w="2200" w:type="dxa"/>
            <w:vAlign w:val="bottom"/>
          </w:tcPr>
          <w:p>
            <w:pPr>
              <w:spacing w:after="0"/>
              <w:rPr>
                <w:sz w:val="20"/>
                <w:szCs w:val="20"/>
                <w:color w:val="auto"/>
              </w:rPr>
            </w:pPr>
            <w:r>
              <w:rPr>
                <w:rFonts w:ascii="Arial" w:cs="Arial" w:eastAsia="Arial" w:hAnsi="Arial"/>
                <w:sz w:val="12"/>
                <w:szCs w:val="12"/>
                <w:b w:val="1"/>
                <w:bCs w:val="1"/>
                <w:color w:val="auto"/>
              </w:rPr>
              <w:t>Lock-up agreements</w:t>
            </w: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2"/>
              </w:rPr>
              <w:t>We have agreed with Credit Suisse and Jefferies as representatives of the underwriters,</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7"/>
              </w:rPr>
              <w:t>subject to certain exceptions, not to, directly or indirectly, offer, sell, assign, transfer,</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3"/>
              </w:rPr>
              <w:t>pledge, contract to sell, or otherwise dispose of our ordinary shares, ADSs or securities</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0"/>
              </w:rPr>
              <w:t>convertible into or exchangeable or exercisable for our ordinary shares or ADSs during the</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3"/>
              </w:rPr>
              <w:t>180-day period following the date of this prospectus. The members of our management</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89"/>
              </w:rPr>
              <w:t>board and supervisory board and certain existing shareholders have agreed to substantially</w:t>
            </w:r>
          </w:p>
        </w:tc>
      </w:tr>
      <w:tr>
        <w:trPr>
          <w:trHeight w:val="153"/>
        </w:trPr>
        <w:tc>
          <w:tcPr>
            <w:tcW w:w="2200" w:type="dxa"/>
            <w:vAlign w:val="bottom"/>
          </w:tcPr>
          <w:p>
            <w:pPr>
              <w:spacing w:after="0"/>
              <w:rPr>
                <w:sz w:val="13"/>
                <w:szCs w:val="13"/>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rPr>
              <w:t>similar lock-up provisions, subject to certain exceptions. See “Underwriting.”</w:t>
            </w:r>
          </w:p>
        </w:tc>
      </w:tr>
      <w:tr>
        <w:trPr>
          <w:trHeight w:val="297"/>
        </w:trPr>
        <w:tc>
          <w:tcPr>
            <w:tcW w:w="2200" w:type="dxa"/>
            <w:vAlign w:val="bottom"/>
          </w:tcPr>
          <w:p>
            <w:pPr>
              <w:spacing w:after="0"/>
              <w:rPr>
                <w:sz w:val="20"/>
                <w:szCs w:val="20"/>
                <w:color w:val="auto"/>
              </w:rPr>
            </w:pPr>
            <w:r>
              <w:rPr>
                <w:rFonts w:ascii="Arial" w:cs="Arial" w:eastAsia="Arial" w:hAnsi="Arial"/>
                <w:sz w:val="12"/>
                <w:szCs w:val="12"/>
                <w:b w:val="1"/>
                <w:bCs w:val="1"/>
                <w:color w:val="auto"/>
              </w:rPr>
              <w:t>Risk factors</w:t>
            </w: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4"/>
              </w:rPr>
              <w:t>See “Risk Factors” and other information included in this prospectus for a discussion of</w:t>
            </w:r>
          </w:p>
        </w:tc>
      </w:tr>
      <w:tr>
        <w:trPr>
          <w:trHeight w:val="153"/>
        </w:trPr>
        <w:tc>
          <w:tcPr>
            <w:tcW w:w="2200" w:type="dxa"/>
            <w:vAlign w:val="bottom"/>
          </w:tcPr>
          <w:p>
            <w:pPr>
              <w:spacing w:after="0"/>
              <w:rPr>
                <w:sz w:val="13"/>
                <w:szCs w:val="13"/>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rPr>
              <w:t>factors you should carefully consider before deciding to invest in our ADSs.</w:t>
            </w:r>
          </w:p>
        </w:tc>
      </w:tr>
      <w:tr>
        <w:trPr>
          <w:trHeight w:val="297"/>
        </w:trPr>
        <w:tc>
          <w:tcPr>
            <w:tcW w:w="2200" w:type="dxa"/>
            <w:vAlign w:val="bottom"/>
          </w:tcPr>
          <w:p>
            <w:pPr>
              <w:spacing w:after="0"/>
              <w:rPr>
                <w:sz w:val="20"/>
                <w:szCs w:val="20"/>
                <w:color w:val="auto"/>
              </w:rPr>
            </w:pPr>
            <w:r>
              <w:rPr>
                <w:rFonts w:ascii="Arial" w:cs="Arial" w:eastAsia="Arial" w:hAnsi="Arial"/>
                <w:sz w:val="12"/>
                <w:szCs w:val="12"/>
                <w:b w:val="1"/>
                <w:bCs w:val="1"/>
                <w:color w:val="auto"/>
              </w:rPr>
              <w:t>Listing</w:t>
            </w:r>
          </w:p>
        </w:tc>
        <w:tc>
          <w:tcPr>
            <w:tcW w:w="2560" w:type="dxa"/>
            <w:vAlign w:val="bottom"/>
            <w:gridSpan w:val="2"/>
          </w:tcPr>
          <w:p>
            <w:pPr>
              <w:ind w:left="480"/>
              <w:spacing w:after="0"/>
              <w:rPr>
                <w:sz w:val="20"/>
                <w:szCs w:val="20"/>
                <w:color w:val="auto"/>
              </w:rPr>
            </w:pPr>
            <w:r>
              <w:rPr>
                <w:rFonts w:ascii="Arial" w:cs="Arial" w:eastAsia="Arial" w:hAnsi="Arial"/>
                <w:sz w:val="12"/>
                <w:szCs w:val="12"/>
                <w:color w:val="auto"/>
              </w:rPr>
              <w:t>We intend to apply to list our ADSs on</w:t>
            </w:r>
          </w:p>
        </w:tc>
        <w:tc>
          <w:tcPr>
            <w:tcW w:w="720" w:type="dxa"/>
            <w:vAlign w:val="bottom"/>
          </w:tcPr>
          <w:p>
            <w:pPr>
              <w:jc w:val="right"/>
              <w:ind w:right="200"/>
              <w:spacing w:after="0"/>
              <w:rPr>
                <w:sz w:val="20"/>
                <w:szCs w:val="20"/>
                <w:color w:val="auto"/>
              </w:rPr>
            </w:pPr>
            <w:r>
              <w:rPr>
                <w:rFonts w:ascii="Arial" w:cs="Arial" w:eastAsia="Arial" w:hAnsi="Arial"/>
                <w:sz w:val="12"/>
                <w:szCs w:val="12"/>
                <w:color w:val="auto"/>
              </w:rPr>
              <w:t>, or</w:t>
            </w:r>
          </w:p>
        </w:tc>
        <w:tc>
          <w:tcPr>
            <w:tcW w:w="1560" w:type="dxa"/>
            <w:vAlign w:val="bottom"/>
          </w:tcPr>
          <w:p>
            <w:pPr>
              <w:ind w:left="240"/>
              <w:spacing w:after="0"/>
              <w:rPr>
                <w:sz w:val="20"/>
                <w:szCs w:val="20"/>
                <w:color w:val="auto"/>
              </w:rPr>
            </w:pPr>
            <w:r>
              <w:rPr>
                <w:rFonts w:ascii="Arial" w:cs="Arial" w:eastAsia="Arial" w:hAnsi="Arial"/>
                <w:sz w:val="12"/>
                <w:szCs w:val="12"/>
                <w:color w:val="auto"/>
              </w:rPr>
              <w:t>, under the symbol</w:t>
            </w:r>
          </w:p>
        </w:tc>
      </w:tr>
      <w:tr>
        <w:trPr>
          <w:trHeight w:val="153"/>
        </w:trPr>
        <w:tc>
          <w:tcPr>
            <w:tcW w:w="2200" w:type="dxa"/>
            <w:vAlign w:val="bottom"/>
          </w:tcPr>
          <w:p>
            <w:pPr>
              <w:spacing w:after="0"/>
              <w:rPr>
                <w:sz w:val="13"/>
                <w:szCs w:val="13"/>
                <w:color w:val="auto"/>
              </w:rPr>
            </w:pPr>
          </w:p>
        </w:tc>
        <w:tc>
          <w:tcPr>
            <w:tcW w:w="940" w:type="dxa"/>
            <w:vAlign w:val="bottom"/>
          </w:tcPr>
          <w:p>
            <w:pPr>
              <w:ind w:left="480"/>
              <w:spacing w:after="0"/>
              <w:rPr>
                <w:sz w:val="20"/>
                <w:szCs w:val="20"/>
                <w:color w:val="auto"/>
              </w:rPr>
            </w:pPr>
            <w:r>
              <w:rPr>
                <w:rFonts w:ascii="Arial" w:cs="Arial" w:eastAsia="Arial" w:hAnsi="Arial"/>
                <w:sz w:val="12"/>
                <w:szCs w:val="12"/>
                <w:color w:val="auto"/>
              </w:rPr>
              <w:t>“</w:t>
            </w:r>
          </w:p>
        </w:tc>
        <w:tc>
          <w:tcPr>
            <w:tcW w:w="1620" w:type="dxa"/>
            <w:vAlign w:val="bottom"/>
          </w:tcPr>
          <w:p>
            <w:pPr>
              <w:ind w:left="8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06"/>
        </w:trPr>
        <w:tc>
          <w:tcPr>
            <w:tcW w:w="2200" w:type="dxa"/>
            <w:vAlign w:val="bottom"/>
          </w:tcPr>
          <w:p>
            <w:pPr>
              <w:spacing w:after="0"/>
              <w:rPr>
                <w:sz w:val="20"/>
                <w:szCs w:val="20"/>
                <w:color w:val="auto"/>
              </w:rPr>
            </w:pPr>
            <w:r>
              <w:rPr>
                <w:rFonts w:ascii="Arial" w:cs="Arial" w:eastAsia="Arial" w:hAnsi="Arial"/>
                <w:sz w:val="12"/>
                <w:szCs w:val="12"/>
                <w:b w:val="1"/>
                <w:bCs w:val="1"/>
                <w:color w:val="auto"/>
              </w:rPr>
              <w:t>Frankfurt Stock Exchange listing</w:t>
            </w: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2"/>
              </w:rPr>
              <w:t>Our ordinary shares are listed on the Frankfurt Stock Exchange under the symbol “M0Y.”</w:t>
            </w:r>
          </w:p>
        </w:tc>
      </w:tr>
      <w:tr>
        <w:trPr>
          <w:trHeight w:val="306"/>
        </w:trPr>
        <w:tc>
          <w:tcPr>
            <w:tcW w:w="2200" w:type="dxa"/>
            <w:vAlign w:val="bottom"/>
          </w:tcPr>
          <w:p>
            <w:pPr>
              <w:spacing w:after="0"/>
              <w:rPr>
                <w:sz w:val="24"/>
                <w:szCs w:val="24"/>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1"/>
              </w:rPr>
              <w:t>We intend to terminate the listing of our ordinary shares on the Frankfurt Stock Exchange</w:t>
            </w:r>
          </w:p>
        </w:tc>
      </w:tr>
      <w:tr>
        <w:trPr>
          <w:trHeight w:val="153"/>
        </w:trPr>
        <w:tc>
          <w:tcPr>
            <w:tcW w:w="2200" w:type="dxa"/>
            <w:vAlign w:val="bottom"/>
          </w:tcPr>
          <w:p>
            <w:pPr>
              <w:spacing w:after="0"/>
              <w:rPr>
                <w:sz w:val="13"/>
                <w:szCs w:val="13"/>
                <w:color w:val="auto"/>
              </w:rPr>
            </w:pPr>
          </w:p>
        </w:tc>
        <w:tc>
          <w:tcPr>
            <w:tcW w:w="2560" w:type="dxa"/>
            <w:vAlign w:val="bottom"/>
            <w:gridSpan w:val="2"/>
          </w:tcPr>
          <w:p>
            <w:pPr>
              <w:ind w:left="480"/>
              <w:spacing w:after="0"/>
              <w:rPr>
                <w:sz w:val="20"/>
                <w:szCs w:val="20"/>
                <w:color w:val="auto"/>
              </w:rPr>
            </w:pPr>
            <w:r>
              <w:rPr>
                <w:rFonts w:ascii="Arial" w:cs="Arial" w:eastAsia="Arial" w:hAnsi="Arial"/>
                <w:sz w:val="12"/>
                <w:szCs w:val="12"/>
                <w:color w:val="auto"/>
              </w:rPr>
              <w:t>following listing of our ADSs on the</w:t>
            </w:r>
          </w:p>
        </w:tc>
        <w:tc>
          <w:tcPr>
            <w:tcW w:w="72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1560" w:type="dxa"/>
            <w:vAlign w:val="bottom"/>
          </w:tcPr>
          <w:p>
            <w:pPr>
              <w:spacing w:after="0"/>
              <w:rPr>
                <w:sz w:val="13"/>
                <w:szCs w:val="13"/>
                <w:color w:val="auto"/>
              </w:rPr>
            </w:pPr>
          </w:p>
        </w:tc>
      </w:tr>
    </w:tbl>
    <w:p>
      <w:pPr>
        <w:spacing w:after="0" w:line="13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Unless otherwise indicated, all information contained in this prospectus assumes or gives effect to:</w:t>
      </w:r>
    </w:p>
    <w:p>
      <w:pPr>
        <w:spacing w:after="0" w:line="87" w:lineRule="exact"/>
        <w:rPr>
          <w:sz w:val="20"/>
          <w:szCs w:val="20"/>
          <w:color w:val="auto"/>
        </w:rPr>
      </w:pPr>
    </w:p>
    <w:p>
      <w:pPr>
        <w:ind w:left="2440"/>
        <w:spacing w:after="0"/>
        <w:tabs>
          <w:tab w:leader="none" w:pos="2700" w:val="left"/>
          <w:tab w:leader="none" w:pos="47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an initial public offering price of $</w:t>
      </w:r>
      <w:r>
        <w:rPr>
          <w:sz w:val="20"/>
          <w:szCs w:val="20"/>
          <w:color w:val="auto"/>
        </w:rPr>
        <w:tab/>
      </w:r>
      <w:r>
        <w:rPr>
          <w:rFonts w:ascii="Arial" w:cs="Arial" w:eastAsia="Arial" w:hAnsi="Arial"/>
          <w:sz w:val="10"/>
          <w:szCs w:val="10"/>
          <w:color w:val="auto"/>
        </w:rPr>
        <w:t>per ADS; and</w:t>
      </w:r>
    </w:p>
    <w:p>
      <w:pPr>
        <w:spacing w:after="0" w:line="87" w:lineRule="exact"/>
        <w:rPr>
          <w:sz w:val="20"/>
          <w:szCs w:val="20"/>
          <w:color w:val="auto"/>
        </w:rPr>
      </w:pPr>
    </w:p>
    <w:p>
      <w:pPr>
        <w:ind w:left="5580" w:right="3039" w:hanging="3135"/>
        <w:spacing w:after="0" w:line="745" w:lineRule="auto"/>
        <w:tabs>
          <w:tab w:leader="none" w:pos="2711"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 exercise by the underwriters of their option to purchase additional ADSs in this offering. 16</w:t>
      </w:r>
    </w:p>
    <w:p>
      <w:pPr>
        <w:sectPr>
          <w:pgSz w:w="11900" w:h="16838" w:orient="portrait"/>
          <w:cols w:equalWidth="0" w:num="1">
            <w:col w:w="10159"/>
          </w:cols>
          <w:pgMar w:left="300" w:top="354" w:right="1440"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584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70425" cy="4584700"/>
                    </a:xfrm>
                    <a:prstGeom prst="rect">
                      <a:avLst/>
                    </a:prstGeom>
                    <a:noFill/>
                  </pic:spPr>
                </pic:pic>
              </a:graphicData>
            </a:graphic>
          </wp:anchor>
        </w:drawing>
      </w:r>
    </w:p>
    <w:p>
      <w:pPr>
        <w:spacing w:after="0" w:line="30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SUMMARY FINANCIAL DATA</w:t>
      </w:r>
    </w:p>
    <w:p>
      <w:pPr>
        <w:spacing w:after="0" w:line="154" w:lineRule="exact"/>
        <w:rPr>
          <w:sz w:val="20"/>
          <w:szCs w:val="20"/>
          <w:color w:val="auto"/>
        </w:rPr>
      </w:pPr>
    </w:p>
    <w:p>
      <w:pPr>
        <w:ind w:left="2100" w:right="979" w:firstLine="284"/>
        <w:spacing w:after="0" w:line="256" w:lineRule="auto"/>
        <w:rPr>
          <w:sz w:val="20"/>
          <w:szCs w:val="20"/>
          <w:color w:val="auto"/>
        </w:rPr>
      </w:pPr>
      <w:r>
        <w:rPr>
          <w:rFonts w:ascii="Arial" w:cs="Arial" w:eastAsia="Arial" w:hAnsi="Arial"/>
          <w:sz w:val="12"/>
          <w:szCs w:val="12"/>
          <w:color w:val="auto"/>
        </w:rPr>
        <w:t>We present below a summary of historical financial data of Mynaric AG. The financial data as of and for the six months ended June 30, 2020 and June 30, 2021, has been derived from our unaudited condensed interim financial statements and the related notes thereto, which are included elsewhere in this prospectus. The financial data as of and for the years ended December 31, 2020 and 2019, has been derived from our audited consolidated financial statements and the related notes thereto, which are included elsewhere in this prospectus. Our consolidated financial data has been prepared in accordance with IFRS as issued by the IASB.</w:t>
      </w:r>
    </w:p>
    <w:p>
      <w:pPr>
        <w:spacing w:after="0" w:line="128"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The summary of historical financial data presented below is not necessarily indicative of the financial results expected for any future periods. The summary of historical financial data below does not contain all the information included in our financial statements. You should read this information in conjunction with “Management’s Discussion and Analysis of Financial Condition and Results of Operations” and our financial statements and the related notes thereto, each included elsewhere in this prospectus.</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Statement of Income (Loss) and Statement of Comprehensive Income (Loss)</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10"/>
          </w:tcPr>
          <w:p>
            <w:pPr>
              <w:jc w:val="right"/>
              <w:ind w:right="300"/>
              <w:spacing w:after="0"/>
              <w:rPr>
                <w:sz w:val="20"/>
                <w:szCs w:val="20"/>
                <w:color w:val="auto"/>
              </w:rPr>
            </w:pPr>
            <w:r>
              <w:rPr>
                <w:rFonts w:ascii="Arial" w:cs="Arial" w:eastAsia="Arial" w:hAnsi="Arial"/>
                <w:sz w:val="10"/>
                <w:szCs w:val="10"/>
                <w:b w:val="1"/>
                <w:bCs w:val="1"/>
                <w:color w:val="auto"/>
                <w:w w:val="98"/>
              </w:rPr>
              <w:t>For the six months ended June 30,</w:t>
            </w:r>
          </w:p>
        </w:tc>
        <w:tc>
          <w:tcPr>
            <w:tcW w:w="3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2"/>
          </w:tcPr>
          <w:p>
            <w:pPr>
              <w:jc w:val="center"/>
              <w:ind w:left="48"/>
              <w:spacing w:after="0" w:line="88" w:lineRule="exact"/>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0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440" w:type="dxa"/>
            <w:vAlign w:val="bottom"/>
            <w:tcBorders>
              <w:right w:val="single" w:sz="8" w:color="auto"/>
            </w:tcBorders>
            <w:gridSpan w:val="6"/>
          </w:tcPr>
          <w:p>
            <w:pPr>
              <w:jc w:val="center"/>
              <w:ind w:right="320"/>
              <w:spacing w:after="0" w:line="114" w:lineRule="exact"/>
              <w:rPr>
                <w:sz w:val="20"/>
                <w:szCs w:val="20"/>
                <w:color w:val="auto"/>
              </w:rPr>
            </w:pPr>
            <w:r>
              <w:rPr>
                <w:rFonts w:ascii="Arial" w:cs="Arial" w:eastAsia="Arial" w:hAnsi="Arial"/>
                <w:sz w:val="10"/>
                <w:szCs w:val="10"/>
                <w:b w:val="1"/>
                <w:bCs w:val="1"/>
                <w:color w:val="auto"/>
                <w:w w:val="82"/>
              </w:rPr>
              <w:t>(in € thousands)</w:t>
            </w:r>
          </w:p>
        </w:tc>
        <w:tc>
          <w:tcPr>
            <w:tcW w:w="40" w:type="dxa"/>
            <w:vAlign w:val="bottom"/>
          </w:tcPr>
          <w:p>
            <w:pPr>
              <w:spacing w:after="0"/>
              <w:rPr>
                <w:sz w:val="9"/>
                <w:szCs w:val="9"/>
                <w:color w:val="auto"/>
              </w:rPr>
            </w:pPr>
          </w:p>
        </w:tc>
        <w:tc>
          <w:tcPr>
            <w:tcW w:w="1400" w:type="dxa"/>
            <w:vAlign w:val="bottom"/>
            <w:gridSpan w:val="7"/>
          </w:tcPr>
          <w:p>
            <w:pPr>
              <w:jc w:val="center"/>
              <w:ind w:right="160"/>
              <w:spacing w:after="0" w:line="114" w:lineRule="exact"/>
              <w:rPr>
                <w:sz w:val="20"/>
                <w:szCs w:val="20"/>
                <w:color w:val="auto"/>
              </w:rPr>
            </w:pPr>
            <w:r>
              <w:rPr>
                <w:rFonts w:ascii="Arial" w:cs="Arial" w:eastAsia="Arial" w:hAnsi="Arial"/>
                <w:sz w:val="10"/>
                <w:szCs w:val="10"/>
                <w:b w:val="1"/>
                <w:bCs w:val="1"/>
                <w:color w:val="auto"/>
                <w:w w:val="82"/>
              </w:rPr>
              <w:t>(in € thousands)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420" w:type="dxa"/>
            <w:vAlign w:val="bottom"/>
            <w:tcBorders>
              <w:top w:val="single" w:sz="8" w:color="auto"/>
            </w:tcBorders>
            <w:gridSpan w:val="2"/>
          </w:tcPr>
          <w:p>
            <w:pPr>
              <w:jc w:val="right"/>
              <w:ind w:right="158"/>
              <w:spacing w:after="0" w:line="88" w:lineRule="exact"/>
              <w:rPr>
                <w:sz w:val="20"/>
                <w:szCs w:val="20"/>
                <w:color w:val="auto"/>
              </w:rPr>
            </w:pPr>
            <w:r>
              <w:rPr>
                <w:rFonts w:ascii="Arial" w:cs="Arial" w:eastAsia="Arial" w:hAnsi="Arial"/>
                <w:sz w:val="10"/>
                <w:szCs w:val="10"/>
                <w:b w:val="1"/>
                <w:bCs w:val="1"/>
                <w:color w:val="auto"/>
              </w:rPr>
              <w:t>Air</w:t>
            </w:r>
          </w:p>
        </w:tc>
        <w:tc>
          <w:tcPr>
            <w:tcW w:w="400" w:type="dxa"/>
            <w:vAlign w:val="bottom"/>
            <w:tcBorders>
              <w:top w:val="single" w:sz="8" w:color="auto"/>
            </w:tcBorders>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w w:val="88"/>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6"/>
              </w:rPr>
              <w:t>Group</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w w:val="81"/>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1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00" w:type="dxa"/>
            <w:vAlign w:val="bottom"/>
          </w:tcPr>
          <w:p>
            <w:pPr>
              <w:jc w:val="right"/>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230</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24</w:t>
            </w:r>
          </w:p>
        </w:tc>
        <w:tc>
          <w:tcPr>
            <w:tcW w:w="6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247</w:t>
            </w: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271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20" w:type="dxa"/>
            <w:vAlign w:val="bottom"/>
            <w:gridSpan w:val="2"/>
            <w:shd w:val="clear" w:color="auto" w:fill="CCEEFF"/>
          </w:tcPr>
          <w:p>
            <w:pPr>
              <w:jc w:val="right"/>
              <w:ind w:right="38"/>
              <w:spacing w:after="0"/>
              <w:rPr>
                <w:sz w:val="20"/>
                <w:szCs w:val="20"/>
                <w:color w:val="auto"/>
              </w:rPr>
            </w:pPr>
            <w:r>
              <w:rPr>
                <w:rFonts w:ascii="Arial" w:cs="Arial" w:eastAsia="Arial" w:hAnsi="Arial"/>
                <w:sz w:val="11"/>
                <w:szCs w:val="11"/>
                <w:color w:val="auto"/>
              </w:rPr>
              <w:t>(696)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1"/>
              </w:rPr>
              <w:t>(1,826)</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1"/>
              </w:rPr>
              <w:t>(2,522)</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(3,352)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(4,431)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Personnel expenses</w:t>
            </w:r>
          </w:p>
        </w:tc>
        <w:tc>
          <w:tcPr>
            <w:tcW w:w="420" w:type="dxa"/>
            <w:vAlign w:val="bottom"/>
            <w:gridSpan w:val="2"/>
          </w:tcPr>
          <w:p>
            <w:pPr>
              <w:jc w:val="right"/>
              <w:ind w:right="38"/>
              <w:spacing w:after="0"/>
              <w:rPr>
                <w:sz w:val="20"/>
                <w:szCs w:val="20"/>
                <w:color w:val="auto"/>
              </w:rPr>
            </w:pPr>
            <w:r>
              <w:rPr>
                <w:rFonts w:ascii="Arial" w:cs="Arial" w:eastAsia="Arial" w:hAnsi="Arial"/>
                <w:sz w:val="11"/>
                <w:szCs w:val="11"/>
                <w:color w:val="auto"/>
                <w:w w:val="91"/>
              </w:rPr>
              <w:t>(2,763)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(4,840)</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w w:val="91"/>
              </w:rPr>
              <w:t>(7,603)</w:t>
            </w:r>
          </w:p>
        </w:tc>
        <w:tc>
          <w:tcPr>
            <w:tcW w:w="4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520" w:type="dxa"/>
            <w:vAlign w:val="bottom"/>
            <w:gridSpan w:val="3"/>
          </w:tcPr>
          <w:p>
            <w:pPr>
              <w:jc w:val="right"/>
              <w:ind w:right="60"/>
              <w:spacing w:after="0"/>
              <w:rPr>
                <w:sz w:val="20"/>
                <w:szCs w:val="20"/>
                <w:color w:val="auto"/>
              </w:rPr>
            </w:pPr>
            <w:r>
              <w:rPr>
                <w:rFonts w:ascii="Arial" w:cs="Arial" w:eastAsia="Arial" w:hAnsi="Arial"/>
                <w:sz w:val="11"/>
                <w:szCs w:val="11"/>
                <w:color w:val="auto"/>
              </w:rPr>
              <w:t>(7,901)</w:t>
            </w:r>
          </w:p>
        </w:tc>
        <w:tc>
          <w:tcPr>
            <w:tcW w:w="520" w:type="dxa"/>
            <w:vAlign w:val="bottom"/>
            <w:gridSpan w:val="2"/>
          </w:tcPr>
          <w:p>
            <w:pPr>
              <w:jc w:val="right"/>
              <w:ind w:right="20"/>
              <w:spacing w:after="0" w:line="135" w:lineRule="exact"/>
              <w:rPr>
                <w:sz w:val="20"/>
                <w:szCs w:val="20"/>
                <w:color w:val="auto"/>
              </w:rPr>
            </w:pPr>
            <w:r>
              <w:rPr>
                <w:rFonts w:ascii="Arial" w:cs="Arial" w:eastAsia="Arial" w:hAnsi="Arial"/>
                <w:sz w:val="9"/>
                <w:szCs w:val="9"/>
                <w:color w:val="auto"/>
              </w:rPr>
              <w:t>(10,812)</w:t>
            </w:r>
            <w:r>
              <w:rPr>
                <w:rFonts w:ascii="Arial" w:cs="Arial" w:eastAsia="Arial" w:hAnsi="Arial"/>
                <w:sz w:val="15"/>
                <w:szCs w:val="15"/>
                <w:color w:val="auto"/>
                <w:vertAlign w:val="superscript"/>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w w:val="92"/>
              </w:rPr>
              <w:t>Depreciation, amortization and impairment of other intangible assets and property, plant, and</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1"/>
                <w:szCs w:val="11"/>
                <w:color w:val="auto"/>
              </w:rPr>
              <w:t>equipment</w:t>
            </w:r>
          </w:p>
        </w:tc>
        <w:tc>
          <w:tcPr>
            <w:tcW w:w="420" w:type="dxa"/>
            <w:vAlign w:val="bottom"/>
            <w:gridSpan w:val="2"/>
            <w:shd w:val="clear" w:color="auto" w:fill="CCEEFF"/>
          </w:tcPr>
          <w:p>
            <w:pPr>
              <w:jc w:val="right"/>
              <w:ind w:right="38"/>
              <w:spacing w:after="0"/>
              <w:rPr>
                <w:sz w:val="20"/>
                <w:szCs w:val="20"/>
                <w:color w:val="auto"/>
              </w:rPr>
            </w:pPr>
            <w:r>
              <w:rPr>
                <w:rFonts w:ascii="Arial" w:cs="Arial" w:eastAsia="Arial" w:hAnsi="Arial"/>
                <w:sz w:val="11"/>
                <w:szCs w:val="11"/>
                <w:color w:val="auto"/>
              </w:rPr>
              <w:t>(384)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(430)</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(1,434)</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(1,916)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Other operating expenses</w:t>
            </w:r>
          </w:p>
        </w:tc>
        <w:tc>
          <w:tcPr>
            <w:tcW w:w="420" w:type="dxa"/>
            <w:vAlign w:val="bottom"/>
            <w:gridSpan w:val="2"/>
          </w:tcPr>
          <w:p>
            <w:pPr>
              <w:jc w:val="right"/>
              <w:ind w:right="38"/>
              <w:spacing w:after="0"/>
              <w:rPr>
                <w:sz w:val="20"/>
                <w:szCs w:val="20"/>
                <w:color w:val="auto"/>
              </w:rPr>
            </w:pPr>
            <w:r>
              <w:rPr>
                <w:rFonts w:ascii="Arial" w:cs="Arial" w:eastAsia="Arial" w:hAnsi="Arial"/>
                <w:sz w:val="11"/>
                <w:szCs w:val="11"/>
                <w:color w:val="auto"/>
              </w:rPr>
              <w:t>(627)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(1,409)</w:t>
            </w:r>
          </w:p>
        </w:tc>
        <w:tc>
          <w:tcPr>
            <w:tcW w:w="62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9"/>
                <w:szCs w:val="9"/>
                <w:color w:val="auto"/>
              </w:rPr>
              <w:t>(2,147)</w:t>
            </w:r>
            <w:r>
              <w:rPr>
                <w:rFonts w:ascii="Arial" w:cs="Arial" w:eastAsia="Arial" w:hAnsi="Arial"/>
                <w:sz w:val="15"/>
                <w:szCs w:val="15"/>
                <w:color w:val="auto"/>
                <w:vertAlign w:val="superscript"/>
              </w:rPr>
              <w:t>(2)</w:t>
            </w:r>
          </w:p>
        </w:tc>
        <w:tc>
          <w:tcPr>
            <w:tcW w:w="4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520" w:type="dxa"/>
            <w:vAlign w:val="bottom"/>
            <w:gridSpan w:val="3"/>
          </w:tcPr>
          <w:p>
            <w:pPr>
              <w:jc w:val="right"/>
              <w:ind w:right="60"/>
              <w:spacing w:after="0"/>
              <w:rPr>
                <w:sz w:val="20"/>
                <w:szCs w:val="20"/>
                <w:color w:val="auto"/>
              </w:rPr>
            </w:pPr>
            <w:r>
              <w:rPr>
                <w:rFonts w:ascii="Arial" w:cs="Arial" w:eastAsia="Arial" w:hAnsi="Arial"/>
                <w:sz w:val="11"/>
                <w:szCs w:val="11"/>
                <w:color w:val="auto"/>
              </w:rPr>
              <w:t>(3,236)</w:t>
            </w:r>
          </w:p>
        </w:tc>
        <w:tc>
          <w:tcPr>
            <w:tcW w:w="520" w:type="dxa"/>
            <w:vAlign w:val="bottom"/>
            <w:gridSpan w:val="2"/>
          </w:tcPr>
          <w:p>
            <w:pPr>
              <w:jc w:val="right"/>
              <w:ind w:right="20"/>
              <w:spacing w:after="0" w:line="135" w:lineRule="exact"/>
              <w:rPr>
                <w:sz w:val="20"/>
                <w:szCs w:val="20"/>
                <w:color w:val="auto"/>
              </w:rPr>
            </w:pPr>
            <w:r>
              <w:rPr>
                <w:rFonts w:ascii="Arial" w:cs="Arial" w:eastAsia="Arial" w:hAnsi="Arial"/>
                <w:sz w:val="9"/>
                <w:szCs w:val="9"/>
                <w:color w:val="auto"/>
              </w:rPr>
              <w:t>(4,160)</w:t>
            </w:r>
            <w:r>
              <w:rPr>
                <w:rFonts w:ascii="Arial" w:cs="Arial" w:eastAsia="Arial" w:hAnsi="Arial"/>
                <w:sz w:val="15"/>
                <w:szCs w:val="15"/>
                <w:color w:val="auto"/>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568</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988</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Own work capitalized</w:t>
            </w:r>
          </w:p>
        </w:tc>
        <w:tc>
          <w:tcPr>
            <w:tcW w:w="300" w:type="dxa"/>
            <w:vAlign w:val="bottom"/>
          </w:tcPr>
          <w:p>
            <w:pPr>
              <w:jc w:val="right"/>
              <w:spacing w:after="0"/>
              <w:rPr>
                <w:sz w:val="20"/>
                <w:szCs w:val="20"/>
                <w:color w:val="auto"/>
              </w:rPr>
            </w:pPr>
            <w:r>
              <w:rPr>
                <w:rFonts w:ascii="Arial" w:cs="Arial" w:eastAsia="Arial" w:hAnsi="Arial"/>
                <w:sz w:val="11"/>
                <w:szCs w:val="11"/>
                <w:color w:val="auto"/>
              </w:rPr>
              <w:t>1,422</w:t>
            </w:r>
          </w:p>
        </w:tc>
        <w:tc>
          <w:tcPr>
            <w:tcW w:w="1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3,330</w:t>
            </w:r>
          </w:p>
        </w:tc>
        <w:tc>
          <w:tcPr>
            <w:tcW w:w="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4,752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0</w:t>
            </w:r>
          </w:p>
        </w:tc>
        <w:tc>
          <w:tcPr>
            <w:tcW w:w="6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2,471</w:t>
            </w: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2,471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20" w:type="dxa"/>
            <w:vAlign w:val="bottom"/>
            <w:gridSpan w:val="2"/>
            <w:shd w:val="clear" w:color="auto" w:fill="CCEEFF"/>
          </w:tcPr>
          <w:p>
            <w:pPr>
              <w:jc w:val="right"/>
              <w:ind w:right="38"/>
              <w:spacing w:after="0"/>
              <w:rPr>
                <w:sz w:val="20"/>
                <w:szCs w:val="20"/>
                <w:color w:val="auto"/>
              </w:rPr>
            </w:pPr>
            <w:r>
              <w:rPr>
                <w:rFonts w:ascii="Arial" w:cs="Arial" w:eastAsia="Arial" w:hAnsi="Arial"/>
                <w:sz w:val="11"/>
                <w:szCs w:val="11"/>
                <w:b w:val="1"/>
                <w:bCs w:val="1"/>
                <w:color w:val="auto"/>
                <w:w w:val="91"/>
              </w:rPr>
              <w:t>(2,219)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1"/>
              </w:rPr>
              <w:t>(4,944)</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(7,274)</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(11,288)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w w:val="92"/>
              </w:rPr>
              <w:t>(16,240)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300" w:type="dxa"/>
            <w:vAlign w:val="bottom"/>
          </w:tcPr>
          <w:p>
            <w:pPr>
              <w:jc w:val="right"/>
              <w:spacing w:after="0"/>
              <w:rPr>
                <w:sz w:val="20"/>
                <w:szCs w:val="20"/>
                <w:color w:val="auto"/>
              </w:rPr>
            </w:pPr>
            <w:r>
              <w:rPr>
                <w:rFonts w:ascii="Arial" w:cs="Arial" w:eastAsia="Arial" w:hAnsi="Arial"/>
                <w:sz w:val="11"/>
                <w:szCs w:val="11"/>
                <w:color w:val="auto"/>
              </w:rPr>
              <w:t>17</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163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(7,293</w:t>
            </w:r>
            <w:r>
              <w:rPr>
                <w:rFonts w:ascii="Arial" w:cs="Arial" w:eastAsia="Arial" w:hAnsi="Arial"/>
                <w:sz w:val="11"/>
                <w:szCs w:val="11"/>
                <w:color w:val="auto"/>
                <w:w w:val="91"/>
              </w:rPr>
              <w:t>)</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w w:val="92"/>
              </w:rPr>
              <w:t>(16,077</w:t>
            </w:r>
            <w:r>
              <w:rPr>
                <w:rFonts w:ascii="Arial" w:cs="Arial" w:eastAsia="Arial" w:hAnsi="Arial"/>
                <w:sz w:val="11"/>
                <w:szCs w:val="11"/>
                <w:color w:val="auto"/>
                <w:w w:val="92"/>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(7,293</w:t>
            </w:r>
            <w:r>
              <w:rPr>
                <w:rFonts w:ascii="Arial" w:cs="Arial" w:eastAsia="Arial" w:hAnsi="Arial"/>
                <w:sz w:val="11"/>
                <w:szCs w:val="11"/>
                <w:color w:val="auto"/>
                <w:w w:val="91"/>
              </w:rPr>
              <w:t>)</w:t>
            </w: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2"/>
              </w:rPr>
              <w:t>(16,077</w:t>
            </w:r>
            <w:r>
              <w:rPr>
                <w:rFonts w:ascii="Arial" w:cs="Arial" w:eastAsia="Arial" w:hAnsi="Arial"/>
                <w:sz w:val="11"/>
                <w:szCs w:val="11"/>
                <w:color w:val="auto"/>
                <w:w w:val="92"/>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300" w:type="dxa"/>
            <w:vAlign w:val="bottom"/>
          </w:tcPr>
          <w:p>
            <w:pPr>
              <w:jc w:val="right"/>
              <w:spacing w:after="0"/>
              <w:rPr>
                <w:sz w:val="20"/>
                <w:szCs w:val="20"/>
                <w:color w:val="auto"/>
              </w:rPr>
            </w:pPr>
            <w:r>
              <w:rPr>
                <w:rFonts w:ascii="Arial" w:cs="Arial" w:eastAsia="Arial" w:hAnsi="Arial"/>
                <w:sz w:val="11"/>
                <w:szCs w:val="11"/>
                <w:color w:val="auto"/>
              </w:rPr>
              <w:t>22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(138)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(7,271)</w:t>
            </w:r>
          </w:p>
        </w:tc>
        <w:tc>
          <w:tcPr>
            <w:tcW w:w="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2"/>
              </w:rPr>
              <w:t>(16,215)</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4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20"/>
                <w:szCs w:val="20"/>
                <w:color w:val="auto"/>
              </w:rPr>
            </w:pPr>
            <w:r>
              <w:rPr>
                <w:rFonts w:ascii="Arial" w:cs="Arial" w:eastAsia="Arial" w:hAnsi="Arial"/>
                <w:sz w:val="11"/>
                <w:szCs w:val="11"/>
                <w:color w:val="auto"/>
              </w:rPr>
              <w:t>Basic loss per share in EUR</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rPr>
              <w:t>(2.33)</w:t>
            </w: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Diluted loss per share in EUR</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(2.33)</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(4)</w:t>
            </w:r>
          </w:p>
        </w:tc>
        <w:tc>
          <w:tcPr>
            <w:tcW w:w="420" w:type="dxa"/>
            <w:vAlign w:val="bottom"/>
            <w:gridSpan w:val="2"/>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rPr>
              <w:t>(2.33)</w:t>
            </w:r>
          </w:p>
        </w:tc>
        <w:tc>
          <w:tcPr>
            <w:tcW w:w="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(4)</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(2.33)</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380" w:right="1439" w:hanging="286"/>
        <w:spacing w:after="0" w:line="268" w:lineRule="auto"/>
        <w:tabs>
          <w:tab w:leader="none" w:pos="2380" w:val="left"/>
        </w:tabs>
        <w:numPr>
          <w:ilvl w:val="0"/>
          <w:numId w:val="16"/>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“Management—Compensation of Management Board and Supervisory Board Members—Compensation of Management Board Member.”</w:t>
      </w:r>
    </w:p>
    <w:p>
      <w:pPr>
        <w:ind w:left="2380" w:right="99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ind w:left="2380" w:hanging="286"/>
        <w:spacing w:after="0" w:line="23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159"/>
          </w:cols>
          <w:pgMar w:left="30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270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70425" cy="4270375"/>
                    </a:xfrm>
                    <a:prstGeom prst="rect">
                      <a:avLst/>
                    </a:prstGeom>
                    <a:noFill/>
                  </pic:spPr>
                </pic:pic>
              </a:graphicData>
            </a:graphic>
          </wp:anchor>
        </w:drawing>
      </w:r>
    </w:p>
    <w:p>
      <w:pPr>
        <w:spacing w:after="0" w:line="30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0"/>
                <w:szCs w:val="10"/>
                <w:b w:val="1"/>
                <w:bCs w:val="1"/>
                <w:color w:val="auto"/>
                <w:w w:val="85"/>
              </w:rPr>
              <w:t>For the year ended December 31,</w:t>
            </w: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0"/>
              </w:rPr>
              <w:t>2019</w:t>
            </w: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180" w:type="dxa"/>
            <w:vAlign w:val="bottom"/>
            <w:tcBorders>
              <w:bottom w:val="single" w:sz="8" w:color="auto"/>
            </w:tcBorders>
            <w:gridSpan w:val="6"/>
          </w:tcPr>
          <w:p>
            <w:pPr>
              <w:jc w:val="center"/>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4"/>
          </w:tcPr>
          <w:p>
            <w:pPr>
              <w:jc w:val="right"/>
              <w:ind w:right="287"/>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40" w:type="dxa"/>
            <w:vAlign w:val="bottom"/>
            <w:gridSpan w:val="2"/>
          </w:tcPr>
          <w:p>
            <w:pPr>
              <w:jc w:val="center"/>
              <w:ind w:right="60"/>
              <w:spacing w:after="0" w:line="88" w:lineRule="exact"/>
              <w:rPr>
                <w:sz w:val="20"/>
                <w:szCs w:val="20"/>
                <w:color w:val="auto"/>
              </w:rPr>
            </w:pPr>
            <w:r>
              <w:rPr>
                <w:rFonts w:ascii="Arial" w:cs="Arial" w:eastAsia="Arial" w:hAnsi="Arial"/>
                <w:sz w:val="10"/>
                <w:szCs w:val="10"/>
                <w:b w:val="1"/>
                <w:bCs w:val="1"/>
                <w:color w:val="auto"/>
                <w:w w:val="81"/>
              </w:rPr>
              <w:t>Space</w:t>
            </w:r>
          </w:p>
        </w:tc>
        <w:tc>
          <w:tcPr>
            <w:tcW w:w="4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rPr>
              <w:t>Air</w:t>
            </w:r>
          </w:p>
        </w:tc>
        <w:tc>
          <w:tcPr>
            <w:tcW w:w="10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10"/>
                <w:szCs w:val="10"/>
                <w:b w:val="1"/>
                <w:bCs w:val="1"/>
                <w:color w:val="auto"/>
                <w:w w:val="94"/>
              </w:rPr>
              <w:t>Space</w:t>
            </w:r>
          </w:p>
        </w:tc>
        <w:tc>
          <w:tcPr>
            <w:tcW w:w="440" w:type="dxa"/>
            <w:vAlign w:val="bottom"/>
          </w:tcPr>
          <w:p>
            <w:pPr>
              <w:jc w:val="right"/>
              <w:ind w:right="27"/>
              <w:spacing w:after="0" w:line="88" w:lineRule="exact"/>
              <w:rPr>
                <w:sz w:val="20"/>
                <w:szCs w:val="20"/>
                <w:color w:val="auto"/>
              </w:rPr>
            </w:pPr>
            <w:r>
              <w:rPr>
                <w:rFonts w:ascii="Arial" w:cs="Arial" w:eastAsia="Arial" w:hAnsi="Arial"/>
                <w:sz w:val="10"/>
                <w:szCs w:val="10"/>
                <w:b w:val="1"/>
                <w:bCs w:val="1"/>
                <w:color w:val="auto"/>
              </w:rPr>
              <w:t>Group</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00" w:type="dxa"/>
            <w:vAlign w:val="bottom"/>
          </w:tcPr>
          <w:p>
            <w:pPr>
              <w:jc w:val="right"/>
              <w:spacing w:after="0"/>
              <w:rPr>
                <w:sz w:val="20"/>
                <w:szCs w:val="20"/>
                <w:color w:val="auto"/>
              </w:rPr>
            </w:pPr>
            <w:r>
              <w:rPr>
                <w:rFonts w:ascii="Arial" w:cs="Arial" w:eastAsia="Arial" w:hAnsi="Arial"/>
                <w:sz w:val="11"/>
                <w:szCs w:val="11"/>
                <w:color w:val="auto"/>
              </w:rPr>
              <w:t>105</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147</w:t>
            </w:r>
          </w:p>
        </w:tc>
        <w:tc>
          <w:tcPr>
            <w:tcW w:w="4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252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74</w:t>
            </w:r>
          </w:p>
        </w:tc>
        <w:tc>
          <w:tcPr>
            <w:tcW w:w="4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(1,864)</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(2,290)</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(6,221)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w w:val="91"/>
              </w:rPr>
              <w:t>(4,585)</w:t>
            </w:r>
          </w:p>
        </w:tc>
        <w:tc>
          <w:tcPr>
            <w:tcW w:w="72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(1)</w:t>
            </w:r>
          </w:p>
        </w:tc>
        <w:tc>
          <w:tcPr>
            <w:tcW w:w="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w w:val="91"/>
              </w:rPr>
              <w:t>(4,923)</w:t>
            </w:r>
          </w:p>
        </w:tc>
        <w:tc>
          <w:tcPr>
            <w:tcW w:w="580" w:type="dxa"/>
            <w:vAlign w:val="bottom"/>
            <w:gridSpan w:val="3"/>
          </w:tcPr>
          <w:p>
            <w:pPr>
              <w:jc w:val="right"/>
              <w:ind w:right="100"/>
              <w:spacing w:after="0"/>
              <w:rPr>
                <w:sz w:val="20"/>
                <w:szCs w:val="20"/>
                <w:color w:val="auto"/>
              </w:rPr>
            </w:pPr>
            <w:r>
              <w:rPr>
                <w:rFonts w:ascii="Arial" w:cs="Arial" w:eastAsia="Arial" w:hAnsi="Arial"/>
                <w:sz w:val="11"/>
                <w:szCs w:val="11"/>
                <w:color w:val="auto"/>
              </w:rPr>
              <w:t>(11,911)</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(16,834)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w w:val="90"/>
              </w:rPr>
              <w:t>Depreciation, amortization and impairment of other intangible assets and property, plant, and</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00" w:type="dxa"/>
            <w:vAlign w:val="bottom"/>
            <w:shd w:val="clear" w:color="auto" w:fill="CCEEFF"/>
          </w:tcPr>
          <w:p>
            <w:pPr>
              <w:ind w:left="80"/>
              <w:spacing w:after="0"/>
              <w:rPr>
                <w:sz w:val="20"/>
                <w:szCs w:val="20"/>
                <w:color w:val="auto"/>
              </w:rPr>
            </w:pPr>
            <w:r>
              <w:rPr>
                <w:rFonts w:ascii="Arial" w:cs="Arial" w:eastAsia="Arial" w:hAnsi="Arial"/>
                <w:sz w:val="11"/>
                <w:szCs w:val="11"/>
                <w:color w:val="auto"/>
              </w:rPr>
              <w:t>equipment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(616)</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(666)</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w w:val="91"/>
              </w:rPr>
              <w:t>(1,556)</w:t>
            </w:r>
          </w:p>
        </w:tc>
        <w:tc>
          <w:tcPr>
            <w:tcW w:w="72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(2)</w:t>
            </w:r>
          </w:p>
        </w:tc>
        <w:tc>
          <w:tcPr>
            <w:tcW w:w="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w w:val="91"/>
              </w:rPr>
              <w:t>(1,320)</w:t>
            </w:r>
          </w:p>
        </w:tc>
        <w:tc>
          <w:tcPr>
            <w:tcW w:w="580" w:type="dxa"/>
            <w:vAlign w:val="bottom"/>
            <w:gridSpan w:val="3"/>
          </w:tcPr>
          <w:p>
            <w:pPr>
              <w:jc w:val="right"/>
              <w:ind w:right="100"/>
              <w:spacing w:after="0"/>
              <w:rPr>
                <w:sz w:val="20"/>
                <w:szCs w:val="20"/>
                <w:color w:val="auto"/>
              </w:rPr>
            </w:pPr>
            <w:r>
              <w:rPr>
                <w:rFonts w:ascii="Arial" w:cs="Arial" w:eastAsia="Arial" w:hAnsi="Arial"/>
                <w:sz w:val="11"/>
                <w:szCs w:val="11"/>
                <w:color w:val="auto"/>
              </w:rPr>
              <w:t>(3,581)</w:t>
            </w:r>
          </w:p>
        </w:tc>
        <w:tc>
          <w:tcPr>
            <w:tcW w:w="500" w:type="dxa"/>
            <w:vAlign w:val="bottom"/>
            <w:gridSpan w:val="2"/>
          </w:tcPr>
          <w:p>
            <w:pPr>
              <w:jc w:val="right"/>
              <w:ind w:right="6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272</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626</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Own work capitalized</w:t>
            </w:r>
          </w:p>
        </w:tc>
        <w:tc>
          <w:tcPr>
            <w:tcW w:w="300" w:type="dxa"/>
            <w:vAlign w:val="bottom"/>
          </w:tcPr>
          <w:p>
            <w:pPr>
              <w:jc w:val="right"/>
              <w:spacing w:after="0"/>
              <w:rPr>
                <w:sz w:val="20"/>
                <w:szCs w:val="20"/>
                <w:color w:val="auto"/>
              </w:rPr>
            </w:pPr>
            <w:r>
              <w:rPr>
                <w:rFonts w:ascii="Arial" w:cs="Arial" w:eastAsia="Arial" w:hAnsi="Arial"/>
                <w:sz w:val="11"/>
                <w:szCs w:val="11"/>
                <w:color w:val="auto"/>
              </w:rPr>
              <w:t>2,184</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3,227</w:t>
            </w:r>
          </w:p>
        </w:tc>
        <w:tc>
          <w:tcPr>
            <w:tcW w:w="40" w:type="dxa"/>
            <w:vAlign w:val="bottom"/>
          </w:tcPr>
          <w:p>
            <w:pPr>
              <w:spacing w:after="0"/>
              <w:rPr>
                <w:sz w:val="11"/>
                <w:szCs w:val="11"/>
                <w:color w:val="auto"/>
              </w:rPr>
            </w:pPr>
          </w:p>
        </w:tc>
        <w:tc>
          <w:tcPr>
            <w:tcW w:w="72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5,411</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2,102</w:t>
            </w:r>
          </w:p>
        </w:tc>
        <w:tc>
          <w:tcPr>
            <w:tcW w:w="4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7,273</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9,375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1"/>
              </w:rPr>
              <w:t>(5,091)</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(10,078)</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1"/>
              </w:rPr>
              <w:t>(6,423)</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(12,391)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(19,257)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73</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tcPr>
          <w:p>
            <w:pPr>
              <w:jc w:val="right"/>
              <w:spacing w:after="0"/>
              <w:rPr>
                <w:sz w:val="20"/>
                <w:szCs w:val="20"/>
                <w:color w:val="auto"/>
              </w:rPr>
            </w:pPr>
            <w:r>
              <w:rPr>
                <w:rFonts w:ascii="Arial" w:cs="Arial" w:eastAsia="Arial" w:hAnsi="Arial"/>
                <w:sz w:val="11"/>
                <w:szCs w:val="11"/>
                <w:color w:val="auto"/>
              </w:rPr>
              <w:t>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spacing w:after="0"/>
              <w:rPr>
                <w:sz w:val="20"/>
                <w:szCs w:val="20"/>
                <w:color w:val="auto"/>
              </w:rPr>
            </w:pPr>
            <w:r>
              <w:rPr>
                <w:rFonts w:ascii="Arial" w:cs="Arial" w:eastAsia="Arial" w:hAnsi="Arial"/>
                <w:sz w:val="11"/>
                <w:szCs w:val="11"/>
                <w:b w:val="1"/>
                <w:bCs w:val="1"/>
                <w:color w:val="auto"/>
              </w:rPr>
              <w:t>182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(513)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(19,770)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(19,770)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(43)</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tcPr>
          <w:p>
            <w:pPr>
              <w:jc w:val="right"/>
              <w:spacing w:after="0"/>
              <w:rPr>
                <w:sz w:val="20"/>
                <w:szCs w:val="20"/>
                <w:color w:val="auto"/>
              </w:rPr>
            </w:pPr>
            <w:r>
              <w:rPr>
                <w:rFonts w:ascii="Arial" w:cs="Arial" w:eastAsia="Arial" w:hAnsi="Arial"/>
                <w:sz w:val="11"/>
                <w:szCs w:val="11"/>
                <w:color w:val="auto"/>
              </w:rPr>
              <w:t>367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1"/>
                <w:szCs w:val="11"/>
                <w:b w:val="1"/>
                <w:bCs w:val="1"/>
                <w:color w:val="auto"/>
              </w:rPr>
              <w:t>Total comprehensive income /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(9,939)</w:t>
            </w:r>
          </w:p>
        </w:tc>
        <w:tc>
          <w:tcPr>
            <w:tcW w:w="4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(19,403)</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4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20"/>
                <w:szCs w:val="20"/>
                <w:color w:val="auto"/>
              </w:rPr>
            </w:pPr>
            <w:r>
              <w:rPr>
                <w:rFonts w:ascii="Arial" w:cs="Arial" w:eastAsia="Arial" w:hAnsi="Arial"/>
                <w:sz w:val="11"/>
                <w:szCs w:val="11"/>
                <w:color w:val="auto"/>
              </w:rPr>
              <w:t>Basic loss per share in EUR</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Diluted loss per share in EUR</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(4)</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380" w:right="1179" w:hanging="286"/>
        <w:spacing w:after="0" w:line="214" w:lineRule="auto"/>
        <w:tabs>
          <w:tab w:leader="none" w:pos="23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380" w:right="979" w:hanging="286"/>
        <w:spacing w:after="0" w:line="206" w:lineRule="auto"/>
        <w:tabs>
          <w:tab w:leader="none" w:pos="23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ind w:left="2380" w:hanging="286"/>
        <w:spacing w:after="0" w:line="236" w:lineRule="auto"/>
        <w:tabs>
          <w:tab w:leader="none" w:pos="23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19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Cash Flow Statement Data</w:t>
      </w:r>
    </w:p>
    <w:p>
      <w:pPr>
        <w:spacing w:after="0" w:line="150"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7"/>
              </w:rPr>
              <w:t>For the year</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4520" w:type="dxa"/>
            <w:vAlign w:val="bottom"/>
          </w:tcPr>
          <w:p>
            <w:pPr>
              <w:spacing w:after="0"/>
              <w:rPr>
                <w:sz w:val="9"/>
                <w:szCs w:val="9"/>
                <w:color w:val="auto"/>
              </w:rPr>
            </w:pPr>
          </w:p>
        </w:tc>
        <w:tc>
          <w:tcPr>
            <w:tcW w:w="1440" w:type="dxa"/>
            <w:vAlign w:val="bottom"/>
            <w:gridSpan w:val="3"/>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112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452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2020</w:t>
            </w:r>
          </w:p>
        </w:tc>
        <w:tc>
          <w:tcPr>
            <w:tcW w:w="34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ind w:right="229"/>
              <w:spacing w:after="0" w:line="88" w:lineRule="exact"/>
              <w:rPr>
                <w:sz w:val="20"/>
                <w:szCs w:val="20"/>
                <w:color w:val="auto"/>
              </w:rPr>
            </w:pPr>
            <w:r>
              <w:rPr>
                <w:rFonts w:ascii="Arial" w:cs="Arial" w:eastAsia="Arial" w:hAnsi="Arial"/>
                <w:sz w:val="10"/>
                <w:szCs w:val="10"/>
                <w:b w:val="1"/>
                <w:bCs w:val="1"/>
                <w:color w:val="auto"/>
              </w:rPr>
              <w:t>2020</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7"/>
                <w:szCs w:val="7"/>
                <w:color w:val="auto"/>
              </w:rPr>
            </w:pPr>
          </w:p>
        </w:tc>
      </w:tr>
      <w:tr>
        <w:trPr>
          <w:trHeight w:val="74"/>
        </w:trPr>
        <w:tc>
          <w:tcPr>
            <w:tcW w:w="4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r>
      <w:tr>
        <w:trPr>
          <w:trHeight w:val="122"/>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5"/>
              </w:rPr>
              <w:t>(in € thousands)</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(in € thousands)</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1"/>
                <w:szCs w:val="11"/>
                <w:color w:val="auto"/>
              </w:rPr>
              <w:t>(8,319)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(16,935)</w:t>
            </w:r>
          </w:p>
        </w:tc>
        <w:tc>
          <w:tcPr>
            <w:tcW w:w="54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(7,854)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(18,220)</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(7,167)</w:t>
            </w: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(15,010)</w:t>
            </w: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(6,378)</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(5,972)</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11,466</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66,340</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w w:val="94"/>
              </w:rPr>
              <w:t>12,022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(588)</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(4,020)</w:t>
            </w:r>
          </w:p>
        </w:tc>
        <w:tc>
          <w:tcPr>
            <w:tcW w:w="520" w:type="dxa"/>
            <w:vAlign w:val="bottom"/>
          </w:tcPr>
          <w:p>
            <w:pPr>
              <w:jc w:val="right"/>
              <w:spacing w:after="0"/>
              <w:rPr>
                <w:sz w:val="20"/>
                <w:szCs w:val="20"/>
                <w:color w:val="auto"/>
              </w:rPr>
            </w:pPr>
            <w:r>
              <w:rPr>
                <w:rFonts w:ascii="Arial" w:cs="Arial" w:eastAsia="Arial" w:hAnsi="Arial"/>
                <w:sz w:val="11"/>
                <w:szCs w:val="11"/>
                <w:color w:val="auto"/>
              </w:rPr>
              <w:t>34,395</w:t>
            </w:r>
          </w:p>
        </w:tc>
        <w:tc>
          <w:tcPr>
            <w:tcW w:w="340" w:type="dxa"/>
            <w:vAlign w:val="bottom"/>
          </w:tcPr>
          <w:p>
            <w:pPr>
              <w:spacing w:after="0"/>
              <w:rPr>
                <w:sz w:val="11"/>
                <w:szCs w:val="11"/>
                <w:color w:val="auto"/>
              </w:rPr>
            </w:pP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(2,210)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(24,780)</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12,923</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8,914</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8,914</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43,198</w:t>
            </w:r>
          </w:p>
        </w:tc>
        <w:tc>
          <w:tcPr>
            <w:tcW w:w="60" w:type="dxa"/>
            <w:vAlign w:val="bottom"/>
            <w:shd w:val="clear" w:color="auto" w:fill="CCEEFF"/>
          </w:tcPr>
          <w:p>
            <w:pPr>
              <w:spacing w:after="0"/>
              <w:rPr>
                <w:sz w:val="11"/>
                <w:szCs w:val="11"/>
                <w:color w:val="auto"/>
              </w:rPr>
            </w:pPr>
          </w:p>
        </w:tc>
      </w:tr>
      <w:tr>
        <w:trPr>
          <w:trHeight w:val="136"/>
        </w:trPr>
        <w:tc>
          <w:tcPr>
            <w:tcW w:w="452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580" w:type="dxa"/>
            <w:vAlign w:val="bottom"/>
          </w:tcPr>
          <w:p>
            <w:pPr>
              <w:jc w:val="right"/>
              <w:ind w:right="168"/>
              <w:spacing w:after="0"/>
              <w:rPr>
                <w:sz w:val="20"/>
                <w:szCs w:val="20"/>
                <w:color w:val="auto"/>
              </w:rPr>
            </w:pPr>
            <w:r>
              <w:rPr>
                <w:rFonts w:ascii="Arial" w:cs="Arial" w:eastAsia="Arial" w:hAnsi="Arial"/>
                <w:sz w:val="11"/>
                <w:szCs w:val="11"/>
                <w:color w:val="auto"/>
              </w:rPr>
              <w:t>8,914</w:t>
            </w:r>
          </w:p>
        </w:tc>
        <w:tc>
          <w:tcPr>
            <w:tcW w:w="520" w:type="dxa"/>
            <w:vAlign w:val="bottom"/>
          </w:tcPr>
          <w:p>
            <w:pPr>
              <w:jc w:val="right"/>
              <w:spacing w:after="0"/>
              <w:rPr>
                <w:sz w:val="20"/>
                <w:szCs w:val="20"/>
                <w:color w:val="auto"/>
              </w:rPr>
            </w:pPr>
            <w:r>
              <w:rPr>
                <w:rFonts w:ascii="Arial" w:cs="Arial" w:eastAsia="Arial" w:hAnsi="Arial"/>
                <w:sz w:val="11"/>
                <w:szCs w:val="11"/>
                <w:color w:val="auto"/>
              </w:rPr>
              <w:t>43,198</w:t>
            </w:r>
          </w:p>
        </w:tc>
        <w:tc>
          <w:tcPr>
            <w:tcW w:w="340" w:type="dxa"/>
            <w:vAlign w:val="bottom"/>
          </w:tcPr>
          <w:p>
            <w:pPr>
              <w:spacing w:after="0"/>
              <w:rPr>
                <w:sz w:val="11"/>
                <w:szCs w:val="11"/>
                <w:color w:val="auto"/>
              </w:rPr>
            </w:pPr>
          </w:p>
        </w:tc>
        <w:tc>
          <w:tcPr>
            <w:tcW w:w="540" w:type="dxa"/>
            <w:vAlign w:val="bottom"/>
          </w:tcPr>
          <w:p>
            <w:pPr>
              <w:jc w:val="right"/>
              <w:ind w:right="149"/>
              <w:spacing w:after="0"/>
              <w:rPr>
                <w:sz w:val="20"/>
                <w:szCs w:val="20"/>
                <w:color w:val="auto"/>
              </w:rPr>
            </w:pPr>
            <w:r>
              <w:rPr>
                <w:rFonts w:ascii="Arial" w:cs="Arial" w:eastAsia="Arial" w:hAnsi="Arial"/>
                <w:sz w:val="11"/>
                <w:szCs w:val="11"/>
                <w:color w:val="auto"/>
              </w:rPr>
              <w:t>6,700</w:t>
            </w:r>
          </w:p>
        </w:tc>
        <w:tc>
          <w:tcPr>
            <w:tcW w:w="520" w:type="dxa"/>
            <w:vAlign w:val="bottom"/>
          </w:tcPr>
          <w:p>
            <w:pPr>
              <w:jc w:val="right"/>
              <w:spacing w:after="0"/>
              <w:rPr>
                <w:sz w:val="20"/>
                <w:szCs w:val="20"/>
                <w:color w:val="auto"/>
              </w:rPr>
            </w:pPr>
            <w:r>
              <w:rPr>
                <w:rFonts w:ascii="Arial" w:cs="Arial" w:eastAsia="Arial" w:hAnsi="Arial"/>
                <w:sz w:val="11"/>
                <w:szCs w:val="11"/>
                <w:color w:val="auto"/>
              </w:rPr>
              <w:t>18,444</w:t>
            </w:r>
          </w:p>
        </w:tc>
        <w:tc>
          <w:tcPr>
            <w:tcW w:w="60" w:type="dxa"/>
            <w:vAlign w:val="bottom"/>
          </w:tcPr>
          <w:p>
            <w:pPr>
              <w:spacing w:after="0"/>
              <w:rPr>
                <w:sz w:val="11"/>
                <w:szCs w:val="11"/>
                <w:color w:val="auto"/>
              </w:rPr>
            </w:pPr>
          </w:p>
        </w:tc>
      </w:tr>
    </w:tbl>
    <w:p>
      <w:pPr>
        <w:spacing w:after="0" w:line="2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0159"/>
          </w:cols>
          <w:pgMar w:left="30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1087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70425" cy="1087120"/>
                    </a:xfrm>
                    <a:prstGeom prst="rect">
                      <a:avLst/>
                    </a:prstGeom>
                    <a:noFill/>
                  </pic:spPr>
                </pic:pic>
              </a:graphicData>
            </a:graphic>
          </wp:anchor>
        </w:drawing>
      </w:r>
    </w:p>
    <w:p>
      <w:pPr>
        <w:spacing w:after="0" w:line="308"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Balance Sheet Data</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3"/>
              </w:rPr>
              <w:t>As of December 31,</w:t>
            </w:r>
          </w:p>
        </w:tc>
        <w:tc>
          <w:tcPr>
            <w:tcW w:w="6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5"/>
              </w:rPr>
              <w:t>As of June 30,</w:t>
            </w:r>
          </w:p>
        </w:tc>
      </w:tr>
      <w:tr>
        <w:trPr>
          <w:trHeight w:val="88"/>
        </w:trPr>
        <w:tc>
          <w:tcPr>
            <w:tcW w:w="498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0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2021</w:t>
            </w:r>
          </w:p>
        </w:tc>
        <w:tc>
          <w:tcPr>
            <w:tcW w:w="20" w:type="dxa"/>
            <w:vAlign w:val="bottom"/>
          </w:tcPr>
          <w:p>
            <w:pPr>
              <w:spacing w:after="0"/>
              <w:rPr>
                <w:sz w:val="7"/>
                <w:szCs w:val="7"/>
                <w:color w:val="auto"/>
              </w:rPr>
            </w:pPr>
          </w:p>
        </w:tc>
      </w:tr>
      <w:tr>
        <w:trPr>
          <w:trHeight w:val="74"/>
        </w:trPr>
        <w:tc>
          <w:tcPr>
            <w:tcW w:w="4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20" w:type="dxa"/>
            <w:vAlign w:val="bottom"/>
          </w:tcPr>
          <w:p>
            <w:pPr>
              <w:spacing w:after="0"/>
              <w:rPr>
                <w:sz w:val="6"/>
                <w:szCs w:val="6"/>
                <w:color w:val="auto"/>
              </w:rPr>
            </w:pPr>
          </w:p>
        </w:tc>
      </w:tr>
      <w:tr>
        <w:trPr>
          <w:trHeight w:val="122"/>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5"/>
              </w:rPr>
              <w:t>(in € thousands)</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82"/>
              </w:rPr>
              <w:t>(in € thousands)</w:t>
            </w: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non-current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19,626</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36,260</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40,823</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current assets</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11,949</w:t>
            </w:r>
          </w:p>
        </w:tc>
        <w:tc>
          <w:tcPr>
            <w:tcW w:w="500" w:type="dxa"/>
            <w:vAlign w:val="bottom"/>
          </w:tcPr>
          <w:p>
            <w:pPr>
              <w:jc w:val="right"/>
              <w:spacing w:after="0"/>
              <w:rPr>
                <w:sz w:val="20"/>
                <w:szCs w:val="20"/>
                <w:color w:val="auto"/>
              </w:rPr>
            </w:pPr>
            <w:r>
              <w:rPr>
                <w:rFonts w:ascii="Arial" w:cs="Arial" w:eastAsia="Arial" w:hAnsi="Arial"/>
                <w:sz w:val="11"/>
                <w:szCs w:val="11"/>
                <w:color w:val="auto"/>
              </w:rPr>
              <w:t>50,316</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31,264</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31,575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86,576</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72,087</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equity</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21,740</w:t>
            </w:r>
          </w:p>
        </w:tc>
        <w:tc>
          <w:tcPr>
            <w:tcW w:w="500" w:type="dxa"/>
            <w:vAlign w:val="bottom"/>
          </w:tcPr>
          <w:p>
            <w:pPr>
              <w:jc w:val="right"/>
              <w:spacing w:after="0"/>
              <w:rPr>
                <w:sz w:val="20"/>
                <w:szCs w:val="20"/>
                <w:color w:val="auto"/>
              </w:rPr>
            </w:pPr>
            <w:r>
              <w:rPr>
                <w:rFonts w:ascii="Arial" w:cs="Arial" w:eastAsia="Arial" w:hAnsi="Arial"/>
                <w:sz w:val="11"/>
                <w:szCs w:val="11"/>
                <w:color w:val="auto"/>
              </w:rPr>
              <w:t>70,708</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54,771</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liabilities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9,835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15,868</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17,316</w:t>
            </w:r>
          </w:p>
        </w:tc>
        <w:tc>
          <w:tcPr>
            <w:tcW w:w="20" w:type="dxa"/>
            <w:vAlign w:val="bottom"/>
            <w:shd w:val="clear" w:color="auto" w:fill="CCEEFF"/>
          </w:tcPr>
          <w:p>
            <w:pPr>
              <w:spacing w:after="0"/>
              <w:rPr>
                <w:sz w:val="11"/>
                <w:szCs w:val="11"/>
                <w:color w:val="auto"/>
              </w:rPr>
            </w:pPr>
          </w:p>
        </w:tc>
      </w:tr>
    </w:tbl>
    <w:p>
      <w:pPr>
        <w:spacing w:after="0" w:line="26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159"/>
          </w:cols>
          <w:pgMar w:left="30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i w:val="1"/>
          <w:iCs w:val="1"/>
          <w:color w:val="auto"/>
        </w:rPr>
        <w:t>An investment in our ADSs involves a high degree of risk. You should carefully consider the risks and uncertainties described below, together with all of the other information in this prospectus, including “Management’s Discussion and Analysis of Financial Condition and Results of Operations” and our consolidated financial statements and related notes, before deciding to invest in our ADSs. Additional risks not known to us or that we currently deem immaterial may also impair our business operations. Our business, financial condition or results of operations could be materially and adversely affected by any of these risks. The trading price and value of our ADSs could decline due to any of these risks, and you may lose all or part of your investment.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We are a development-stage company with limited operating history and a history of significant losses. We may never be able to execute our business strategy, generate revenue or reach profitability.</w:t>
      </w:r>
    </w:p>
    <w:p>
      <w:pPr>
        <w:spacing w:after="0" w:line="11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w:t>
      </w:r>
    </w:p>
    <w:p>
      <w:pPr>
        <w:spacing w:after="0" w:line="128" w:lineRule="exact"/>
        <w:rPr>
          <w:sz w:val="20"/>
          <w:szCs w:val="20"/>
          <w:color w:val="auto"/>
        </w:rPr>
      </w:pPr>
    </w:p>
    <w:p>
      <w:pPr>
        <w:ind w:left="1980" w:right="839" w:firstLine="294"/>
        <w:spacing w:after="0" w:line="305" w:lineRule="auto"/>
        <w:rPr>
          <w:sz w:val="20"/>
          <w:szCs w:val="20"/>
          <w:color w:val="auto"/>
        </w:rPr>
      </w:pPr>
      <w:r>
        <w:rPr>
          <w:rFonts w:ascii="Arial" w:cs="Arial" w:eastAsia="Arial" w:hAnsi="Arial"/>
          <w:sz w:val="10"/>
          <w:szCs w:val="10"/>
          <w:color w:val="auto"/>
        </w:rPr>
        <w:t>We have a history of net losses and negative net cash used in operating activities since inception and we expect losses and negative net cash used in operating activities to continue for the foreseeable future. For the six months ended June 30, 2021 and 2020 we incurred net losses of approximately €16.1 million and €7.3 million, respectively, and for the years ended December 31, 2020 and 2019 we incurred net losses of approximately €19.8 million and €9.9 million, respectively. As of June 30, 2021 and December 31, 2020, we had an accumulated deficit of approximately €63.7 million and</w:t>
      </w:r>
    </w:p>
    <w:p>
      <w:pPr>
        <w:ind w:left="1980" w:right="899"/>
        <w:spacing w:after="0" w:line="315" w:lineRule="auto"/>
        <w:rPr>
          <w:sz w:val="20"/>
          <w:szCs w:val="20"/>
          <w:color w:val="auto"/>
        </w:rPr>
      </w:pPr>
      <w:r>
        <w:rPr>
          <w:rFonts w:ascii="Arial" w:cs="Arial" w:eastAsia="Arial" w:hAnsi="Arial"/>
          <w:sz w:val="10"/>
          <w:szCs w:val="10"/>
          <w:color w:val="auto"/>
        </w:rPr>
        <w:t>€47.3 million, respectively. For the six months ended June 30, 2021 and 2020 we had negative net cash used in operating activities of €18.2 million and €7.9 million, respectively, and for the years ended December 31, 2020 and 2019 we had negative net cash used in operating activities of €16.9 million and €8.3 million, respectively. We expect that we will incur additional significant expenses as we continue to conduct research, expand and refine our technology, and further develop our products. We will also incur significant expenses related to preparations for the commercialization of our products, increasing our sales and marketing activities with the goal of building our brand, and adding infrastructure and personnel to support our growth.</w:t>
      </w:r>
    </w:p>
    <w:p>
      <w:pPr>
        <w:spacing w:after="0" w:line="100"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 market acceptance of our products, services and business model. We may never generate any revenue or operate on a profitable basis. If we are unable to reach profitability, we may need to reduce the scale of our operations, which may impact our business growth or adversely affect our financial condition and results of operations. Even if we reach profitability, we may not be able to sustain it.</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0159"/>
          </w:cols>
          <w:pgMar w:left="30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79"/>
        <w:spacing w:after="0" w:line="276" w:lineRule="auto"/>
        <w:rPr>
          <w:sz w:val="20"/>
          <w:szCs w:val="20"/>
          <w:color w:val="auto"/>
        </w:rPr>
      </w:pPr>
      <w:r>
        <w:rPr>
          <w:rFonts w:ascii="Arial" w:cs="Arial" w:eastAsia="Arial" w:hAnsi="Arial"/>
          <w:sz w:val="12"/>
          <w:szCs w:val="12"/>
          <w:b w:val="1"/>
          <w:bCs w:val="1"/>
          <w:i w:val="1"/>
          <w:iCs w:val="1"/>
          <w:color w:val="auto"/>
        </w:rPr>
        <w:t>Our success and future growth are dependent upon our potential customers’ investments in the development of a market for wireless laser communication, in particular for aerospace communications networks.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We are a developer and manufacturer of laser communication products for aerospace communications networks. Laser communication is designed to serve as a so-called backbone technology, a key connectivity component of telecommunications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 communications networks.</w:t>
      </w:r>
    </w:p>
    <w:p>
      <w:pPr>
        <w:spacing w:after="0" w:line="111" w:lineRule="exact"/>
        <w:rPr>
          <w:sz w:val="20"/>
          <w:szCs w:val="20"/>
          <w:color w:val="auto"/>
        </w:rPr>
      </w:pPr>
    </w:p>
    <w:p>
      <w:pPr>
        <w:ind w:left="1980" w:right="1079" w:firstLine="294"/>
        <w:spacing w:after="0" w:line="281" w:lineRule="auto"/>
        <w:rPr>
          <w:sz w:val="20"/>
          <w:szCs w:val="20"/>
          <w:color w:val="auto"/>
        </w:rPr>
      </w:pPr>
      <w:r>
        <w:rPr>
          <w:rFonts w:ascii="Arial" w:cs="Arial" w:eastAsia="Arial" w:hAnsi="Arial"/>
          <w:sz w:val="11"/>
          <w:szCs w:val="11"/>
          <w:color w:val="auto"/>
        </w:rPr>
        <w:t>Communication networks may comprise various platforms, including drones, airplanes, balloons and satellites, and may be located in the troposphere (</w:t>
      </w:r>
      <w:r>
        <w:rPr>
          <w:rFonts w:ascii="Arial" w:cs="Arial" w:eastAsia="Arial" w:hAnsi="Arial"/>
          <w:sz w:val="11"/>
          <w:szCs w:val="11"/>
          <w:i w:val="1"/>
          <w:iCs w:val="1"/>
          <w:color w:val="auto"/>
        </w:rPr>
        <w:t>i.e.</w:t>
      </w:r>
      <w:r>
        <w:rPr>
          <w:rFonts w:ascii="Arial" w:cs="Arial" w:eastAsia="Arial" w:hAnsi="Arial"/>
          <w:sz w:val="11"/>
          <w:szCs w:val="11"/>
          <w:color w:val="auto"/>
        </w:rPr>
        <w:t>, at the height of commercial aviation), the stratosphere (</w:t>
      </w:r>
      <w:r>
        <w:rPr>
          <w:rFonts w:ascii="Arial" w:cs="Arial" w:eastAsia="Arial" w:hAnsi="Arial"/>
          <w:sz w:val="11"/>
          <w:szCs w:val="11"/>
          <w:i w:val="1"/>
          <w:iCs w:val="1"/>
          <w:color w:val="auto"/>
        </w:rPr>
        <w:t>i.e.</w:t>
      </w:r>
      <w:r>
        <w:rPr>
          <w:rFonts w:ascii="Arial" w:cs="Arial" w:eastAsia="Arial" w:hAnsi="Arial"/>
          <w:sz w:val="11"/>
          <w:szCs w:val="11"/>
          <w:color w:val="auto"/>
        </w:rPr>
        <w:t>, at a height of 20 to 30 kilometers above ground), or in outer space. Communications networks consisting of a large volume of platforms are referred to as constellations. Each individual platform typically contains multiple laser communication units. Our ability to successfully develop and commercialize our laser communication products (</w:t>
      </w:r>
      <w:r>
        <w:rPr>
          <w:rFonts w:ascii="Arial" w:cs="Arial" w:eastAsia="Arial" w:hAnsi="Arial"/>
          <w:sz w:val="11"/>
          <w:szCs w:val="11"/>
          <w:i w:val="1"/>
          <w:iCs w:val="1"/>
          <w:color w:val="auto"/>
        </w:rPr>
        <w:t>e.g.</w:t>
      </w:r>
      <w:r>
        <w:rPr>
          <w:rFonts w:ascii="Arial" w:cs="Arial" w:eastAsia="Arial" w:hAnsi="Arial"/>
          <w:sz w:val="11"/>
          <w:szCs w:val="11"/>
          <w:color w:val="auto"/>
        </w:rPr>
        <w:t>, flight terminals) depends on potential customers’ willingness to invest, on a global scale, in the development of such constellations. If such constellations are not developed on a global scale, there would be limited applications available for our ground stations and flight terminals, such as the connection of individual airplanes, drones or satellites with the ground.</w:t>
      </w:r>
    </w:p>
    <w:p>
      <w:pPr>
        <w:spacing w:after="0" w:line="115"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Constellations in general, and the market for laser communication systems specifically, are still in early stages of development. The future implementation of constellations by potential customers remains subject to significant technological and financing risks. For example, many of the constellations currently being planned by potential customers envisage worldwide internet and network coverage. Establishing such extensive coverage through multiple laser communication units has not been tested in practice and could entail substantial technical difficulties. At the same time, the development of constellations with such coverage requires investment of billions of dollars, and accordingly depends on the ability to obtain related financing.</w:t>
      </w:r>
    </w:p>
    <w:p>
      <w:pPr>
        <w:spacing w:after="0" w:line="128"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To our knowledge, there are no constellations currently in operation that utilize laser communication for linking platforms on a large scale. If laser communication remains a niche market, demand for our products would be significantly lower than we currently anticipate. If this market does not develop as we anticipate, then we will not generate revenues as planned and may need to curtail our operations or seek financing earlier than anticipated.</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potential customer base for the use of our products is limited.</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Given the technological challenges and the high capital expenditures required for the development and deployment of our products, we believe that our potential customer base is limited. There is a small number of potential customers who represent potentially significant initial customers for the deployment of our laser communication equipment. Successful customer acquisition and retention of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w:t>
      </w:r>
    </w:p>
    <w:p>
      <w:pPr>
        <w:spacing w:after="0" w:line="128"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Due to our limited potential customer base, we anticipate that sales to initial customers will be, individually, material to our future revenues, results of operations and cash flows. Accordingly, any change in the relationship with any customer, the strength of any customer’s business or their demand for our products could materially affect our results.</w:t>
      </w:r>
    </w:p>
    <w:p>
      <w:pPr>
        <w:spacing w:after="0" w:line="122"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Any failure to acquire and retain customers and maintain relationships with key customers, as well as the loss of any potential customer, would have a highly adverse impact on our business, results of operations, financial position and prospects, and in particular on our revenue.</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159"/>
          </w:cols>
          <w:pgMar w:left="30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b w:val="1"/>
          <w:bCs w:val="1"/>
          <w:i w:val="1"/>
          <w:iCs w:val="1"/>
          <w:color w:val="auto"/>
        </w:rPr>
        <w:t>We deploy innovative technologies and solutions in our products, which may not be fully functional. The initial deployment of our products by customers could prove unsuccessful.</w:t>
      </w:r>
    </w:p>
    <w:p>
      <w:pPr>
        <w:spacing w:after="0" w:line="115"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functionality, usability and availability of our technology and products in daily use and at scale is unproven. We cannot assure you that our technology will perform as expected under daily operating conditions or that we will be able to detect and fix weaknesses or flaws in our technology or products prior to commencing serial production. Any of the technologies we intend to use or solutions we expect to offer may not be available or fully functional at the time of the first delivery of our products or at all, and this could have an adverse effect on our ability to grow our business.</w:t>
      </w:r>
    </w:p>
    <w:p>
      <w:pPr>
        <w:spacing w:after="0" w:line="111"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loss of the affected customer and other existing or potential customers. In such cases, it is unlikely that we would succeed in compensating for the related losses in revenues through new customers in the short to medium term. As a result, any failure in the initial deployment of our products by initial customers would have a highly adverse impact on our business, results of operations, financial position and prospects.</w:t>
      </w:r>
    </w:p>
    <w:p>
      <w:pPr>
        <w:spacing w:after="0" w:line="12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competition and endanger our market positioning.</w:t>
      </w:r>
    </w:p>
    <w:p>
      <w:pPr>
        <w:spacing w:after="0" w:line="115"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In September 2020, Elon Musk’s SpaceX announced its first successful test of its Starlink satellite “space lasers” in orbit. In January 2021, Elon Musk announced that Starlink satellites in polar orbit will be equipped with lasers in 2021 before expanding deployment to all satellites beginning in 2022. Public announcements of successful test missions such as these have drawn significant public attention to the laser communication market. While we believe that there are currently only a few enterprises offering a viable solution for laser communication, we are subject to significant and intensifying competition within the satellite industry and from other providers of communication capacity, including large multinational enterprises.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would be harmed.</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Many of our current and potential competitors are larger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may develop laser communication capabilities in-house and as a result compete with us or not require laser communication equipment from third parties, such as us. Competitors may also establish cooperative or strategic relationships amongst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may seek to provide products or services that compete directly or indirectly with ours. Any such foreign competitor, for example, could benefit from subsidies from, or other protective measures implemented by, its home country.</w:t>
      </w:r>
    </w:p>
    <w:p>
      <w:pPr>
        <w:spacing w:after="0" w:line="117"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In the aerospace sector, our competitors include TESAT Spacecom (an Airbus subsidiary), Thales Alenia Space, SA Photonics and Ball Aerospace, as well as a handful of other entities that possess the necessary technical know-how and resources to compete with us. Furthermore, large information technology enterprises such as Cisco, Huawei, Comscope, Coriant and Corning already have experience in wired laser communication for ground-based fiber networks and may potentially enter the market. In addition, aviation enterprises such as</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0159"/>
          </w:cols>
          <w:pgMar w:left="30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55" w:lineRule="auto"/>
        <w:rPr>
          <w:sz w:val="20"/>
          <w:szCs w:val="20"/>
          <w:color w:val="auto"/>
        </w:rPr>
      </w:pPr>
      <w:r>
        <w:rPr>
          <w:rFonts w:ascii="Arial" w:cs="Arial" w:eastAsia="Arial" w:hAnsi="Arial"/>
          <w:sz w:val="12"/>
          <w:szCs w:val="12"/>
          <w:color w:val="auto"/>
        </w:rPr>
        <w:t>Boeing and large military equipment suppliers may enter the market. For example, Raytheon and Hensoldt are both actively promoting laser communication capabilities even though no public information is available regarding the maturity of their systems. These companies may employ aggressive strategies like subsidy-enabled dumping and lobbying of customers, partners, investors and the media in an attempt to force us out of the market (</w:t>
      </w:r>
      <w:r>
        <w:rPr>
          <w:rFonts w:ascii="Arial" w:cs="Arial" w:eastAsia="Arial" w:hAnsi="Arial"/>
          <w:sz w:val="12"/>
          <w:szCs w:val="12"/>
          <w:i w:val="1"/>
          <w:iCs w:val="1"/>
          <w:color w:val="auto"/>
        </w:rPr>
        <w:t>e.g.</w:t>
      </w:r>
      <w:r>
        <w:rPr>
          <w:rFonts w:ascii="Arial" w:cs="Arial" w:eastAsia="Arial" w:hAnsi="Arial"/>
          <w:sz w:val="12"/>
          <w:szCs w:val="12"/>
          <w:color w:val="auto"/>
        </w:rPr>
        <w:t>,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w:t>
      </w:r>
    </w:p>
    <w:p>
      <w:pPr>
        <w:spacing w:after="0" w:line="128" w:lineRule="exact"/>
        <w:rPr>
          <w:sz w:val="20"/>
          <w:szCs w:val="20"/>
          <w:color w:val="auto"/>
        </w:rPr>
      </w:pPr>
    </w:p>
    <w:p>
      <w:pPr>
        <w:ind w:left="1980" w:right="899" w:firstLine="294"/>
        <w:spacing w:after="0" w:line="310" w:lineRule="auto"/>
        <w:rPr>
          <w:sz w:val="20"/>
          <w:szCs w:val="20"/>
          <w:color w:val="auto"/>
        </w:rPr>
      </w:pPr>
      <w:r>
        <w:rPr>
          <w:rFonts w:ascii="Arial" w:cs="Arial" w:eastAsia="Arial" w:hAnsi="Arial"/>
          <w:sz w:val="10"/>
          <w:szCs w:val="10"/>
          <w:color w:val="auto"/>
        </w:rPr>
        <w:t>Due to the significant increase in both government and commercial space activities in recent years, in particular the number of constellations that are expected to be deployed, industry experts are increasingly concerned that there is a potential for low Earth orbit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limit on the number of constellations than can actually be deployed, which would in turn significantly increase competition.</w:t>
      </w:r>
    </w:p>
    <w:p>
      <w:pPr>
        <w:spacing w:after="0" w:line="10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Our business is also subject to competition from ground-based forms of communications technology. A number of companies are increasing their ability to transmit signals on existing terrestrial infrastructures, such as fiber optic cable, DSL (digital subscriber line) and terrestrial wireless transmitters, often with funding and other incentives provided by governments. The ability of terrestrial companies to significantly increase the capacity, capability and/or the reach of their networks could result in a decrease in the demand for laser communication technology. Furthermore, significantly lower prices for such conventional networks or other competing network architectures could also lead to reduced demand for laser communication. Increased capacity and lower prices in conventional networks could lead to reduced demand for aerospace communications networks and consequently for laser communication products, thereby having a material adverse impact on our earnings and business prospects.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addition, new technologies could render laser communication-based services less competitive by satisfying consumer demand in other ways. If competition intensifies, the resulting increase in supply could cause prices to fall, narrowing our margins. Heightened competition in the laser communication market could have a material adverse impact on our business, results of operations, financial position and prospects, particularly regarding costs.</w:t>
      </w:r>
    </w:p>
    <w:p>
      <w:pPr>
        <w:spacing w:after="0" w:line="12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Our business is subject to the implementation of a singular industry standard guaranteeing interoperability between laser communication products of different vendors, which could be unsuccessful.</w:t>
      </w:r>
    </w:p>
    <w:p>
      <w:pPr>
        <w:spacing w:after="0" w:line="115"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We believe that the establishment of a large-scale market for laser communication depends on the successful development and implementation of a singular industry standard guaranteeing interoperability between laser communication products of different vendors. As of today, our laser communication products are not compatible with those of our competitors. Even though efforts in the industry to enable interoperability of products of different laser communication vendors have increased, we cannot assure you that these efforts will be successful. This risk is particularly relevant as the implementation of interoperability between laser communication products of different vendors requires considerable technological exchange with other vendors, who may not favor such exchange to protect their intellectual property. Furthermore, multiple competing industry standards may emerge in parallel, which would cause a fragmentation of the market, potentially hindering sustained growth of the laser communication market.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0159"/>
          </w:cols>
          <w:pgMar w:left="30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If a potential customer decides to purchase laser communication products from one of our competitors, our products currently can only be sold to that customer with significant operational and technical outlays or only once interoperability standards have been established. Any failure to implement interoperability with products of other laser communication vendors could have an adverse effect on our business, results of operations, financial position and prospects.</w:t>
      </w:r>
    </w:p>
    <w:p>
      <w:pPr>
        <w:spacing w:after="0" w:line="12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There is currently no high-volume market for laser communication systems. Our approach of developing standardized products for a large number of customers could prove unsuccessful if certain customers demand widely varying product specifications and identical units in significantly lower quantities. This would require project-specific production instead of serial production, meaning that our anticipated economies of scale could fail to materialize.</w:t>
      </w:r>
    </w:p>
    <w:p>
      <w:pPr>
        <w:spacing w:after="0" w:line="12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b w:val="1"/>
          <w:bCs w:val="1"/>
          <w:i w:val="1"/>
          <w:iCs w:val="1"/>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115"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If standardization were to occur and our laser communication products remained incompatible with any standardized product, we may be required to incur considerable expense for our products to become interoperable with other products. In addition, our competitors within the laser communication field may have patents covering technology that they contribute to the development of industry standards. As a result, these competitors may expect to receive fair, reasonable and non-discriminatory (“FRAND”) royalty rates for licenses to those patents. If standardization were to occur, we would be required to pay such FRAND rates for access to the standardized technology in order to participate in a standardized laser communication industry.</w:t>
      </w:r>
    </w:p>
    <w:p>
      <w:pPr>
        <w:spacing w:after="0" w:line="97"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Furthermore, our current intellectual property protection strategy, which relies exclusively on trade secret, copyright and trademark laws and contractual provisions with employees and third parties, is incompatible with the implementation of a singular industry standard. Trade secrets must not be generally known in order to qualify for protection under applicable law. Since industry standards would be published, any trade secrets disclosed in connection with standardization would no longer be entitled to trade secret protection. If standardization were to occur, we would be required to provide our intellectual property to competitors in order to participate in the market, thereby eliminating the trade secret protection on which we have historically relied. We would not be required to be compensated for the provision of this intellectual property, as we have not filed for patent protection of this intellectual property.</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sales cycle can be long and complicated and requires considerable time and expense.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timing of our sales is difficult to predict because of the length of our sales cycle, particularly with respect to sales of our products in the government market.</w:t>
      </w:r>
    </w:p>
    <w:p>
      <w:pPr>
        <w:spacing w:after="0" w:line="11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Certain customers may choose, or be required, to conduct a request for information (“RfI”) or request for proposal (“RfP”) process, requiring us to openly bid for the project.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The sales cycle for our products from initial contact with a potential customer in the government market varies widely, ranging from a few months to well over a year. The sales process for our products for commercial applications depends on the individual customer and the size and structure of a project. Our sales team often engages in detailed discussions with potential customers to define the customer’s needs and</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159"/>
          </w:cols>
          <w:pgMar w:left="30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budget. Following these discussions, we typically either sign an MoU or a term sheet or directly negotiate long-form agreements. From time to time, in particular with respect to large, established customers, we may also be required to participate in commercial RfI or RfP processes. As with sales in the government market, the entire commercial sales process may take from a few months to over a year.</w:t>
      </w:r>
    </w:p>
    <w:p>
      <w:pPr>
        <w:spacing w:after="0" w:line="122"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There are many other factors specific to clients that contribute to the timing of their purchases, including budgetary constraints, funding authorization, and changes in their personnel. In addition, the significance and timing of our product enhancements, and the introduction of new products by our competitors, may also affect our customer’s purchases. For all of these reasons, it is difficult to predict whether a sale will be completed, the particular period in which a sale will be completed or the period in which revenue from a sale will be recognized. It is possible that in the future we may experience even longer sales cycles, more complex customer needs, higher upfront sales costs, and less predictability in completing some of our sales. Moreover, we may in the future enter into agreements under which we will not receive any payments or recognize any revenue until we complete a lengthy implementation cycle. We may also enter into strategic partnership agreements with key customers, which may include exclusivity arrangements and provisions that allow either party to terminate the relationship under certain specified circumstances. Accordingly, these relationships might not continue or be extended and may terminate entirely. If our sales cycle lengthens or our substantial upfront sales and implementation investments do not result in sufficient sales to justify our investments, our revenue could be lower than expected and it could have a material adverse effect on our business, financial condition, or results of operations.</w:t>
      </w:r>
    </w:p>
    <w:p>
      <w:pPr>
        <w:spacing w:after="0" w:line="116"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We have limited experience with order processing and are subject to internal order processing risks that could materially impact our ability to process orders.</w:t>
      </w:r>
    </w:p>
    <w:p>
      <w:pPr>
        <w:spacing w:after="0" w:line="115"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develop, manufacture and assemble our laser communication products in-house. As part of our order processing management, we will need to implement adequate internal logistical and technical production processes to minimize project-based risks. Once a customer orders our products, we must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 respect to component assembly, or inability to handle customer orders due to a lack of appropriate processes, structures or other factors, could materially impact our ability to process orders. Issues related to order processing could also damage our reputation and render the sourcing of future orders more difficult, thereby having an adverse effect on our business, results of operations, financial position and prospects.</w:t>
      </w:r>
    </w:p>
    <w:p>
      <w:pPr>
        <w:spacing w:after="0" w:line="119" w:lineRule="exact"/>
        <w:rPr>
          <w:sz w:val="20"/>
          <w:szCs w:val="20"/>
          <w:color w:val="auto"/>
        </w:rPr>
      </w:pPr>
    </w:p>
    <w:p>
      <w:pPr>
        <w:ind w:left="1980" w:right="959"/>
        <w:spacing w:after="0" w:line="379" w:lineRule="auto"/>
        <w:rPr>
          <w:sz w:val="20"/>
          <w:szCs w:val="20"/>
          <w:color w:val="auto"/>
        </w:rPr>
      </w:pPr>
      <w:r>
        <w:rPr>
          <w:rFonts w:ascii="Arial" w:cs="Arial" w:eastAsia="Arial" w:hAnsi="Arial"/>
          <w:sz w:val="10"/>
          <w:szCs w:val="10"/>
          <w:b w:val="1"/>
          <w:bCs w:val="1"/>
          <w:i w:val="1"/>
          <w:iCs w:val="1"/>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69"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We depend on third-party suppliers to provide individual components such as optical components, special electronics and structural components for our products and we expect to continue to do so for future products. While some key components are manufactured to our specifications, most components are “off-the-shelf” and available commercially.</w:t>
      </w:r>
    </w:p>
    <w:p>
      <w:pPr>
        <w:spacing w:after="0" w:line="12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generally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0159"/>
          </w:cols>
          <w:pgMar w:left="30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 which would have an adverse effect on our business, results of operations, financial position and prospects. Furthermore, we experienced a supply shortage of certain components in 2020 due the COVID-19 pandemic, which generally led to disruptions in global supply chains. As we managed our supply chain effectively, this supply shortage did not have a quantifiable effect on our business or results of operations. However, if the COVID-19 pandemic continues to negatively impact global supply chains, including our suppliers, we may experience delays in shipments of timely ordered components or increasing prices due to limited supply, which may adversely affect our business and results of operation.</w:t>
      </w:r>
    </w:p>
    <w:p>
      <w:pPr>
        <w:spacing w:after="0" w:line="119"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w:t>
      </w:r>
    </w:p>
    <w:p>
      <w:pPr>
        <w:spacing w:after="0" w:line="113"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Furthermore, an unexpected or spontaneous increase in demand could lead to our suppliers experiencing capacity constraints, as a result of which they may be unable to deliver to us the required quantities of a component or part on a timely basis, especially considering that certain of our suppliers are also at an early stage of development and may not have manufactured products at scale themselves. In addition, unexpected technical problems, delivery bottlenecks and quality issues at our suppliers, as well as issues with our suppliers’ partners or subcontractors, could also delay, or even entirely prevent, deliveries to our customers, resulting in breaches of customer contracts and loss of existing and future business.</w:t>
      </w:r>
    </w:p>
    <w:p>
      <w:pPr>
        <w:spacing w:after="0" w:line="113"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In addition, it is possible that certain components are ultimately not qualified for use, or may not function as intended. The particularly long development cycles in our business and lengthy qualification of individual components render quick replacement of individual suppliers difficult. Insourcing of certain components may require lengthy preparations, license negotiations or significant capital expenditures, or may not be possible at all.</w:t>
      </w:r>
    </w:p>
    <w:p>
      <w:pPr>
        <w:spacing w:after="0" w:line="87"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If we are unable to keep up with demand for our products by obtaining the components needed to successfully manufacture and deliver our products in a timely manner, our business could be impaired, and market acceptance for our products could be adversely affected.</w:t>
      </w:r>
    </w:p>
    <w:p>
      <w:pPr>
        <w:spacing w:after="0" w:line="92"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11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To date, we have only delivered pre-serial and individual prototype versions of our products for demonstration purposes.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0159"/>
          </w:cols>
          <w:pgMar w:left="300" w:top="354"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harm our business, financial condition and results of operations.</w:t>
      </w:r>
    </w:p>
    <w:p>
      <w:pPr>
        <w:spacing w:after="0" w:line="104"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be unable to manage our future growth effectively, which could make it difficult to execute our business strategy.</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If our operations continue to grow as planned, we will need to expand our sales and marketing, research and development, customer and commercial strategy, products and services, supply and manufacturing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 manufacturing and operational facilities, as well as space for administrative support, and we cannot assure you that we will be able to find suitable locations for the manufacture of our products.</w:t>
      </w:r>
    </w:p>
    <w:p>
      <w:pPr>
        <w:spacing w:after="0" w:line="12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not be able to obtain sufficient financing for the operations and ongoing growth of our business.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implementation of our business strategy requires significant capital outlays. The nature of our business also requires us to make capital expenditure decisions in anticipation of customer demand. We have, since our inception, financed our business operations, and expect to continue to finance our business operations. While we primarily seek to finance our business by raising equity capital, we entered into a credit agreement with three lenders for a credit line of approximately €25 million on September 15, 2021 (see also “Management’s Discussion and Analysis of Financial Condition and Results of Operations—Liquidity and Capital Resources—Credit Agreement”). We anticipate that our future cash requirements will continue to be significant and that we will need to obtain additional financing, including the proceeds from this offering, to implement our business plan as described in this prospectus. The availability and cost of external financing depend on a number of factors, including our financial performance, general market conditions and, in the case of any debt financing, our credit rating. This financing may not be available on acceptable terms, or at all, and our failure to raise capital when needed could harm our business.</w:t>
      </w:r>
    </w:p>
    <w:p>
      <w:pPr>
        <w:spacing w:after="0" w:line="117"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ability to raise equity financing largely depends on our ability to convince investors to fund our operations and growth, especially considering that we have not generated meaningful revenues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0159"/>
          </w:cols>
          <w:pgMar w:left="300" w:top="354"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340" w:lineRule="auto"/>
        <w:rPr>
          <w:sz w:val="20"/>
          <w:szCs w:val="20"/>
          <w:color w:val="auto"/>
        </w:rPr>
      </w:pPr>
      <w:r>
        <w:rPr>
          <w:rFonts w:ascii="Arial" w:cs="Arial" w:eastAsia="Arial" w:hAnsi="Arial"/>
          <w:sz w:val="10"/>
          <w:szCs w:val="10"/>
          <w:color w:val="auto"/>
        </w:rPr>
        <w:t>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w:t>
      </w:r>
    </w:p>
    <w:p>
      <w:pPr>
        <w:spacing w:after="0" w:line="87"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Our ability to raise further debt financing, should we need or choose to do so, will largely depend on past financial results. Given that we and the industry in which we operate are still at a very early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113"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113" w:lineRule="exact"/>
        <w:rPr>
          <w:sz w:val="20"/>
          <w:szCs w:val="20"/>
          <w:color w:val="auto"/>
        </w:rPr>
      </w:pPr>
    </w:p>
    <w:p>
      <w:pPr>
        <w:ind w:left="1980" w:right="1279"/>
        <w:spacing w:after="0" w:line="323" w:lineRule="auto"/>
        <w:rPr>
          <w:sz w:val="20"/>
          <w:szCs w:val="20"/>
          <w:color w:val="auto"/>
        </w:rPr>
      </w:pPr>
      <w:r>
        <w:rPr>
          <w:rFonts w:ascii="Arial" w:cs="Arial" w:eastAsia="Arial" w:hAnsi="Arial"/>
          <w:sz w:val="11"/>
          <w:szCs w:val="11"/>
          <w:b w:val="1"/>
          <w:bCs w:val="1"/>
          <w:i w:val="1"/>
          <w:iCs w:val="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92"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 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adversely affect our business and competitiveness.</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Our business and operations would suffer in the event of computer system failures, cyber-attacks or deficiencies in our cyber-security.</w:t>
      </w:r>
    </w:p>
    <w:p>
      <w:pPr>
        <w:spacing w:after="0" w:line="162"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159"/>
          </w:cols>
          <w:pgMar w:left="300" w:top="354"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w:t>
      </w:r>
    </w:p>
    <w:p>
      <w:pPr>
        <w:spacing w:after="0" w:line="13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While our insurance coverage could offset losses relating to some of these types of events, to the extent any such losses are not covered by insurance,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hurt our reputation by adversely affecting our customers’ perception of the security of their information.</w:t>
      </w:r>
    </w:p>
    <w:p>
      <w:pPr>
        <w:spacing w:after="0" w:line="11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115"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We may apply for German and foreign federal and state grants, loans and tax incentives under various government programs designed to stimulate the economy of the relevant jurisdiction or to support the development of aerospace related technologies. We anticipate that there may be new opportunities for us to apply for grants, loans and other incentives from the German federal or state government(s), the European Union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are a supplier for government programs, which subjects us to risks including early termination, audits, investigations, sanctions and penalties.</w:t>
      </w:r>
    </w:p>
    <w:p>
      <w:pPr>
        <w:spacing w:after="0" w:line="173"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Within the value chain for the government aerospace communication industry, we are a sub-system supplier for system primes such as aircraft and satellite manufacturers. We have entered into contracts as a sub-system supplier with counterparties that are prime contractors for the U.S. government and we may also enter into contracts directly with the U.S. or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w:t>
      </w:r>
    </w:p>
    <w:p>
      <w:pPr>
        <w:spacing w:after="0" w:line="5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0159"/>
          </w:cols>
          <w:pgMar w:left="300" w:top="354"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unilaterally terminate or modify contracts for convenience, and in that event, the counterparty to the contract may generally recover only its incurred or committed costs and settlement expenses and profit on work completed prior to the termination.</w:t>
      </w:r>
    </w:p>
    <w:p>
      <w:pPr>
        <w:spacing w:after="0" w:line="115"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In addition, government contracts typically contain additional requirements that may increase our costs of doing business, reduce our profits, and expose us to liability for failure to comply with these terms and conditions. These requirements include, for example:</w:t>
      </w:r>
    </w:p>
    <w:p>
      <w:pPr>
        <w:spacing w:after="0" w:line="52" w:lineRule="exact"/>
        <w:rPr>
          <w:sz w:val="20"/>
          <w:szCs w:val="20"/>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specialized disclosure and accounting requirements unique to government contracts;</w:t>
      </w:r>
    </w:p>
    <w:p>
      <w:pPr>
        <w:spacing w:after="0" w:line="87" w:lineRule="exact"/>
        <w:rPr>
          <w:rFonts w:ascii="Arial" w:cs="Arial" w:eastAsia="Arial" w:hAnsi="Arial"/>
          <w:sz w:val="12"/>
          <w:szCs w:val="12"/>
          <w:color w:val="auto"/>
        </w:rPr>
      </w:pPr>
    </w:p>
    <w:p>
      <w:pPr>
        <w:ind w:left="2620" w:right="919" w:hanging="288"/>
        <w:spacing w:after="0" w:line="263" w:lineRule="auto"/>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public disclosures of certain contract and company information; and</w:t>
      </w:r>
    </w:p>
    <w:p>
      <w:pPr>
        <w:spacing w:after="0" w:line="87" w:lineRule="exact"/>
        <w:rPr>
          <w:rFonts w:ascii="Arial" w:cs="Arial" w:eastAsia="Arial" w:hAnsi="Arial"/>
          <w:sz w:val="12"/>
          <w:szCs w:val="12"/>
          <w:color w:val="auto"/>
        </w:rPr>
      </w:pPr>
    </w:p>
    <w:p>
      <w:pPr>
        <w:ind w:left="2620" w:right="839" w:hanging="288"/>
        <w:spacing w:after="0" w:line="276" w:lineRule="auto"/>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mandatory socioeconomic compliance requirements, including labor requirements, non-discrimination and affirmative action programs and environmental compliance requirements.</w:t>
      </w:r>
    </w:p>
    <w:p>
      <w:pPr>
        <w:spacing w:after="0" w:line="115" w:lineRule="exact"/>
        <w:rPr>
          <w:sz w:val="20"/>
          <w:szCs w:val="20"/>
          <w:color w:val="auto"/>
        </w:rPr>
      </w:pPr>
    </w:p>
    <w:p>
      <w:pPr>
        <w:ind w:left="1980" w:right="1239" w:firstLine="294"/>
        <w:spacing w:after="0" w:line="298" w:lineRule="auto"/>
        <w:rPr>
          <w:sz w:val="20"/>
          <w:szCs w:val="20"/>
          <w:color w:val="auto"/>
        </w:rPr>
      </w:pPr>
      <w:r>
        <w:rPr>
          <w:rFonts w:ascii="Arial" w:cs="Arial" w:eastAsia="Arial" w:hAnsi="Arial"/>
          <w:sz w:val="11"/>
          <w:szCs w:val="11"/>
          <w:color w:val="auto"/>
        </w:rPr>
        <w:t>If we fail to comply with government contracting laws, regulations and contract requirements, our government contracts may be subject to termination, and we may become subject to financial and/or other liability under our contracts or criminal law. Any penalties, damages, fines, suspension, or damages could adversely affect our ability to operate our business and our financial results.</w:t>
      </w:r>
    </w:p>
    <w:p>
      <w:pPr>
        <w:spacing w:after="0" w:line="10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We are exposed to foreign currency exchange risk and our financial position and results of operations may be negatively affected by the fluctuation of different currencies.</w:t>
      </w:r>
    </w:p>
    <w:p>
      <w:pPr>
        <w:spacing w:after="0" w:line="115" w:lineRule="exact"/>
        <w:rPr>
          <w:sz w:val="20"/>
          <w:szCs w:val="20"/>
          <w:color w:val="auto"/>
        </w:rPr>
      </w:pPr>
    </w:p>
    <w:p>
      <w:pPr>
        <w:ind w:left="1980" w:right="1039" w:firstLine="294"/>
        <w:spacing w:after="0" w:line="305" w:lineRule="auto"/>
        <w:rPr>
          <w:sz w:val="20"/>
          <w:szCs w:val="20"/>
          <w:color w:val="auto"/>
        </w:rPr>
      </w:pPr>
      <w:r>
        <w:rPr>
          <w:rFonts w:ascii="Arial" w:cs="Arial" w:eastAsia="Arial" w:hAnsi="Arial"/>
          <w:sz w:val="10"/>
          <w:szCs w:val="10"/>
          <w:color w:val="auto"/>
        </w:rPr>
        <w:t>We conduct business transactions in foreign currencies. Accordingly, exchange rate movements can have an adverse effect on our financial position and results of operations. Exposure to foreign currency exchange risk arises, for example, from purchases and sales transacted by one of our operating units in currencies other than the unit’s functional currency. We operate primarily in Europe and the U.S. Some sales are thus transacted in foreign currency (U.S. dollars). U.S. dollar cash inflows are used to finance the Company’s U.S. subsidiary. As of June 30, 2021 and December 31,</w:t>
      </w:r>
    </w:p>
    <w:p>
      <w:pPr>
        <w:ind w:left="1980"/>
        <w:spacing w:after="0"/>
        <w:tabs>
          <w:tab w:leader="none" w:pos="4440" w:val="left"/>
        </w:tabs>
        <w:rPr>
          <w:sz w:val="20"/>
          <w:szCs w:val="20"/>
          <w:color w:val="auto"/>
        </w:rPr>
      </w:pPr>
      <w:r>
        <w:rPr>
          <w:rFonts w:ascii="Arial" w:cs="Arial" w:eastAsia="Arial" w:hAnsi="Arial"/>
          <w:sz w:val="12"/>
          <w:szCs w:val="12"/>
          <w:color w:val="auto"/>
        </w:rPr>
        <w:t>2020, we had U.S. dollar receivables of €</w:t>
      </w:r>
      <w:r>
        <w:rPr>
          <w:sz w:val="20"/>
          <w:szCs w:val="20"/>
          <w:color w:val="auto"/>
        </w:rPr>
        <w:tab/>
      </w:r>
      <w:r>
        <w:rPr>
          <w:rFonts w:ascii="Arial" w:cs="Arial" w:eastAsia="Arial" w:hAnsi="Arial"/>
          <w:sz w:val="10"/>
          <w:szCs w:val="10"/>
          <w:color w:val="auto"/>
        </w:rPr>
        <w:t>and €550,000, respectively.</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Regulatory, Legal and Tax Risks</w:t>
      </w:r>
    </w:p>
    <w:p>
      <w:pPr>
        <w:spacing w:after="0" w:line="154" w:lineRule="exact"/>
        <w:rPr>
          <w:sz w:val="20"/>
          <w:szCs w:val="20"/>
          <w:color w:val="auto"/>
        </w:rPr>
      </w:pPr>
    </w:p>
    <w:p>
      <w:pPr>
        <w:ind w:left="1980" w:right="1399"/>
        <w:spacing w:after="0" w:line="276" w:lineRule="auto"/>
        <w:rPr>
          <w:sz w:val="20"/>
          <w:szCs w:val="20"/>
          <w:color w:val="auto"/>
        </w:rPr>
      </w:pPr>
      <w:r>
        <w:rPr>
          <w:rFonts w:ascii="Arial" w:cs="Arial" w:eastAsia="Arial" w:hAnsi="Arial"/>
          <w:sz w:val="12"/>
          <w:szCs w:val="12"/>
          <w:b w:val="1"/>
          <w:bCs w:val="1"/>
          <w:i w:val="1"/>
          <w:iCs w:val="1"/>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are subject to regulatory risks, in particular related to complex and evolving export control and economic sanctions laws in certain of the markets in which we operate, including the United States and the European Union. Export control laws impose controls, export license 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w:t>
      </w:r>
    </w:p>
    <w:p>
      <w:pPr>
        <w:spacing w:after="0" w:line="113"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 regulations, in July 2020, the German government issued a so-called single intervention (</w:t>
      </w:r>
      <w:r>
        <w:rPr>
          <w:rFonts w:ascii="Arial" w:cs="Arial" w:eastAsia="Arial" w:hAnsi="Arial"/>
          <w:sz w:val="11"/>
          <w:szCs w:val="11"/>
          <w:i w:val="1"/>
          <w:iCs w:val="1"/>
          <w:color w:val="auto"/>
        </w:rPr>
        <w:t>Einzeleingriff</w:t>
      </w:r>
      <w:r>
        <w:rPr>
          <w:rFonts w:ascii="Arial" w:cs="Arial" w:eastAsia="Arial" w:hAnsi="Arial"/>
          <w:sz w:val="11"/>
          <w:szCs w:val="11"/>
          <w:color w:val="auto"/>
        </w:rPr>
        <w:t>) banning the shipment of spaceborne laser communication terminals to customers in China, which</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0159"/>
          </w:cols>
          <w:pgMar w:left="300" w:top="354"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included the shipment of our laser communication products to a Chinese customer. As a result of this decision, we decided to withdraw from the Chinese market. Subsequently, the German legislature amended the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and specifically categorized spaceborne laser communication terminals as a dual-use item, requiring prior governmental approval before exportation. However, due to the further enhancement of our products, our CONDOR laser terminal now also qualifies as a dual-use item under the EU’s Dual-Use Regulation, which supersedes the national dual-use regulations of the EU member states. Although the export of our CONDOR laser communication terminals is covered by the EU’s general export authorization (</w:t>
      </w:r>
      <w:r>
        <w:rPr>
          <w:rFonts w:ascii="Arial" w:cs="Arial" w:eastAsia="Arial" w:hAnsi="Arial"/>
          <w:sz w:val="11"/>
          <w:szCs w:val="11"/>
          <w:i w:val="1"/>
          <w:iCs w:val="1"/>
          <w:color w:val="auto"/>
        </w:rPr>
        <w:t>EU-Allgemeingenehmigung</w:t>
      </w:r>
      <w:r>
        <w:rPr>
          <w:rFonts w:ascii="Arial" w:cs="Arial" w:eastAsia="Arial" w:hAnsi="Arial"/>
          <w:sz w:val="11"/>
          <w:szCs w:val="11"/>
          <w:color w:val="auto"/>
        </w:rPr>
        <w:t>), we nevertheless will be required to obtain an (individual) export authorization if we export dual-use products to countries that are not covered by the EU’s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w:t>
      </w:r>
    </w:p>
    <w:p>
      <w:pPr>
        <w:spacing w:after="0" w:line="119"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 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w:t>
      </w:r>
    </w:p>
    <w:p>
      <w:pPr>
        <w:spacing w:after="0" w:line="131"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Currently, our largest potential customer base is located in North America. We believe that further potential markets may develop in certain Asian (except China) and Middle Eastern, as well as a number of European, 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To the best of our knowledge, none of the components we currently use in our products is subject to arms regulations and, thus, our products are not restricted under arms control provisions in the U.S., such as the ITAR. We have also implemented a strict non-ITAR procurement policy that requires us to procure components that are not subject to ITAR. However, we cannot assure you that in the future all required parts can be obtained under this strict policy.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w:t>
      </w:r>
    </w:p>
    <w:p>
      <w:pPr>
        <w:spacing w:after="0" w:line="11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15"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We may be required under the Dodd-Frank Wall Street Reform and Consumer Protection Act of 2010 (“Dodd-Frank Act”) to determine, disclose and report whether our products contain “conflict minerals” (tin, tungsten, tantalum and gold). In addition,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 Conflict Minerals Regulation”). Even though we do not import such minerals directly, the electronic components we use in our products may contain such minerals and, as a consequence, we may be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0159"/>
          </w:cols>
          <w:pgMar w:left="300" w:top="354"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We may also face reputational challenges if we determine that certain of our products contain minerals that are not determined to be conflict-free.</w:t>
      </w:r>
    </w:p>
    <w:p>
      <w:pPr>
        <w:spacing w:after="0" w:line="12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do not maintain required security clearances from, and comply with our agreements with, the U.S. government, we may not be able to continue to perform our obligations under contracts involving the U.S. government.</w:t>
      </w:r>
    </w:p>
    <w:p>
      <w:pPr>
        <w:spacing w:after="0" w:line="115"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To participate in certain U.S. government programs, we expect to seek and obtain security clearances from the U.S. Department of Defense, including by establishing a U.S. entity cleared for access to classified information. Given our non-U.S. ownership, we expect to enter into a special security agreement with the U.S. government that limits certain of our operations, as required under the national security laws and regulations of the United States. If we or our employees are unable to obtain or retain necessary security clearances, we may not be able to win new business, bid on new contracts or effectively rebid on expiring contracts. As a result, our business could be materially adversely affected. Further, if we violate the terms of the special security agreement or if we are found to have materially violated U.S. law, we may be suspended or barred from participating in any government contracts, whether classified or unclassified, and we could be subject to civil or criminal penalties.</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b w:val="1"/>
          <w:bCs w:val="1"/>
          <w:i w:val="1"/>
          <w:iCs w:val="1"/>
          <w:color w:val="auto"/>
        </w:rPr>
        <w:t>Our business is and could become subject to a wide variety of extensive and evolving government laws and regulations. Failure to comply with such laws and regulations could have a material adverse effect on our business.</w:t>
      </w:r>
    </w:p>
    <w:p>
      <w:pPr>
        <w:spacing w:after="0" w:line="115"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 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 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w:t>
      </w:r>
    </w:p>
    <w:p>
      <w:pPr>
        <w:spacing w:after="0" w:line="131"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Changes in law or the imposition of new or additional regulations that impact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0159"/>
          </w:cols>
          <w:pgMar w:left="300" w:top="354"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political interest and influence impacting our business.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The reliable provision and expansion of critical infrastructure such as communication networks is at the core of national interests. Constellations (</w:t>
      </w:r>
      <w:r>
        <w:rPr>
          <w:rFonts w:ascii="Arial" w:cs="Arial" w:eastAsia="Arial" w:hAnsi="Arial"/>
          <w:sz w:val="11"/>
          <w:szCs w:val="11"/>
          <w:i w:val="1"/>
          <w:iCs w:val="1"/>
          <w:color w:val="auto"/>
        </w:rPr>
        <w:t>i.e.</w:t>
      </w:r>
      <w:r>
        <w:rPr>
          <w:rFonts w:ascii="Arial" w:cs="Arial" w:eastAsia="Arial" w:hAnsi="Arial"/>
          <w:sz w:val="11"/>
          <w:szCs w:val="11"/>
          <w:color w:val="auto"/>
        </w:rPr>
        <w:t>, communications networks consisting of a large volume of platforms) could, if successful, become a cornerstone of the communication landscape of the future and we believe that laser communication technology will play a key role in these constellations. A positive development in the constellations and laser communication market could, therefore, lead to increasing political interest and influence impacting our business including, but not limited to, influence from the United States, which we consider our most important market.</w:t>
      </w:r>
    </w:p>
    <w:p>
      <w:pPr>
        <w:spacing w:after="0" w:line="113"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lost a potential major market for our products and, if we do not prevail in our lawsuit before the Administrative Court of Berlin challenging the export ban, we are at significant risk of not being adequately compensated for the loss of business or at all. See “Business—Legal Proceedings.” We have only limited options for containing these risks and the occurrence and impact of any of these factors is difficult to predict, but one or more of them could have a material adverse effect on our financial position, results of operations and/or cash flows.</w:t>
      </w:r>
    </w:p>
    <w:p>
      <w:pPr>
        <w:spacing w:after="0" w:line="11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We may be unable to adequately protect our intellectual property and proprietary rights and prevent others from making unauthorized use of our products and technology.</w:t>
      </w:r>
    </w:p>
    <w:p>
      <w:pPr>
        <w:spacing w:after="0" w:line="11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 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w:t>
      </w:r>
    </w:p>
    <w:p>
      <w:pPr>
        <w:spacing w:after="0" w:line="128" w:lineRule="exact"/>
        <w:rPr>
          <w:sz w:val="20"/>
          <w:szCs w:val="20"/>
          <w:color w:val="auto"/>
        </w:rPr>
      </w:pPr>
    </w:p>
    <w:p>
      <w:pPr>
        <w:ind w:left="1980" w:right="939" w:firstLine="294"/>
        <w:spacing w:after="0" w:line="278" w:lineRule="auto"/>
        <w:rPr>
          <w:sz w:val="20"/>
          <w:szCs w:val="20"/>
          <w:color w:val="auto"/>
        </w:rPr>
      </w:pPr>
      <w:r>
        <w:rPr>
          <w:rFonts w:ascii="Arial" w:cs="Arial" w:eastAsia="Arial" w:hAnsi="Arial"/>
          <w:sz w:val="11"/>
          <w:szCs w:val="11"/>
          <w:color w:val="auto"/>
        </w:rPr>
        <w:t>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reverse-engineers our technology.</w:t>
      </w:r>
    </w:p>
    <w:p>
      <w:pPr>
        <w:spacing w:after="0" w:line="7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0159"/>
          </w:cols>
          <w:pgMar w:left="300" w:top="354"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 agreements and other agreements pertaining to our technology and proprietary information will increase, and such breaches could have an adverse effect on our business and competitive position.</w:t>
      </w:r>
    </w:p>
    <w:p>
      <w:pPr>
        <w:spacing w:after="0" w:line="247"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business may be harmed.</w:t>
      </w:r>
    </w:p>
    <w:p>
      <w:pPr>
        <w:spacing w:after="0" w:line="113"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b w:val="1"/>
          <w:bCs w:val="1"/>
          <w:i w:val="1"/>
          <w:iCs w:val="1"/>
          <w:color w:val="auto"/>
        </w:rPr>
        <w:t>We may be involved in legal proceedings based on the alleged violation of intellectual property rights, such as patent or trademark infringement claims, which may be time-consuming and incur substantial costs.</w:t>
      </w:r>
    </w:p>
    <w:p>
      <w:pPr>
        <w:spacing w:after="0" w:line="115" w:lineRule="exact"/>
        <w:rPr>
          <w:sz w:val="20"/>
          <w:szCs w:val="20"/>
          <w:color w:val="auto"/>
        </w:rPr>
      </w:pPr>
    </w:p>
    <w:p>
      <w:pPr>
        <w:jc w:val="both"/>
        <w:ind w:left="1980" w:right="939" w:firstLine="294"/>
        <w:spacing w:after="0" w:line="298" w:lineRule="auto"/>
        <w:rPr>
          <w:sz w:val="20"/>
          <w:szCs w:val="20"/>
          <w:color w:val="auto"/>
        </w:rPr>
      </w:pPr>
      <w:r>
        <w:rPr>
          <w:rFonts w:ascii="Arial" w:cs="Arial" w:eastAsia="Arial" w:hAnsi="Arial"/>
          <w:sz w:val="11"/>
          <w:szCs w:val="11"/>
          <w:color w:val="auto"/>
        </w:rPr>
        <w:t>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w:t>
      </w:r>
    </w:p>
    <w:p>
      <w:pPr>
        <w:spacing w:after="0" w:line="105"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As the number of competitors in the market for laser communication grows, the possibility of infringement claims against us increases. Established market players such as SpaceX, OneWeb, Telesat and Amazon may invest significant resources and capital to protect their intellectual property and scan the market for potential violations, and in many cases our competitors have well-developed patent and intellectual property rights 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w:t>
      </w:r>
    </w:p>
    <w:p>
      <w:pPr>
        <w:spacing w:after="0" w:line="118"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In the event that we become subject to a patent infringement or other intellectual property lawsuit and if the relevant patents or other intellectual property were upheld as valid and enforceable and we were found to infringe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159"/>
          </w:cols>
          <w:pgMar w:left="300" w:top="354" w:right="1440"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business, financial condition, results of operations, prospects and reputation could be harmed.</w:t>
      </w:r>
    </w:p>
    <w:p>
      <w:pPr>
        <w:spacing w:after="0" w:line="115"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w:t>
      </w:r>
    </w:p>
    <w:p>
      <w:pPr>
        <w:spacing w:after="0" w:line="113"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In addition, we may be required to indemnify our customers against claims relating to the infringement of intellectual property rights of third parties related to our products.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or services they use. If we cannot obtain all necessary licenses on commercially reasonable terms, our customers may be forced to stop using our products.</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our ADSs. If securities analysts or investors perceive these results to be negative, it could have a material adverse effect on the price of our ADSs.</w:t>
      </w:r>
    </w:p>
    <w:p>
      <w:pPr>
        <w:spacing w:after="0" w:line="12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115"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have been and may become involved in lawsuits and administrative and regulatory proceedings relating to our business, such as commercial contract claims, proceedings initiated by public authorities or other examinations and investigations. For example, in 2020 the German Federal Financial Supervisory Authority (</w:t>
      </w:r>
      <w:r>
        <w:rPr>
          <w:rFonts w:ascii="Arial" w:cs="Arial" w:eastAsia="Arial" w:hAnsi="Arial"/>
          <w:sz w:val="11"/>
          <w:szCs w:val="11"/>
          <w:i w:val="1"/>
          <w:iCs w:val="1"/>
          <w:color w:val="auto"/>
        </w:rPr>
        <w:t>Bundesanstalt für Finanzdienstleistungsaufsicht</w:t>
      </w:r>
      <w:r>
        <w:rPr>
          <w:rFonts w:ascii="Arial" w:cs="Arial" w:eastAsia="Arial" w:hAnsi="Arial"/>
          <w:sz w:val="11"/>
          <w:szCs w:val="11"/>
          <w:color w:val="auto"/>
        </w:rPr>
        <w:t>, “BaFin”) initiated an investigation against us on the grounds of the alleged omission of an ad hoc disclosure under the ad hoc disclosure obligation of Article 17 para. 1 of the European Market Abuse Regulation. On January 14, 2020, we had announced, by means of a press release published on our website, that we had entered into a new multi-million Euro contract with a space customer. BaFin argued that the conclusion of this contract would have fallen under the ad hoc disclosure obligation of Article 17 para. 1 MAR, and that the publication on our website did not satisfy this obligation. BaFin currently still upholds its view of an existing infringement of the ad hoc disclosure obligation. Should an administrative offence be found, the amount of any fine would depend on BaFin’s determination of the severity of the offence. We expect a minimum fine of at least €225,000 will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 See “Business—Legal Proceedings.”</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159"/>
          </w:cols>
          <w:pgMar w:left="300" w:top="354"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Some of these proceedings may result in significant monetary damages or cause reputational harm. 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w:t>
      </w:r>
    </w:p>
    <w:p>
      <w:pPr>
        <w:spacing w:after="0" w:line="113"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advisers have wrongfully used or disclosed alleged trade secrets of their former employers.</w:t>
      </w:r>
    </w:p>
    <w:p>
      <w:pPr>
        <w:spacing w:after="0" w:line="115"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Although we try to ensure that these individuals do not use the proprietary information or know-how of others in their work for us,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If we fail in defending any such claims, we may lose valuable intellectual property rights or personnel, in addition to possibly paying monetary damages or being enjoined from conducting our business as contemplated. Even if we are successful in defending against such claims, litigation could result in substantial costs and be a distraction to management.</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risk management and internal control procedures may not prevent or detect violations of law.</w:t>
      </w:r>
    </w:p>
    <w:p>
      <w:pPr>
        <w:spacing w:after="0" w:line="150" w:lineRule="exact"/>
        <w:rPr>
          <w:sz w:val="20"/>
          <w:szCs w:val="20"/>
          <w:color w:val="auto"/>
        </w:rPr>
      </w:pPr>
    </w:p>
    <w:p>
      <w:pPr>
        <w:ind w:left="1980" w:right="999" w:firstLine="294"/>
        <w:spacing w:after="0" w:line="320" w:lineRule="auto"/>
        <w:rPr>
          <w:sz w:val="20"/>
          <w:szCs w:val="20"/>
          <w:color w:val="auto"/>
        </w:rPr>
      </w:pPr>
      <w:r>
        <w:rPr>
          <w:rFonts w:ascii="Arial" w:cs="Arial" w:eastAsia="Arial" w:hAnsi="Arial"/>
          <w:sz w:val="10"/>
          <w:szCs w:val="10"/>
          <w:color w:val="auto"/>
        </w:rPr>
        <w:t>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 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w:t>
      </w:r>
    </w:p>
    <w:p>
      <w:pPr>
        <w:spacing w:after="0" w:line="97"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we have procedures in place designed to ensure compliance with sanctions and other trade controls, and while we monitor our product developments closely regarding any further regulatory implications,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w:t>
      </w:r>
      <w:r>
        <w:rPr>
          <w:rFonts w:ascii="Arial" w:cs="Arial" w:eastAsia="Arial" w:hAnsi="Arial"/>
          <w:sz w:val="11"/>
          <w:szCs w:val="11"/>
          <w:i w:val="1"/>
          <w:iCs w:val="1"/>
          <w:color w:val="auto"/>
        </w:rPr>
        <w:t>i.e.</w:t>
      </w:r>
      <w:r>
        <w:rPr>
          <w:rFonts w:ascii="Arial" w:cs="Arial" w:eastAsia="Arial" w:hAnsi="Arial"/>
          <w:sz w:val="11"/>
          <w:szCs w:val="11"/>
          <w:color w:val="auto"/>
        </w:rPr>
        <w:t>, products that may have both civil and military applications) may require us to obtain new governmental approvals or licenses, which we have not anticipated, for the export of our products to countries which are not covered by the EU’s general export authorization. In addition, we cannot assure you that our compliance processes will be efficiently implemented in the future or that our subsidiaries, intermediaries, sales agents, employees, directors and officers will effectively follow these processes.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on costs.</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159"/>
          </w:cols>
          <w:pgMar w:left="300" w:top="354"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may become a passive foreign investment company (“PFIC”), which could result in adverse United States federal income tax consequences to United States investors.</w:t>
      </w:r>
    </w:p>
    <w:p>
      <w:pPr>
        <w:spacing w:after="0" w:line="115"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Based on the projected composition of our income and valuation of our assets, including goodwill,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 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our ADSs and ordinary shares. Accordingly, we could become a PFIC in the future if there is a substantial decline in the value of our ADSs and ordinary shares. If we are or were to become a PFIC, such characterization could result in adverse United States federal income tax consequences and burdensome reporting requirements to a holder of ADSs if such holder is a United States investor.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i w:val="1"/>
          <w:iCs w:val="1"/>
          <w:color w:val="auto"/>
        </w:rPr>
        <w:t>We may become exposed to unforeseen tax consequences as a result of operating across borders and in multiple jurisdictions.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the complexity and adverse consequences of such tax laws, and potentially adverse tax consequences due to changes in such tax laws.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ADSs and this Offering</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cannot assure you that an active and liquid market for our ADSs will develop.</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While our ordinary shares are traded on the Xetra trading system of the Frankfurt Stock Exchange, no public market has previously existed for our ADSs in the United States and we cannot assure you that a market for our ADSs will develop or be sustained after this offering. Public trading markets may also experience volatility and disruption. This may affect the pricing of our ADSs in the market, the transparency and availability of trading prices, and the liquidity of our ADSs. We cannot predict the prices at which our ADSs will trade. The public offering price for our ADSs will be determined based in large part on the market price for our ordinary shares on the Frankfurt Stock Exchange at the time of this offering. This offering price may not be indicative of the market price of our ADSs or ordinary shares after this offering. If an active trading market for our ADSs does not develop or is not sustained, investors may not be able to sell their ADSs at or above the offering price or at the time that they would like to sell.</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The market price of our ADSs could fluctuate significantly, which could result in substantial losses for purchasers of our ADSs in this offering.</w:t>
      </w:r>
    </w:p>
    <w:p>
      <w:pPr>
        <w:spacing w:after="0" w:line="173"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The stock market in general and the market for smaller technology companies in particular have experienced extreme volatility that has often been unrelated to the operating performance of particular companies. As a result, you may not be able to sell your ADSs at or above the public offering price and you may lose some or all of your investment. Following this offering, the market price of our ADSs will be affected by the supply and demand for our ADSs, which may be influenced by numerous factors, many of which are beyond our control, including:</w:t>
      </w:r>
    </w:p>
    <w:p>
      <w:pPr>
        <w:spacing w:after="0" w:line="48" w:lineRule="exact"/>
        <w:rPr>
          <w:sz w:val="20"/>
          <w:szCs w:val="20"/>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fluctuation in actual or projected results of operations;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159"/>
          </w:cols>
          <w:pgMar w:left="300" w:top="354"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projected earnings or failure to meet securities analysts’ earnings expectations;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absence of analyst coverage;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negative analyst recommendations;</w:t>
      </w:r>
    </w:p>
    <w:p>
      <w:pPr>
        <w:spacing w:after="0" w:line="87"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trading volumes in our ADSs (including by the sale of shares or ADSs granted to our employees under employee participation programs);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large-volume or targeted transactions by short-sellers;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our shareholder structure;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macroeconomic conditions;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activities of competitors and 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the market valuations of comparable companies;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ability to successfully finalize development of, market and commercialize our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recruitment or departure of key management or scientific personnel or other key employees;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significant lawsuits, including patent, shareholder or customer litigation;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investor and analyst perception with respect to our business or the industry in general;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the statutory framework applicable to our business.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a result, the market price of our ADSs may be subject to substantial fluctuation.</w:t>
      </w:r>
    </w:p>
    <w:p>
      <w:pPr>
        <w:spacing w:after="0" w:line="150" w:lineRule="exact"/>
        <w:rPr>
          <w:sz w:val="20"/>
          <w:szCs w:val="20"/>
          <w:color w:val="auto"/>
        </w:rPr>
      </w:pPr>
    </w:p>
    <w:p>
      <w:pPr>
        <w:ind w:left="1980" w:right="839" w:firstLine="294"/>
        <w:spacing w:after="0" w:line="326" w:lineRule="auto"/>
        <w:rPr>
          <w:sz w:val="20"/>
          <w:szCs w:val="20"/>
          <w:color w:val="auto"/>
        </w:rPr>
      </w:pPr>
      <w:r>
        <w:rPr>
          <w:rFonts w:ascii="Arial" w:cs="Arial" w:eastAsia="Arial" w:hAnsi="Arial"/>
          <w:sz w:val="10"/>
          <w:szCs w:val="10"/>
          <w:color w:val="auto"/>
        </w:rPr>
        <w:t>In addition, general market conditions and fluctuation of share prices and trading volumes could lead to pressure on the market price of our ADSs, even if there may not be a reason for this based on our business performance or earnings outlook. Furthermore, investors in the secondary market may view our business more critically than investors in this offering, which could adversely affect the market price of our ADSs. In addition, prices for companies with a limited operating history may be more volatile compared to share prices for established companies or companies from other industries.</w:t>
      </w:r>
    </w:p>
    <w:p>
      <w:pPr>
        <w:spacing w:after="0" w:line="95"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If the market price of our ADSs declines as a result of the realization of any of these risks, investors could lose part or all of their investment in our ADSs.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2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The acquisition of a 20% or more voting interest in us by foreign investors requires governmental approval, which may restrict certain investments in and limit demand for our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Pursuant to the cross-sectoral examination in Section 55 et seq. of the German Foreign Trade and Payments Ordinance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Außenwirtschaftsverordnung</w:t>
      </w:r>
      <w:r>
        <w:rPr>
          <w:rFonts w:ascii="Arial" w:cs="Arial" w:eastAsia="Arial" w:hAnsi="Arial"/>
          <w:sz w:val="11"/>
          <w:szCs w:val="11"/>
          <w:color w:val="auto"/>
        </w:rPr>
        <w:t>, “AWV”), the Federal Ministry for Economic Affairs and Energy (</w:t>
      </w:r>
      <w:r>
        <w:rPr>
          <w:rFonts w:ascii="Arial" w:cs="Arial" w:eastAsia="Arial" w:hAnsi="Arial"/>
          <w:sz w:val="11"/>
          <w:szCs w:val="11"/>
          <w:i w:val="1"/>
          <w:iCs w:val="1"/>
          <w:color w:val="auto"/>
        </w:rPr>
        <w:t>Bundesministerium für Wirtschaft und Energie</w:t>
      </w:r>
      <w:r>
        <w:rPr>
          <w:rFonts w:ascii="Arial" w:cs="Arial" w:eastAsia="Arial" w:hAnsi="Arial"/>
          <w:sz w:val="11"/>
          <w:szCs w:val="11"/>
          <w:color w:val="auto"/>
        </w:rPr>
        <w: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“BMWi”) may prohibit or restrict the acquisition of our shares or ADSs by a foreign acquirer (</w:t>
      </w:r>
      <w:r>
        <w:rPr>
          <w:rFonts w:ascii="Arial" w:cs="Arial" w:eastAsia="Arial" w:hAnsi="Arial"/>
          <w:sz w:val="11"/>
          <w:szCs w:val="11"/>
          <w:i w:val="1"/>
          <w:iCs w:val="1"/>
          <w:color w:val="auto"/>
        </w:rPr>
        <w:t>i.e.</w:t>
      </w:r>
      <w:r>
        <w:rPr>
          <w:rFonts w:ascii="Arial" w:cs="Arial" w:eastAsia="Arial" w:hAnsi="Arial"/>
          <w:sz w:val="11"/>
          <w:szCs w:val="11"/>
          <w:color w:val="auto"/>
        </w:rPr>
        <w:t>, an investor that is resident or based outside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European Union (</w:t>
      </w:r>
      <w:r>
        <w:rPr>
          <w:rFonts w:ascii="Arial" w:cs="Arial" w:eastAsia="Arial" w:hAnsi="Arial"/>
          <w:sz w:val="11"/>
          <w:szCs w:val="11"/>
          <w:i w:val="1"/>
          <w:iCs w:val="1"/>
          <w:color w:val="auto"/>
        </w:rPr>
        <w:t>Unionsfremder</w:t>
      </w:r>
      <w:r>
        <w:rPr>
          <w:rFonts w:ascii="Arial" w:cs="Arial" w:eastAsia="Arial" w:hAnsi="Arial"/>
          <w:sz w:val="11"/>
          <w:szCs w:val="11"/>
          <w:color w:val="auto"/>
        </w:rPr>
        <w:t>)) if it endangers the public order or the security of Germany. According to an amendment to the AWV, which came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 xml:space="preserve">into force on May 1, 2021, statutory notification requirements apply, </w:t>
      </w:r>
      <w:r>
        <w:rPr>
          <w:rFonts w:ascii="Arial" w:cs="Arial" w:eastAsia="Arial" w:hAnsi="Arial"/>
          <w:sz w:val="11"/>
          <w:szCs w:val="11"/>
          <w:i w:val="1"/>
          <w:iCs w:val="1"/>
          <w:color w:val="auto"/>
        </w:rPr>
        <w:t>inter alia</w:t>
      </w:r>
      <w:r>
        <w:rPr>
          <w:rFonts w:ascii="Arial" w:cs="Arial" w:eastAsia="Arial" w:hAnsi="Arial"/>
          <w:sz w:val="11"/>
          <w:szCs w:val="11"/>
          <w:color w:val="auto"/>
        </w:rPr>
        <w:t>, to any acquisition by a foreign acquirer of 20% or more of the voting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rights of a company that develops or manufactures, among other things, goods intended for use in space or for use in space infrastructure systems as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159"/>
          </w:cols>
          <w:pgMar w:left="300" w:top="354"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well as goods specifically required for the operation of laser communication networks, including the Company. If grounds for an objection exist, the BMWi may prohibit the direct acquirer of our ADSs from making such an acquisition within two months of the receipt of the approval request in writing or issue instructions in order to ensure the public order or security in Germany. See “Regulatory Environment—German Foreign Investment Regime.” As a result, any such requirement to obtain governmental approval or the issuance of an objection by the BMWi may restrict certain investments in our ADSs, limit demand for our ADSs, and have negative impact on the stock exchange price of our ADSs.</w:t>
      </w:r>
    </w:p>
    <w:p>
      <w:pPr>
        <w:spacing w:after="0" w:line="113"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Following this offering, our existing shareholders (other than our existing public shareholders) will retain a significant interest in us, and their interests may conflict with ours or those of our other shareholders.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Following the completion of this offering, our existing shareholders (other than existing public holders of our ordinary shares) will continue to</w:t>
      </w:r>
    </w:p>
    <w:p>
      <w:pPr>
        <w:sectPr>
          <w:pgSz w:w="11900" w:h="16838" w:orient="portrait"/>
          <w:cols w:equalWidth="0" w:num="1">
            <w:col w:w="10159"/>
          </w:cols>
          <w:pgMar w:left="300" w:top="354" w:right="1440" w:bottom="1440" w:gutter="0" w:footer="0" w:header="0"/>
        </w:sectPr>
      </w:pPr>
    </w:p>
    <w:p>
      <w:pPr>
        <w:spacing w:after="0" w:line="26" w:lineRule="exact"/>
        <w:rPr>
          <w:sz w:val="20"/>
          <w:szCs w:val="20"/>
          <w:color w:val="auto"/>
        </w:rPr>
      </w:pPr>
    </w:p>
    <w:p>
      <w:pPr>
        <w:ind w:left="1980"/>
        <w:spacing w:after="0"/>
        <w:tabs>
          <w:tab w:leader="none" w:pos="3400" w:val="left"/>
          <w:tab w:leader="none" w:pos="6440" w:val="left"/>
        </w:tabs>
        <w:rPr>
          <w:sz w:val="20"/>
          <w:szCs w:val="20"/>
          <w:color w:val="auto"/>
        </w:rPr>
      </w:pPr>
      <w:r>
        <w:rPr>
          <w:rFonts w:ascii="Arial" w:cs="Arial" w:eastAsia="Arial" w:hAnsi="Arial"/>
          <w:sz w:val="12"/>
          <w:szCs w:val="12"/>
          <w:color w:val="auto"/>
        </w:rPr>
        <w:t>own approximately</w:t>
      </w:r>
      <w:r>
        <w:rPr>
          <w:sz w:val="20"/>
          <w:szCs w:val="20"/>
          <w:color w:val="auto"/>
        </w:rPr>
        <w:tab/>
      </w:r>
      <w:r>
        <w:rPr>
          <w:rFonts w:ascii="Arial" w:cs="Arial" w:eastAsia="Arial" w:hAnsi="Arial"/>
          <w:sz w:val="12"/>
          <w:szCs w:val="12"/>
          <w:color w:val="auto"/>
        </w:rPr>
        <w:t>% of our outstanding share capital (or approximately</w:t>
      </w:r>
      <w:r>
        <w:rPr>
          <w:sz w:val="20"/>
          <w:szCs w:val="20"/>
          <w:color w:val="auto"/>
        </w:rPr>
        <w:tab/>
      </w:r>
      <w:r>
        <w:rPr>
          <w:rFonts w:ascii="Arial" w:cs="Arial" w:eastAsia="Arial" w:hAnsi="Arial"/>
          <w:sz w:val="10"/>
          <w:szCs w:val="10"/>
          <w:color w:val="auto"/>
        </w:rPr>
        <w:t>% of our outstanding share capital if the underwriters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exercise their option to purchase additional ADSs from us in full) and therefore retain a majority of the votes in our shareholders’ meeting.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founders, members of our management and supervisory boards and known five percent shareholders, together with their affiliates, collectively own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approximately 17.6% of our outstanding share capital, and following the completion of this offering will collectively own approximately</w:t>
      </w:r>
    </w:p>
    <w:p>
      <w:pPr>
        <w:spacing w:after="0" w:line="6" w:lineRule="exact"/>
        <w:rPr>
          <w:sz w:val="20"/>
          <w:szCs w:val="20"/>
          <w:color w:val="auto"/>
        </w:rPr>
      </w:pPr>
    </w:p>
    <w:p>
      <w:pPr>
        <w:ind w:left="1980"/>
        <w:spacing w:after="0"/>
        <w:tabs>
          <w:tab w:leader="none" w:pos="4740" w:val="left"/>
        </w:tabs>
        <w:rPr>
          <w:sz w:val="20"/>
          <w:szCs w:val="20"/>
          <w:color w:val="auto"/>
        </w:rPr>
      </w:pPr>
      <w:r>
        <w:rPr>
          <w:rFonts w:ascii="Arial" w:cs="Arial" w:eastAsia="Arial" w:hAnsi="Arial"/>
          <w:sz w:val="12"/>
          <w:szCs w:val="12"/>
          <w:color w:val="auto"/>
        </w:rPr>
        <w:t>our outstanding share capital (or approximately</w:t>
      </w:r>
      <w:r>
        <w:rPr>
          <w:sz w:val="20"/>
          <w:szCs w:val="20"/>
          <w:color w:val="auto"/>
        </w:rPr>
        <w:tab/>
      </w:r>
      <w:r>
        <w:rPr>
          <w:rFonts w:ascii="Arial" w:cs="Arial" w:eastAsia="Arial" w:hAnsi="Arial"/>
          <w:sz w:val="10"/>
          <w:szCs w:val="10"/>
          <w:color w:val="auto"/>
        </w:rPr>
        <w:t>% of our outstanding share capital if the underwriters exercise their option to 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 of</w:t>
      </w:r>
    </w:p>
    <w:p>
      <w:pPr>
        <w:spacing w:after="0" w:line="170" w:lineRule="exact"/>
        <w:rPr>
          <w:sz w:val="20"/>
          <w:szCs w:val="20"/>
          <w:color w:val="auto"/>
        </w:rPr>
      </w:pPr>
    </w:p>
    <w:p>
      <w:pPr>
        <w:sectPr>
          <w:pgSz w:w="11900" w:h="16838" w:orient="portrait"/>
          <w:cols w:equalWidth="0" w:num="2">
            <w:col w:w="9040" w:space="0"/>
            <w:col w:w="1119"/>
          </w:cols>
          <w:pgMar w:left="300" w:top="354" w:right="1440" w:bottom="1440" w:gutter="0" w:footer="0" w:header="0"/>
          <w:type w:val="continuous"/>
        </w:sectPr>
      </w:pPr>
    </w:p>
    <w:p>
      <w:pPr>
        <w:ind w:left="1980" w:right="899"/>
        <w:spacing w:after="0" w:line="278" w:lineRule="auto"/>
        <w:rPr>
          <w:sz w:val="20"/>
          <w:szCs w:val="20"/>
          <w:color w:val="auto"/>
        </w:rPr>
      </w:pPr>
      <w:r>
        <w:rPr>
          <w:rFonts w:ascii="Arial" w:cs="Arial" w:eastAsia="Arial" w:hAnsi="Arial"/>
          <w:sz w:val="11"/>
          <w:szCs w:val="11"/>
          <w:color w:val="auto"/>
        </w:rPr>
        <w:t>additional ADSs from us in full). See “Principal Shareholders.” The interests of our existing shareholders may deviate from our interests or those of our other shareholders. Certain measures and transactions, including dividend payments, may be impossible to implement without the support of our existing shareholders. By virtue of the voting power held by our founders, management and five percent shareholders, they may have significant influence over the outcome of any corporate transaction or other matters submitted to our shareholders’ meeting for approval. In addition, some of our existing shareholders hold various interests in a number of companies and conflicts of interests may arise between these investments and our interests. Conflicts between the interests of our existing shareholders and our interests or those of our other shareholders may have a material adverse effect on our business, financial condition, results of operations and prospects.</w:t>
      </w:r>
    </w:p>
    <w:p>
      <w:pPr>
        <w:spacing w:after="0" w:line="118"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We will incur increased costs as a result of becoming a U.S. public company, and our management will be required to devote substantial time to new compliance initiatives and corporate governance practices.</w:t>
      </w:r>
    </w:p>
    <w:p>
      <w:pPr>
        <w:spacing w:after="0" w:line="115" w:lineRule="exact"/>
        <w:rPr>
          <w:sz w:val="20"/>
          <w:szCs w:val="20"/>
          <w:color w:val="auto"/>
        </w:rPr>
      </w:pPr>
    </w:p>
    <w:p>
      <w:pPr>
        <w:ind w:left="1980" w:right="879" w:firstLine="294"/>
        <w:spacing w:after="0" w:line="311" w:lineRule="auto"/>
        <w:rPr>
          <w:sz w:val="20"/>
          <w:szCs w:val="20"/>
          <w:color w:val="auto"/>
        </w:rPr>
      </w:pPr>
      <w:r>
        <w:rPr>
          <w:rFonts w:ascii="Arial" w:cs="Arial" w:eastAsia="Arial" w:hAnsi="Arial"/>
          <w:sz w:val="10"/>
          <w:szCs w:val="10"/>
          <w:color w:val="auto"/>
        </w:rPr>
        <w:t>As a U.S. public company, and particularly if we are no longer an emerging growth company under U.S. federal securities regulation, we will incur significant legal, accounting and other expenses, including, but not limited to, costs and expenses for management board members’ and supervisory board members’ fees, increased directors and officers insurance costs, investor relations costs, and various other costs associated with being a U.S. public company. The Sarbanes-Oxley Act, applicable listing requirements and other applicable securities rules and regulations impose various requirements on U.S.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maintain directors and officers insurance.</w:t>
      </w:r>
    </w:p>
    <w:p>
      <w:pPr>
        <w:spacing w:after="0" w:line="10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We are evaluating these rules and regulations, and cannot predict or estimate the amount of additional costs we may incur in connection therewith,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9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We are not currently required to comply with the rules of the SEC implementing Section 404 of the Sarbanes-Oxley Act, or Section 404, and therefore are not required to conduct a formal assessment of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0159"/>
          </w:cols>
          <w:pgMar w:left="300" w:top="354" w:right="1440" w:bottom="1440" w:gutter="0" w:footer="0" w:header="0"/>
          <w:type w:val="continuous"/>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effectiveness of our internal control over financial reporting for that purpose. Upon becoming a U.S. public company, we will be required to comply with the SEC’s rules implementing Sections 302, 906 and 404(a) of the Sarbanes-Oxley Act, which will require management to certify financial and other information in our annual reports and attest to the effectiveness of control over financial reporting. Though we will be required to disclose material changes in internal control over financial reporting on an annual basis, we will not be required to make an annual assessment of our internal control over financial reporting pursuant to Section 404(a) until the year of our second annual report required to be filed with the SEC.</w:t>
      </w:r>
    </w:p>
    <w:p>
      <w:pPr>
        <w:spacing w:after="0" w:line="113"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To achieve compliance with Section 404 within the prescribed period, we will be engaged in documenting and evaluating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 overall control environment is still immature and may expose us to errors, losses or fraud. Hence, there is a risk that we will not be able to conclude, within the prescribed timeframe or at all, that our internal control over financial reporting is effective as required by Section 404(a). Identification of (additional) material weaknesses once we are a U.S. public company could result in an adverse reaction among our investors due to a loss of confidence in the reliability of our financial statements. As a result, the market price of our ADSs could be negatively affected, and we could become subject to investigations by the stock exchange on which our ADSs are listed, the SEC or other regulatory authorities, which could require additional financial and management resources.</w:t>
      </w:r>
    </w:p>
    <w:p>
      <w:pPr>
        <w:spacing w:after="0" w:line="120"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Additionally, while we remain an emerging growth company, we will not be required to include an attestation report on internal control over financial reporting issued by our independent registered public accounting firm pursuant to Section 404(b). Furthermore, after the date that we are no longer an emerging growth company, our independent registered public accounting firm will only be required to attest to the effectiveness of our internal controls over financial reporting depending on our market capitalization. An independent assessment of the effectiveness of our internal controls could detect problems that our management’s assessment might not.</w:t>
      </w:r>
    </w:p>
    <w:p>
      <w:pPr>
        <w:spacing w:after="0" w:line="128"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The consequences of being a public company could have a material adverse effect on our business, financial condition, results of operations and prospects.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may not be able to adapt our internal controls or our reporting and risk management procedures to the requirements of a U.S. public company.</w:t>
      </w:r>
    </w:p>
    <w:p>
      <w:pPr>
        <w:spacing w:after="0" w:line="173"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will need to develop the expertise necessary to comply with the numerous regulatory and other requirements applicable to U.S. publicly listed companies, including requirements relating to corporate governance, internal control over financial reporting, listing standards, notification requirements and securities and investor relations issues, which will divert management attention and may prove costly. An inability to adapt our internal controls as well as our reporting and risk management procedures to the requirements of a public company could have a material adverse effect on our business, financial condition, results of operations and prospects.</w:t>
      </w:r>
    </w:p>
    <w:p>
      <w:pPr>
        <w:spacing w:after="0" w:line="128"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that were identified primarily related to (i) a lack of sufficient resources with an appropriate level of technical accounting and SEC</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0159"/>
          </w:cols>
          <w:pgMar w:left="300" w:top="354"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323" w:lineRule="auto"/>
        <w:rPr>
          <w:sz w:val="20"/>
          <w:szCs w:val="20"/>
          <w:color w:val="auto"/>
        </w:rPr>
      </w:pPr>
      <w:r>
        <w:rPr>
          <w:rFonts w:ascii="Arial" w:cs="Arial" w:eastAsia="Arial" w:hAnsi="Arial"/>
          <w:sz w:val="11"/>
          <w:szCs w:val="11"/>
          <w:color w:val="auto"/>
        </w:rPr>
        <w:t>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92"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While we have initiated a remediation plan to address these material weaknesses, our control environment still needs to be improved, and as a result, we may be exposed to errors. As part of this plan, we intend to (i) implement an enterprise resource planning (“ERP”) system from SAP AG in the second half of 2021, and (ii)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w:t>
      </w:r>
    </w:p>
    <w:p>
      <w:pPr>
        <w:spacing w:after="0" w:line="117"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Neither our management nor any outside advisor has performed an evaluation of our internal control over financial reporting in accordance with the provision of the Sarbanes Oxley Act because no such evaluation has been required. Had we or an outside advisor performed an evaluation of our internal control over financial reporting in accordance with the provisions of the Sarbanes Oxley Act, additional material weaknesses may have been identified. Any failure to establish or maintain an effective system of internal controls over financial reporting or to remediate material weaknesses could limit our ability to report our financial results accurately and in a timely manner or to detect and prevent fraud. If our efforts to establish and maintain an effective system of internal controls over financial reporting fail, regulatory authorities may initiate legal proceedings against us and our business, financial condition, results of operations and prospects could be adversely affected.</w:t>
      </w:r>
    </w:p>
    <w:p>
      <w:pPr>
        <w:spacing w:after="0" w:line="11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Future offerings of debt or equity securities by us could adversely affect the market price of our ADSs, and future issuances of equity securities could lead to a substantial dilution of our shareholders.</w:t>
      </w:r>
    </w:p>
    <w:p>
      <w:pPr>
        <w:spacing w:after="0" w:line="115"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We will require additional capital in the future to finance our business operations and growth. We may seek to raise such capital through the issuance of additional equity or debt securities with conversion rights (</w:t>
      </w:r>
      <w:r>
        <w:rPr>
          <w:rFonts w:ascii="Arial" w:cs="Arial" w:eastAsia="Arial" w:hAnsi="Arial"/>
          <w:sz w:val="12"/>
          <w:szCs w:val="12"/>
          <w:i w:val="1"/>
          <w:iCs w:val="1"/>
          <w:color w:val="auto"/>
        </w:rPr>
        <w:t>e.g.</w:t>
      </w:r>
      <w:r>
        <w:rPr>
          <w:rFonts w:ascii="Arial" w:cs="Arial" w:eastAsia="Arial" w:hAnsi="Arial"/>
          <w:sz w:val="12"/>
          <w:szCs w:val="12"/>
          <w:color w:val="auto"/>
        </w:rPr>
        <w:t>, convertible bonds and option rights). An issuance of additional equity or debt securities with conversion rights could potentially reduce the market price of our ADSs. We currently cannot predict the amounts and terms of such future offerings.</w:t>
      </w:r>
    </w:p>
    <w:p>
      <w:pPr>
        <w:spacing w:after="0" w:line="124"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13"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our ADSs and dilute the holdings of existing shareholders.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159"/>
          </w:cols>
          <w:pgMar w:left="300" w:top="354"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Future sales by major shareholders, or the perception of future sales, could materially adversely affect the market price of our ADSs.</w:t>
      </w:r>
    </w:p>
    <w:p>
      <w:pPr>
        <w:spacing w:after="0" w:line="162"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For various reasons, shareholders may sell all or some of their shares or ADSs, including in order to diversify their investments, subject to certain restrictions described below. Our existing majority shareholders hold a substantial number of our shares, and may acquire a substantial number of our ADSs in the future after completion of this offering. In addition, we intend to delist our ordinary shares from the Frankfurt Stock Exchange, and as a result our shareholders may seek to sell their ordinary shares on the Frankfurt Stock Exchange or deposit their ordinary shares with the depositary or the custodian for the depositary in exchange for ADSs as the date for our delisting on the Frankfurt Stock Exchange draws near. Sales of a substantial number of our shares or ADSs in the public market following the successful completion of the offering or the issuance by the depositary of ADSs in connection with our delisting on the Frankfurt Stock Exchange, or the perception that such sales or issuances might occur, could depress the market price of our ADSs and could impair our ability to raise capital through the sale of additional equity securities.</w:t>
      </w:r>
    </w:p>
    <w:p>
      <w:pPr>
        <w:spacing w:after="0" w:line="115" w:lineRule="exact"/>
        <w:rPr>
          <w:sz w:val="20"/>
          <w:szCs w:val="20"/>
          <w:color w:val="auto"/>
        </w:rPr>
      </w:pPr>
    </w:p>
    <w:p>
      <w:pPr>
        <w:ind w:left="2260"/>
        <w:spacing w:after="0"/>
        <w:tabs>
          <w:tab w:leader="none" w:pos="5040" w:val="left"/>
          <w:tab w:leader="none" w:pos="7080" w:val="left"/>
        </w:tabs>
        <w:rPr>
          <w:sz w:val="20"/>
          <w:szCs w:val="20"/>
          <w:color w:val="auto"/>
        </w:rPr>
      </w:pPr>
      <w:r>
        <w:rPr>
          <w:rFonts w:ascii="Arial" w:cs="Arial" w:eastAsia="Arial" w:hAnsi="Arial"/>
          <w:sz w:val="12"/>
          <w:szCs w:val="12"/>
          <w:color w:val="auto"/>
        </w:rPr>
        <w:t>Upon completion of this offering, we will have</w:t>
      </w:r>
      <w:r>
        <w:rPr>
          <w:sz w:val="20"/>
          <w:szCs w:val="20"/>
          <w:color w:val="auto"/>
        </w:rPr>
        <w:tab/>
      </w:r>
      <w:r>
        <w:rPr>
          <w:rFonts w:ascii="Arial" w:cs="Arial" w:eastAsia="Arial" w:hAnsi="Arial"/>
          <w:sz w:val="12"/>
          <w:szCs w:val="12"/>
          <w:color w:val="auto"/>
        </w:rPr>
        <w:t>ADSs outstanding representing</w:t>
      </w:r>
      <w:r>
        <w:rPr>
          <w:sz w:val="20"/>
          <w:szCs w:val="20"/>
          <w:color w:val="auto"/>
        </w:rPr>
        <w:tab/>
      </w:r>
      <w:r>
        <w:rPr>
          <w:rFonts w:ascii="Arial" w:cs="Arial" w:eastAsia="Arial" w:hAnsi="Arial"/>
          <w:sz w:val="10"/>
          <w:szCs w:val="10"/>
          <w:color w:val="auto"/>
        </w:rPr>
        <w:t>ordinary shares, or approximately</w:t>
      </w:r>
    </w:p>
    <w:p>
      <w:pPr>
        <w:spacing w:after="0" w:line="15" w:lineRule="exact"/>
        <w:rPr>
          <w:sz w:val="20"/>
          <w:szCs w:val="20"/>
          <w:color w:val="auto"/>
        </w:rPr>
      </w:pPr>
    </w:p>
    <w:p>
      <w:pPr>
        <w:ind w:left="2460"/>
        <w:spacing w:after="0"/>
        <w:tabs>
          <w:tab w:leader="none" w:pos="4780" w:val="left"/>
          <w:tab w:leader="none" w:pos="6820" w:val="left"/>
          <w:tab w:leader="none" w:pos="8940" w:val="left"/>
        </w:tabs>
        <w:rPr>
          <w:sz w:val="20"/>
          <w:szCs w:val="20"/>
          <w:color w:val="auto"/>
        </w:rPr>
      </w:pPr>
      <w:r>
        <w:rPr>
          <w:rFonts w:ascii="Arial" w:cs="Arial" w:eastAsia="Arial" w:hAnsi="Arial"/>
          <w:sz w:val="12"/>
          <w:szCs w:val="12"/>
          <w:color w:val="auto"/>
        </w:rPr>
        <w:t>% of our outstanding share capital (or</w:t>
      </w:r>
      <w:r>
        <w:rPr>
          <w:sz w:val="20"/>
          <w:szCs w:val="20"/>
          <w:color w:val="auto"/>
        </w:rPr>
        <w:tab/>
      </w:r>
      <w:r>
        <w:rPr>
          <w:rFonts w:ascii="Arial" w:cs="Arial" w:eastAsia="Arial" w:hAnsi="Arial"/>
          <w:sz w:val="12"/>
          <w:szCs w:val="12"/>
          <w:color w:val="auto"/>
        </w:rPr>
        <w:t>ADSs outstanding representing</w:t>
      </w:r>
      <w:r>
        <w:rPr>
          <w:sz w:val="20"/>
          <w:szCs w:val="20"/>
          <w:color w:val="auto"/>
        </w:rPr>
        <w:tab/>
      </w:r>
      <w:r>
        <w:rPr>
          <w:rFonts w:ascii="Arial" w:cs="Arial" w:eastAsia="Arial" w:hAnsi="Arial"/>
          <w:sz w:val="12"/>
          <w:szCs w:val="12"/>
          <w:color w:val="auto"/>
        </w:rPr>
        <w:t>ordinary shares, or approximately</w:t>
      </w:r>
      <w:r>
        <w:rPr>
          <w:sz w:val="20"/>
          <w:szCs w:val="20"/>
          <w:color w:val="auto"/>
        </w:rPr>
        <w:tab/>
      </w:r>
      <w:r>
        <w:rPr>
          <w:rFonts w:ascii="Arial" w:cs="Arial" w:eastAsia="Arial" w:hAnsi="Arial"/>
          <w:sz w:val="11"/>
          <w:szCs w:val="11"/>
          <w:color w:val="auto"/>
        </w:rPr>
        <w:t>% of</w:t>
      </w:r>
    </w:p>
    <w:p>
      <w:pPr>
        <w:spacing w:after="0" w:line="6" w:lineRule="exact"/>
        <w:rPr>
          <w:sz w:val="20"/>
          <w:szCs w:val="20"/>
          <w:color w:val="auto"/>
        </w:rPr>
      </w:pPr>
    </w:p>
    <w:p>
      <w:pPr>
        <w:ind w:left="1980" w:right="859"/>
        <w:spacing w:after="0" w:line="276" w:lineRule="auto"/>
        <w:rPr>
          <w:sz w:val="20"/>
          <w:szCs w:val="20"/>
          <w:color w:val="auto"/>
        </w:rPr>
      </w:pPr>
      <w:r>
        <w:rPr>
          <w:rFonts w:ascii="Arial" w:cs="Arial" w:eastAsia="Arial" w:hAnsi="Arial"/>
          <w:sz w:val="11"/>
          <w:szCs w:val="11"/>
          <w:color w:val="auto"/>
        </w:rPr>
        <w:t>our outstanding share capital, if the underwriters exercise their option to purchase additional ADSs from us in full). The ADSs offered in this offering will be freely tradable without restriction under the Securities Act of 1933, as amended (the “Securities Act”), except for any ADSs that may be held or acquired by our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 In addition, following the completion of this offering, we intend to file one or more registration statements on Form S-8 under the Securities Act to register our ordinary shares issuable under our stock option programs. Any such registration statement on Form S-8 will become effective automatically upon filing. Accordingly,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See “Shares and ADSs Eligible for Future Sale.” In connection with this offering, we and the members of our management board and supervisory board and certain of our existing shareholders have each entered into lock-up agreements pursuant to which we and they will not be permitted to sell ADSs or ordinary shares for 180 days after the date of this prospectus, without the prior consent of the representatives of the underwriters. See “Underwriting.”</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have broad discretion with respect to the use of the net proceeds from this offering and may not use them effectively.</w:t>
      </w:r>
    </w:p>
    <w:p>
      <w:pPr>
        <w:spacing w:after="0" w:line="150" w:lineRule="exact"/>
        <w:rPr>
          <w:sz w:val="20"/>
          <w:szCs w:val="20"/>
          <w:color w:val="auto"/>
        </w:rPr>
      </w:pPr>
    </w:p>
    <w:p>
      <w:pPr>
        <w:jc w:val="both"/>
        <w:ind w:left="1980" w:right="919" w:firstLine="294"/>
        <w:spacing w:after="0" w:line="285" w:lineRule="auto"/>
        <w:rPr>
          <w:sz w:val="20"/>
          <w:szCs w:val="20"/>
          <w:color w:val="auto"/>
        </w:rPr>
      </w:pPr>
      <w:r>
        <w:rPr>
          <w:rFonts w:ascii="Arial" w:cs="Arial" w:eastAsia="Arial" w:hAnsi="Arial"/>
          <w:sz w:val="11"/>
          <w:szCs w:val="11"/>
          <w:color w:val="auto"/>
        </w:rPr>
        <w:t>Our management will have considerable discretion in the application of the net proceeds from this offering and could spend the proceeds in ways that do not improve our results of operations or enhance the value of our ADSs. Shareholders may not be able to assess whether the proceeds are being used appropriately. We have not quantified or allocated any specific portion or range of the net proceeds to us for any particular purpose. The failure by our management to apply these funds effectively could result in financial losses that could have a material adverse effect on our business and cause the price of our ADSs to decline. See “Use of Proceeds” in this prospectus.</w:t>
      </w:r>
    </w:p>
    <w:p>
      <w:pPr>
        <w:spacing w:after="0" w:line="113"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our ADSs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159"/>
          </w:cols>
          <w:pgMar w:left="300" w:top="354"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may decline. If one or more of these analysts ceases coverage of our company or fails to publish reports on us regularly, demand for our ADSs could decrease, which might cause our ADS price and trading volume to decline.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do not expect to pay any dividends in the foreseeable future.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We have not yet paid any dividends to our shareholders and do not currently intend to pay dividends for the foreseeable future. Under German law, dividends may only be distributed from our distributable profit (</w:t>
      </w:r>
      <w:r>
        <w:rPr>
          <w:rFonts w:ascii="Arial" w:cs="Arial" w:eastAsia="Arial" w:hAnsi="Arial"/>
          <w:sz w:val="11"/>
          <w:szCs w:val="11"/>
          <w:i w:val="1"/>
          <w:iCs w:val="1"/>
          <w:color w:val="auto"/>
        </w:rPr>
        <w:t>Bilanzgewinn</w:t>
      </w:r>
      <w:r>
        <w:rPr>
          <w:rFonts w:ascii="Arial" w:cs="Arial" w:eastAsia="Arial" w:hAnsi="Arial"/>
          <w:sz w:val="11"/>
          <w:szCs w:val="11"/>
          <w:color w:val="auto"/>
        </w:rPr>
        <w:t>) reflected in our unconsolidated financial statements (as opposed to the consolidated financial statements for us and our subsidiaries) prepared in accordance with German generally accepted accounting principles of the German Commercial Code (</w:t>
      </w:r>
      <w:r>
        <w:rPr>
          <w:rFonts w:ascii="Arial" w:cs="Arial" w:eastAsia="Arial" w:hAnsi="Arial"/>
          <w:sz w:val="11"/>
          <w:szCs w:val="11"/>
          <w:i w:val="1"/>
          <w:iCs w:val="1"/>
          <w:color w:val="auto"/>
        </w:rPr>
        <w:t>Handelsgesetzbuch</w:t>
      </w:r>
      <w:r>
        <w:rPr>
          <w:rFonts w:ascii="Arial" w:cs="Arial" w:eastAsia="Arial" w:hAnsi="Arial"/>
          <w:sz w:val="11"/>
          <w:szCs w:val="11"/>
          <w:color w:val="auto"/>
        </w:rPr>
        <w:t>). Such accounting principles differ from IFRS as issued by the IASB in material respects.</w:t>
      </w:r>
    </w:p>
    <w:p>
      <w:pPr>
        <w:spacing w:after="0" w:line="111"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w:t>
      </w:r>
    </w:p>
    <w:p>
      <w:pPr>
        <w:spacing w:after="0" w:line="111"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Consequently, we do not expect to pay dividends in the foreseeable future, and as a result any return on an investment in our ADSs will be solely dependent upon the appreciation of the trading price of our ADSs, which may not occur. See “Dividend Policy” in this prospectus.</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Holders of our ADSs may be subject to limitations on transfer of their ADSs.</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 See “Description of American Depositary Shares” in this prospectus.</w:t>
      </w:r>
    </w:p>
    <w:p>
      <w:pPr>
        <w:spacing w:after="0" w:line="12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Holders of ADSs are not treated as shareholders of our company and the exercise of voting rights by holders of our ADSs is limited by the terms of the deposit agreement.</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By participating in this offering, you will become a holder of ADSs with underlying shares in a German public company. 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w:t>
      </w:r>
    </w:p>
    <w:p>
      <w:pPr>
        <w:spacing w:after="0" w:line="124"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Holders of our ADSs may exercise their voting rights with respect to the ordinary shares underlying their ADSs only in accordance with the provisions of the deposit agreement. Upon receipt of voting instructions from a holder of our ADSs in the manner set forth in the deposit agreement, the depositary for our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our ADSs may not receive notice of a shareholders’ meeting sufficiently in advance of the meeting to permit such holder to withdraw the ordinary shares underlying its ADSs from the depositary to allow the holder to cast</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159"/>
          </w:cols>
          <w:pgMar w:left="300" w:top="354" w:right="1440"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its vote with respect to any specific matter at the meeting. In addition, the depositary and its agents may not be able to send voting instructions to a holder of our ADSs or carry out such holder’s voting instructions in a timely manner. We will make all reasonable efforts to cause the depositary to extend voting rights to a holder of our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our ADSs may not be able to exercise its right to vote and may lack recourse if the ordinary shares are not voted as requested by such holder. See “Description of American Depositary Shares” in this prospectus.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The rights of shareholders in companies subject to German corporate law differ in material respects from the rights of shareholders of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corporations.</w:t>
      </w:r>
    </w:p>
    <w:p>
      <w:pPr>
        <w:spacing w:after="0" w:line="141"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incorporated under German law, and by participating in this offering you will become a holder of ADSs of a German stock corporation. Our corporate affairs are governed by our articles of association and by the laws governing stock corporations incorporated in Germany. You should be aware that the rights of shareholders of a German stock corporation under German law differ in important respects from those of shareholders of a U.S. corporation. These differences include, in particular:</w:t>
      </w:r>
    </w:p>
    <w:p>
      <w:pPr>
        <w:spacing w:after="0" w:line="48" w:lineRule="exact"/>
        <w:rPr>
          <w:sz w:val="20"/>
          <w:szCs w:val="20"/>
          <w:color w:val="auto"/>
        </w:rPr>
      </w:pPr>
    </w:p>
    <w:p>
      <w:pPr>
        <w:ind w:left="2620" w:right="919" w:hanging="288"/>
        <w:spacing w:after="0" w:line="254" w:lineRule="auto"/>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Under German law, certain important resolutions, including, for example, capital decreases, measures under the German Transformation Act (</w:t>
      </w:r>
      <w:r>
        <w:rPr>
          <w:rFonts w:ascii="Arial" w:cs="Arial" w:eastAsia="Arial" w:hAnsi="Arial"/>
          <w:sz w:val="12"/>
          <w:szCs w:val="12"/>
          <w:i w:val="1"/>
          <w:iCs w:val="1"/>
          <w:color w:val="auto"/>
        </w:rPr>
        <w:t>Umwandlungsgesetz</w:t>
      </w:r>
      <w:r>
        <w:rPr>
          <w:rFonts w:ascii="Arial" w:cs="Arial" w:eastAsia="Arial" w:hAnsi="Arial"/>
          <w:sz w:val="12"/>
          <w:szCs w:val="12"/>
          <w:color w:val="auto"/>
        </w:rPr>
        <w:t>),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w:t>
      </w:r>
    </w:p>
    <w:p>
      <w:pPr>
        <w:spacing w:after="0" w:line="66" w:lineRule="exact"/>
        <w:rPr>
          <w:rFonts w:ascii="Arial" w:cs="Arial" w:eastAsia="Arial" w:hAnsi="Arial"/>
          <w:sz w:val="12"/>
          <w:szCs w:val="12"/>
          <w:color w:val="auto"/>
        </w:rPr>
      </w:pPr>
    </w:p>
    <w:p>
      <w:pPr>
        <w:ind w:left="2620" w:right="859" w:hanging="288"/>
        <w:spacing w:after="0" w:line="311" w:lineRule="auto"/>
        <w:tabs>
          <w:tab w:leader="none" w:pos="2620" w:val="left"/>
        </w:tabs>
        <w:numPr>
          <w:ilvl w:val="0"/>
          <w:numId w:val="21"/>
        </w:numPr>
        <w:rPr>
          <w:rFonts w:ascii="Arial" w:cs="Arial" w:eastAsia="Arial" w:hAnsi="Arial"/>
          <w:sz w:val="10"/>
          <w:szCs w:val="10"/>
          <w:color w:val="auto"/>
        </w:rPr>
      </w:pPr>
      <w:r>
        <w:rPr>
          <w:rFonts w:ascii="Arial" w:cs="Arial" w:eastAsia="Arial" w:hAnsi="Arial"/>
          <w:sz w:val="10"/>
          <w:szCs w:val="10"/>
          <w:color w:val="auto"/>
        </w:rPr>
        <w:t>As a general rule under German law, a shareholder has no direct recourse against the members of the management board (</w:t>
      </w:r>
      <w:r>
        <w:rPr>
          <w:rFonts w:ascii="Arial" w:cs="Arial" w:eastAsia="Arial" w:hAnsi="Arial"/>
          <w:sz w:val="10"/>
          <w:szCs w:val="10"/>
          <w:i w:val="1"/>
          <w:iCs w:val="1"/>
          <w:color w:val="auto"/>
        </w:rPr>
        <w:t>Vorstand</w:t>
      </w:r>
      <w:r>
        <w:rPr>
          <w:rFonts w:ascii="Arial" w:cs="Arial" w:eastAsia="Arial" w:hAnsi="Arial"/>
          <w:sz w:val="10"/>
          <w:szCs w:val="10"/>
          <w:color w:val="auto"/>
        </w:rPr>
        <w:t>) or supervisory board (</w:t>
      </w:r>
      <w:r>
        <w:rPr>
          <w:rFonts w:ascii="Arial" w:cs="Arial" w:eastAsia="Arial" w:hAnsi="Arial"/>
          <w:sz w:val="10"/>
          <w:szCs w:val="10"/>
          <w:i w:val="1"/>
          <w:iCs w:val="1"/>
          <w:color w:val="auto"/>
        </w:rPr>
        <w:t>Aufsichtsrat</w:t>
      </w:r>
      <w:r>
        <w:rPr>
          <w:rFonts w:ascii="Arial" w:cs="Arial" w:eastAsia="Arial" w:hAnsi="Arial"/>
          <w:sz w:val="10"/>
          <w:szCs w:val="10"/>
          <w:color w:val="auto"/>
        </w:rPr>
        <w:t>)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w:t>
      </w:r>
    </w:p>
    <w:p>
      <w:pPr>
        <w:spacing w:after="0" w:line="104"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For more information, we have provided summaries of relevant German corporate law and of our articles of association under “Description of Share Capital and Articles of Association.”</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Under German law, the existing shareholders of a stock corporation generally have a preemptive right to subscribe for shares,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for a capital increase from authorized capital, this preemptive right provided that, from the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0159"/>
          </w:cols>
          <w:pgMar w:left="300" w:top="354"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company’s perspective, there exists good and objective cause for such waiver, especially for a capital increase of up to 10% of the share capital if the issue price of the new shares is not significantly lower than their market price.</w:t>
      </w:r>
    </w:p>
    <w:p>
      <w:pPr>
        <w:spacing w:after="0" w:line="115"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Certain non-German shareholders may not be able to exercise their preemptive subscription rights in our future offerings due to the legislation and regulations of their home country. For example, ADS holders in the U.S.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Investors may have difficulty enforcing civil liabilities against us, our management board members, our supervisory board members.</w:t>
      </w:r>
    </w:p>
    <w:p>
      <w:pPr>
        <w:spacing w:after="0" w:line="162"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Certain members of our supervisory board and management board and the experts named in this prospectus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and the experts named in this prospectus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w:t>
      </w:r>
    </w:p>
    <w:p>
      <w:pPr>
        <w:spacing w:after="0" w:line="11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German and European insolvency laws are substantially different from U.S. insolvency laws and may offer our shareholders less protection than they would have under U.S. insolvency laws.</w:t>
      </w:r>
    </w:p>
    <w:p>
      <w:pPr>
        <w:spacing w:after="0" w:line="11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159"/>
          </w:cols>
          <w:pgMar w:left="300" w:top="354"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379" w:lineRule="auto"/>
        <w:rPr>
          <w:sz w:val="20"/>
          <w:szCs w:val="20"/>
          <w:color w:val="auto"/>
        </w:rPr>
      </w:pPr>
      <w:r>
        <w:rPr>
          <w:rFonts w:ascii="Arial" w:cs="Arial" w:eastAsia="Arial" w:hAnsi="Arial"/>
          <w:sz w:val="10"/>
          <w:szCs w:val="10"/>
          <w:b w:val="1"/>
          <w:bCs w:val="1"/>
          <w:i w:val="1"/>
          <w:iCs w:val="1"/>
          <w:color w:val="auto"/>
        </w:rPr>
        <w:t>We are an emerging growth company, as defined in the Securities Act, and we cannot be certain whether the reduced disclosure requirements applicable to emerging growth companies will make our ADSs less attractive to investors, given that we may rely on these exemptions.</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We are an “emerging growth company,” as defined in Section 2(a) of the Securities Act, as modified by the JOBS Act, and therefore we may take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advantage of certain exemptions from reporting requirements that are applicable to public companies that are not “emerging growth companies,”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including, but not limited to, presenting only limited selected financial data in the registration statement on Form F-1 of which this prospectus is a part,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not being required to comply with the auditor attestation requirements of Section 404 in subsequent Annual Reports filed on Form 20-F and not being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required to comply with any requirement that may be adopted by the Public Company Accounting Oversight Board regarding mandatory audit firm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rotation or a supplement to the auditor’s report providing additional information about the audit and the financial statements. As a result,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shareholders may not have access to certain information that they may deem important. In addition, the JOBS Act provides that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may take advantage of an extended transition period for complying with new or revised accounting standards, which allows an emerging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growth company to delay the adoption of certain accounting standards until those standards would otherwise apply to private companies. Such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provisions are only applicable under U.S. GAAP. We currently prepare our financial statements in accordance with IFRS as issued by the IASB, which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do not have separate provisions for publicly traded and private companies. However, in the event we convert to U.S. GAAP while we are still an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“emerging growth company,” we may be able to take advantage of the benefits of this extended transition period. We could be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for up to five years, although circumstances could cause us to lose that status earlier, including if our total annual gross revenue exceeds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$1.07 billion, if we issue more than $1.00 billion in non-convertible debt securities during any three-year period, or if we are a large accelerated filer and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market value of our ADSs held by non-affiliates exceeds $700 million as of the end of any second quarter before that time. Investors may find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ADSs less attractive because we have relied on the reporting requirement exemptions described above. If some investors find our ADSs less attractive,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there may be a less active trading market for our ADSs and the price of our ADSs may become more volatile.</w:t>
      </w:r>
    </w:p>
    <w:p>
      <w:pPr>
        <w:spacing w:after="0" w:line="141"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As a foreign private issuer, we will not be subject to U.S. proxy rules and will be subject to Exchange Act reporting obligations that, to some extent, are more lenient than those of a U.S. domestic public company.</w:t>
      </w:r>
    </w:p>
    <w:p>
      <w:pPr>
        <w:spacing w:after="0" w:line="115"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Upon completion of this offering, we will report under the Exchange Act as a non-U.S. company with foreign private issuer status. Because we qualify as a foreign private issuer under the Exchange Act and although we are subject to German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our ADSs may not have the same protections afforded to shareholders of a company that is not a foreign private issuer.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i w:val="1"/>
          <w:iCs w:val="1"/>
          <w:color w:val="auto"/>
        </w:rPr>
        <w:t>We may lose our foreign private issuer status in the future, which could result in significant additional costs and expenses.</w:t>
      </w:r>
    </w:p>
    <w:p>
      <w:pPr>
        <w:spacing w:after="0" w:line="150"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As discussed above, we are a foreign private issuer and, therefore, we are not required to comply with all of the periodic disclosure and current reporting requirements of the Exchange Act. The determination of foreign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159"/>
          </w:cols>
          <w:pgMar w:left="300" w:top="354"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private issuer status is made annually on the last business day of an issuer’s most recently completed second fiscal quarter, and, accordingly, the next determination will be made with respect to us on June 30, 2022.</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the future, we would cease to be a foreign private issuer at such time as more than 50% of our outstanding voting securities are held by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residents and any of the following three circumstances applies: (i) the majority of our executive officers or directors are U.S. citizens or residents,</w:t>
      </w:r>
    </w:p>
    <w:p>
      <w:pPr>
        <w:spacing w:after="0" w:line="18" w:lineRule="exact"/>
        <w:rPr>
          <w:sz w:val="20"/>
          <w:szCs w:val="20"/>
          <w:color w:val="auto"/>
        </w:rPr>
      </w:pPr>
    </w:p>
    <w:p>
      <w:pPr>
        <w:ind w:left="1980" w:right="899" w:hanging="8"/>
        <w:spacing w:after="0" w:line="300" w:lineRule="auto"/>
        <w:tabs>
          <w:tab w:leader="none" w:pos="2157" w:val="left"/>
        </w:tabs>
        <w:numPr>
          <w:ilvl w:val="0"/>
          <w:numId w:val="22"/>
        </w:numPr>
        <w:rPr>
          <w:rFonts w:ascii="Arial" w:cs="Arial" w:eastAsia="Arial" w:hAnsi="Arial"/>
          <w:sz w:val="10"/>
          <w:szCs w:val="10"/>
          <w:color w:val="auto"/>
        </w:rPr>
      </w:pPr>
      <w:r>
        <w:rPr>
          <w:rFonts w:ascii="Arial" w:cs="Arial" w:eastAsia="Arial" w:hAnsi="Arial"/>
          <w:sz w:val="10"/>
          <w:szCs w:val="10"/>
          <w:color w:val="auto"/>
        </w:rPr>
        <w:t>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w:t>
      </w:r>
    </w:p>
    <w:p>
      <w:pPr>
        <w:spacing w:after="0" w:line="1"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rely upon exemptions from certain corporate governance requirements under the listing rules of .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As we are a foreign private issuer and intend to follow certain home country corporate governance practices, holders of our ADSs may not have the</w:t>
      </w:r>
    </w:p>
    <w:p>
      <w:pPr>
        <w:spacing w:after="0" w:line="38" w:lineRule="exact"/>
        <w:rPr>
          <w:sz w:val="20"/>
          <w:szCs w:val="20"/>
          <w:color w:val="auto"/>
        </w:rPr>
      </w:pPr>
    </w:p>
    <w:p>
      <w:pPr>
        <w:ind w:left="1980"/>
        <w:spacing w:after="0"/>
        <w:tabs>
          <w:tab w:leader="none" w:pos="6320" w:val="left"/>
        </w:tabs>
        <w:rPr>
          <w:sz w:val="20"/>
          <w:szCs w:val="20"/>
          <w:color w:val="auto"/>
        </w:rPr>
      </w:pPr>
      <w:r>
        <w:rPr>
          <w:rFonts w:ascii="Arial" w:cs="Arial" w:eastAsia="Arial" w:hAnsi="Arial"/>
          <w:sz w:val="12"/>
          <w:szCs w:val="12"/>
          <w:b w:val="1"/>
          <w:bCs w:val="1"/>
          <w:i w:val="1"/>
          <w:iCs w:val="1"/>
          <w:color w:val="auto"/>
        </w:rPr>
        <w:t>same protections afforded to shareholders of companies that are subject to all</w:t>
      </w:r>
      <w:r>
        <w:rPr>
          <w:sz w:val="20"/>
          <w:szCs w:val="20"/>
          <w:color w:val="auto"/>
        </w:rPr>
        <w:tab/>
      </w:r>
      <w:r>
        <w:rPr>
          <w:rFonts w:ascii="Arial" w:cs="Arial" w:eastAsia="Arial" w:hAnsi="Arial"/>
          <w:sz w:val="10"/>
          <w:szCs w:val="10"/>
          <w:b w:val="1"/>
          <w:bCs w:val="1"/>
          <w:i w:val="1"/>
          <w:iCs w:val="1"/>
          <w:color w:val="auto"/>
        </w:rPr>
        <w:t>corporate governance requirements.</w:t>
      </w:r>
    </w:p>
    <w:p>
      <w:pPr>
        <w:spacing w:after="0" w:line="141" w:lineRule="exact"/>
        <w:rPr>
          <w:sz w:val="20"/>
          <w:szCs w:val="20"/>
          <w:color w:val="auto"/>
        </w:rPr>
      </w:pPr>
    </w:p>
    <w:p>
      <w:pPr>
        <w:ind w:left="2260"/>
        <w:spacing w:after="0"/>
        <w:tabs>
          <w:tab w:leader="none" w:pos="9160" w:val="left"/>
        </w:tabs>
        <w:rPr>
          <w:sz w:val="20"/>
          <w:szCs w:val="20"/>
          <w:color w:val="auto"/>
        </w:rPr>
      </w:pPr>
      <w:r>
        <w:rPr>
          <w:rFonts w:ascii="Arial" w:cs="Arial" w:eastAsia="Arial" w:hAnsi="Arial"/>
          <w:sz w:val="11"/>
          <w:szCs w:val="11"/>
          <w:color w:val="auto"/>
        </w:rPr>
        <w:t>As a foreign private issuer, we have the option to follow certain home country corporate governance practices rather than those of the</w:t>
      </w:r>
      <w:r>
        <w:rPr>
          <w:sz w:val="20"/>
          <w:szCs w:val="20"/>
          <w:color w:val="auto"/>
        </w:rPr>
        <w:tab/>
      </w:r>
      <w:r>
        <w:rPr>
          <w:rFonts w:ascii="Arial" w:cs="Arial" w:eastAsia="Arial" w:hAnsi="Arial"/>
          <w:sz w:val="7"/>
          <w:szCs w:val="7"/>
          <w:color w:val="auto"/>
        </w:rPr>
        <w:t>,</w:t>
      </w:r>
    </w:p>
    <w:p>
      <w:pPr>
        <w:spacing w:after="0" w:line="26" w:lineRule="exact"/>
        <w:rPr>
          <w:sz w:val="20"/>
          <w:szCs w:val="20"/>
          <w:color w:val="auto"/>
        </w:rPr>
      </w:pPr>
    </w:p>
    <w:p>
      <w:pPr>
        <w:ind w:left="1980" w:right="919"/>
        <w:spacing w:after="0" w:line="306" w:lineRule="auto"/>
        <w:rPr>
          <w:sz w:val="20"/>
          <w:szCs w:val="20"/>
          <w:color w:val="auto"/>
        </w:rPr>
      </w:pPr>
      <w:r>
        <w:rPr>
          <w:rFonts w:ascii="Arial" w:cs="Arial" w:eastAsia="Arial" w:hAnsi="Arial"/>
          <w:sz w:val="11"/>
          <w:szCs w:val="11"/>
          <w:color w:val="auto"/>
        </w:rPr>
        <w:t>provided that we disclose the requirements we are not following and describe the home country practices we are following. The standards applicable to us are considerably different than the standards applied to domestic U.S. issuers. For instance, we are not required to:</w:t>
      </w:r>
    </w:p>
    <w:p>
      <w:pPr>
        <w:spacing w:after="0" w:line="38" w:lineRule="exact"/>
        <w:rPr>
          <w:sz w:val="20"/>
          <w:szCs w:val="20"/>
          <w:color w:val="auto"/>
        </w:rPr>
      </w:pPr>
    </w:p>
    <w:p>
      <w:pPr>
        <w:ind w:left="2620" w:right="89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have a majority of the board be independent (although all of the members of the audit committee must be independent under the Exchange Act);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have a compensation committee or a nominating or corporate governance committee consisting entirely of independent directors;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have regularly scheduled executive sessions with only independent directors;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adopt and disclose a code of ethics for directors, officers and employees.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We have relied on and intend to continue to rely on some of these exemptions. As a result, holders of our ADSs may not have the same protections</w:t>
      </w:r>
    </w:p>
    <w:p>
      <w:pPr>
        <w:spacing w:after="0" w:line="38" w:lineRule="exact"/>
        <w:rPr>
          <w:sz w:val="20"/>
          <w:szCs w:val="20"/>
          <w:color w:val="auto"/>
        </w:rPr>
      </w:pPr>
    </w:p>
    <w:p>
      <w:pPr>
        <w:ind w:left="1980"/>
        <w:spacing w:after="0"/>
        <w:tabs>
          <w:tab w:leader="none" w:pos="5360" w:val="left"/>
        </w:tabs>
        <w:rPr>
          <w:sz w:val="20"/>
          <w:szCs w:val="20"/>
          <w:color w:val="auto"/>
        </w:rPr>
      </w:pPr>
      <w:r>
        <w:rPr>
          <w:rFonts w:ascii="Arial" w:cs="Arial" w:eastAsia="Arial" w:hAnsi="Arial"/>
          <w:sz w:val="12"/>
          <w:szCs w:val="12"/>
          <w:color w:val="auto"/>
        </w:rPr>
        <w:t>afforded to shareholders of companies that are subject to all</w:t>
      </w:r>
      <w:r>
        <w:rPr>
          <w:sz w:val="20"/>
          <w:szCs w:val="20"/>
          <w:color w:val="auto"/>
        </w:rPr>
        <w:tab/>
      </w:r>
      <w:r>
        <w:rPr>
          <w:rFonts w:ascii="Arial" w:cs="Arial" w:eastAsia="Arial" w:hAnsi="Arial"/>
          <w:sz w:val="10"/>
          <w:szCs w:val="10"/>
          <w:color w:val="auto"/>
        </w:rPr>
        <w:t>corporate governance requirements.</w:t>
      </w:r>
    </w:p>
    <w:p>
      <w:pPr>
        <w:spacing w:after="0" w:line="141" w:lineRule="exact"/>
        <w:rPr>
          <w:sz w:val="20"/>
          <w:szCs w:val="20"/>
          <w:color w:val="auto"/>
        </w:rPr>
      </w:pPr>
    </w:p>
    <w:p>
      <w:pPr>
        <w:ind w:left="1980" w:right="1219"/>
        <w:spacing w:after="0" w:line="323" w:lineRule="auto"/>
        <w:rPr>
          <w:sz w:val="20"/>
          <w:szCs w:val="20"/>
          <w:color w:val="auto"/>
        </w:rPr>
      </w:pPr>
      <w:r>
        <w:rPr>
          <w:rFonts w:ascii="Arial" w:cs="Arial" w:eastAsia="Arial" w:hAnsi="Arial"/>
          <w:sz w:val="11"/>
          <w:szCs w:val="11"/>
          <w:b w:val="1"/>
          <w:bCs w:val="1"/>
          <w:i w:val="1"/>
          <w:iCs w:val="1"/>
          <w:color w:val="auto"/>
        </w:rPr>
        <w:t>Upon the completion of this offering, our ADSs and ordinary shares will be listed on two separate stock markets and investors seeking to take advantage of price differences between such markets may create unexpected volatility in the price of our ADSs.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ordinary shares are already listed and traded on the Xetra trading system of the Frankfurt Stock Exchange. Upon completion of this offering</w:t>
      </w:r>
    </w:p>
    <w:p>
      <w:pPr>
        <w:spacing w:after="0" w:line="26" w:lineRule="exact"/>
        <w:rPr>
          <w:sz w:val="20"/>
          <w:szCs w:val="20"/>
          <w:color w:val="auto"/>
        </w:rPr>
      </w:pPr>
    </w:p>
    <w:p>
      <w:pPr>
        <w:ind w:left="1980" w:right="939"/>
        <w:spacing w:after="0" w:line="253" w:lineRule="auto"/>
        <w:rPr>
          <w:sz w:val="20"/>
          <w:szCs w:val="20"/>
          <w:color w:val="auto"/>
        </w:rPr>
      </w:pPr>
      <w:r>
        <w:rPr>
          <w:rFonts w:ascii="Arial" w:cs="Arial" w:eastAsia="Arial" w:hAnsi="Arial"/>
          <w:sz w:val="12"/>
          <w:szCs w:val="12"/>
          <w:color w:val="auto"/>
        </w:rPr>
        <w:t>our ordinary shares will be listed and traded on the Frankfurt Stock Exchange and our ADSs will be listed and traded on the . While our ordinary shares and ADSs are traded on these markets, respectively, price and volume levels for our ordinary shares or ADSs could fluctuate significantly, independent of the price of our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159"/>
          </w:cols>
          <w:pgMar w:left="300" w:top="354"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39"/>
        <w:spacing w:after="0" w:line="306" w:lineRule="auto"/>
        <w:rPr>
          <w:sz w:val="20"/>
          <w:szCs w:val="20"/>
          <w:color w:val="auto"/>
        </w:rPr>
      </w:pPr>
      <w:r>
        <w:rPr>
          <w:rFonts w:ascii="Arial" w:cs="Arial" w:eastAsia="Arial" w:hAnsi="Arial"/>
          <w:sz w:val="10"/>
          <w:szCs w:val="10"/>
          <w:color w:val="auto"/>
        </w:rPr>
        <w:t>our ADSs and in the volumes of ADSs available for trading. In addition, we intend to delist our ordinary shares from the Frankfurt Stock Exchange, and as a result our shareholders may seek to sell their ordinary shares on the Frankfurt Stock Exchange or deposit their ordinary shares with the depositary or the custodian for the depositary in exchange for ADSs as the date for our delisting on the Frankfurt Stock Exchange draws near, which could result in</w:t>
      </w:r>
    </w:p>
    <w:p>
      <w:pPr>
        <w:sectPr>
          <w:pgSz w:w="11900" w:h="16838" w:orient="portrait"/>
          <w:cols w:equalWidth="0" w:num="1">
            <w:col w:w="10159"/>
          </w:cols>
          <w:pgMar w:left="300" w:top="354" w:right="1440" w:bottom="1440" w:gutter="0" w:footer="0" w:header="0"/>
        </w:sectPr>
      </w:pPr>
    </w:p>
    <w:p>
      <w:pPr>
        <w:spacing w:after="0" w:line="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volatility in the trading price of our ADSs. Furthermore, following such de-listing, trading in our equity securities will be available only on</w:t>
      </w:r>
    </w:p>
    <w:p>
      <w:pPr>
        <w:spacing w:after="0" w:line="6" w:lineRule="exact"/>
        <w:rPr>
          <w:sz w:val="20"/>
          <w:szCs w:val="20"/>
          <w:color w:val="auto"/>
        </w:rPr>
      </w:pPr>
    </w:p>
    <w:p>
      <w:pPr>
        <w:ind w:left="1980"/>
        <w:spacing w:after="0"/>
        <w:tabs>
          <w:tab w:leader="none" w:pos="7800" w:val="left"/>
        </w:tabs>
        <w:rPr>
          <w:sz w:val="20"/>
          <w:szCs w:val="20"/>
          <w:color w:val="auto"/>
        </w:rPr>
      </w:pPr>
      <w:r>
        <w:rPr>
          <w:rFonts w:ascii="Arial" w:cs="Arial" w:eastAsia="Arial" w:hAnsi="Arial"/>
          <w:sz w:val="12"/>
          <w:szCs w:val="12"/>
          <w:color w:val="auto"/>
        </w:rPr>
        <w:t>the form of trading in our ADSs. If we are unable to continue to meet the regulatory requirements for listing on</w:t>
      </w:r>
      <w:r>
        <w:rPr>
          <w:sz w:val="20"/>
          <w:szCs w:val="20"/>
          <w:color w:val="auto"/>
        </w:rPr>
        <w:tab/>
      </w:r>
      <w:r>
        <w:rPr>
          <w:rFonts w:ascii="Arial" w:cs="Arial" w:eastAsia="Arial" w:hAnsi="Arial"/>
          <w:sz w:val="10"/>
          <w:szCs w:val="10"/>
          <w:color w:val="auto"/>
        </w:rPr>
        <w:t>, we may lose our listing on</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exchange, which could further impair the liquidity of our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w:t>
      </w:r>
    </w:p>
    <w:p>
      <w:pPr>
        <w:spacing w:after="0" w:line="429" w:lineRule="exact"/>
        <w:rPr>
          <w:sz w:val="20"/>
          <w:szCs w:val="20"/>
          <w:color w:val="auto"/>
        </w:rPr>
      </w:pPr>
    </w:p>
    <w:p>
      <w:pPr>
        <w:sectPr>
          <w:pgSz w:w="11900" w:h="16838" w:orient="portrait"/>
          <w:cols w:equalWidth="0" w:num="2">
            <w:col w:w="9140" w:space="40"/>
            <w:col w:w="979"/>
          </w:cols>
          <w:pgMar w:left="300" w:top="354" w:right="1440" w:bottom="1440" w:gutter="0" w:footer="0" w:header="0"/>
          <w:type w:val="continuous"/>
        </w:sect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115" w:lineRule="exact"/>
        <w:rPr>
          <w:sz w:val="20"/>
          <w:szCs w:val="20"/>
          <w:color w:val="auto"/>
        </w:rPr>
      </w:pPr>
    </w:p>
    <w:p>
      <w:pPr>
        <w:ind w:left="1980" w:right="879" w:firstLine="294"/>
        <w:spacing w:after="0" w:line="308" w:lineRule="auto"/>
        <w:rPr>
          <w:sz w:val="20"/>
          <w:szCs w:val="20"/>
          <w:color w:val="auto"/>
        </w:rPr>
      </w:pPr>
      <w:r>
        <w:rPr>
          <w:rFonts w:ascii="Arial" w:cs="Arial" w:eastAsia="Arial" w:hAnsi="Arial"/>
          <w:sz w:val="10"/>
          <w:szCs w:val="10"/>
          <w:color w:val="auto"/>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below), which is generally 15%, if the applicable taxpayer is eligible for such Treaty rate and files an application containing a specific German tax certificate with the German Federal Central Tax Office (</w:t>
      </w:r>
      <w:r>
        <w:rPr>
          <w:rFonts w:ascii="Arial" w:cs="Arial" w:eastAsia="Arial" w:hAnsi="Arial"/>
          <w:sz w:val="10"/>
          <w:szCs w:val="10"/>
          <w:i w:val="1"/>
          <w:iCs w:val="1"/>
          <w:color w:val="auto"/>
        </w:rPr>
        <w:t>Bundeszentralamt für</w:t>
      </w:r>
      <w:r>
        <w:rPr>
          <w:rFonts w:ascii="Arial" w:cs="Arial" w:eastAsia="Arial" w:hAnsi="Arial"/>
          <w:sz w:val="10"/>
          <w:szCs w:val="10"/>
          <w:color w:val="auto"/>
        </w:rPr>
        <w:t xml:space="preserve"> </w:t>
      </w:r>
      <w:r>
        <w:rPr>
          <w:rFonts w:ascii="Arial" w:cs="Arial" w:eastAsia="Arial" w:hAnsi="Arial"/>
          <w:sz w:val="10"/>
          <w:szCs w:val="10"/>
          <w:i w:val="1"/>
          <w:iCs w:val="1"/>
          <w:color w:val="auto"/>
        </w:rPr>
        <w:t>Steuern</w:t>
      </w:r>
      <w:r>
        <w:rPr>
          <w:rFonts w:ascii="Arial" w:cs="Arial" w:eastAsia="Arial" w:hAnsi="Arial"/>
          <w:sz w:val="10"/>
          <w:szCs w:val="10"/>
          <w:color w:val="auto"/>
        </w:rPr>
        <w:t>). If such a tax certificate cannot be delivered to the ADS holder due to applicable settlement mechanics or lack of information regarding the</w:t>
      </w:r>
      <w:r>
        <w:rPr>
          <w:rFonts w:ascii="Arial" w:cs="Arial" w:eastAsia="Arial" w:hAnsi="Arial"/>
          <w:sz w:val="10"/>
          <w:szCs w:val="10"/>
          <w:i w:val="1"/>
          <w:iCs w:val="1"/>
          <w:color w:val="auto"/>
        </w:rPr>
        <w:t xml:space="preserve"> </w:t>
      </w:r>
      <w:r>
        <w:rPr>
          <w:rFonts w:ascii="Arial" w:cs="Arial" w:eastAsia="Arial" w:hAnsi="Arial"/>
          <w:sz w:val="10"/>
          <w:szCs w:val="10"/>
          <w:color w:val="auto"/>
        </w:rPr>
        <w:t>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0"/>
          <w:szCs w:val="10"/>
          <w:i w:val="1"/>
          <w:iCs w:val="1"/>
          <w:color w:val="auto"/>
        </w:rPr>
        <w:t>Besteuerung von</w:t>
      </w:r>
      <w:r>
        <w:rPr>
          <w:rFonts w:ascii="Arial" w:cs="Arial" w:eastAsia="Arial" w:hAnsi="Arial"/>
          <w:sz w:val="10"/>
          <w:szCs w:val="10"/>
          <w:color w:val="auto"/>
        </w:rPr>
        <w:t xml:space="preserve"> </w:t>
      </w:r>
      <w:r>
        <w:rPr>
          <w:rFonts w:ascii="Arial" w:cs="Arial" w:eastAsia="Arial" w:hAnsi="Arial"/>
          <w:sz w:val="10"/>
          <w:szCs w:val="10"/>
          <w:i w:val="1"/>
          <w:iCs w:val="1"/>
          <w:color w:val="auto"/>
        </w:rPr>
        <w:t>American Depositary Receipts (ADR) auf inländische Aktien</w:t>
      </w:r>
      <w:r>
        <w:rPr>
          <w:rFonts w:ascii="Arial" w:cs="Arial" w:eastAsia="Arial" w:hAnsi="Arial"/>
          <w:sz w:val="10"/>
          <w:szCs w:val="10"/>
          <w:color w:val="auto"/>
        </w:rPr>
        <w:t>) issued by the German Federal Ministry of Finance (</w:t>
      </w:r>
      <w:r>
        <w:rPr>
          <w:rFonts w:ascii="Arial" w:cs="Arial" w:eastAsia="Arial" w:hAnsi="Arial"/>
          <w:sz w:val="10"/>
          <w:szCs w:val="10"/>
          <w:i w:val="1"/>
          <w:iCs w:val="1"/>
          <w:color w:val="auto"/>
        </w:rPr>
        <w:t>Bundesministerium der Finanzen</w:t>
      </w:r>
      <w:r>
        <w:rPr>
          <w:rFonts w:ascii="Arial" w:cs="Arial" w:eastAsia="Arial" w:hAnsi="Arial"/>
          <w:sz w:val="10"/>
          <w:szCs w:val="10"/>
          <w:color w:val="auto"/>
        </w:rPr>
        <w:t>),</w:t>
      </w:r>
      <w:r>
        <w:rPr>
          <w:rFonts w:ascii="Arial" w:cs="Arial" w:eastAsia="Arial" w:hAnsi="Arial"/>
          <w:sz w:val="10"/>
          <w:szCs w:val="10"/>
          <w:i w:val="1"/>
          <w:iCs w:val="1"/>
          <w:color w:val="auto"/>
        </w:rPr>
        <w:t xml:space="preserve"> </w:t>
      </w:r>
      <w:r>
        <w:rPr>
          <w:rFonts w:ascii="Arial" w:cs="Arial" w:eastAsia="Arial" w:hAnsi="Arial"/>
          <w:sz w:val="10"/>
          <w:szCs w:val="10"/>
          <w:color w:val="auto"/>
        </w:rPr>
        <w:t>dated May 24, 2013 (reference number IV C 1-S2204/12/10003), as amended by the circular dated December 18, 2018 (reference number IV C</w:t>
      </w:r>
    </w:p>
    <w:p>
      <w:pPr>
        <w:spacing w:after="0" w:line="114" w:lineRule="exact"/>
        <w:rPr>
          <w:sz w:val="20"/>
          <w:szCs w:val="20"/>
          <w:color w:val="auto"/>
        </w:rPr>
      </w:pPr>
    </w:p>
    <w:p>
      <w:pPr>
        <w:ind w:left="1980" w:right="979"/>
        <w:spacing w:after="0" w:line="252" w:lineRule="auto"/>
        <w:rPr>
          <w:sz w:val="20"/>
          <w:szCs w:val="20"/>
          <w:color w:val="auto"/>
        </w:rPr>
      </w:pPr>
      <w:r>
        <w:rPr>
          <w:rFonts w:ascii="Arial" w:cs="Arial" w:eastAsia="Arial" w:hAnsi="Arial"/>
          <w:sz w:val="12"/>
          <w:szCs w:val="12"/>
          <w:color w:val="auto"/>
        </w:rPr>
        <w:t>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interpretation of the treatment of ADSs by the German tax authorities is subject to change.</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Arial" w:cs="Arial" w:eastAsia="Arial" w:hAnsi="Arial"/>
          <w:sz w:val="11"/>
          <w:szCs w:val="11"/>
          <w:i w:val="1"/>
          <w:iCs w:val="1"/>
          <w:color w:val="auto"/>
        </w:rPr>
        <w:t>BMF-Schreiben</w:t>
      </w:r>
      <w:r>
        <w:rPr>
          <w:rFonts w:ascii="Arial" w:cs="Arial" w:eastAsia="Arial" w:hAnsi="Arial"/>
          <w:sz w:val="11"/>
          <w:szCs w:val="11"/>
          <w:color w:val="auto"/>
        </w:rPr>
        <w:t>), dated May 21, 2019, (reference number IV C 1 – S 1980-1/16/10010 :001, ADSs are not treated as capital participation (</w:t>
      </w:r>
      <w:r>
        <w:rPr>
          <w:rFonts w:ascii="Arial" w:cs="Arial" w:eastAsia="Arial" w:hAnsi="Arial"/>
          <w:sz w:val="11"/>
          <w:szCs w:val="11"/>
          <w:i w:val="1"/>
          <w:iCs w:val="1"/>
          <w:color w:val="auto"/>
        </w:rPr>
        <w:t>Kapitalbeteiligung</w:t>
      </w:r>
      <w:r>
        <w:rPr>
          <w:rFonts w:ascii="Arial" w:cs="Arial" w:eastAsia="Arial" w:hAnsi="Arial"/>
          <w:sz w:val="11"/>
          <w:szCs w:val="11"/>
          <w:color w:val="auto"/>
        </w:rPr>
        <w:t>) within the meaning of Section 2 para. 8 of the Investment Tax Code (</w:t>
      </w:r>
      <w:r>
        <w:rPr>
          <w:rFonts w:ascii="Arial" w:cs="Arial" w:eastAsia="Arial" w:hAnsi="Arial"/>
          <w:sz w:val="11"/>
          <w:szCs w:val="11"/>
          <w:i w:val="1"/>
          <w:iCs w:val="1"/>
          <w:color w:val="auto"/>
        </w:rPr>
        <w:t>Investmentsteuergesetz</w:t>
      </w:r>
      <w:r>
        <w:rPr>
          <w:rFonts w:ascii="Arial" w:cs="Arial" w:eastAsia="Arial" w:hAnsi="Arial"/>
          <w:sz w:val="11"/>
          <w:szCs w:val="11"/>
          <w:color w:val="auto"/>
        </w:rPr>
        <w:t>).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0159"/>
          </w:cols>
          <w:pgMar w:left="300" w:top="354" w:right="1440" w:bottom="1440" w:gutter="0" w:footer="0" w:header="0"/>
          <w:type w:val="continuous"/>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115"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22"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31"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113"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Nevertheless, if this jury trial waiver provision is not permitted by applicable law, an action could proceed under the terms of the deposit agreement with a jury trial.</w:t>
      </w:r>
    </w:p>
    <w:p>
      <w:pPr>
        <w:spacing w:after="0" w:line="115"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0159"/>
          </w:cols>
          <w:pgMar w:left="300" w:top="354"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420"/>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54"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prospectus contains forward-looking statements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2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61" w:lineRule="exact"/>
        <w:rPr>
          <w:sz w:val="20"/>
          <w:szCs w:val="20"/>
          <w:color w:val="auto"/>
        </w:rPr>
      </w:pPr>
    </w:p>
    <w:p>
      <w:pPr>
        <w:ind w:left="2620" w:right="119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future business and financial performance, including our revenue, operating expenses and our ability to achieve profitability and maintain our future business and operating results;</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strategies, plans, objectives and goals, including, for example, the planned completion of the development of our products and the intended expansion of our product portfolio or geographic reach;</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expected start of serial production of our products and terminal production output;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planned monetization of our technology and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use of the net proceeds from the sale of ADSs by us in this offering;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our expectations regarding the development of our industry, market size and the competitive environment in which we operate.</w:t>
      </w:r>
    </w:p>
    <w:p>
      <w:pPr>
        <w:spacing w:after="0" w:line="162"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“Risk Factors,” the following:</w:t>
      </w:r>
    </w:p>
    <w:p>
      <w:pPr>
        <w:spacing w:after="0" w:line="41" w:lineRule="exact"/>
        <w:rPr>
          <w:sz w:val="20"/>
          <w:szCs w:val="20"/>
          <w:color w:val="auto"/>
        </w:rPr>
      </w:pPr>
    </w:p>
    <w:p>
      <w:pPr>
        <w:ind w:left="2620" w:right="83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620" w:right="133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159"/>
          </w:cols>
          <w:pgMar w:left="300" w:top="354" w:right="1440"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27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jc w:val="both"/>
        <w:ind w:left="2620" w:right="1039" w:hanging="288"/>
        <w:spacing w:after="0" w:line="263"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our business and operations would suffer in the event of computer system failures, cyber-attacks or deficiencies in our cyber-security;</w:t>
      </w:r>
    </w:p>
    <w:p>
      <w:pPr>
        <w:spacing w:after="0" w:line="98" w:lineRule="exact"/>
        <w:rPr>
          <w:rFonts w:ascii="Arial" w:cs="Arial" w:eastAsia="Arial" w:hAnsi="Arial"/>
          <w:sz w:val="11"/>
          <w:szCs w:val="11"/>
          <w:color w:val="auto"/>
        </w:rPr>
      </w:pPr>
    </w:p>
    <w:p>
      <w:pPr>
        <w:ind w:left="2620" w:right="97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620" w:right="129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59"/>
          </w:cols>
          <w:pgMar w:left="300" w:top="354"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including the uncertainties and factors discussed under “Risk Factors” and the documents that we have filed as exhibits to the registration statement, of which this prospectus is a part, completely and with the understanding that our actual future results or performance may be materially different from what we expect. All forward-looking statements made in this prospectus are qualified by these cautionary statements.</w:t>
      </w:r>
    </w:p>
    <w:p>
      <w:pPr>
        <w:spacing w:after="0" w:line="10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Comparison of results between current and prior periods are not intended to express any future trends, or indications of future performance, unless expressed as such, and should only be viewed as historical data.</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0159"/>
          </w:cols>
          <w:pgMar w:left="300" w:top="354"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USE OF PROCEEDS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estimate that the net proceeds to us from this offering, after deducting the estimated underwriting discounts and commissions and estimated</w:t>
      </w:r>
    </w:p>
    <w:p>
      <w:pPr>
        <w:spacing w:after="0" w:line="26"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offering expenses payable by us, will be approximately $ million (or approximately $ million if the underwriters exercise their option to purchase additional ADSs from us in full), based on an assumed initial public offering price of $ per ADS, the midpoint of the price range set forth on the cover page of this prospectus.</w:t>
      </w:r>
    </w:p>
    <w:p>
      <w:pPr>
        <w:spacing w:after="0" w:line="127" w:lineRule="exact"/>
        <w:rPr>
          <w:sz w:val="20"/>
          <w:szCs w:val="20"/>
          <w:color w:val="auto"/>
        </w:rPr>
      </w:pPr>
    </w:p>
    <w:p>
      <w:pPr>
        <w:ind w:left="1980" w:right="999" w:firstLine="294"/>
        <w:spacing w:after="0" w:line="281" w:lineRule="auto"/>
        <w:rPr>
          <w:sz w:val="20"/>
          <w:szCs w:val="20"/>
          <w:color w:val="auto"/>
        </w:rPr>
      </w:pPr>
      <w:r>
        <w:rPr>
          <w:rFonts w:ascii="Arial" w:cs="Arial" w:eastAsia="Arial" w:hAnsi="Arial"/>
          <w:sz w:val="11"/>
          <w:szCs w:val="11"/>
          <w:color w:val="auto"/>
        </w:rPr>
        <w:t>Each $1.00 increase (decrease) in the assumed initial public offering price per ADS would increase (decrease) our net proceeds, after deducting the estimated underwriting discounts and estimated commissions and expenses, by approximately $ million. Each increase (decrease) of</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100,000 in the number of ADSs offered by us would increase (decrease) our net proceeds, after deducting the estimated underwriting discounts and</w:t>
      </w:r>
    </w:p>
    <w:p>
      <w:pPr>
        <w:spacing w:after="0" w:line="18" w:lineRule="exact"/>
        <w:rPr>
          <w:sz w:val="20"/>
          <w:szCs w:val="20"/>
          <w:color w:val="auto"/>
        </w:rPr>
      </w:pPr>
    </w:p>
    <w:p>
      <w:pPr>
        <w:ind w:left="1980"/>
        <w:spacing w:after="0"/>
        <w:tabs>
          <w:tab w:leader="none" w:pos="4520" w:val="left"/>
        </w:tabs>
        <w:rPr>
          <w:sz w:val="20"/>
          <w:szCs w:val="20"/>
          <w:color w:val="auto"/>
        </w:rPr>
      </w:pPr>
      <w:r>
        <w:rPr>
          <w:rFonts w:ascii="Arial" w:cs="Arial" w:eastAsia="Arial" w:hAnsi="Arial"/>
          <w:sz w:val="12"/>
          <w:szCs w:val="12"/>
          <w:color w:val="auto"/>
        </w:rPr>
        <w:t>estimated commissions and expenses, by $</w:t>
      </w:r>
      <w:r>
        <w:rPr>
          <w:sz w:val="20"/>
          <w:szCs w:val="20"/>
          <w:color w:val="auto"/>
        </w:rPr>
        <w:tab/>
      </w:r>
      <w:r>
        <w:rPr>
          <w:rFonts w:ascii="Arial" w:cs="Arial" w:eastAsia="Arial" w:hAnsi="Arial"/>
          <w:sz w:val="12"/>
          <w:szCs w:val="12"/>
          <w:color w:val="auto"/>
        </w:rPr>
        <w:t>million.</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principal reasons for this offering are to further fund our business, to increase our public profile and awareness, create a public market for our</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and facilitate our future access to public equity markets. We intend to use the net proceeds from this offering as follows:</w:t>
      </w:r>
    </w:p>
    <w:p>
      <w:pPr>
        <w:spacing w:after="0" w:line="78" w:lineRule="exact"/>
        <w:rPr>
          <w:sz w:val="20"/>
          <w:szCs w:val="20"/>
          <w:color w:val="auto"/>
        </w:rPr>
      </w:pPr>
    </w:p>
    <w:p>
      <w:pPr>
        <w:ind w:left="2620" w:hanging="288"/>
        <w:spacing w:after="0"/>
        <w:tabs>
          <w:tab w:leader="none" w:pos="26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approximately 45% to ramp-up serial production to allow for short-term product deployment within large-scale customer programs;</w:t>
      </w:r>
    </w:p>
    <w:p>
      <w:pPr>
        <w:spacing w:after="0" w:line="98" w:lineRule="exact"/>
        <w:rPr>
          <w:rFonts w:ascii="Arial" w:cs="Arial" w:eastAsia="Arial" w:hAnsi="Arial"/>
          <w:sz w:val="11"/>
          <w:szCs w:val="11"/>
          <w:color w:val="auto"/>
        </w:rPr>
      </w:pPr>
    </w:p>
    <w:p>
      <w:pPr>
        <w:ind w:left="2620" w:right="939" w:hanging="288"/>
        <w:spacing w:after="0" w:line="276" w:lineRule="auto"/>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approximately 35% to further advance our existing products and to expand our product portfolio to support new applications and increase our addressable market;</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approximately 15% for investments in additional research and development equipment to further accelerate product development in both our German and U.S. facilities; and</w:t>
      </w:r>
    </w:p>
    <w:p>
      <w:pPr>
        <w:spacing w:after="0" w:line="51" w:lineRule="exact"/>
        <w:rPr>
          <w:rFonts w:ascii="Arial" w:cs="Arial" w:eastAsia="Arial" w:hAnsi="Arial"/>
          <w:sz w:val="12"/>
          <w:szCs w:val="12"/>
          <w:color w:val="auto"/>
        </w:rPr>
      </w:pPr>
    </w:p>
    <w:p>
      <w:pPr>
        <w:ind w:left="2620" w:right="1179" w:hanging="288"/>
        <w:spacing w:after="0" w:line="276" w:lineRule="auto"/>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approximately 5% to grow our sales and marketing efforts to expand access to government and commercial customers, including the establishment of a U.S. entity cleared for access to classified information.</w:t>
      </w:r>
    </w:p>
    <w:p>
      <w:pPr>
        <w:spacing w:after="0" w:line="115"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Our expected use of net proceeds from this offering represents our current intentions based upon our present plans and business condition.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the factors described in “Risk Factors.” As a result, our management will have broad discretion in the application of the net proceeds of this offering, and investors will be relying on our judgment regarding the application of the net proceeds.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354"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DIVIDEND POLICY</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Except as required by law, any future determination to pay dividends will be dependent upon our results of operations, financial condition, contractual restrictions and capital requirements.</w:t>
      </w:r>
    </w:p>
    <w:p>
      <w:pPr>
        <w:spacing w:after="0" w:line="12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All of the shares represented by the ADSs that are the subject of the offering contemplated by this prospectus will generally have the same dividend rights as all of our other outstanding shares. However, the depositary may limit distributions based on practical considerations and legal limitations. See “Description of American Depositary Shares—Dividends and Other Distributions.” Any distribution of dividends proposed by our management and supervisory boards requires the approval of our shareholders in a shareholders’ meeting. See “Description of Share Capital—Dividend Rights,” which explains in more detail the procedures we must follow and the German law provisions that determine whether we are entitled to declare a dividend.</w:t>
      </w:r>
    </w:p>
    <w:p>
      <w:pPr>
        <w:spacing w:after="0" w:line="128"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For information regarding the German withholding tax applicable to dividends and related United States refund procedures, see “Taxation— German Taxation—German Taxation of ADSs.”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0159"/>
          </w:cols>
          <w:pgMar w:left="300" w:top="354"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CAPITALIZATION</w:t>
      </w:r>
    </w:p>
    <w:p>
      <w:pPr>
        <w:spacing w:after="0" w:line="154" w:lineRule="exact"/>
        <w:rPr>
          <w:sz w:val="20"/>
          <w:szCs w:val="20"/>
          <w:color w:val="auto"/>
        </w:rPr>
      </w:pPr>
    </w:p>
    <w:tbl>
      <w:tblPr>
        <w:tblLayout w:type="fixed"/>
        <w:tblInd w:w="2260" w:type="dxa"/>
        <w:tblCellMar>
          <w:top w:w="0" w:type="dxa"/>
          <w:left w:w="0" w:type="dxa"/>
          <w:bottom w:w="0" w:type="dxa"/>
          <w:right w:w="0" w:type="dxa"/>
        </w:tblCellMar>
      </w:tblPr>
      <w:tr>
        <w:trPr>
          <w:trHeight w:val="153"/>
        </w:trPr>
        <w:tc>
          <w:tcPr>
            <w:tcW w:w="4160" w:type="dxa"/>
            <w:vAlign w:val="bottom"/>
          </w:tcPr>
          <w:p>
            <w:pPr>
              <w:spacing w:after="0"/>
              <w:rPr>
                <w:sz w:val="20"/>
                <w:szCs w:val="20"/>
                <w:color w:val="auto"/>
              </w:rPr>
            </w:pPr>
            <w:r>
              <w:rPr>
                <w:rFonts w:ascii="Arial" w:cs="Arial" w:eastAsia="Arial" w:hAnsi="Arial"/>
                <w:sz w:val="12"/>
                <w:szCs w:val="12"/>
                <w:color w:val="auto"/>
                <w:w w:val="96"/>
              </w:rPr>
              <w:t>The table below sets forth our cash and cash equivalents and capitalization as of</w:t>
            </w:r>
          </w:p>
        </w:tc>
        <w:tc>
          <w:tcPr>
            <w:tcW w:w="640" w:type="dxa"/>
            <w:vAlign w:val="bottom"/>
          </w:tcPr>
          <w:p>
            <w:pPr>
              <w:jc w:val="right"/>
              <w:spacing w:after="0"/>
              <w:rPr>
                <w:sz w:val="20"/>
                <w:szCs w:val="20"/>
                <w:color w:val="auto"/>
              </w:rPr>
            </w:pPr>
            <w:r>
              <w:rPr>
                <w:rFonts w:ascii="Arial" w:cs="Arial" w:eastAsia="Arial" w:hAnsi="Arial"/>
                <w:sz w:val="12"/>
                <w:szCs w:val="12"/>
                <w:color w:val="auto"/>
              </w:rPr>
              <w:t>, 2021:</w:t>
            </w:r>
          </w:p>
        </w:tc>
      </w:tr>
    </w:tbl>
    <w:p>
      <w:pPr>
        <w:spacing w:after="0" w:line="153" w:lineRule="exact"/>
        <w:rPr>
          <w:sz w:val="20"/>
          <w:szCs w:val="20"/>
          <w:color w:val="auto"/>
        </w:rPr>
      </w:pPr>
    </w:p>
    <w:p>
      <w:pPr>
        <w:ind w:left="2540" w:hanging="280"/>
        <w:spacing w:after="0"/>
        <w:tabs>
          <w:tab w:leader="none" w:pos="2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on an actual basis;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29"/>
        </w:numPr>
        <w:rPr>
          <w:rFonts w:ascii="Arial" w:cs="Arial" w:eastAsia="Arial" w:hAnsi="Arial"/>
          <w:sz w:val="11"/>
          <w:szCs w:val="11"/>
          <w:color w:val="auto"/>
        </w:rPr>
      </w:pPr>
      <w:r>
        <w:rPr>
          <w:rFonts w:ascii="Arial" w:cs="Arial" w:eastAsia="Arial" w:hAnsi="Arial"/>
          <w:sz w:val="11"/>
          <w:szCs w:val="11"/>
          <w:color w:val="auto"/>
        </w:rPr>
        <w:t>on an as adjusted basis to reflect the issuance and sale by us of ADSs in this offering at an assumed initial public offering price of</w:t>
      </w:r>
    </w:p>
    <w:p>
      <w:pPr>
        <w:spacing w:after="0" w:line="26" w:lineRule="exact"/>
        <w:rPr>
          <w:sz w:val="20"/>
          <w:szCs w:val="20"/>
          <w:color w:val="auto"/>
        </w:rPr>
      </w:pPr>
    </w:p>
    <w:p>
      <w:pPr>
        <w:ind w:left="3120" w:hanging="572"/>
        <w:spacing w:after="0"/>
        <w:tabs>
          <w:tab w:leader="none" w:pos="31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per ADS, the midpoint of the price range set forth on the cover page of this prospectus, after deducting the estimated</w:t>
      </w:r>
    </w:p>
    <w:p>
      <w:pPr>
        <w:spacing w:after="0" w:line="6" w:lineRule="exact"/>
        <w:rPr>
          <w:rFonts w:ascii="Arial" w:cs="Arial" w:eastAsia="Arial" w:hAnsi="Arial"/>
          <w:sz w:val="12"/>
          <w:szCs w:val="12"/>
          <w:color w:val="auto"/>
        </w:rPr>
      </w:pPr>
    </w:p>
    <w:p>
      <w:pPr>
        <w:ind w:left="2540" w:right="879"/>
        <w:spacing w:after="0" w:line="260" w:lineRule="auto"/>
        <w:rPr>
          <w:rFonts w:ascii="Arial" w:cs="Arial" w:eastAsia="Arial" w:hAnsi="Arial"/>
          <w:sz w:val="12"/>
          <w:szCs w:val="12"/>
          <w:color w:val="auto"/>
        </w:rPr>
      </w:pPr>
      <w:r>
        <w:rPr>
          <w:rFonts w:ascii="Arial" w:cs="Arial" w:eastAsia="Arial" w:hAnsi="Arial"/>
          <w:sz w:val="12"/>
          <w:szCs w:val="12"/>
          <w:color w:val="auto"/>
        </w:rPr>
        <w:t>underwriting discounts and commissions and estimated offering expenses payable by us, and excluding the underwriters’ option to purchase additional ADSs.</w:t>
      </w:r>
    </w:p>
    <w:p>
      <w:pPr>
        <w:spacing w:after="0" w:line="124"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You should read this table in conjunction with our audited consolidated financial statements and notes thereto included elsewhere in this prospectus as well as “About This Prospectus,” “Use of Proceeds” and “Management’s Discussion and Analysis of Financial Condition and Results of Operations.”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86"/>
              </w:rPr>
              <w:t>As of June 30, 2021</w:t>
            </w:r>
          </w:p>
        </w:tc>
      </w:tr>
      <w:tr>
        <w:trPr>
          <w:trHeight w:val="88"/>
        </w:trPr>
        <w:tc>
          <w:tcPr>
            <w:tcW w:w="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4"/>
              </w:rPr>
              <w:t>Actual</w:t>
            </w:r>
          </w:p>
        </w:tc>
        <w:tc>
          <w:tcPr>
            <w:tcW w:w="8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As adjusted</w:t>
            </w:r>
            <w:r>
              <w:rPr>
                <w:rFonts w:ascii="Arial" w:cs="Arial" w:eastAsia="Arial" w:hAnsi="Arial"/>
                <w:sz w:val="8"/>
                <w:szCs w:val="8"/>
                <w:b w:val="1"/>
                <w:bCs w:val="1"/>
                <w:color w:val="auto"/>
              </w:rPr>
              <w:t>(1)</w:t>
            </w:r>
          </w:p>
        </w:tc>
        <w:tc>
          <w:tcPr>
            <w:tcW w:w="40" w:type="dxa"/>
            <w:vAlign w:val="bottom"/>
          </w:tcPr>
          <w:p>
            <w:pPr>
              <w:spacing w:after="0"/>
              <w:rPr>
                <w:sz w:val="7"/>
                <w:szCs w:val="7"/>
                <w:color w:val="auto"/>
              </w:rPr>
            </w:pPr>
          </w:p>
        </w:tc>
      </w:tr>
      <w:tr>
        <w:trPr>
          <w:trHeight w:val="74"/>
        </w:trPr>
        <w:tc>
          <w:tcPr>
            <w:tcW w:w="2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jc w:val="center"/>
              <w:ind w:right="234"/>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(in € millions)</w:t>
            </w:r>
          </w:p>
        </w:tc>
      </w:tr>
      <w:tr>
        <w:trPr>
          <w:trHeight w:val="135"/>
        </w:trPr>
        <w:tc>
          <w:tcPr>
            <w:tcW w:w="33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19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360" w:type="dxa"/>
            <w:vAlign w:val="bottom"/>
            <w:gridSpan w:val="3"/>
          </w:tcPr>
          <w:p>
            <w:pPr>
              <w:spacing w:after="0"/>
              <w:rPr>
                <w:sz w:val="20"/>
                <w:szCs w:val="20"/>
                <w:color w:val="auto"/>
              </w:rPr>
            </w:pPr>
            <w:r>
              <w:rPr>
                <w:rFonts w:ascii="Arial" w:cs="Arial" w:eastAsia="Arial" w:hAnsi="Arial"/>
                <w:sz w:val="11"/>
                <w:szCs w:val="11"/>
                <w:color w:val="auto"/>
              </w:rPr>
              <w:t>Total current liabilities</w:t>
            </w:r>
          </w:p>
        </w:tc>
        <w:tc>
          <w:tcPr>
            <w:tcW w:w="194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10.5</w:t>
            </w: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3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Total non-current liabilities</w:t>
            </w:r>
          </w:p>
        </w:tc>
        <w:tc>
          <w:tcPr>
            <w:tcW w:w="19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360" w:type="dxa"/>
            <w:vAlign w:val="bottom"/>
            <w:gridSpan w:val="3"/>
          </w:tcPr>
          <w:p>
            <w:pPr>
              <w:spacing w:after="0"/>
              <w:rPr>
                <w:sz w:val="20"/>
                <w:szCs w:val="20"/>
                <w:color w:val="auto"/>
              </w:rPr>
            </w:pPr>
            <w:r>
              <w:rPr>
                <w:rFonts w:ascii="Arial" w:cs="Arial" w:eastAsia="Arial" w:hAnsi="Arial"/>
                <w:sz w:val="11"/>
                <w:szCs w:val="11"/>
                <w:color w:val="auto"/>
              </w:rPr>
              <w:t>Share capital</w:t>
            </w:r>
          </w:p>
        </w:tc>
        <w:tc>
          <w:tcPr>
            <w:tcW w:w="194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4.1</w:t>
            </w: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3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Capital reserves</w:t>
            </w:r>
          </w:p>
        </w:tc>
        <w:tc>
          <w:tcPr>
            <w:tcW w:w="19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113.9</w:t>
            </w: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360" w:type="dxa"/>
            <w:vAlign w:val="bottom"/>
            <w:gridSpan w:val="3"/>
          </w:tcPr>
          <w:p>
            <w:pPr>
              <w:spacing w:after="0"/>
              <w:rPr>
                <w:sz w:val="20"/>
                <w:szCs w:val="20"/>
                <w:color w:val="auto"/>
              </w:rPr>
            </w:pPr>
            <w:r>
              <w:rPr>
                <w:rFonts w:ascii="Arial" w:cs="Arial" w:eastAsia="Arial" w:hAnsi="Arial"/>
                <w:sz w:val="11"/>
                <w:szCs w:val="11"/>
                <w:color w:val="auto"/>
              </w:rPr>
              <w:t>Accumulated deficit</w:t>
            </w:r>
          </w:p>
        </w:tc>
        <w:tc>
          <w:tcPr>
            <w:tcW w:w="1940" w:type="dxa"/>
            <w:vAlign w:val="bottom"/>
          </w:tcPr>
          <w:p>
            <w:pPr>
              <w:spacing w:after="0"/>
              <w:rPr>
                <w:sz w:val="11"/>
                <w:szCs w:val="11"/>
                <w:color w:val="auto"/>
              </w:rPr>
            </w:pPr>
          </w:p>
        </w:tc>
        <w:tc>
          <w:tcPr>
            <w:tcW w:w="2000" w:type="dxa"/>
            <w:vAlign w:val="bottom"/>
            <w:gridSpan w:val="3"/>
          </w:tcPr>
          <w:p>
            <w:pPr>
              <w:jc w:val="right"/>
              <w:ind w:right="774"/>
              <w:spacing w:after="0"/>
              <w:rPr>
                <w:sz w:val="20"/>
                <w:szCs w:val="20"/>
                <w:color w:val="auto"/>
              </w:rPr>
            </w:pPr>
            <w:r>
              <w:rPr>
                <w:rFonts w:ascii="Arial" w:cs="Arial" w:eastAsia="Arial" w:hAnsi="Arial"/>
                <w:sz w:val="11"/>
                <w:szCs w:val="11"/>
                <w:color w:val="auto"/>
              </w:rPr>
              <w:t>(63.4)</w:t>
            </w:r>
          </w:p>
        </w:tc>
        <w:tc>
          <w:tcPr>
            <w:tcW w:w="40" w:type="dxa"/>
            <w:vAlign w:val="bottom"/>
          </w:tcPr>
          <w:p>
            <w:pPr>
              <w:spacing w:after="0"/>
              <w:rPr>
                <w:sz w:val="11"/>
                <w:szCs w:val="11"/>
                <w:color w:val="auto"/>
              </w:rPr>
            </w:pPr>
          </w:p>
        </w:tc>
      </w:tr>
      <w:tr>
        <w:trPr>
          <w:trHeight w:val="135"/>
        </w:trPr>
        <w:tc>
          <w:tcPr>
            <w:tcW w:w="33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Equity attributable to the equity holders of the Company</w:t>
            </w:r>
          </w:p>
        </w:tc>
        <w:tc>
          <w:tcPr>
            <w:tcW w:w="1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0"/>
        </w:trPr>
        <w:tc>
          <w:tcPr>
            <w:tcW w:w="3360" w:type="dxa"/>
            <w:vAlign w:val="bottom"/>
            <w:gridSpan w:val="3"/>
          </w:tcPr>
          <w:p>
            <w:pPr>
              <w:spacing w:after="0"/>
              <w:rPr>
                <w:sz w:val="20"/>
                <w:szCs w:val="20"/>
                <w:color w:val="auto"/>
              </w:rPr>
            </w:pPr>
            <w:r>
              <w:rPr>
                <w:rFonts w:ascii="Arial" w:cs="Arial" w:eastAsia="Arial" w:hAnsi="Arial"/>
                <w:sz w:val="11"/>
                <w:szCs w:val="11"/>
                <w:b w:val="1"/>
                <w:bCs w:val="1"/>
                <w:color w:val="auto"/>
              </w:rPr>
              <w:t>Total capitalization</w:t>
            </w:r>
          </w:p>
        </w:tc>
        <w:tc>
          <w:tcPr>
            <w:tcW w:w="194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Arial" w:cs="Arial" w:eastAsia="Arial" w:hAnsi="Arial"/>
                <w:sz w:val="11"/>
                <w:szCs w:val="11"/>
                <w:b w:val="1"/>
                <w:bCs w:val="1"/>
                <w:color w:val="auto"/>
              </w:rPr>
              <w:t>90.3</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85"/>
        </w:trPr>
        <w:tc>
          <w:tcPr>
            <w:tcW w:w="2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3980" w:type="dxa"/>
            <w:vAlign w:val="bottom"/>
            <w:gridSpan w:val="5"/>
          </w:tcPr>
          <w:p>
            <w:pPr>
              <w:spacing w:after="0"/>
              <w:rPr>
                <w:sz w:val="7"/>
                <w:szCs w:val="7"/>
                <w:color w:val="auto"/>
              </w:rPr>
            </w:pPr>
          </w:p>
        </w:tc>
      </w:tr>
      <w:tr>
        <w:trPr>
          <w:trHeight w:val="103"/>
        </w:trPr>
        <w:tc>
          <w:tcPr>
            <w:tcW w:w="200" w:type="dxa"/>
            <w:vAlign w:val="bottom"/>
          </w:tcPr>
          <w:p>
            <w:pPr>
              <w:spacing w:after="0" w:line="103" w:lineRule="exact"/>
              <w:rPr>
                <w:sz w:val="20"/>
                <w:szCs w:val="20"/>
                <w:color w:val="auto"/>
              </w:rPr>
            </w:pPr>
            <w:r>
              <w:rPr>
                <w:rFonts w:ascii="Arial" w:cs="Arial" w:eastAsia="Arial" w:hAnsi="Arial"/>
                <w:sz w:val="10"/>
                <w:szCs w:val="10"/>
                <w:color w:val="auto"/>
              </w:rPr>
              <w:t>(1)</w:t>
            </w:r>
          </w:p>
        </w:tc>
        <w:tc>
          <w:tcPr>
            <w:tcW w:w="3160" w:type="dxa"/>
            <w:vAlign w:val="bottom"/>
            <w:gridSpan w:val="2"/>
          </w:tcPr>
          <w:p>
            <w:pPr>
              <w:ind w:left="80"/>
              <w:spacing w:after="0" w:line="103" w:lineRule="exact"/>
              <w:rPr>
                <w:sz w:val="20"/>
                <w:szCs w:val="20"/>
                <w:color w:val="auto"/>
              </w:rPr>
            </w:pPr>
            <w:r>
              <w:rPr>
                <w:rFonts w:ascii="Arial" w:cs="Arial" w:eastAsia="Arial" w:hAnsi="Arial"/>
                <w:sz w:val="10"/>
                <w:szCs w:val="10"/>
                <w:color w:val="auto"/>
                <w:w w:val="91"/>
              </w:rPr>
              <w:t>A $1.00 increase or decrease in the assumed initial public offering price of $</w:t>
            </w:r>
          </w:p>
        </w:tc>
        <w:tc>
          <w:tcPr>
            <w:tcW w:w="3980" w:type="dxa"/>
            <w:vAlign w:val="bottom"/>
            <w:gridSpan w:val="5"/>
          </w:tcPr>
          <w:p>
            <w:pPr>
              <w:ind w:left="240"/>
              <w:spacing w:after="0" w:line="103" w:lineRule="exact"/>
              <w:rPr>
                <w:sz w:val="20"/>
                <w:szCs w:val="20"/>
                <w:color w:val="auto"/>
              </w:rPr>
            </w:pPr>
            <w:r>
              <w:rPr>
                <w:rFonts w:ascii="Arial" w:cs="Arial" w:eastAsia="Arial" w:hAnsi="Arial"/>
                <w:sz w:val="10"/>
                <w:szCs w:val="10"/>
                <w:color w:val="auto"/>
                <w:w w:val="96"/>
              </w:rPr>
              <w:t>per ADS would increase or decrease the as adjusted amount of each of cash and cash</w:t>
            </w:r>
          </w:p>
        </w:tc>
      </w:tr>
      <w:tr>
        <w:trPr>
          <w:trHeight w:val="99"/>
        </w:trPr>
        <w:tc>
          <w:tcPr>
            <w:tcW w:w="200" w:type="dxa"/>
            <w:vAlign w:val="bottom"/>
          </w:tcPr>
          <w:p>
            <w:pPr>
              <w:spacing w:after="0"/>
              <w:rPr>
                <w:sz w:val="8"/>
                <w:szCs w:val="8"/>
                <w:color w:val="auto"/>
              </w:rPr>
            </w:pPr>
          </w:p>
        </w:tc>
        <w:tc>
          <w:tcPr>
            <w:tcW w:w="5100" w:type="dxa"/>
            <w:vAlign w:val="bottom"/>
            <w:gridSpan w:val="3"/>
          </w:tcPr>
          <w:p>
            <w:pPr>
              <w:ind w:left="80"/>
              <w:spacing w:after="0" w:line="99" w:lineRule="exact"/>
              <w:rPr>
                <w:sz w:val="20"/>
                <w:szCs w:val="20"/>
                <w:color w:val="auto"/>
              </w:rPr>
            </w:pPr>
            <w:r>
              <w:rPr>
                <w:rFonts w:ascii="Arial" w:cs="Arial" w:eastAsia="Arial" w:hAnsi="Arial"/>
                <w:sz w:val="10"/>
                <w:szCs w:val="10"/>
                <w:color w:val="auto"/>
                <w:w w:val="90"/>
              </w:rPr>
              <w:t>equivalents, share capital, equity attributable to the equity holders of the Company and total capitalization by approximately $</w:t>
            </w:r>
          </w:p>
        </w:tc>
        <w:tc>
          <w:tcPr>
            <w:tcW w:w="2040" w:type="dxa"/>
            <w:vAlign w:val="bottom"/>
            <w:gridSpan w:val="4"/>
          </w:tcPr>
          <w:p>
            <w:pPr>
              <w:jc w:val="right"/>
              <w:ind w:right="40"/>
              <w:spacing w:after="0" w:line="99" w:lineRule="exact"/>
              <w:rPr>
                <w:sz w:val="20"/>
                <w:szCs w:val="20"/>
                <w:color w:val="auto"/>
              </w:rPr>
            </w:pPr>
            <w:r>
              <w:rPr>
                <w:rFonts w:ascii="Arial" w:cs="Arial" w:eastAsia="Arial" w:hAnsi="Arial"/>
                <w:sz w:val="10"/>
                <w:szCs w:val="10"/>
                <w:color w:val="auto"/>
                <w:w w:val="97"/>
              </w:rPr>
              <w:t>million, assuming the number of ADSs offered</w:t>
            </w:r>
          </w:p>
        </w:tc>
      </w:tr>
      <w:tr>
        <w:trPr>
          <w:trHeight w:val="99"/>
        </w:trPr>
        <w:tc>
          <w:tcPr>
            <w:tcW w:w="200" w:type="dxa"/>
            <w:vAlign w:val="bottom"/>
          </w:tcPr>
          <w:p>
            <w:pPr>
              <w:spacing w:after="0"/>
              <w:rPr>
                <w:sz w:val="8"/>
                <w:szCs w:val="8"/>
                <w:color w:val="auto"/>
              </w:rPr>
            </w:pPr>
          </w:p>
        </w:tc>
        <w:tc>
          <w:tcPr>
            <w:tcW w:w="7140" w:type="dxa"/>
            <w:vAlign w:val="bottom"/>
            <w:gridSpan w:val="7"/>
          </w:tcPr>
          <w:p>
            <w:pPr>
              <w:ind w:left="80"/>
              <w:spacing w:after="0" w:line="99" w:lineRule="exact"/>
              <w:rPr>
                <w:sz w:val="20"/>
                <w:szCs w:val="20"/>
                <w:color w:val="auto"/>
              </w:rPr>
            </w:pPr>
            <w:r>
              <w:rPr>
                <w:rFonts w:ascii="Arial" w:cs="Arial" w:eastAsia="Arial" w:hAnsi="Arial"/>
                <w:sz w:val="10"/>
                <w:szCs w:val="10"/>
                <w:color w:val="auto"/>
                <w:w w:val="87"/>
              </w:rPr>
              <w:t>by us, as set forth on the cover page of this prospectus, remains the same and after deducting the estimated underwriting discounts and commissions. An increase or decrease in the</w:t>
            </w:r>
          </w:p>
        </w:tc>
      </w:tr>
      <w:tr>
        <w:trPr>
          <w:trHeight w:val="99"/>
        </w:trPr>
        <w:tc>
          <w:tcPr>
            <w:tcW w:w="200" w:type="dxa"/>
            <w:vAlign w:val="bottom"/>
          </w:tcPr>
          <w:p>
            <w:pPr>
              <w:spacing w:after="0"/>
              <w:rPr>
                <w:sz w:val="8"/>
                <w:szCs w:val="8"/>
                <w:color w:val="auto"/>
              </w:rPr>
            </w:pPr>
          </w:p>
        </w:tc>
        <w:tc>
          <w:tcPr>
            <w:tcW w:w="7140" w:type="dxa"/>
            <w:vAlign w:val="bottom"/>
            <w:gridSpan w:val="7"/>
          </w:tcPr>
          <w:p>
            <w:pPr>
              <w:ind w:left="80"/>
              <w:spacing w:after="0" w:line="99" w:lineRule="exact"/>
              <w:rPr>
                <w:sz w:val="20"/>
                <w:szCs w:val="20"/>
                <w:color w:val="auto"/>
              </w:rPr>
            </w:pPr>
            <w:r>
              <w:rPr>
                <w:rFonts w:ascii="Arial" w:cs="Arial" w:eastAsia="Arial" w:hAnsi="Arial"/>
                <w:sz w:val="10"/>
                <w:szCs w:val="10"/>
                <w:color w:val="auto"/>
                <w:w w:val="86"/>
              </w:rPr>
              <w:t>number of ADSs sold by us in this offering by 100,000, would increase or decrease the as adjusted amount of each of cash and cash equivalents, share capital, equity attributable to the</w:t>
            </w:r>
          </w:p>
        </w:tc>
      </w:tr>
      <w:tr>
        <w:trPr>
          <w:trHeight w:val="99"/>
        </w:trPr>
        <w:tc>
          <w:tcPr>
            <w:tcW w:w="200" w:type="dxa"/>
            <w:vAlign w:val="bottom"/>
          </w:tcPr>
          <w:p>
            <w:pPr>
              <w:spacing w:after="0"/>
              <w:rPr>
                <w:sz w:val="8"/>
                <w:szCs w:val="8"/>
                <w:color w:val="auto"/>
              </w:rPr>
            </w:pPr>
          </w:p>
        </w:tc>
        <w:tc>
          <w:tcPr>
            <w:tcW w:w="3160" w:type="dxa"/>
            <w:vAlign w:val="bottom"/>
            <w:gridSpan w:val="2"/>
          </w:tcPr>
          <w:p>
            <w:pPr>
              <w:ind w:left="80"/>
              <w:spacing w:after="0" w:line="99" w:lineRule="exact"/>
              <w:rPr>
                <w:sz w:val="20"/>
                <w:szCs w:val="20"/>
                <w:color w:val="auto"/>
              </w:rPr>
            </w:pPr>
            <w:r>
              <w:rPr>
                <w:rFonts w:ascii="Arial" w:cs="Arial" w:eastAsia="Arial" w:hAnsi="Arial"/>
                <w:sz w:val="10"/>
                <w:szCs w:val="10"/>
                <w:color w:val="auto"/>
                <w:w w:val="94"/>
              </w:rPr>
              <w:t>equity holders of the Company and total capitalization by approximately $</w:t>
            </w:r>
          </w:p>
        </w:tc>
        <w:tc>
          <w:tcPr>
            <w:tcW w:w="3100" w:type="dxa"/>
            <w:vAlign w:val="bottom"/>
            <w:gridSpan w:val="3"/>
          </w:tcPr>
          <w:p>
            <w:pPr>
              <w:jc w:val="right"/>
              <w:spacing w:after="0" w:line="99" w:lineRule="exact"/>
              <w:rPr>
                <w:sz w:val="20"/>
                <w:szCs w:val="20"/>
                <w:color w:val="auto"/>
              </w:rPr>
            </w:pPr>
            <w:r>
              <w:rPr>
                <w:rFonts w:ascii="Arial" w:cs="Arial" w:eastAsia="Arial" w:hAnsi="Arial"/>
                <w:sz w:val="10"/>
                <w:szCs w:val="10"/>
                <w:color w:val="auto"/>
                <w:w w:val="92"/>
              </w:rPr>
              <w:t>million, assuming no change in the assumed initial public offering price of $</w:t>
            </w:r>
          </w:p>
        </w:tc>
        <w:tc>
          <w:tcPr>
            <w:tcW w:w="880" w:type="dxa"/>
            <w:vAlign w:val="bottom"/>
            <w:gridSpan w:val="2"/>
          </w:tcPr>
          <w:p>
            <w:pPr>
              <w:ind w:left="380"/>
              <w:spacing w:after="0" w:line="99" w:lineRule="exact"/>
              <w:rPr>
                <w:sz w:val="20"/>
                <w:szCs w:val="20"/>
                <w:color w:val="auto"/>
              </w:rPr>
            </w:pPr>
            <w:r>
              <w:rPr>
                <w:rFonts w:ascii="Arial" w:cs="Arial" w:eastAsia="Arial" w:hAnsi="Arial"/>
                <w:sz w:val="10"/>
                <w:szCs w:val="10"/>
                <w:color w:val="auto"/>
                <w:w w:val="83"/>
              </w:rPr>
              <w:t>per ADS and</w:t>
            </w:r>
          </w:p>
        </w:tc>
      </w:tr>
      <w:tr>
        <w:trPr>
          <w:trHeight w:val="99"/>
        </w:trPr>
        <w:tc>
          <w:tcPr>
            <w:tcW w:w="200" w:type="dxa"/>
            <w:vAlign w:val="bottom"/>
          </w:tcPr>
          <w:p>
            <w:pPr>
              <w:spacing w:after="0"/>
              <w:rPr>
                <w:sz w:val="8"/>
                <w:szCs w:val="8"/>
                <w:color w:val="auto"/>
              </w:rPr>
            </w:pPr>
          </w:p>
        </w:tc>
        <w:tc>
          <w:tcPr>
            <w:tcW w:w="7140" w:type="dxa"/>
            <w:vAlign w:val="bottom"/>
            <w:gridSpan w:val="7"/>
          </w:tcPr>
          <w:p>
            <w:pPr>
              <w:ind w:left="80"/>
              <w:spacing w:after="0" w:line="99" w:lineRule="exact"/>
              <w:rPr>
                <w:sz w:val="20"/>
                <w:szCs w:val="20"/>
                <w:color w:val="auto"/>
              </w:rPr>
            </w:pPr>
            <w:r>
              <w:rPr>
                <w:rFonts w:ascii="Arial" w:cs="Arial" w:eastAsia="Arial" w:hAnsi="Arial"/>
                <w:sz w:val="10"/>
                <w:szCs w:val="10"/>
                <w:color w:val="auto"/>
                <w:w w:val="89"/>
              </w:rPr>
              <w:t>after deducting the estimated underwriting discounts and commissions. The as adjusted information is illustrative only, and we will adjust this information based on the actual initial</w:t>
            </w:r>
          </w:p>
        </w:tc>
      </w:tr>
      <w:tr>
        <w:trPr>
          <w:trHeight w:val="121"/>
        </w:trPr>
        <w:tc>
          <w:tcPr>
            <w:tcW w:w="200" w:type="dxa"/>
            <w:vAlign w:val="bottom"/>
          </w:tcPr>
          <w:p>
            <w:pPr>
              <w:spacing w:after="0"/>
              <w:rPr>
                <w:sz w:val="10"/>
                <w:szCs w:val="10"/>
                <w:color w:val="auto"/>
              </w:rPr>
            </w:pPr>
          </w:p>
        </w:tc>
        <w:tc>
          <w:tcPr>
            <w:tcW w:w="3160" w:type="dxa"/>
            <w:vAlign w:val="bottom"/>
            <w:gridSpan w:val="2"/>
          </w:tcPr>
          <w:p>
            <w:pPr>
              <w:ind w:left="80"/>
              <w:spacing w:after="0"/>
              <w:rPr>
                <w:sz w:val="20"/>
                <w:szCs w:val="20"/>
                <w:color w:val="auto"/>
              </w:rPr>
            </w:pPr>
            <w:r>
              <w:rPr>
                <w:rFonts w:ascii="Arial" w:cs="Arial" w:eastAsia="Arial" w:hAnsi="Arial"/>
                <w:sz w:val="10"/>
                <w:szCs w:val="10"/>
                <w:color w:val="auto"/>
                <w:w w:val="94"/>
              </w:rPr>
              <w:t>public offering price and other terms of this offering determined at pricing.</w:t>
            </w:r>
          </w:p>
        </w:tc>
        <w:tc>
          <w:tcPr>
            <w:tcW w:w="1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8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159"/>
          </w:cols>
          <w:pgMar w:left="300" w:top="354" w:right="1440"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DILUTION</w:t>
      </w:r>
    </w:p>
    <w:p>
      <w:pPr>
        <w:spacing w:after="0" w:line="154"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If you invest in our ADSs, your interest will be diluted to the extent of the difference between the initial public offering price per ADS and the as adjusted net tangible book value per ADS immediately after completion of this offering. Dilution results from the fact that the initial public offering price per ADS is substantially in excess of the net tangible book value per ADS attributable to our existing shareholders for our ordinary shares that will be outstanding immediately prior to the closing of this offering. For purposes of illustration, the following discussion assumes that all of our outstanding</w:t>
      </w:r>
    </w:p>
    <w:p>
      <w:pPr>
        <w:spacing w:after="0" w:line="1" w:lineRule="exact"/>
        <w:rPr>
          <w:sz w:val="20"/>
          <w:szCs w:val="20"/>
          <w:color w:val="auto"/>
        </w:rPr>
      </w:pPr>
    </w:p>
    <w:p>
      <w:pPr>
        <w:ind w:left="1980" w:right="979"/>
        <w:spacing w:after="0" w:line="260" w:lineRule="auto"/>
        <w:rPr>
          <w:sz w:val="20"/>
          <w:szCs w:val="20"/>
          <w:color w:val="auto"/>
        </w:rPr>
      </w:pPr>
      <w:r>
        <w:rPr>
          <w:rFonts w:ascii="Arial" w:cs="Arial" w:eastAsia="Arial" w:hAnsi="Arial"/>
          <w:sz w:val="12"/>
          <w:szCs w:val="12"/>
          <w:color w:val="auto"/>
        </w:rPr>
        <w:t>shares both before and after this offering are in the form of ADSs, with every ADSs representing one ordinary share. Dilution is determined by subtracting net tangible book value per ADS from the assumed initial public offering price per ADS.</w:t>
      </w:r>
    </w:p>
    <w:p>
      <w:pPr>
        <w:spacing w:after="0" w:line="124" w:lineRule="exact"/>
        <w:rPr>
          <w:sz w:val="20"/>
          <w:szCs w:val="20"/>
          <w:color w:val="auto"/>
        </w:rPr>
      </w:pPr>
    </w:p>
    <w:p>
      <w:pPr>
        <w:jc w:val="both"/>
        <w:ind w:left="1980" w:right="879" w:firstLine="294"/>
        <w:spacing w:after="0" w:line="258" w:lineRule="auto"/>
        <w:rPr>
          <w:sz w:val="20"/>
          <w:szCs w:val="20"/>
          <w:color w:val="auto"/>
        </w:rPr>
      </w:pPr>
      <w:r>
        <w:rPr>
          <w:rFonts w:ascii="Arial" w:cs="Arial" w:eastAsia="Arial" w:hAnsi="Arial"/>
          <w:sz w:val="12"/>
          <w:szCs w:val="12"/>
          <w:color w:val="auto"/>
        </w:rPr>
        <w:t>As of December 31, 2020, we had a historical net tangible book value of € million, corresponding to a historical net tangible book value of € per ordinary share or € per ADS based on an ADS to ordinary share ratio of to . Historical net tangible</w:t>
      </w:r>
    </w:p>
    <w:p>
      <w:pPr>
        <w:ind w:left="1980"/>
        <w:spacing w:after="0"/>
        <w:rPr>
          <w:sz w:val="20"/>
          <w:szCs w:val="20"/>
          <w:color w:val="auto"/>
        </w:rPr>
      </w:pPr>
      <w:r>
        <w:rPr>
          <w:rFonts w:ascii="Arial" w:cs="Arial" w:eastAsia="Arial" w:hAnsi="Arial"/>
          <w:sz w:val="10"/>
          <w:szCs w:val="10"/>
          <w:color w:val="auto"/>
        </w:rPr>
        <w:t>book value per ordinary share represents the amount of our total assets less our total liabilities, excluding intangible assets, divided by the total number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of our ordinary shares outstanding at December 31, 2020. Historical net tangible book value per ADS represents the amount of our total assets less our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total liabilities, excluding intangible assets, divided by the total number of our ordinary shares outstanding at December 31, 2020 converted to ADS at a</w:t>
      </w:r>
    </w:p>
    <w:p>
      <w:pPr>
        <w:spacing w:after="0" w:line="250" w:lineRule="exact"/>
        <w:rPr>
          <w:sz w:val="20"/>
          <w:szCs w:val="20"/>
          <w:color w:val="auto"/>
        </w:rPr>
      </w:pPr>
    </w:p>
    <w:p>
      <w:pPr>
        <w:ind w:left="1980"/>
        <w:spacing w:after="0"/>
        <w:tabs>
          <w:tab w:leader="none" w:pos="2840" w:val="left"/>
          <w:tab w:leader="none" w:pos="3440" w:val="left"/>
        </w:tabs>
        <w:rPr>
          <w:sz w:val="20"/>
          <w:szCs w:val="20"/>
          <w:color w:val="auto"/>
        </w:rPr>
      </w:pPr>
      <w:r>
        <w:rPr>
          <w:rFonts w:ascii="Arial" w:cs="Arial" w:eastAsia="Arial" w:hAnsi="Arial"/>
          <w:sz w:val="12"/>
          <w:szCs w:val="12"/>
          <w:color w:val="auto"/>
        </w:rPr>
        <w:t>ratio of</w:t>
      </w:r>
      <w:r>
        <w:rPr>
          <w:sz w:val="20"/>
          <w:szCs w:val="20"/>
          <w:color w:val="auto"/>
        </w:rPr>
        <w:tab/>
      </w:r>
      <w:r>
        <w:rPr>
          <w:rFonts w:ascii="Arial" w:cs="Arial" w:eastAsia="Arial" w:hAnsi="Arial"/>
          <w:sz w:val="12"/>
          <w:szCs w:val="12"/>
          <w:color w:val="auto"/>
        </w:rPr>
        <w:t>to</w:t>
      </w:r>
      <w:r>
        <w:rPr>
          <w:sz w:val="20"/>
          <w:szCs w:val="20"/>
          <w:color w:val="auto"/>
        </w:rPr>
        <w:tab/>
      </w:r>
      <w:r>
        <w:rPr>
          <w:rFonts w:ascii="Arial" w:cs="Arial" w:eastAsia="Arial" w:hAnsi="Arial"/>
          <w:sz w:val="12"/>
          <w:szCs w:val="12"/>
          <w:color w:val="auto"/>
        </w:rPr>
        <w:t>.</w:t>
      </w:r>
    </w:p>
    <w:p>
      <w:pPr>
        <w:spacing w:after="0" w:line="150" w:lineRule="exact"/>
        <w:rPr>
          <w:sz w:val="20"/>
          <w:szCs w:val="20"/>
          <w:color w:val="auto"/>
        </w:rPr>
      </w:pPr>
    </w:p>
    <w:p>
      <w:pPr>
        <w:ind w:left="2260"/>
        <w:spacing w:after="0"/>
        <w:tabs>
          <w:tab w:leader="none" w:pos="4960" w:val="left"/>
        </w:tabs>
        <w:rPr>
          <w:sz w:val="20"/>
          <w:szCs w:val="20"/>
          <w:color w:val="auto"/>
        </w:rPr>
      </w:pPr>
      <w:r>
        <w:rPr>
          <w:rFonts w:ascii="Arial" w:cs="Arial" w:eastAsia="Arial" w:hAnsi="Arial"/>
          <w:sz w:val="12"/>
          <w:szCs w:val="12"/>
          <w:color w:val="auto"/>
        </w:rPr>
        <w:t>After giving effect to the issuance and sale of</w:t>
      </w:r>
      <w:r>
        <w:rPr>
          <w:sz w:val="20"/>
          <w:szCs w:val="20"/>
          <w:color w:val="auto"/>
        </w:rPr>
        <w:tab/>
      </w:r>
      <w:r>
        <w:rPr>
          <w:rFonts w:ascii="Arial" w:cs="Arial" w:eastAsia="Arial" w:hAnsi="Arial"/>
          <w:sz w:val="11"/>
          <w:szCs w:val="11"/>
          <w:color w:val="auto"/>
        </w:rPr>
        <w:t>ADSs offered by us in the offering at an assumed initial public offering price of</w:t>
      </w:r>
    </w:p>
    <w:p>
      <w:pPr>
        <w:spacing w:after="0" w:line="15" w:lineRule="exact"/>
        <w:rPr>
          <w:sz w:val="20"/>
          <w:szCs w:val="20"/>
          <w:color w:val="auto"/>
        </w:rPr>
      </w:pPr>
    </w:p>
    <w:p>
      <w:pPr>
        <w:ind w:left="1980" w:right="879" w:hanging="8"/>
        <w:spacing w:after="0" w:line="300" w:lineRule="auto"/>
        <w:tabs>
          <w:tab w:leader="none" w:pos="2550" w:val="left"/>
        </w:tabs>
        <w:numPr>
          <w:ilvl w:val="0"/>
          <w:numId w:val="31"/>
        </w:numPr>
        <w:rPr>
          <w:rFonts w:ascii="Arial" w:cs="Arial" w:eastAsia="Arial" w:hAnsi="Arial"/>
          <w:sz w:val="10"/>
          <w:szCs w:val="10"/>
          <w:color w:val="auto"/>
        </w:rPr>
      </w:pPr>
      <w:r>
        <w:rPr>
          <w:rFonts w:ascii="Arial" w:cs="Arial" w:eastAsia="Arial" w:hAnsi="Arial"/>
          <w:sz w:val="10"/>
          <w:szCs w:val="10"/>
          <w:color w:val="auto"/>
        </w:rPr>
        <w:t>per ADS, the midpoint of the price range set forth on the cover page of this prospectus, after deducting the estimated underwriting discounts and commissions and estimated offering expenses payable by us, our as adjusted net tangible book value as of December 31, 2020 would have been</w:t>
      </w:r>
    </w:p>
    <w:tbl>
      <w:tblPr>
        <w:tblLayout w:type="fixed"/>
        <w:tblInd w:w="1980" w:type="dxa"/>
        <w:tblCellMar>
          <w:top w:w="0" w:type="dxa"/>
          <w:left w:w="0" w:type="dxa"/>
          <w:bottom w:w="0" w:type="dxa"/>
          <w:right w:w="0" w:type="dxa"/>
        </w:tblCellMar>
      </w:tblPr>
      <w:tr>
        <w:trPr>
          <w:trHeight w:val="136"/>
        </w:trPr>
        <w:tc>
          <w:tcPr>
            <w:tcW w:w="26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960" w:type="dxa"/>
            <w:vAlign w:val="bottom"/>
          </w:tcPr>
          <w:p>
            <w:pPr>
              <w:ind w:left="300"/>
              <w:spacing w:after="0" w:line="136" w:lineRule="exact"/>
              <w:rPr>
                <w:sz w:val="20"/>
                <w:szCs w:val="20"/>
                <w:color w:val="auto"/>
              </w:rPr>
            </w:pPr>
            <w:r>
              <w:rPr>
                <w:rFonts w:ascii="Arial" w:cs="Arial" w:eastAsia="Arial" w:hAnsi="Arial"/>
                <w:sz w:val="12"/>
                <w:szCs w:val="12"/>
                <w:color w:val="auto"/>
              </w:rPr>
              <w:t>million (or $</w:t>
            </w:r>
          </w:p>
        </w:tc>
        <w:tc>
          <w:tcPr>
            <w:tcW w:w="460" w:type="dxa"/>
            <w:vAlign w:val="bottom"/>
          </w:tcPr>
          <w:p>
            <w:pPr>
              <w:spacing w:after="0"/>
              <w:rPr>
                <w:sz w:val="11"/>
                <w:szCs w:val="11"/>
                <w:color w:val="auto"/>
              </w:rPr>
            </w:pPr>
          </w:p>
        </w:tc>
        <w:tc>
          <w:tcPr>
            <w:tcW w:w="1380" w:type="dxa"/>
            <w:vAlign w:val="bottom"/>
          </w:tcPr>
          <w:p>
            <w:pPr>
              <w:spacing w:after="0" w:line="136" w:lineRule="exact"/>
              <w:rPr>
                <w:sz w:val="20"/>
                <w:szCs w:val="20"/>
                <w:color w:val="auto"/>
              </w:rPr>
            </w:pPr>
            <w:r>
              <w:rPr>
                <w:rFonts w:ascii="Arial" w:cs="Arial" w:eastAsia="Arial" w:hAnsi="Arial"/>
                <w:sz w:val="12"/>
                <w:szCs w:val="12"/>
                <w:color w:val="auto"/>
              </w:rPr>
              <w:t>million), representing €</w:t>
            </w:r>
          </w:p>
        </w:tc>
        <w:tc>
          <w:tcPr>
            <w:tcW w:w="760" w:type="dxa"/>
            <w:vAlign w:val="bottom"/>
          </w:tcPr>
          <w:p>
            <w:pPr>
              <w:ind w:left="260"/>
              <w:spacing w:after="0" w:line="136" w:lineRule="exact"/>
              <w:rPr>
                <w:sz w:val="20"/>
                <w:szCs w:val="20"/>
                <w:color w:val="auto"/>
              </w:rPr>
            </w:pPr>
            <w:r>
              <w:rPr>
                <w:rFonts w:ascii="Arial" w:cs="Arial" w:eastAsia="Arial" w:hAnsi="Arial"/>
                <w:sz w:val="12"/>
                <w:szCs w:val="12"/>
                <w:color w:val="auto"/>
              </w:rPr>
              <w:t>(or $</w:t>
            </w:r>
          </w:p>
        </w:tc>
        <w:tc>
          <w:tcPr>
            <w:tcW w:w="2340" w:type="dxa"/>
            <w:vAlign w:val="bottom"/>
            <w:gridSpan w:val="3"/>
          </w:tcPr>
          <w:p>
            <w:pPr>
              <w:ind w:left="200"/>
              <w:spacing w:after="0" w:line="136" w:lineRule="exact"/>
              <w:rPr>
                <w:sz w:val="20"/>
                <w:szCs w:val="20"/>
                <w:color w:val="auto"/>
              </w:rPr>
            </w:pPr>
            <w:r>
              <w:rPr>
                <w:rFonts w:ascii="Arial" w:cs="Arial" w:eastAsia="Arial" w:hAnsi="Arial"/>
                <w:sz w:val="12"/>
                <w:szCs w:val="12"/>
                <w:color w:val="auto"/>
              </w:rPr>
              <w:t>) per ordinary share outstanding or €</w:t>
            </w:r>
          </w:p>
        </w:tc>
        <w:tc>
          <w:tcPr>
            <w:tcW w:w="760" w:type="dxa"/>
            <w:vAlign w:val="bottom"/>
          </w:tcPr>
          <w:p>
            <w:pPr>
              <w:jc w:val="center"/>
              <w:ind w:right="220"/>
              <w:spacing w:after="0" w:line="136" w:lineRule="exact"/>
              <w:rPr>
                <w:sz w:val="20"/>
                <w:szCs w:val="20"/>
                <w:color w:val="auto"/>
              </w:rPr>
            </w:pPr>
            <w:r>
              <w:rPr>
                <w:rFonts w:ascii="Arial" w:cs="Arial" w:eastAsia="Arial" w:hAnsi="Arial"/>
                <w:sz w:val="12"/>
                <w:szCs w:val="12"/>
                <w:color w:val="auto"/>
                <w:w w:val="97"/>
              </w:rPr>
              <w:t>(or $</w:t>
            </w: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 per</w:t>
            </w:r>
          </w:p>
        </w:tc>
      </w:tr>
      <w:tr>
        <w:trPr>
          <w:trHeight w:val="144"/>
        </w:trPr>
        <w:tc>
          <w:tcPr>
            <w:tcW w:w="3820" w:type="dxa"/>
            <w:vAlign w:val="bottom"/>
            <w:gridSpan w:val="5"/>
          </w:tcPr>
          <w:p>
            <w:pPr>
              <w:spacing w:after="0"/>
              <w:rPr>
                <w:sz w:val="20"/>
                <w:szCs w:val="20"/>
                <w:color w:val="auto"/>
              </w:rPr>
            </w:pPr>
            <w:r>
              <w:rPr>
                <w:rFonts w:ascii="Arial" w:cs="Arial" w:eastAsia="Arial" w:hAnsi="Arial"/>
                <w:sz w:val="12"/>
                <w:szCs w:val="12"/>
                <w:color w:val="auto"/>
                <w:w w:val="94"/>
              </w:rPr>
              <w:t>ADS. This represents an immediate increase in net tangible book value of €</w:t>
            </w:r>
          </w:p>
        </w:tc>
        <w:tc>
          <w:tcPr>
            <w:tcW w:w="760" w:type="dxa"/>
            <w:vAlign w:val="bottom"/>
          </w:tcPr>
          <w:p>
            <w:pPr>
              <w:ind w:left="300"/>
              <w:spacing w:after="0"/>
              <w:rPr>
                <w:sz w:val="20"/>
                <w:szCs w:val="20"/>
                <w:color w:val="auto"/>
              </w:rPr>
            </w:pPr>
            <w:r>
              <w:rPr>
                <w:rFonts w:ascii="Arial" w:cs="Arial" w:eastAsia="Arial" w:hAnsi="Arial"/>
                <w:sz w:val="12"/>
                <w:szCs w:val="12"/>
                <w:color w:val="auto"/>
              </w:rPr>
              <w:t>(or $</w:t>
            </w:r>
          </w:p>
        </w:tc>
        <w:tc>
          <w:tcPr>
            <w:tcW w:w="1580" w:type="dxa"/>
            <w:vAlign w:val="bottom"/>
            <w:gridSpan w:val="2"/>
          </w:tcPr>
          <w:p>
            <w:pPr>
              <w:ind w:left="260"/>
              <w:spacing w:after="0"/>
              <w:rPr>
                <w:sz w:val="20"/>
                <w:szCs w:val="20"/>
                <w:color w:val="auto"/>
              </w:rPr>
            </w:pPr>
            <w:r>
              <w:rPr>
                <w:rFonts w:ascii="Arial" w:cs="Arial" w:eastAsia="Arial" w:hAnsi="Arial"/>
                <w:sz w:val="12"/>
                <w:szCs w:val="12"/>
                <w:color w:val="auto"/>
              </w:rPr>
              <w:t>) per ordinary share or €</w:t>
            </w:r>
          </w:p>
        </w:tc>
        <w:tc>
          <w:tcPr>
            <w:tcW w:w="760" w:type="dxa"/>
            <w:vAlign w:val="bottom"/>
          </w:tcPr>
          <w:p>
            <w:pPr>
              <w:ind w:left="360"/>
              <w:spacing w:after="0"/>
              <w:rPr>
                <w:sz w:val="20"/>
                <w:szCs w:val="20"/>
                <w:color w:val="auto"/>
              </w:rPr>
            </w:pPr>
            <w:r>
              <w:rPr>
                <w:rFonts w:ascii="Arial" w:cs="Arial" w:eastAsia="Arial" w:hAnsi="Arial"/>
                <w:sz w:val="12"/>
                <w:szCs w:val="12"/>
                <w:color w:val="auto"/>
              </w:rPr>
              <w:t>(or $</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580" w:type="dxa"/>
            <w:vAlign w:val="bottom"/>
            <w:gridSpan w:val="6"/>
          </w:tcPr>
          <w:p>
            <w:pPr>
              <w:spacing w:after="0"/>
              <w:rPr>
                <w:sz w:val="20"/>
                <w:szCs w:val="20"/>
                <w:color w:val="auto"/>
              </w:rPr>
            </w:pPr>
            <w:r>
              <w:rPr>
                <w:rFonts w:ascii="Arial" w:cs="Arial" w:eastAsia="Arial" w:hAnsi="Arial"/>
                <w:sz w:val="12"/>
                <w:szCs w:val="12"/>
                <w:color w:val="auto"/>
                <w:w w:val="95"/>
              </w:rPr>
              <w:t>per ADS to existing shareholders and an immediate dilution in net tangible book value of €</w:t>
            </w:r>
          </w:p>
        </w:tc>
        <w:tc>
          <w:tcPr>
            <w:tcW w:w="740" w:type="dxa"/>
            <w:vAlign w:val="bottom"/>
          </w:tcPr>
          <w:p>
            <w:pPr>
              <w:ind w:left="300"/>
              <w:spacing w:after="0"/>
              <w:rPr>
                <w:sz w:val="20"/>
                <w:szCs w:val="20"/>
                <w:color w:val="auto"/>
              </w:rPr>
            </w:pPr>
            <w:r>
              <w:rPr>
                <w:rFonts w:ascii="Arial" w:cs="Arial" w:eastAsia="Arial" w:hAnsi="Arial"/>
                <w:sz w:val="12"/>
                <w:szCs w:val="12"/>
                <w:color w:val="auto"/>
              </w:rPr>
              <w:t>(or $</w:t>
            </w:r>
          </w:p>
        </w:tc>
        <w:tc>
          <w:tcPr>
            <w:tcW w:w="1600" w:type="dxa"/>
            <w:vAlign w:val="bottom"/>
            <w:gridSpan w:val="2"/>
          </w:tcPr>
          <w:p>
            <w:pPr>
              <w:ind w:left="260"/>
              <w:spacing w:after="0"/>
              <w:rPr>
                <w:sz w:val="20"/>
                <w:szCs w:val="20"/>
                <w:color w:val="auto"/>
              </w:rPr>
            </w:pPr>
            <w:r>
              <w:rPr>
                <w:rFonts w:ascii="Arial" w:cs="Arial" w:eastAsia="Arial" w:hAnsi="Arial"/>
                <w:sz w:val="12"/>
                <w:szCs w:val="12"/>
                <w:color w:val="auto"/>
              </w:rPr>
              <w:t>) per ordinary share or €</w:t>
            </w:r>
          </w:p>
        </w:tc>
        <w:tc>
          <w:tcPr>
            <w:tcW w:w="360" w:type="dxa"/>
            <w:vAlign w:val="bottom"/>
          </w:tcPr>
          <w:p>
            <w:pPr>
              <w:spacing w:after="0"/>
              <w:rPr>
                <w:sz w:val="12"/>
                <w:szCs w:val="12"/>
                <w:color w:val="auto"/>
              </w:rPr>
            </w:pPr>
          </w:p>
        </w:tc>
      </w:tr>
      <w:tr>
        <w:trPr>
          <w:trHeight w:val="144"/>
        </w:trPr>
        <w:tc>
          <w:tcPr>
            <w:tcW w:w="260" w:type="dxa"/>
            <w:vAlign w:val="bottom"/>
          </w:tcPr>
          <w:p>
            <w:pPr>
              <w:spacing w:after="0"/>
              <w:rPr>
                <w:sz w:val="20"/>
                <w:szCs w:val="20"/>
                <w:color w:val="auto"/>
              </w:rPr>
            </w:pPr>
            <w:r>
              <w:rPr>
                <w:rFonts w:ascii="Arial" w:cs="Arial" w:eastAsia="Arial" w:hAnsi="Arial"/>
                <w:sz w:val="12"/>
                <w:szCs w:val="12"/>
                <w:color w:val="auto"/>
                <w:w w:val="97"/>
              </w:rPr>
              <w:t>(or $</w:t>
            </w:r>
          </w:p>
        </w:tc>
        <w:tc>
          <w:tcPr>
            <w:tcW w:w="7020" w:type="dxa"/>
            <w:vAlign w:val="bottom"/>
            <w:gridSpan w:val="9"/>
          </w:tcPr>
          <w:p>
            <w:pPr>
              <w:ind w:left="440"/>
              <w:spacing w:after="0"/>
              <w:rPr>
                <w:sz w:val="20"/>
                <w:szCs w:val="20"/>
                <w:color w:val="auto"/>
              </w:rPr>
            </w:pPr>
            <w:r>
              <w:rPr>
                <w:rFonts w:ascii="Arial" w:cs="Arial" w:eastAsia="Arial" w:hAnsi="Arial"/>
                <w:sz w:val="12"/>
                <w:szCs w:val="12"/>
                <w:color w:val="auto"/>
                <w:w w:val="93"/>
              </w:rPr>
              <w:t>) per ADS to new investors purchasing ADSs in this offering. Dilution for this purpose represents the difference between the price per</w:t>
            </w:r>
          </w:p>
        </w:tc>
      </w:tr>
      <w:tr>
        <w:trPr>
          <w:trHeight w:val="153"/>
        </w:trPr>
        <w:tc>
          <w:tcPr>
            <w:tcW w:w="6920" w:type="dxa"/>
            <w:vAlign w:val="bottom"/>
            <w:gridSpan w:val="9"/>
          </w:tcPr>
          <w:p>
            <w:pPr>
              <w:spacing w:after="0"/>
              <w:rPr>
                <w:sz w:val="20"/>
                <w:szCs w:val="20"/>
                <w:color w:val="auto"/>
              </w:rPr>
            </w:pPr>
            <w:r>
              <w:rPr>
                <w:rFonts w:ascii="Arial" w:cs="Arial" w:eastAsia="Arial" w:hAnsi="Arial"/>
                <w:sz w:val="12"/>
                <w:szCs w:val="12"/>
                <w:color w:val="auto"/>
                <w:w w:val="98"/>
              </w:rPr>
              <w:t>ADS paid by these purchasers and the as adjusted net tangible book value per ADS immediately after the completion of this offering.</w:t>
            </w:r>
          </w:p>
        </w:tc>
        <w:tc>
          <w:tcPr>
            <w:tcW w:w="360" w:type="dxa"/>
            <w:vAlign w:val="bottom"/>
          </w:tcPr>
          <w:p>
            <w:pPr>
              <w:spacing w:after="0"/>
              <w:rPr>
                <w:sz w:val="13"/>
                <w:szCs w:val="13"/>
                <w:color w:val="auto"/>
              </w:rPr>
            </w:pPr>
          </w:p>
        </w:tc>
      </w:tr>
      <w:tr>
        <w:trPr>
          <w:trHeight w:val="279"/>
        </w:trPr>
        <w:tc>
          <w:tcPr>
            <w:tcW w:w="260" w:type="dxa"/>
            <w:vAlign w:val="bottom"/>
          </w:tcPr>
          <w:p>
            <w:pPr>
              <w:spacing w:after="0"/>
              <w:rPr>
                <w:sz w:val="24"/>
                <w:szCs w:val="24"/>
                <w:color w:val="auto"/>
              </w:rPr>
            </w:pPr>
          </w:p>
        </w:tc>
        <w:tc>
          <w:tcPr>
            <w:tcW w:w="7020" w:type="dxa"/>
            <w:vAlign w:val="bottom"/>
            <w:gridSpan w:val="9"/>
          </w:tcPr>
          <w:p>
            <w:pPr>
              <w:ind w:left="20"/>
              <w:spacing w:after="0"/>
              <w:rPr>
                <w:sz w:val="20"/>
                <w:szCs w:val="20"/>
                <w:color w:val="auto"/>
              </w:rPr>
            </w:pPr>
            <w:r>
              <w:rPr>
                <w:rFonts w:ascii="Arial" w:cs="Arial" w:eastAsia="Arial" w:hAnsi="Arial"/>
                <w:sz w:val="12"/>
                <w:szCs w:val="12"/>
                <w:color w:val="auto"/>
                <w:w w:val="93"/>
              </w:rPr>
              <w:t>If the underwriters exercise their option to purchase additional ADSs from us in full, our as adjusted net tangible book value per ADS after the</w:t>
            </w:r>
          </w:p>
        </w:tc>
      </w:tr>
      <w:tr>
        <w:trPr>
          <w:trHeight w:val="144"/>
        </w:trPr>
        <w:tc>
          <w:tcPr>
            <w:tcW w:w="1220" w:type="dxa"/>
            <w:vAlign w:val="bottom"/>
            <w:gridSpan w:val="2"/>
          </w:tcPr>
          <w:p>
            <w:pPr>
              <w:spacing w:after="0"/>
              <w:rPr>
                <w:sz w:val="20"/>
                <w:szCs w:val="20"/>
                <w:color w:val="auto"/>
              </w:rPr>
            </w:pPr>
            <w:r>
              <w:rPr>
                <w:rFonts w:ascii="Arial" w:cs="Arial" w:eastAsia="Arial" w:hAnsi="Arial"/>
                <w:sz w:val="12"/>
                <w:szCs w:val="12"/>
                <w:color w:val="auto"/>
              </w:rPr>
              <w:t>offering would be €</w:t>
            </w:r>
          </w:p>
        </w:tc>
        <w:tc>
          <w:tcPr>
            <w:tcW w:w="460" w:type="dxa"/>
            <w:vAlign w:val="bottom"/>
          </w:tcPr>
          <w:p>
            <w:pPr>
              <w:ind w:left="220"/>
              <w:spacing w:after="0"/>
              <w:rPr>
                <w:sz w:val="20"/>
                <w:szCs w:val="20"/>
                <w:color w:val="auto"/>
              </w:rPr>
            </w:pPr>
            <w:r>
              <w:rPr>
                <w:rFonts w:ascii="Arial" w:cs="Arial" w:eastAsia="Arial" w:hAnsi="Arial"/>
                <w:sz w:val="12"/>
                <w:szCs w:val="12"/>
                <w:color w:val="auto"/>
                <w:w w:val="88"/>
              </w:rPr>
              <w:t>(or $</w:t>
            </w:r>
          </w:p>
        </w:tc>
        <w:tc>
          <w:tcPr>
            <w:tcW w:w="5240" w:type="dxa"/>
            <w:vAlign w:val="bottom"/>
            <w:gridSpan w:val="6"/>
          </w:tcPr>
          <w:p>
            <w:pPr>
              <w:ind w:left="480"/>
              <w:spacing w:after="0"/>
              <w:rPr>
                <w:sz w:val="20"/>
                <w:szCs w:val="20"/>
                <w:color w:val="auto"/>
              </w:rPr>
            </w:pPr>
            <w:r>
              <w:rPr>
                <w:rFonts w:ascii="Arial" w:cs="Arial" w:eastAsia="Arial" w:hAnsi="Arial"/>
                <w:sz w:val="12"/>
                <w:szCs w:val="12"/>
                <w:color w:val="auto"/>
                <w:w w:val="91"/>
              </w:rPr>
              <w:t>) per ADS, representing an immediate increase in as adjusted net tangible book value per ADS of</w:t>
            </w:r>
          </w:p>
        </w:tc>
        <w:tc>
          <w:tcPr>
            <w:tcW w:w="360" w:type="dxa"/>
            <w:vAlign w:val="bottom"/>
          </w:tcPr>
          <w:p>
            <w:pPr>
              <w:spacing w:after="0"/>
              <w:rPr>
                <w:sz w:val="12"/>
                <w:szCs w:val="12"/>
                <w:color w:val="auto"/>
              </w:rPr>
            </w:pPr>
          </w:p>
        </w:tc>
      </w:tr>
      <w:tr>
        <w:trPr>
          <w:trHeight w:val="144"/>
        </w:trPr>
        <w:tc>
          <w:tcPr>
            <w:tcW w:w="26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ind w:left="300"/>
              <w:spacing w:after="0"/>
              <w:rPr>
                <w:sz w:val="20"/>
                <w:szCs w:val="20"/>
                <w:color w:val="auto"/>
              </w:rPr>
            </w:pPr>
            <w:r>
              <w:rPr>
                <w:rFonts w:ascii="Arial" w:cs="Arial" w:eastAsia="Arial" w:hAnsi="Arial"/>
                <w:sz w:val="12"/>
                <w:szCs w:val="12"/>
                <w:color w:val="auto"/>
              </w:rPr>
              <w:t>(or $</w:t>
            </w:r>
          </w:p>
        </w:tc>
        <w:tc>
          <w:tcPr>
            <w:tcW w:w="3360" w:type="dxa"/>
            <w:vAlign w:val="bottom"/>
            <w:gridSpan w:val="4"/>
          </w:tcPr>
          <w:p>
            <w:pPr>
              <w:ind w:left="60"/>
              <w:spacing w:after="0"/>
              <w:rPr>
                <w:sz w:val="20"/>
                <w:szCs w:val="20"/>
                <w:color w:val="auto"/>
              </w:rPr>
            </w:pPr>
            <w:r>
              <w:rPr>
                <w:rFonts w:ascii="Arial" w:cs="Arial" w:eastAsia="Arial" w:hAnsi="Arial"/>
                <w:sz w:val="12"/>
                <w:szCs w:val="12"/>
                <w:color w:val="auto"/>
                <w:w w:val="99"/>
              </w:rPr>
              <w:t>) per ADS to existing shareholders and immediate dilution of €</w:t>
            </w:r>
          </w:p>
        </w:tc>
        <w:tc>
          <w:tcPr>
            <w:tcW w:w="740" w:type="dxa"/>
            <w:vAlign w:val="bottom"/>
          </w:tcPr>
          <w:p>
            <w:pPr>
              <w:ind w:left="220"/>
              <w:spacing w:after="0"/>
              <w:rPr>
                <w:sz w:val="20"/>
                <w:szCs w:val="20"/>
                <w:color w:val="auto"/>
              </w:rPr>
            </w:pPr>
            <w:r>
              <w:rPr>
                <w:rFonts w:ascii="Arial" w:cs="Arial" w:eastAsia="Arial" w:hAnsi="Arial"/>
                <w:sz w:val="12"/>
                <w:szCs w:val="12"/>
                <w:color w:val="auto"/>
              </w:rPr>
              <w:t>(or $</w:t>
            </w:r>
          </w:p>
        </w:tc>
        <w:tc>
          <w:tcPr>
            <w:tcW w:w="1960" w:type="dxa"/>
            <w:vAlign w:val="bottom"/>
            <w:gridSpan w:val="3"/>
          </w:tcPr>
          <w:p>
            <w:pPr>
              <w:jc w:val="center"/>
              <w:ind w:left="140"/>
              <w:spacing w:after="0"/>
              <w:rPr>
                <w:sz w:val="20"/>
                <w:szCs w:val="20"/>
                <w:color w:val="auto"/>
              </w:rPr>
            </w:pPr>
            <w:r>
              <w:rPr>
                <w:rFonts w:ascii="Arial" w:cs="Arial" w:eastAsia="Arial" w:hAnsi="Arial"/>
                <w:sz w:val="12"/>
                <w:szCs w:val="12"/>
                <w:color w:val="auto"/>
                <w:w w:val="90"/>
              </w:rPr>
              <w:t>) per ADS in as adjusted net tangible</w:t>
            </w:r>
          </w:p>
        </w:tc>
      </w:tr>
      <w:tr>
        <w:trPr>
          <w:trHeight w:val="153"/>
        </w:trPr>
        <w:tc>
          <w:tcPr>
            <w:tcW w:w="6160" w:type="dxa"/>
            <w:vAlign w:val="bottom"/>
            <w:gridSpan w:val="8"/>
          </w:tcPr>
          <w:p>
            <w:pPr>
              <w:spacing w:after="0"/>
              <w:rPr>
                <w:sz w:val="20"/>
                <w:szCs w:val="20"/>
                <w:color w:val="auto"/>
              </w:rPr>
            </w:pPr>
            <w:r>
              <w:rPr>
                <w:rFonts w:ascii="Arial" w:cs="Arial" w:eastAsia="Arial" w:hAnsi="Arial"/>
                <w:sz w:val="12"/>
                <w:szCs w:val="12"/>
                <w:color w:val="auto"/>
                <w:w w:val="93"/>
              </w:rPr>
              <w:t>book value per ADS to new investors purchasing ADSs in this offering, based on an assumed initial public offering price of $</w:t>
            </w: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per ADS, the</w:t>
            </w:r>
          </w:p>
        </w:tc>
      </w:tr>
    </w:tbl>
    <w:p>
      <w:pPr>
        <w:ind w:left="1980" w:right="1059"/>
        <w:spacing w:after="0" w:line="260" w:lineRule="auto"/>
        <w:rPr>
          <w:sz w:val="20"/>
          <w:szCs w:val="20"/>
          <w:color w:val="auto"/>
        </w:rPr>
      </w:pPr>
      <w:r>
        <w:rPr>
          <w:rFonts w:ascii="Arial" w:cs="Arial" w:eastAsia="Arial" w:hAnsi="Arial"/>
          <w:sz w:val="12"/>
          <w:szCs w:val="12"/>
          <w:color w:val="auto"/>
        </w:rPr>
        <w:t>midpoint of the price range set forth on the cover page of this prospectus, after deducting the estimated underwriting discounts and commissions and estimated offering expenses payable by us.</w:t>
      </w:r>
    </w:p>
    <w:p>
      <w:pPr>
        <w:spacing w:after="0" w:line="12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illustrates this dilution to new investors purchasing ADSs in the offering, assuming either no exercise or full exercise of the underwriters’ option to purchase additional ADSs:</w:t>
      </w:r>
    </w:p>
    <w:p>
      <w:pPr>
        <w:spacing w:after="0" w:line="126" w:lineRule="exact"/>
        <w:rPr>
          <w:sz w:val="20"/>
          <w:szCs w:val="20"/>
          <w:color w:val="auto"/>
        </w:rPr>
      </w:pPr>
    </w:p>
    <w:tbl>
      <w:tblPr>
        <w:tblLayout w:type="fixed"/>
        <w:tblInd w:w="7380" w:type="dxa"/>
        <w:tblCellMar>
          <w:top w:w="0" w:type="dxa"/>
          <w:left w:w="0" w:type="dxa"/>
          <w:bottom w:w="0" w:type="dxa"/>
          <w:right w:w="0" w:type="dxa"/>
        </w:tblCellMar>
      </w:tblPr>
      <w:tr>
        <w:trPr>
          <w:trHeight w:val="115"/>
        </w:trPr>
        <w:tc>
          <w:tcPr>
            <w:tcW w:w="1120" w:type="dxa"/>
            <w:vAlign w:val="bottom"/>
            <w:gridSpan w:val="3"/>
          </w:tcPr>
          <w:p>
            <w:pPr>
              <w:ind w:left="160"/>
              <w:spacing w:after="0"/>
              <w:rPr>
                <w:sz w:val="20"/>
                <w:szCs w:val="20"/>
                <w:color w:val="auto"/>
              </w:rPr>
            </w:pPr>
            <w:r>
              <w:rPr>
                <w:rFonts w:ascii="Arial" w:cs="Arial" w:eastAsia="Arial" w:hAnsi="Arial"/>
                <w:sz w:val="10"/>
                <w:szCs w:val="10"/>
                <w:b w:val="1"/>
                <w:bCs w:val="1"/>
                <w:color w:val="auto"/>
              </w:rPr>
              <w:t>No exercise</w:t>
            </w:r>
          </w:p>
        </w:tc>
        <w:tc>
          <w:tcPr>
            <w:tcW w:w="800" w:type="dxa"/>
            <w:vAlign w:val="bottom"/>
            <w:gridSpan w:val="3"/>
          </w:tcPr>
          <w:p>
            <w:pPr>
              <w:ind w:left="140"/>
              <w:spacing w:after="0"/>
              <w:rPr>
                <w:sz w:val="20"/>
                <w:szCs w:val="20"/>
                <w:color w:val="auto"/>
              </w:rPr>
            </w:pPr>
            <w:r>
              <w:rPr>
                <w:rFonts w:ascii="Arial" w:cs="Arial" w:eastAsia="Arial" w:hAnsi="Arial"/>
                <w:sz w:val="10"/>
                <w:szCs w:val="10"/>
                <w:b w:val="1"/>
                <w:bCs w:val="1"/>
                <w:color w:val="auto"/>
              </w:rPr>
              <w:t>Full exercise</w:t>
            </w:r>
          </w:p>
        </w:tc>
      </w:tr>
      <w:tr>
        <w:trPr>
          <w:trHeight w:val="91"/>
        </w:trPr>
        <w:tc>
          <w:tcPr>
            <w:tcW w:w="400" w:type="dxa"/>
            <w:vAlign w:val="bottom"/>
            <w:tcBorders>
              <w:top w:val="single" w:sz="8" w:color="auto"/>
            </w:tcBorders>
          </w:tcPr>
          <w:p>
            <w:pPr>
              <w:ind w:left="20"/>
              <w:spacing w:after="0" w:line="91" w:lineRule="exact"/>
              <w:rPr>
                <w:sz w:val="20"/>
                <w:szCs w:val="20"/>
                <w:color w:val="auto"/>
              </w:rPr>
            </w:pPr>
            <w:r>
              <w:rPr>
                <w:rFonts w:ascii="Arial" w:cs="Arial" w:eastAsia="Arial" w:hAnsi="Arial"/>
                <w:sz w:val="10"/>
                <w:szCs w:val="10"/>
                <w:b w:val="1"/>
                <w:bCs w:val="1"/>
                <w:color w:val="auto"/>
              </w:rPr>
              <w:t>(in €)</w:t>
            </w:r>
          </w:p>
        </w:tc>
        <w:tc>
          <w:tcPr>
            <w:tcW w:w="380" w:type="dxa"/>
            <w:vAlign w:val="bottom"/>
            <w:tcBorders>
              <w:top w:val="single" w:sz="8" w:color="auto"/>
            </w:tcBorders>
          </w:tcPr>
          <w:p>
            <w:pPr>
              <w:ind w:left="160"/>
              <w:spacing w:after="0" w:line="91" w:lineRule="exact"/>
              <w:rPr>
                <w:sz w:val="20"/>
                <w:szCs w:val="20"/>
                <w:color w:val="auto"/>
              </w:rPr>
            </w:pPr>
            <w:r>
              <w:rPr>
                <w:rFonts w:ascii="Arial" w:cs="Arial" w:eastAsia="Arial" w:hAnsi="Arial"/>
                <w:sz w:val="10"/>
                <w:szCs w:val="10"/>
                <w:b w:val="1"/>
                <w:bCs w:val="1"/>
                <w:color w:val="auto"/>
                <w:w w:val="83"/>
              </w:rPr>
              <w:t>(in $)</w:t>
            </w:r>
          </w:p>
        </w:tc>
        <w:tc>
          <w:tcPr>
            <w:tcW w:w="340" w:type="dxa"/>
            <w:vAlign w:val="bottom"/>
          </w:tcPr>
          <w:p>
            <w:pPr>
              <w:spacing w:after="0"/>
              <w:rPr>
                <w:sz w:val="7"/>
                <w:szCs w:val="7"/>
                <w:color w:val="auto"/>
              </w:rPr>
            </w:pPr>
          </w:p>
        </w:tc>
        <w:tc>
          <w:tcPr>
            <w:tcW w:w="400" w:type="dxa"/>
            <w:vAlign w:val="bottom"/>
            <w:tcBorders>
              <w:top w:val="single" w:sz="8" w:color="auto"/>
            </w:tcBorders>
          </w:tcPr>
          <w:p>
            <w:pPr>
              <w:spacing w:after="0" w:line="91" w:lineRule="exact"/>
              <w:rPr>
                <w:sz w:val="20"/>
                <w:szCs w:val="20"/>
                <w:color w:val="auto"/>
              </w:rPr>
            </w:pPr>
            <w:r>
              <w:rPr>
                <w:rFonts w:ascii="Arial" w:cs="Arial" w:eastAsia="Arial" w:hAnsi="Arial"/>
                <w:sz w:val="10"/>
                <w:szCs w:val="10"/>
                <w:b w:val="1"/>
                <w:bCs w:val="1"/>
                <w:color w:val="auto"/>
              </w:rPr>
              <w:t>(in €)</w:t>
            </w:r>
          </w:p>
        </w:tc>
        <w:tc>
          <w:tcPr>
            <w:tcW w:w="380" w:type="dxa"/>
            <w:vAlign w:val="bottom"/>
            <w:tcBorders>
              <w:top w:val="single" w:sz="8" w:color="auto"/>
            </w:tcBorders>
          </w:tcPr>
          <w:p>
            <w:pPr>
              <w:ind w:left="180"/>
              <w:spacing w:after="0" w:line="91" w:lineRule="exact"/>
              <w:rPr>
                <w:sz w:val="20"/>
                <w:szCs w:val="20"/>
                <w:color w:val="auto"/>
              </w:rPr>
            </w:pPr>
            <w:r>
              <w:rPr>
                <w:rFonts w:ascii="Arial" w:cs="Arial" w:eastAsia="Arial" w:hAnsi="Arial"/>
                <w:sz w:val="10"/>
                <w:szCs w:val="10"/>
                <w:b w:val="1"/>
                <w:bCs w:val="1"/>
                <w:color w:val="auto"/>
                <w:w w:val="75"/>
              </w:rPr>
              <w:t>(in $)</w:t>
            </w: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-1270</wp:posOffset>
            </wp:positionV>
            <wp:extent cx="466344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Assumed initial public offering price</w:t>
      </w:r>
    </w:p>
    <w:p>
      <w:pPr>
        <w:spacing w:after="0" w:line="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Historical net tangible book value per ADS as of December 31, 2020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 in net tangible book value per ADS attributable to investors purchasing ADSs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As adjusted net tangible book value per ADS after this offering</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Dilution per ADS to new investors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0159"/>
          </w:cols>
          <w:pgMar w:left="300" w:top="354"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The as adjusted information is illustrative only, and we will adjust this information based on the actual initial public offering price and other terms of this offering determined at pricing.</w:t>
      </w:r>
    </w:p>
    <w:p>
      <w:pPr>
        <w:spacing w:after="0" w:line="115"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Each $1.00 increase (decrease) in the assumed initial public offering price of $ per ADS would increase (decrease) our as adjusted net tangible book value after this offering by $ per ADS, and the dilution in as adjusted net tangible book value to new investors by $</w:t>
      </w:r>
    </w:p>
    <w:p>
      <w:pPr>
        <w:spacing w:after="0" w:line="1" w:lineRule="exact"/>
        <w:rPr>
          <w:sz w:val="20"/>
          <w:szCs w:val="20"/>
          <w:color w:val="auto"/>
        </w:rPr>
      </w:pPr>
    </w:p>
    <w:p>
      <w:pPr>
        <w:ind w:left="1980" w:right="859"/>
        <w:spacing w:after="0" w:line="300" w:lineRule="auto"/>
        <w:rPr>
          <w:sz w:val="20"/>
          <w:szCs w:val="20"/>
          <w:color w:val="auto"/>
        </w:rPr>
      </w:pPr>
      <w:r>
        <w:rPr>
          <w:rFonts w:ascii="Arial" w:cs="Arial" w:eastAsia="Arial" w:hAnsi="Arial"/>
          <w:sz w:val="10"/>
          <w:szCs w:val="10"/>
          <w:color w:val="auto"/>
        </w:rPr>
        <w:t>per ADS, assuming that the number of ADSs offered by us, as set forth on the cover page of this prospectus, remains the same and after deducting the estimated underwriting discounts and commissions and estimated offering expenses payable by us. Each increase (decrease) of 100,000 in the number of</w:t>
      </w:r>
    </w:p>
    <w:p>
      <w:pPr>
        <w:spacing w:after="0" w:line="1" w:lineRule="exact"/>
        <w:rPr>
          <w:sz w:val="20"/>
          <w:szCs w:val="20"/>
          <w:color w:val="auto"/>
        </w:rPr>
      </w:pPr>
    </w:p>
    <w:p>
      <w:pPr>
        <w:ind w:left="1980"/>
        <w:spacing w:after="0"/>
        <w:tabs>
          <w:tab w:leader="none" w:pos="7700" w:val="left"/>
        </w:tabs>
        <w:rPr>
          <w:sz w:val="20"/>
          <w:szCs w:val="20"/>
          <w:color w:val="auto"/>
        </w:rPr>
      </w:pPr>
      <w:r>
        <w:rPr>
          <w:rFonts w:ascii="Arial" w:cs="Arial" w:eastAsia="Arial" w:hAnsi="Arial"/>
          <w:sz w:val="12"/>
          <w:szCs w:val="12"/>
          <w:color w:val="auto"/>
        </w:rPr>
        <w:t>ADSs offered by us would increase (decrease) our as adjusted net tangible book value after this offering by $</w:t>
      </w:r>
      <w:r>
        <w:rPr>
          <w:sz w:val="20"/>
          <w:szCs w:val="20"/>
          <w:color w:val="auto"/>
        </w:rPr>
        <w:tab/>
      </w:r>
      <w:r>
        <w:rPr>
          <w:rFonts w:ascii="Arial" w:cs="Arial" w:eastAsia="Arial" w:hAnsi="Arial"/>
          <w:sz w:val="10"/>
          <w:szCs w:val="10"/>
          <w:color w:val="auto"/>
        </w:rPr>
        <w:t>per ADS, and decrease (increase)</w:t>
      </w:r>
    </w:p>
    <w:p>
      <w:pPr>
        <w:spacing w:after="0" w:line="6" w:lineRule="exact"/>
        <w:rPr>
          <w:sz w:val="20"/>
          <w:szCs w:val="20"/>
          <w:color w:val="auto"/>
        </w:rPr>
      </w:pPr>
    </w:p>
    <w:p>
      <w:pPr>
        <w:ind w:left="1980"/>
        <w:spacing w:after="0"/>
        <w:tabs>
          <w:tab w:leader="none" w:pos="5940" w:val="left"/>
        </w:tabs>
        <w:rPr>
          <w:sz w:val="20"/>
          <w:szCs w:val="20"/>
          <w:color w:val="auto"/>
        </w:rPr>
      </w:pPr>
      <w:r>
        <w:rPr>
          <w:rFonts w:ascii="Arial" w:cs="Arial" w:eastAsia="Arial" w:hAnsi="Arial"/>
          <w:sz w:val="12"/>
          <w:szCs w:val="12"/>
          <w:color w:val="auto"/>
        </w:rPr>
        <w:t>the dilution to investors participating in this offering by approximately $</w:t>
      </w:r>
      <w:r>
        <w:rPr>
          <w:sz w:val="20"/>
          <w:szCs w:val="20"/>
          <w:color w:val="auto"/>
        </w:rPr>
        <w:tab/>
      </w:r>
      <w:r>
        <w:rPr>
          <w:rFonts w:ascii="Arial" w:cs="Arial" w:eastAsia="Arial" w:hAnsi="Arial"/>
          <w:sz w:val="10"/>
          <w:szCs w:val="10"/>
          <w:color w:val="auto"/>
        </w:rPr>
        <w:t>per ADS, assuming that the assumed initial public offering price</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remains the same and after deducting the estimated underwriting discounts and commissions and estimated offering expenses payable by us.</w:t>
      </w:r>
    </w:p>
    <w:p>
      <w:pPr>
        <w:spacing w:after="0" w:line="153"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To the extent we grant options or other equity awards to our employees or members of our management board or our supervisory board in the future, and those options or other equity awards are exercised in the future or other issuances of our ordinary shares are made, there will be further dilution to new investors.</w:t>
      </w:r>
    </w:p>
    <w:p>
      <w:pPr>
        <w:spacing w:after="0" w:line="122" w:lineRule="exact"/>
        <w:rPr>
          <w:sz w:val="20"/>
          <w:szCs w:val="20"/>
          <w:color w:val="auto"/>
        </w:rPr>
      </w:pPr>
    </w:p>
    <w:p>
      <w:pPr>
        <w:ind w:left="1980" w:right="959" w:firstLine="294"/>
        <w:spacing w:after="0" w:line="306" w:lineRule="auto"/>
        <w:rPr>
          <w:sz w:val="20"/>
          <w:szCs w:val="20"/>
          <w:color w:val="auto"/>
        </w:rPr>
      </w:pPr>
      <w:r>
        <w:rPr>
          <w:rFonts w:ascii="Arial" w:cs="Arial" w:eastAsia="Arial" w:hAnsi="Arial"/>
          <w:sz w:val="10"/>
          <w:szCs w:val="10"/>
          <w:color w:val="auto"/>
        </w:rPr>
        <w:t>The following table presents on an as adjusted basis, as of December 31, 2020, after giving effect to the issuance and sale of our ADSs in this offering, the differences between the shareholders as of December 31, 2020, the new investors with respect to the number of ADSs purchased from us, the numbers of ordinary shares purchased from us, the total consideration paid and the average price per ordinary share at an assumed initial public</w:t>
      </w:r>
    </w:p>
    <w:p>
      <w:pPr>
        <w:spacing w:after="0" w:line="1" w:lineRule="exact"/>
        <w:rPr>
          <w:sz w:val="20"/>
          <w:szCs w:val="20"/>
          <w:color w:val="auto"/>
        </w:rPr>
      </w:pPr>
    </w:p>
    <w:p>
      <w:pPr>
        <w:ind w:left="1980" w:right="979"/>
        <w:spacing w:after="0" w:line="255" w:lineRule="auto"/>
        <w:rPr>
          <w:sz w:val="20"/>
          <w:szCs w:val="20"/>
          <w:color w:val="auto"/>
        </w:rPr>
      </w:pPr>
      <w:r>
        <w:rPr>
          <w:rFonts w:ascii="Arial" w:cs="Arial" w:eastAsia="Arial" w:hAnsi="Arial"/>
          <w:sz w:val="12"/>
          <w:szCs w:val="12"/>
          <w:color w:val="auto"/>
        </w:rPr>
        <w:t>offering price of $ per ADS, the midpoint of the price range set forth on the cover page of this prospectus, after deducting the estimated underwriting discounts and commissions and estimated offering expenses payable by us and excluding the underwriters’ option to purchase additional ADSs:</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0"/>
                <w:szCs w:val="10"/>
                <w:b w:val="1"/>
                <w:bCs w:val="1"/>
                <w:color w:val="auto"/>
                <w:w w:val="87"/>
              </w:rPr>
              <w:t>Ordinary Shares</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3"/>
        </w:trPr>
        <w:tc>
          <w:tcPr>
            <w:tcW w:w="2480" w:type="dxa"/>
            <w:vAlign w:val="bottom"/>
          </w:tcPr>
          <w:p>
            <w:pPr>
              <w:spacing w:after="0"/>
              <w:rPr>
                <w:sz w:val="9"/>
                <w:szCs w:val="9"/>
                <w:color w:val="auto"/>
              </w:rPr>
            </w:pPr>
          </w:p>
        </w:tc>
        <w:tc>
          <w:tcPr>
            <w:tcW w:w="1180" w:type="dxa"/>
            <w:vAlign w:val="bottom"/>
            <w:gridSpan w:val="4"/>
          </w:tcPr>
          <w:p>
            <w:pPr>
              <w:jc w:val="center"/>
              <w:ind w:right="260"/>
              <w:spacing w:after="0" w:line="114" w:lineRule="exact"/>
              <w:rPr>
                <w:sz w:val="20"/>
                <w:szCs w:val="20"/>
                <w:color w:val="auto"/>
              </w:rPr>
            </w:pPr>
            <w:r>
              <w:rPr>
                <w:rFonts w:ascii="Arial" w:cs="Arial" w:eastAsia="Arial" w:hAnsi="Arial"/>
                <w:sz w:val="10"/>
                <w:szCs w:val="10"/>
                <w:b w:val="1"/>
                <w:bCs w:val="1"/>
                <w:color w:val="auto"/>
                <w:w w:val="85"/>
              </w:rPr>
              <w:t>Purchased</w:t>
            </w:r>
          </w:p>
        </w:tc>
        <w:tc>
          <w:tcPr>
            <w:tcW w:w="1560" w:type="dxa"/>
            <w:vAlign w:val="bottom"/>
            <w:gridSpan w:val="6"/>
          </w:tcPr>
          <w:p>
            <w:pPr>
              <w:ind w:left="240"/>
              <w:spacing w:after="0" w:line="114" w:lineRule="exact"/>
              <w:rPr>
                <w:sz w:val="20"/>
                <w:szCs w:val="20"/>
                <w:color w:val="auto"/>
              </w:rPr>
            </w:pPr>
            <w:r>
              <w:rPr>
                <w:rFonts w:ascii="Arial" w:cs="Arial" w:eastAsia="Arial" w:hAnsi="Arial"/>
                <w:sz w:val="10"/>
                <w:szCs w:val="10"/>
                <w:b w:val="1"/>
                <w:bCs w:val="1"/>
                <w:color w:val="auto"/>
              </w:rPr>
              <w:t>Total Consideration</w:t>
            </w:r>
          </w:p>
        </w:tc>
        <w:tc>
          <w:tcPr>
            <w:tcW w:w="90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6"/>
              </w:rPr>
              <w:t>Average Price per</w:t>
            </w:r>
          </w:p>
        </w:tc>
        <w:tc>
          <w:tcPr>
            <w:tcW w:w="280" w:type="dxa"/>
            <w:vAlign w:val="bottom"/>
          </w:tcPr>
          <w:p>
            <w:pPr>
              <w:spacing w:after="0"/>
              <w:rPr>
                <w:sz w:val="9"/>
                <w:szCs w:val="9"/>
                <w:color w:val="auto"/>
              </w:rPr>
            </w:pPr>
          </w:p>
        </w:tc>
        <w:tc>
          <w:tcPr>
            <w:tcW w:w="94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6"/>
              </w:rPr>
              <w:t>Average Price per</w:t>
            </w:r>
          </w:p>
        </w:tc>
      </w:tr>
      <w:tr>
        <w:trPr>
          <w:trHeight w:val="88"/>
        </w:trPr>
        <w:tc>
          <w:tcPr>
            <w:tcW w:w="2480" w:type="dxa"/>
            <w:vAlign w:val="bottom"/>
          </w:tcPr>
          <w:p>
            <w:pPr>
              <w:spacing w:after="0"/>
              <w:rPr>
                <w:sz w:val="7"/>
                <w:szCs w:val="7"/>
                <w:color w:val="auto"/>
              </w:rPr>
            </w:pPr>
          </w:p>
        </w:tc>
        <w:tc>
          <w:tcPr>
            <w:tcW w:w="6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Number</w:t>
            </w:r>
          </w:p>
        </w:tc>
        <w:tc>
          <w:tcPr>
            <w:tcW w:w="32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1"/>
              </w:rPr>
              <w:t>Percent</w:t>
            </w:r>
          </w:p>
        </w:tc>
        <w:tc>
          <w:tcPr>
            <w:tcW w:w="260" w:type="dxa"/>
            <w:vAlign w:val="bottom"/>
          </w:tcPr>
          <w:p>
            <w:pPr>
              <w:spacing w:after="0"/>
              <w:rPr>
                <w:sz w:val="7"/>
                <w:szCs w:val="7"/>
                <w:color w:val="auto"/>
              </w:rPr>
            </w:pPr>
          </w:p>
        </w:tc>
        <w:tc>
          <w:tcPr>
            <w:tcW w:w="540" w:type="dxa"/>
            <w:vAlign w:val="bottom"/>
            <w:tcBorders>
              <w:top w:val="single" w:sz="8" w:color="auto"/>
            </w:tcBorders>
            <w:gridSpan w:val="2"/>
          </w:tcPr>
          <w:p>
            <w:pPr>
              <w:ind w:left="180"/>
              <w:spacing w:after="0" w:line="88" w:lineRule="exact"/>
              <w:rPr>
                <w:sz w:val="20"/>
                <w:szCs w:val="20"/>
                <w:color w:val="auto"/>
              </w:rPr>
            </w:pPr>
            <w:r>
              <w:rPr>
                <w:rFonts w:ascii="Arial" w:cs="Arial" w:eastAsia="Arial" w:hAnsi="Arial"/>
                <w:sz w:val="10"/>
                <w:szCs w:val="10"/>
                <w:b w:val="1"/>
                <w:bCs w:val="1"/>
                <w:color w:val="auto"/>
                <w:w w:val="89"/>
              </w:rPr>
              <w:t>Amount</w:t>
            </w:r>
          </w:p>
        </w:tc>
        <w:tc>
          <w:tcPr>
            <w:tcW w:w="1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1"/>
              </w:rPr>
              <w:t>Percent</w:t>
            </w:r>
          </w:p>
        </w:tc>
        <w:tc>
          <w:tcPr>
            <w:tcW w:w="280" w:type="dxa"/>
            <w:vAlign w:val="bottom"/>
          </w:tcPr>
          <w:p>
            <w:pPr>
              <w:spacing w:after="0"/>
              <w:rPr>
                <w:sz w:val="7"/>
                <w:szCs w:val="7"/>
                <w:color w:val="auto"/>
              </w:rPr>
            </w:pPr>
          </w:p>
        </w:tc>
        <w:tc>
          <w:tcPr>
            <w:tcW w:w="90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91"/>
              </w:rPr>
              <w:t>Ordinary Share</w:t>
            </w: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gridSpan w:val="2"/>
          </w:tcPr>
          <w:p>
            <w:pPr>
              <w:jc w:val="center"/>
              <w:ind w:right="340"/>
              <w:spacing w:after="0" w:line="88" w:lineRule="exact"/>
              <w:rPr>
                <w:sz w:val="20"/>
                <w:szCs w:val="20"/>
                <w:color w:val="auto"/>
              </w:rPr>
            </w:pPr>
            <w:r>
              <w:rPr>
                <w:rFonts w:ascii="Arial" w:cs="Arial" w:eastAsia="Arial" w:hAnsi="Arial"/>
                <w:sz w:val="10"/>
                <w:szCs w:val="10"/>
                <w:b w:val="1"/>
                <w:bCs w:val="1"/>
                <w:color w:val="auto"/>
                <w:w w:val="85"/>
              </w:rPr>
              <w:t>ADS</w:t>
            </w:r>
          </w:p>
        </w:tc>
      </w:tr>
      <w:tr>
        <w:trPr>
          <w:trHeight w:val="88"/>
        </w:trPr>
        <w:tc>
          <w:tcPr>
            <w:tcW w:w="24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rPr>
              <w:t>(in €)</w:t>
            </w:r>
          </w:p>
        </w:tc>
        <w:tc>
          <w:tcPr>
            <w:tcW w:w="26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10"/>
                <w:szCs w:val="10"/>
                <w:b w:val="1"/>
                <w:bCs w:val="1"/>
                <w:color w:val="auto"/>
                <w:w w:val="83"/>
              </w:rPr>
              <w:t>(in $)</w:t>
            </w:r>
          </w:p>
        </w:tc>
        <w:tc>
          <w:tcPr>
            <w:tcW w:w="2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(in €)</w:t>
            </w:r>
          </w:p>
        </w:tc>
        <w:tc>
          <w:tcPr>
            <w:tcW w:w="320" w:type="dxa"/>
            <w:vAlign w:val="bottom"/>
            <w:tcBorders>
              <w:top w:val="single" w:sz="8" w:color="auto"/>
            </w:tcBorders>
          </w:tcPr>
          <w:p>
            <w:pPr>
              <w:ind w:left="60"/>
              <w:spacing w:after="0" w:line="88" w:lineRule="exact"/>
              <w:rPr>
                <w:sz w:val="20"/>
                <w:szCs w:val="20"/>
                <w:color w:val="auto"/>
              </w:rPr>
            </w:pPr>
            <w:r>
              <w:rPr>
                <w:rFonts w:ascii="Arial" w:cs="Arial" w:eastAsia="Arial" w:hAnsi="Arial"/>
                <w:sz w:val="10"/>
                <w:szCs w:val="10"/>
                <w:b w:val="1"/>
                <w:bCs w:val="1"/>
                <w:color w:val="auto"/>
              </w:rPr>
              <w:t>(in $)</w:t>
            </w:r>
          </w:p>
        </w:tc>
        <w:tc>
          <w:tcPr>
            <w:tcW w:w="280" w:type="dxa"/>
            <w:vAlign w:val="bottom"/>
          </w:tcPr>
          <w:p>
            <w:pPr>
              <w:spacing w:after="0"/>
              <w:rPr>
                <w:sz w:val="7"/>
                <w:szCs w:val="7"/>
                <w:color w:val="auto"/>
              </w:rPr>
            </w:pPr>
          </w:p>
        </w:tc>
        <w:tc>
          <w:tcPr>
            <w:tcW w:w="30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(in €)</w:t>
            </w:r>
          </w:p>
        </w:tc>
        <w:tc>
          <w:tcPr>
            <w:tcW w:w="600" w:type="dxa"/>
            <w:vAlign w:val="bottom"/>
            <w:tcBorders>
              <w:top w:val="single" w:sz="8" w:color="auto"/>
            </w:tcBorders>
          </w:tcPr>
          <w:p>
            <w:pPr>
              <w:ind w:left="340"/>
              <w:spacing w:after="0" w:line="88" w:lineRule="exact"/>
              <w:rPr>
                <w:sz w:val="20"/>
                <w:szCs w:val="20"/>
                <w:color w:val="auto"/>
              </w:rPr>
            </w:pPr>
            <w:r>
              <w:rPr>
                <w:rFonts w:ascii="Arial" w:cs="Arial" w:eastAsia="Arial" w:hAnsi="Arial"/>
                <w:sz w:val="10"/>
                <w:szCs w:val="10"/>
                <w:b w:val="1"/>
                <w:bCs w:val="1"/>
                <w:color w:val="auto"/>
              </w:rPr>
              <w:t>(in $)</w:t>
            </w:r>
          </w:p>
        </w:tc>
        <w:tc>
          <w:tcPr>
            <w:tcW w:w="40" w:type="dxa"/>
            <w:vAlign w:val="bottom"/>
          </w:tcPr>
          <w:p>
            <w:pPr>
              <w:spacing w:after="0"/>
              <w:rPr>
                <w:sz w:val="7"/>
                <w:szCs w:val="7"/>
                <w:color w:val="auto"/>
              </w:rPr>
            </w:pPr>
          </w:p>
        </w:tc>
      </w:tr>
      <w:tr>
        <w:trPr>
          <w:trHeight w:val="135"/>
        </w:trPr>
        <w:tc>
          <w:tcPr>
            <w:tcW w:w="30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Existing shareholders</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spacing w:after="0"/>
              <w:rPr>
                <w:sz w:val="20"/>
                <w:szCs w:val="20"/>
                <w:color w:val="auto"/>
              </w:rPr>
            </w:pPr>
            <w:r>
              <w:rPr>
                <w:rFonts w:ascii="Arial" w:cs="Arial" w:eastAsia="Arial" w:hAnsi="Arial"/>
                <w:sz w:val="11"/>
                <w:szCs w:val="11"/>
                <w:color w:val="auto"/>
              </w:rPr>
              <w:t>New investors</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279"/>
        </w:trPr>
        <w:tc>
          <w:tcPr>
            <w:tcW w:w="5800" w:type="dxa"/>
            <w:vAlign w:val="bottom"/>
            <w:gridSpan w:val="12"/>
          </w:tcPr>
          <w:p>
            <w:pPr>
              <w:ind w:left="280"/>
              <w:spacing w:after="0"/>
              <w:rPr>
                <w:sz w:val="20"/>
                <w:szCs w:val="20"/>
                <w:color w:val="auto"/>
              </w:rPr>
            </w:pPr>
            <w:r>
              <w:rPr>
                <w:rFonts w:ascii="Arial" w:cs="Arial" w:eastAsia="Arial" w:hAnsi="Arial"/>
                <w:sz w:val="12"/>
                <w:szCs w:val="12"/>
                <w:color w:val="auto"/>
                <w:w w:val="92"/>
              </w:rPr>
              <w:t>If the underwriters exercise their option to purchase additional ADSs in full, our existing shareholders would own</w:t>
            </w:r>
          </w:p>
        </w:tc>
        <w:tc>
          <w:tcPr>
            <w:tcW w:w="320" w:type="dxa"/>
            <w:vAlign w:val="bottom"/>
          </w:tcPr>
          <w:p>
            <w:pPr>
              <w:spacing w:after="0"/>
              <w:rPr>
                <w:sz w:val="24"/>
                <w:szCs w:val="24"/>
                <w:color w:val="auto"/>
              </w:rPr>
            </w:pPr>
          </w:p>
        </w:tc>
        <w:tc>
          <w:tcPr>
            <w:tcW w:w="1220" w:type="dxa"/>
            <w:vAlign w:val="bottom"/>
            <w:gridSpan w:val="4"/>
          </w:tcPr>
          <w:p>
            <w:pPr>
              <w:ind w:left="160"/>
              <w:spacing w:after="0"/>
              <w:rPr>
                <w:sz w:val="20"/>
                <w:szCs w:val="20"/>
                <w:color w:val="auto"/>
              </w:rPr>
            </w:pPr>
            <w:r>
              <w:rPr>
                <w:rFonts w:ascii="Arial" w:cs="Arial" w:eastAsia="Arial" w:hAnsi="Arial"/>
                <w:sz w:val="12"/>
                <w:szCs w:val="12"/>
                <w:color w:val="auto"/>
              </w:rPr>
              <w:t>ordinary shares or</w:t>
            </w:r>
          </w:p>
        </w:tc>
      </w:tr>
      <w:tr>
        <w:trPr>
          <w:trHeight w:val="153"/>
        </w:trPr>
        <w:tc>
          <w:tcPr>
            <w:tcW w:w="3080" w:type="dxa"/>
            <w:vAlign w:val="bottom"/>
            <w:gridSpan w:val="3"/>
          </w:tcPr>
          <w:p>
            <w:pPr>
              <w:ind w:left="120"/>
              <w:spacing w:after="0"/>
              <w:rPr>
                <w:sz w:val="20"/>
                <w:szCs w:val="20"/>
                <w:color w:val="auto"/>
              </w:rPr>
            </w:pPr>
            <w:r>
              <w:rPr>
                <w:rFonts w:ascii="Arial" w:cs="Arial" w:eastAsia="Arial" w:hAnsi="Arial"/>
                <w:sz w:val="12"/>
                <w:szCs w:val="12"/>
                <w:color w:val="auto"/>
              </w:rPr>
              <w:t>% in the aggregate and our new investors would own</w:t>
            </w:r>
          </w:p>
        </w:tc>
        <w:tc>
          <w:tcPr>
            <w:tcW w:w="1020" w:type="dxa"/>
            <w:vAlign w:val="bottom"/>
            <w:gridSpan w:val="3"/>
          </w:tcPr>
          <w:p>
            <w:pPr>
              <w:ind w:left="120"/>
              <w:spacing w:after="0"/>
              <w:rPr>
                <w:sz w:val="20"/>
                <w:szCs w:val="20"/>
                <w:color w:val="auto"/>
              </w:rPr>
            </w:pPr>
            <w:r>
              <w:rPr>
                <w:rFonts w:ascii="Arial" w:cs="Arial" w:eastAsia="Arial" w:hAnsi="Arial"/>
                <w:sz w:val="12"/>
                <w:szCs w:val="12"/>
                <w:color w:val="auto"/>
                <w:w w:val="90"/>
              </w:rPr>
              <w:t>ordinary shares or</w:t>
            </w:r>
          </w:p>
        </w:tc>
        <w:tc>
          <w:tcPr>
            <w:tcW w:w="100" w:type="dxa"/>
            <w:vAlign w:val="bottom"/>
          </w:tcPr>
          <w:p>
            <w:pPr>
              <w:spacing w:after="0"/>
              <w:rPr>
                <w:sz w:val="13"/>
                <w:szCs w:val="13"/>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w w:val="94"/>
              </w:rPr>
              <w:t>% in the aggregate.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100" w:type="dxa"/>
            <w:vAlign w:val="bottom"/>
            <w:gridSpan w:val="6"/>
          </w:tcPr>
          <w:p>
            <w:pPr>
              <w:ind w:left="280"/>
              <w:spacing w:after="0"/>
              <w:rPr>
                <w:sz w:val="20"/>
                <w:szCs w:val="20"/>
                <w:color w:val="auto"/>
              </w:rPr>
            </w:pPr>
            <w:r>
              <w:rPr>
                <w:rFonts w:ascii="Arial" w:cs="Arial" w:eastAsia="Arial" w:hAnsi="Arial"/>
                <w:sz w:val="12"/>
                <w:szCs w:val="12"/>
                <w:color w:val="auto"/>
                <w:w w:val="91"/>
              </w:rPr>
              <w:t>Each $1.00 increase (decrease) in the assumed initial public offering price of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9"/>
          </w:tcPr>
          <w:p>
            <w:pPr>
              <w:ind w:left="200"/>
              <w:spacing w:after="0"/>
              <w:rPr>
                <w:sz w:val="20"/>
                <w:szCs w:val="20"/>
                <w:color w:val="auto"/>
              </w:rPr>
            </w:pPr>
            <w:r>
              <w:rPr>
                <w:rFonts w:ascii="Arial" w:cs="Arial" w:eastAsia="Arial" w:hAnsi="Arial"/>
                <w:sz w:val="12"/>
                <w:szCs w:val="12"/>
                <w:color w:val="auto"/>
                <w:w w:val="92"/>
              </w:rPr>
              <w:t>per ADS, the midpoint of the price range set forth on the</w:t>
            </w:r>
          </w:p>
        </w:tc>
      </w:tr>
    </w:tbl>
    <w:p>
      <w:pPr>
        <w:ind w:left="1980" w:right="899"/>
        <w:spacing w:after="0" w:line="255" w:lineRule="auto"/>
        <w:rPr>
          <w:sz w:val="20"/>
          <w:szCs w:val="20"/>
          <w:color w:val="auto"/>
        </w:rPr>
      </w:pPr>
      <w:r>
        <w:rPr>
          <w:rFonts w:ascii="Arial" w:cs="Arial" w:eastAsia="Arial" w:hAnsi="Arial"/>
          <w:sz w:val="12"/>
          <w:szCs w:val="12"/>
          <w:color w:val="auto"/>
        </w:rPr>
        <w:t>cover page of this prospectus, assuming the number of ADSs offered by us, as set forth on the cover page of this prospectus, remains the same and after deducting the estimated underwriting discounts and commissions and estimated offering expenses payable by us, would increase (decrease) total consideration paid by new investors by $ million or %.</w:t>
      </w:r>
    </w:p>
    <w:p>
      <w:pPr>
        <w:sectPr>
          <w:pgSz w:w="11900" w:h="16838" w:orient="portrait"/>
          <w:cols w:equalWidth="0" w:num="1">
            <w:col w:w="10159"/>
          </w:cols>
          <w:pgMar w:left="300" w:top="354" w:right="1440" w:bottom="1440" w:gutter="0" w:footer="0" w:header="0"/>
        </w:sectPr>
      </w:pPr>
    </w:p>
    <w:p>
      <w:pPr>
        <w:spacing w:after="0" w:line="127" w:lineRule="exact"/>
        <w:rPr>
          <w:sz w:val="20"/>
          <w:szCs w:val="20"/>
          <w:color w:val="auto"/>
        </w:rPr>
      </w:pPr>
    </w:p>
    <w:p>
      <w:pPr>
        <w:ind w:left="1980" w:firstLine="294"/>
        <w:spacing w:after="0" w:line="379" w:lineRule="auto"/>
        <w:rPr>
          <w:sz w:val="20"/>
          <w:szCs w:val="20"/>
          <w:color w:val="auto"/>
        </w:rPr>
      </w:pPr>
      <w:r>
        <w:rPr>
          <w:rFonts w:ascii="Arial" w:cs="Arial" w:eastAsia="Arial" w:hAnsi="Arial"/>
          <w:sz w:val="10"/>
          <w:szCs w:val="10"/>
          <w:color w:val="auto"/>
        </w:rPr>
        <w:t>The number of our ordinary shares to be outstanding after this offering is based on the number of ordinary shares outstanding as of 2020, and excludes any ordinary shares that may be reserved for future issuance under any performance share and stock option plans.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49" w:lineRule="exact"/>
        <w:rPr>
          <w:sz w:val="20"/>
          <w:szCs w:val="20"/>
          <w:color w:val="auto"/>
        </w:rPr>
      </w:pPr>
    </w:p>
    <w:p>
      <w:pPr>
        <w:sectPr>
          <w:pgSz w:w="11900" w:h="16838" w:orient="portrait"/>
          <w:cols w:equalWidth="0" w:num="2">
            <w:col w:w="8540" w:space="620"/>
            <w:col w:w="999"/>
          </w:cols>
          <w:pgMar w:left="300" w:top="354" w:right="1440" w:bottom="1440" w:gutter="0" w:footer="0" w:header="0"/>
          <w:type w:val="continuous"/>
        </w:sectPr>
      </w:pPr>
    </w:p>
    <w:p>
      <w:pPr>
        <w:ind w:left="5580"/>
        <w:spacing w:after="0"/>
        <w:rPr>
          <w:sz w:val="20"/>
          <w:szCs w:val="20"/>
          <w:color w:val="auto"/>
        </w:rPr>
      </w:pPr>
      <w:r>
        <w:rPr>
          <w:rFonts w:ascii="Arial" w:cs="Arial" w:eastAsia="Arial" w:hAnsi="Arial"/>
          <w:sz w:val="10"/>
          <w:szCs w:val="10"/>
          <w:color w:val="auto"/>
        </w:rPr>
        <w:t>57</w:t>
      </w:r>
    </w:p>
    <w:p>
      <w:pPr>
        <w:sectPr>
          <w:pgSz w:w="11900" w:h="16838" w:orient="portrait"/>
          <w:cols w:equalWidth="0" w:num="1">
            <w:col w:w="10159"/>
          </w:cols>
          <w:pgMar w:left="300" w:top="354" w:right="1440" w:bottom="1440" w:gutter="0" w:footer="0" w:header="0"/>
          <w:type w:val="continuous"/>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MANAGEMENT’S DISCUSSION AND ANALYSIS OF FINANCIAL CONDITION</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AND RESULTS OF OPERATIONS</w:t>
      </w:r>
    </w:p>
    <w:p>
      <w:pPr>
        <w:spacing w:after="0" w:line="141" w:lineRule="exact"/>
        <w:rPr>
          <w:sz w:val="20"/>
          <w:szCs w:val="20"/>
          <w:color w:val="auto"/>
        </w:rPr>
      </w:pPr>
    </w:p>
    <w:p>
      <w:pPr>
        <w:ind w:left="1980" w:right="1099" w:firstLine="294"/>
        <w:spacing w:after="0" w:line="289" w:lineRule="auto"/>
        <w:rPr>
          <w:sz w:val="20"/>
          <w:szCs w:val="20"/>
          <w:color w:val="auto"/>
        </w:rPr>
      </w:pPr>
      <w:r>
        <w:rPr>
          <w:rFonts w:ascii="Arial" w:cs="Arial" w:eastAsia="Arial" w:hAnsi="Arial"/>
          <w:sz w:val="11"/>
          <w:szCs w:val="11"/>
          <w:i w:val="1"/>
          <w:iCs w:val="1"/>
          <w:color w:val="auto"/>
        </w:rPr>
        <w:t>You should read the following discussion and analysis of our financial condition and results of operations in conjunction with our historical financial statements, prepared in accordance with IFRS as issued by IASB, and the related notes thereto included elsewhere in this prospectus. This discussion contains forward-looking statements and involves numerous risks and uncertainties, including, but not limited to, those described in the “Risk Factors” section of this prospectus. Actual results could differ materially from those contained in any forward-looking statements.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We also received an order from a major U.S. aerospace and defense company for our HAWK AIR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19"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We aim to industrialize laser communication by focusing on developing standardized and modularized products suitable for a wide array of customers and applications. We have benefited from advancing on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0159"/>
          </w:cols>
          <w:pgMar w:left="300" w:top="354" w:right="1440"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learning curve with the development of the pre-serial product versions of our CONDOR and HAWK AIR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15"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AIR terminal. Our measure of segment profitability for each reportable segment is operating profit / (loss) (EBIT).</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Factors Affecting Our Results of Operations</w:t>
      </w:r>
    </w:p>
    <w:p>
      <w:pPr>
        <w:spacing w:after="0" w:line="154"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We believe that the factors discussed below have significantly affected our results of operations, financial position and cash flow in the historical periods for which financial information is presented in this prospectus, and that these factors will continue to have a material effect on our results of operations, financial position and cash flow in the future.</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Development of the Laser Communication Market</w:t>
      </w:r>
    </w:p>
    <w:p>
      <w:pPr>
        <w:spacing w:after="0" w:line="150"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Our ability to successfully develop and commercialize our laser communication products depends on the willingness of potential customers to invest in the development of constellations in the context of aerospace communication networks. Over the past decade, the laser communication market has started to take shape, driven by rapid technological developments in the space industry, particularly the advent of smaller, lower-cost satellites.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p>
    <w:p>
      <w:pPr>
        <w:spacing w:after="0" w:line="115"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by using large-scale LEO constellations a priority. We believe that our business will benefit from the successful demonstration and deployment of laser communication technology primarily by the governmental sector, laying the foundation for large-scale deployment in commercial and diversified markets.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159"/>
          </w:cols>
          <w:pgMar w:left="300" w:top="354"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Regulatory Environment and Government Regulation</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are subject to a wide variety of laws and regulations relating to various aspects of our business, including complex and evolving export control laws as well as economic sanctions laws promulgated by the United States, 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Arial" w:cs="Arial" w:eastAsia="Arial" w:hAnsi="Arial"/>
          <w:sz w:val="11"/>
          <w:szCs w:val="11"/>
          <w:i w:val="1"/>
          <w:iCs w:val="1"/>
          <w:color w:val="auto"/>
        </w:rPr>
        <w:t>Außenwirtschaftsgesetz</w:t>
      </w:r>
      <w:r>
        <w:rPr>
          <w:rFonts w:ascii="Arial" w:cs="Arial" w:eastAsia="Arial" w:hAnsi="Arial"/>
          <w:sz w:val="11"/>
          <w:szCs w:val="11"/>
          <w:color w:val="auto"/>
        </w:rPr>
        <w:t>).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“Risk Factors—Regulatory, Legal and Tax Risks—We are subject to regulatory risks, in particular related to evolving sanctions laws as well as governmental export controls, in a number of jurisdictions that could limit our customer base and result in higher compliance costs.”</w:t>
      </w:r>
    </w:p>
    <w:p>
      <w:pPr>
        <w:spacing w:after="0" w:line="116"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Commercialization of our Technology and Serial Production</w:t>
      </w:r>
    </w:p>
    <w:p>
      <w:pPr>
        <w:spacing w:after="0" w:line="150"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To further drive commercialization of our technology and ramp-up serial production, we must complete the ongoing expansion of our production and development facilities, purchase and integrate related equipment, and achieve several research and development milestones. In 2020, we rented an additional production facility in Oberpfaffenhofen, Germany, which required substantial installation of manufacturing equipment that has now been completed. We also made investments in our laboratory and testing equipment, including our micro-vibration link testbed and clean room facilities. We also have incurred, and expect to continue to incur, significant costs in connection with the expansion of our facility in Los Angeles, which includes the industry’s first laser communication interoperability lab. Based on our current set-up, we expect to be able to increase production output from eleven terminals in 2020 to 50 air and space terminals in 2021 and target a per year production rate of up to 2,000 units going forward.</w:t>
      </w:r>
    </w:p>
    <w:p>
      <w:pPr>
        <w:spacing w:after="0" w:line="115" w:lineRule="exact"/>
        <w:rPr>
          <w:sz w:val="20"/>
          <w:szCs w:val="20"/>
          <w:color w:val="auto"/>
        </w:rPr>
      </w:pPr>
    </w:p>
    <w:p>
      <w:pPr>
        <w:ind w:left="1980" w:right="1119" w:firstLine="294"/>
        <w:spacing w:after="0" w:line="289" w:lineRule="auto"/>
        <w:rPr>
          <w:sz w:val="20"/>
          <w:szCs w:val="20"/>
          <w:color w:val="auto"/>
        </w:rPr>
      </w:pPr>
      <w:r>
        <w:rPr>
          <w:rFonts w:ascii="Arial" w:cs="Arial" w:eastAsia="Arial" w:hAnsi="Arial"/>
          <w:sz w:val="11"/>
          <w:szCs w:val="11"/>
          <w:color w:val="auto"/>
        </w:rPr>
        <w:t>We will require substantial additional capital to modify our existing technology for use in related products. Until we can generate sufficient revenue from product deliveries, we expect to finance our operations through a combination of existing cash, the net cash proceeds of this offering, possible additional public offerings, debt financings, collaborations, and licensing arrangements. The amount and timing of our future funding requirements will depend on many factors, including the pace and results of our development efforts.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Customer Demand</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We have received significant interest in our technology and products from a wide array of different potential customers, including, among others, government agencies, aerospace companies and private satellite providers. Within the value chain for the government aerospace communication industry, we are a sub-system supplier for system primes such as aircraft and satellite manufacturers that are prime contractors for the U.S. government. In the commercial market, we primarily contract with companies aiming to establish smaller Earth observation and surveillance constellations for our CONDOR terminals. In this context, we also enter into strategic partnership agreements with certain key customers for the further development of our products.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2019, we signed a contract with a commercial customer in the U.K. for certain parts of our CONDOR terminal, which we delivered in 2019.</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did not have any government customers in 2019. In 2020, we received</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0159"/>
          </w:cols>
          <w:pgMar w:left="300" w:top="354" w:right="1440"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an order from a U.S. aerospace and defense company in 2020 to introduce our HAWK AIR terminal to the U.S. governmental market. We delivered two HAWK AIR terminals to this customer in the fourth quarter of 2020, following which our customer conducted initial system testing and demonstrations in deployment scenarios. To a limited extent, we also provided development and training services with respect to our HAWK AIR terminals to this customer. We also sold certain components used in our CONDOR terminal to a Canadian customer and conducted a feasibility analysis for a Belgian customer in 2020. While we have not yet entered into contracts directly with the U.S. or non-U.S. governments, we consider our customers that are prime contractors for the U.S. government as government customers. Accordingly, taking into account our Belgian customer for which we conducted a feasibility analysis, we had two commercial customers and one government customer in 2020. In addition, in 2020, we were awarded two contracts by Telesat and a U.S. customer relating to our CONDOR terminals in connection with two U.S. governmental programs launched by DARPA and the SDA, respectively, for which we recognized revenue in the six months ended June 30, 2021.</w:t>
      </w:r>
    </w:p>
    <w:p>
      <w:pPr>
        <w:spacing w:after="0" w:line="117"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We remain in active discussions with other potential customers and anticipate a considerable increase in customer demand as the constellation markets continue to develop. While initial customer orders are and will continue to be primarily used for pilot projects, we believe that following the successful initial deployment of our products, many of our customers will continue to use our products for the further rollout of their envisioned missions. The timing of receipt of revenues, if any, from projects with our customers is, however, uncertain and subject to change because many factors affect the scheduling of projects or missions. Adjustments to or cancellations of contracts may also occur.</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w:t>
      </w:r>
    </w:p>
    <w:p>
      <w:pPr>
        <w:spacing w:after="0" w:line="15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Research and development activities are central to our business. In 2020, we started pre-serial production of both our HAWK AIR and CONDOR terminals and continued to improve our products with a view to ramping up 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w:t>
      </w:r>
    </w:p>
    <w:p>
      <w:pPr>
        <w:spacing w:after="0" w:line="111" w:lineRule="exact"/>
        <w:rPr>
          <w:sz w:val="20"/>
          <w:szCs w:val="20"/>
          <w:color w:val="auto"/>
        </w:rPr>
      </w:pPr>
    </w:p>
    <w:p>
      <w:pPr>
        <w:ind w:left="1980" w:right="1019" w:firstLine="294"/>
        <w:spacing w:after="0" w:line="320" w:lineRule="auto"/>
        <w:rPr>
          <w:sz w:val="20"/>
          <w:szCs w:val="20"/>
          <w:color w:val="auto"/>
        </w:rPr>
      </w:pPr>
      <w:r>
        <w:rPr>
          <w:rFonts w:ascii="Arial" w:cs="Arial" w:eastAsia="Arial" w:hAnsi="Arial"/>
          <w:sz w:val="10"/>
          <w:szCs w:val="10"/>
          <w:color w:val="auto"/>
        </w:rPr>
        <w:t>Under IFRS (as with U.S. GAAP), research costs are expensed. However, unlike U.S. GAAP, IFRS has broad-based guidance that requires companies to capitalize development costs, including internal costs, when certain criteria are met. In particular, internally developed intangible assets (</w:t>
      </w:r>
      <w:r>
        <w:rPr>
          <w:rFonts w:ascii="Arial" w:cs="Arial" w:eastAsia="Arial" w:hAnsi="Arial"/>
          <w:sz w:val="10"/>
          <w:szCs w:val="10"/>
          <w:i w:val="1"/>
          <w:iCs w:val="1"/>
          <w:color w:val="auto"/>
        </w:rPr>
        <w:t>e.g.</w:t>
      </w:r>
      <w:r>
        <w:rPr>
          <w:rFonts w:ascii="Arial" w:cs="Arial" w:eastAsia="Arial" w:hAnsi="Arial"/>
          <w:sz w:val="10"/>
          <w:szCs w:val="10"/>
          <w:color w:val="auto"/>
        </w:rPr>
        <w:t>, development expenses related to a prototype) are generally capitalized and amortized under IFRS, rather than expensed as they would be under U.S. GAAP. This difference requires companies that prepare their financial statements in accordance with IFRS as issued by IASB, like us, to distinguish development activities from research activities, and to analyze whether and when the criteria for capitalizing development costs are met.</w:t>
      </w:r>
    </w:p>
    <w:p>
      <w:pPr>
        <w:spacing w:after="0" w:line="5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0159"/>
          </w:cols>
          <w:pgMar w:left="300" w:top="354"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our accounting policies, we generally capitalize costs for the development of a technology until the time that development of such technology is completed. For our recent development projects, “AIR technology” (the technological foundation for our HAWK AIR terminal) and “SPACE technology” (the technological foundation for our CONDOR terminal), we defined such point in time as the time of final development of a technology, followed by delivery of products based on such final technology to customers. Subsequently, all expenses incurred to maintain the value of the relevant technology are then expensed. With respect to the development of our AIR and SPACE technologies, development costs included costs for the development of certain components for use in our HAWK AIR and CONDOR terminals, respectively. Since we completed the development of the technology for our HAWK AIR terminal in mid-2020, all subsequent expenses incurred in connection with our AIR technology have been recognized as expenses. For our SPACE technology, we reached this milestone in March 2021. Future development costs relating to the AIR technology, SPACE technology or a new technology will only be capitalized if the requirements for capitalization under IFRS as issued by the IASB are fulfilled.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w:t>
      </w:r>
    </w:p>
    <w:p>
      <w:pPr>
        <w:spacing w:after="0" w:line="120"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2020, we invested a total of €14,449 thousand in research and development of our technology, of which €8,248 thousand was capitalized. We expect that our research and development expenses will increase over the next several years as we continue to modify our existing technology for use in related products and to develop other laser communication-related technologies.</w:t>
      </w:r>
    </w:p>
    <w:p>
      <w:pPr>
        <w:spacing w:after="0" w:line="122"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“Risk Factors—Regulatory, Legal and Tax Risks —We may be unable to adequately protect our intellectual property and proprietary rights and prevent others from making unauthorized use of our products and technology.”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Expenses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Personnel expenses, which include salaries and wages as well as pensions and other social security contributions, account for a significant share of our costs. As we grow our business, we expect these costs to increase. We believe that our success depends, in significant part, on the continued services of our senior management team and on our ability to attract, motivate, develop and retain a sufficient number of other highly qualified personnel 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others things, on our ability to provide competitive compensation. This may require us to increase compensation for current and new employees over time. See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Currency Fluctuations</w:t>
      </w:r>
    </w:p>
    <w:p>
      <w:pPr>
        <w:spacing w:after="0" w:line="150"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Our reporting currency is the euro. Some of our current sales are, and we expect that a significant portion of our future sales will be, denominated in U.S. dollars. Fluctuations in foreign currency exchange rates and, in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0159"/>
          </w:cols>
          <w:pgMar w:left="300" w:top="354"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particular, the relative strength or weakness of the U.S. dollar and the euro can have a significant impact on our performance and results of operations. A weakening of the U.S. dollar against the euro could have a negative impact on results derived from sales made in U.S. dollars. Conversely, a strengthening of the U.S. dollar against the euro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“Risk Factors—Risks Related to Our Business—We are exposed to foreign currency exchange risk and our financial position and results of operations may be negatively affected by the fluctuation of different currencies.”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154"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Our financial statements, prepared in accordance with IFRS as issued by IASB, use the nature of expense method. This results in an (unnetted) gross presentation (</w:t>
      </w:r>
      <w:r>
        <w:rPr>
          <w:rFonts w:ascii="Arial" w:cs="Arial" w:eastAsia="Arial" w:hAnsi="Arial"/>
          <w:sz w:val="12"/>
          <w:szCs w:val="12"/>
          <w:i w:val="1"/>
          <w:iCs w:val="1"/>
          <w:color w:val="auto"/>
        </w:rPr>
        <w:t>i.e.</w:t>
      </w:r>
      <w:r>
        <w:rPr>
          <w:rFonts w:ascii="Arial" w:cs="Arial" w:eastAsia="Arial" w:hAnsi="Arial"/>
          <w:sz w:val="12"/>
          <w:szCs w:val="12"/>
          <w:color w:val="auto"/>
        </w:rPr>
        <w:t>, before the deduction of any amounts capitalized) of the sources of earnings broken down by types of expenses and income. All capitalized amounts which relate to the construction of property, plant and equipment or the development of intangible assets are presented within the line-item Own work capitalized.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components of our results of operations include the following:</w:t>
      </w:r>
    </w:p>
    <w:p>
      <w:pPr>
        <w:spacing w:after="0" w:line="150"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We generate revenue from contracts with customers for the delivery of goods or the provision of services. Our goods primarily include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CONDOR and HAWK AIR terminals and the services rendered by us mainly consist of the provision of development and training services for our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 xml:space="preserve">Other operating income: </w:t>
      </w:r>
      <w:r>
        <w:rPr>
          <w:rFonts w:ascii="Arial" w:cs="Arial" w:eastAsia="Arial" w:hAnsi="Arial"/>
          <w:sz w:val="12"/>
          <w:szCs w:val="12"/>
          <w:color w:val="auto"/>
        </w:rPr>
        <w:t>Other operating income comprises income from government grants.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b w:val="1"/>
          <w:bCs w:val="1"/>
          <w:i w:val="1"/>
          <w:iCs w:val="1"/>
          <w:color w:val="auto"/>
        </w:rPr>
        <w:t xml:space="preserve">Cost of materials: </w:t>
      </w:r>
      <w:r>
        <w:rPr>
          <w:rFonts w:ascii="Arial" w:cs="Arial" w:eastAsia="Arial" w:hAnsi="Arial"/>
          <w:sz w:val="11"/>
          <w:szCs w:val="11"/>
          <w:color w:val="auto"/>
        </w:rPr>
        <w:t>Our cost of materials includes cost for raw materials and consumables used as well as expenses for services purchased.</w:t>
      </w:r>
    </w:p>
    <w:p>
      <w:pPr>
        <w:spacing w:after="0" w:line="162" w:lineRule="exact"/>
        <w:rPr>
          <w:sz w:val="20"/>
          <w:szCs w:val="20"/>
          <w:color w:val="auto"/>
        </w:rPr>
      </w:pPr>
    </w:p>
    <w:p>
      <w:pPr>
        <w:jc w:val="both"/>
        <w:ind w:left="1980" w:right="959" w:firstLine="294"/>
        <w:spacing w:after="0" w:line="276" w:lineRule="auto"/>
        <w:rPr>
          <w:sz w:val="20"/>
          <w:szCs w:val="20"/>
          <w:color w:val="auto"/>
        </w:rPr>
      </w:pPr>
      <w:r>
        <w:rPr>
          <w:rFonts w:ascii="Arial" w:cs="Arial" w:eastAsia="Arial" w:hAnsi="Arial"/>
          <w:sz w:val="12"/>
          <w:szCs w:val="12"/>
          <w:b w:val="1"/>
          <w:bCs w:val="1"/>
          <w:i w:val="1"/>
          <w:iCs w:val="1"/>
          <w:color w:val="auto"/>
        </w:rPr>
        <w:t xml:space="preserve">Personnel expenses: </w:t>
      </w:r>
      <w:r>
        <w:rPr>
          <w:rFonts w:ascii="Arial" w:cs="Arial" w:eastAsia="Arial" w:hAnsi="Arial"/>
          <w:sz w:val="12"/>
          <w:szCs w:val="12"/>
          <w:color w:val="auto"/>
        </w:rPr>
        <w:t>Our personnel expenses consist of wages and salaries as well as social security contributions, pensions and other employee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benefits.</w:t>
      </w:r>
    </w:p>
    <w:p>
      <w:pPr>
        <w:spacing w:after="0" w:line="115"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Depreciation and amortization of other intangible assets and property, plant and equipment</w:t>
      </w:r>
      <w:r>
        <w:rPr>
          <w:rFonts w:ascii="Arial" w:cs="Arial" w:eastAsia="Arial" w:hAnsi="Arial"/>
          <w:sz w:val="12"/>
          <w:szCs w:val="12"/>
          <w:color w:val="auto"/>
        </w:rPr>
        <w:t>: Depreciation and amortization of other intangible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and property, plant and equipment includes amortization of intangible assets and depreciation of property, plant and equipment and impairments of rights of use.</w:t>
      </w:r>
    </w:p>
    <w:p>
      <w:pPr>
        <w:spacing w:after="0" w:line="122"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 xml:space="preserve">Other operating expenses: </w:t>
      </w:r>
      <w:r>
        <w:rPr>
          <w:rFonts w:ascii="Arial" w:cs="Arial" w:eastAsia="Arial" w:hAnsi="Arial"/>
          <w:sz w:val="12"/>
          <w:szCs w:val="12"/>
          <w:color w:val="auto"/>
        </w:rPr>
        <w:t>Our other operating expenses primarily consist of legal and consulting fees, office and IT expenses, selling and travel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expenses, rent and maintenance, other office supplies, costs for preparation and audit of financial statements and accounting expenses, other staff costs as well as administrative offense proceedings.</w:t>
      </w:r>
    </w:p>
    <w:p>
      <w:pPr>
        <w:spacing w:after="0" w:line="122"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b w:val="1"/>
          <w:bCs w:val="1"/>
          <w:i w:val="1"/>
          <w:iCs w:val="1"/>
          <w:color w:val="auto"/>
        </w:rPr>
        <w:t xml:space="preserve">Change in inventories of finished goods and work in progress: </w:t>
      </w:r>
      <w:r>
        <w:rPr>
          <w:rFonts w:ascii="Arial" w:cs="Arial" w:eastAsia="Arial" w:hAnsi="Arial"/>
          <w:sz w:val="12"/>
          <w:szCs w:val="12"/>
          <w:color w:val="auto"/>
        </w:rPr>
        <w:t>Change in inventories of finished goods and work in progress relates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ongoing production of space and air terminals.</w:t>
      </w:r>
    </w:p>
    <w:p>
      <w:pPr>
        <w:spacing w:after="0" w:line="115"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b w:val="1"/>
          <w:bCs w:val="1"/>
          <w:i w:val="1"/>
          <w:iCs w:val="1"/>
          <w:color w:val="auto"/>
        </w:rPr>
        <w:t xml:space="preserve">Own work capitalized: </w:t>
      </w:r>
      <w:r>
        <w:rPr>
          <w:rFonts w:ascii="Arial" w:cs="Arial" w:eastAsia="Arial" w:hAnsi="Arial"/>
          <w:sz w:val="11"/>
          <w:szCs w:val="11"/>
          <w:color w:val="auto"/>
        </w:rPr>
        <w:t>Own work capitalized consists primarily of capitalized development costs shown under internally generated intangible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assets. In addition, other own work capitalized includes own work for the construction of property, plant and equipment.</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354"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shows information for the six months ended June 30, 2020 and June 30, 2021 and is derived from our unaudited condensed interim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0"/>
                <w:szCs w:val="10"/>
                <w:b w:val="1"/>
                <w:bCs w:val="1"/>
                <w:color w:val="auto"/>
                <w:w w:val="98"/>
              </w:rPr>
              <w:t>For the six months ended June 30,</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4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jc w:val="center"/>
              <w:ind w:left="28"/>
              <w:spacing w:after="0" w:line="88" w:lineRule="exact"/>
              <w:rPr>
                <w:sz w:val="20"/>
                <w:szCs w:val="20"/>
                <w:color w:val="auto"/>
              </w:rPr>
            </w:pPr>
            <w:r>
              <w:rPr>
                <w:rFonts w:ascii="Arial" w:cs="Arial" w:eastAsia="Arial" w:hAnsi="Arial"/>
                <w:sz w:val="10"/>
                <w:szCs w:val="10"/>
                <w:b w:val="1"/>
                <w:bCs w:val="1"/>
                <w:color w:val="auto"/>
                <w:w w:val="89"/>
              </w:rPr>
              <w:t>2021</w:t>
            </w: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74"/>
        </w:trPr>
        <w:tc>
          <w:tcPr>
            <w:tcW w:w="4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0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13"/>
        </w:trPr>
        <w:tc>
          <w:tcPr>
            <w:tcW w:w="4400" w:type="dxa"/>
            <w:vAlign w:val="bottom"/>
          </w:tcPr>
          <w:p>
            <w:pPr>
              <w:spacing w:after="0"/>
              <w:rPr>
                <w:sz w:val="9"/>
                <w:szCs w:val="9"/>
                <w:color w:val="auto"/>
              </w:rPr>
            </w:pPr>
          </w:p>
        </w:tc>
        <w:tc>
          <w:tcPr>
            <w:tcW w:w="1460" w:type="dxa"/>
            <w:vAlign w:val="bottom"/>
            <w:tcBorders>
              <w:right w:val="single" w:sz="8" w:color="auto"/>
            </w:tcBorders>
            <w:gridSpan w:val="6"/>
          </w:tcPr>
          <w:p>
            <w:pPr>
              <w:jc w:val="center"/>
              <w:ind w:right="3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9"/>
                <w:szCs w:val="9"/>
                <w:color w:val="auto"/>
              </w:rPr>
            </w:pPr>
          </w:p>
        </w:tc>
        <w:tc>
          <w:tcPr>
            <w:tcW w:w="1420" w:type="dxa"/>
            <w:vAlign w:val="bottom"/>
            <w:gridSpan w:val="7"/>
          </w:tcPr>
          <w:p>
            <w:pPr>
              <w:jc w:val="center"/>
              <w:ind w:right="180"/>
              <w:spacing w:after="0" w:line="114" w:lineRule="exact"/>
              <w:rPr>
                <w:sz w:val="20"/>
                <w:szCs w:val="20"/>
                <w:color w:val="auto"/>
              </w:rPr>
            </w:pPr>
            <w:r>
              <w:rPr>
                <w:rFonts w:ascii="Arial" w:cs="Arial" w:eastAsia="Arial" w:hAnsi="Arial"/>
                <w:sz w:val="10"/>
                <w:szCs w:val="10"/>
                <w:b w:val="1"/>
                <w:bCs w:val="1"/>
                <w:color w:val="auto"/>
                <w:w w:val="82"/>
              </w:rPr>
              <w:t>(in € thousands)</w:t>
            </w:r>
          </w:p>
        </w:tc>
      </w:tr>
      <w:tr>
        <w:trPr>
          <w:trHeight w:val="88"/>
        </w:trPr>
        <w:tc>
          <w:tcPr>
            <w:tcW w:w="4400" w:type="dxa"/>
            <w:vAlign w:val="bottom"/>
          </w:tcPr>
          <w:p>
            <w:pPr>
              <w:spacing w:after="0"/>
              <w:rPr>
                <w:sz w:val="7"/>
                <w:szCs w:val="7"/>
                <w:color w:val="auto"/>
              </w:rPr>
            </w:pPr>
          </w:p>
        </w:tc>
        <w:tc>
          <w:tcPr>
            <w:tcW w:w="440" w:type="dxa"/>
            <w:vAlign w:val="bottom"/>
            <w:tcBorders>
              <w:top w:val="single" w:sz="8" w:color="auto"/>
            </w:tcBorders>
            <w:gridSpan w:val="2"/>
          </w:tcPr>
          <w:p>
            <w:pPr>
              <w:jc w:val="right"/>
              <w:ind w:right="178"/>
              <w:spacing w:after="0" w:line="88" w:lineRule="exact"/>
              <w:rPr>
                <w:sz w:val="20"/>
                <w:szCs w:val="20"/>
                <w:color w:val="auto"/>
              </w:rPr>
            </w:pPr>
            <w:r>
              <w:rPr>
                <w:rFonts w:ascii="Arial" w:cs="Arial" w:eastAsia="Arial" w:hAnsi="Arial"/>
                <w:sz w:val="10"/>
                <w:szCs w:val="10"/>
                <w:b w:val="1"/>
                <w:bCs w:val="1"/>
                <w:color w:val="auto"/>
              </w:rPr>
              <w:t>Air</w:t>
            </w:r>
          </w:p>
        </w:tc>
        <w:tc>
          <w:tcPr>
            <w:tcW w:w="400" w:type="dxa"/>
            <w:vAlign w:val="bottom"/>
            <w:tcBorders>
              <w:top w:val="single" w:sz="8" w:color="auto"/>
            </w:tcBorders>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w w:val="88"/>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6"/>
              </w:rPr>
              <w:t>Group</w:t>
            </w: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gridSpan w:val="2"/>
          </w:tcPr>
          <w:p>
            <w:pPr>
              <w:jc w:val="center"/>
              <w:ind w:right="80"/>
              <w:spacing w:after="0" w:line="88" w:lineRule="exact"/>
              <w:rPr>
                <w:sz w:val="20"/>
                <w:szCs w:val="20"/>
                <w:color w:val="auto"/>
              </w:rPr>
            </w:pPr>
            <w:r>
              <w:rPr>
                <w:rFonts w:ascii="Arial" w:cs="Arial" w:eastAsia="Arial" w:hAnsi="Arial"/>
                <w:sz w:val="10"/>
                <w:szCs w:val="10"/>
                <w:b w:val="1"/>
                <w:bCs w:val="1"/>
                <w:color w:val="auto"/>
                <w:w w:val="81"/>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4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center"/>
              <w:ind w:left="147"/>
              <w:spacing w:after="0" w:line="124" w:lineRule="exact"/>
              <w:rPr>
                <w:sz w:val="20"/>
                <w:szCs w:val="20"/>
                <w:color w:val="auto"/>
              </w:rPr>
            </w:pPr>
            <w:r>
              <w:rPr>
                <w:rFonts w:ascii="Arial" w:cs="Arial" w:eastAsia="Arial" w:hAnsi="Arial"/>
                <w:sz w:val="11"/>
                <w:szCs w:val="11"/>
                <w:color w:val="auto"/>
                <w:w w:val="81"/>
              </w:rPr>
              <w:t>90</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89</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141</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230</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271</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(696)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1"/>
              </w:rPr>
              <w:t>(1,826)</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1"/>
              </w:rPr>
              <w:t>(2,522)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(3,352)</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(4,431)</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color w:val="auto"/>
                <w:w w:val="91"/>
              </w:rPr>
              <w:t>(2,763)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(4,840)</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w w:val="91"/>
              </w:rPr>
              <w:t>(7,603)</w:t>
            </w:r>
          </w:p>
        </w:tc>
        <w:tc>
          <w:tcPr>
            <w:tcW w:w="6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(7,901)</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(10,812)</w:t>
            </w:r>
            <w:r>
              <w:rPr>
                <w:rFonts w:ascii="Arial" w:cs="Arial" w:eastAsia="Arial" w:hAnsi="Arial"/>
                <w:sz w:val="15"/>
                <w:szCs w:val="15"/>
                <w:color w:val="auto"/>
                <w:vertAlign w:val="superscript"/>
              </w:rPr>
              <w:t>(1)</w:t>
            </w:r>
          </w:p>
        </w:tc>
      </w:tr>
      <w:tr>
        <w:trPr>
          <w:trHeight w:val="130"/>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w w:val="97"/>
              </w:rPr>
              <w:t>Depreciation, amortization and impairment of other intangible assets and property, plant, and</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0"/>
        </w:trPr>
        <w:tc>
          <w:tcPr>
            <w:tcW w:w="4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equipment</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(384)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(430)</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(1,434)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(1,916)</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color w:val="auto"/>
              </w:rPr>
              <w:t>(627)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(1,409)</w:t>
            </w:r>
          </w:p>
        </w:tc>
        <w:tc>
          <w:tcPr>
            <w:tcW w:w="62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9"/>
                <w:szCs w:val="9"/>
                <w:color w:val="auto"/>
              </w:rPr>
              <w:t>(2,147)</w:t>
            </w:r>
            <w:r>
              <w:rPr>
                <w:rFonts w:ascii="Arial" w:cs="Arial" w:eastAsia="Arial" w:hAnsi="Arial"/>
                <w:sz w:val="15"/>
                <w:szCs w:val="15"/>
                <w:color w:val="auto"/>
                <w:vertAlign w:val="superscript"/>
              </w:rPr>
              <w:t>(2)</w:t>
            </w:r>
          </w:p>
        </w:tc>
        <w:tc>
          <w:tcPr>
            <w:tcW w:w="6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(3,236)</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(4,160)</w:t>
            </w:r>
            <w:r>
              <w:rPr>
                <w:rFonts w:ascii="Arial" w:cs="Arial" w:eastAsia="Arial" w:hAnsi="Arial"/>
                <w:sz w:val="15"/>
                <w:szCs w:val="15"/>
                <w:color w:val="auto"/>
                <w:vertAlign w:val="superscript"/>
              </w:rPr>
              <w:t>(3)</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740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740</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568</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988</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Own work capitalized</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1,422</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3,330</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4,752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2,471</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b w:val="1"/>
                <w:bCs w:val="1"/>
                <w:color w:val="auto"/>
                <w:w w:val="91"/>
              </w:rPr>
              <w:t>(2,219)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1"/>
              </w:rPr>
              <w:t>(4,944)</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(7,274)</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(11,288)</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(16,240)</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170</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163</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(138)</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(138)</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(7,271)</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94" w:lineRule="exact"/>
        <w:rPr>
          <w:sz w:val="20"/>
          <w:szCs w:val="20"/>
          <w:color w:val="auto"/>
        </w:rPr>
      </w:pPr>
    </w:p>
    <w:p>
      <w:pPr>
        <w:ind w:left="2260" w:right="879" w:hanging="288"/>
        <w:spacing w:after="0" w:line="268" w:lineRule="auto"/>
        <w:tabs>
          <w:tab w:leader="none" w:pos="2260" w:val="left"/>
        </w:tabs>
        <w:numPr>
          <w:ilvl w:val="0"/>
          <w:numId w:val="32"/>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 Compensation of Management Board and Supervisory Board Members—Compensation of Management Board Member.”</w:t>
      </w:r>
    </w:p>
    <w:p>
      <w:pPr>
        <w:ind w:left="2260" w:right="839" w:hanging="288"/>
        <w:spacing w:after="0" w:line="206" w:lineRule="auto"/>
        <w:tabs>
          <w:tab w:leader="none" w:pos="2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260" w:right="999" w:hanging="288"/>
        <w:spacing w:after="0" w:line="221" w:lineRule="auto"/>
        <w:tabs>
          <w:tab w:leader="none" w:pos="2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spacing w:after="0" w:line="8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0159"/>
          </w:cols>
          <w:pgMar w:left="300" w:top="354"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shows information for the years ended December 31, 2019 and December 31, 2020 and is derived from our audited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0"/>
                <w:szCs w:val="10"/>
                <w:b w:val="1"/>
                <w:bCs w:val="1"/>
                <w:color w:val="auto"/>
                <w:w w:val="86"/>
              </w:rPr>
              <w:t>For the year ended December 31,</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1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2019</w:t>
            </w: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1240" w:type="dxa"/>
            <w:vAlign w:val="bottom"/>
            <w:tcBorders>
              <w:bottom w:val="single" w:sz="8" w:color="auto"/>
            </w:tcBorders>
            <w:gridSpan w:val="6"/>
          </w:tcPr>
          <w:p>
            <w:pPr>
              <w:jc w:val="right"/>
              <w:ind w:right="229"/>
              <w:spacing w:after="0" w:line="88" w:lineRule="exact"/>
              <w:rPr>
                <w:sz w:val="20"/>
                <w:szCs w:val="20"/>
                <w:color w:val="auto"/>
              </w:rPr>
            </w:pPr>
            <w:r>
              <w:rPr>
                <w:rFonts w:ascii="Arial" w:cs="Arial" w:eastAsia="Arial" w:hAnsi="Arial"/>
                <w:sz w:val="10"/>
                <w:szCs w:val="10"/>
                <w:b w:val="1"/>
                <w:bCs w:val="1"/>
                <w:color w:val="auto"/>
              </w:rPr>
              <w:t>(in € thousands)</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4"/>
          </w:tcPr>
          <w:p>
            <w:pPr>
              <w:jc w:val="right"/>
              <w:ind w:right="267"/>
              <w:spacing w:after="0" w:line="88" w:lineRule="exact"/>
              <w:rPr>
                <w:sz w:val="20"/>
                <w:szCs w:val="20"/>
                <w:color w:val="auto"/>
              </w:rPr>
            </w:pPr>
            <w:r>
              <w:rPr>
                <w:rFonts w:ascii="Arial" w:cs="Arial" w:eastAsia="Arial" w:hAnsi="Arial"/>
                <w:sz w:val="10"/>
                <w:szCs w:val="10"/>
                <w:b w:val="1"/>
                <w:bCs w:val="1"/>
                <w:color w:val="auto"/>
                <w:w w:val="82"/>
              </w:rPr>
              <w:t>(in € thousands)</w:t>
            </w: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60" w:type="dxa"/>
            <w:vAlign w:val="bottom"/>
            <w:gridSpan w:val="2"/>
          </w:tcPr>
          <w:p>
            <w:pPr>
              <w:jc w:val="right"/>
              <w:ind w:right="80"/>
              <w:spacing w:after="0" w:line="88" w:lineRule="exact"/>
              <w:rPr>
                <w:sz w:val="20"/>
                <w:szCs w:val="20"/>
                <w:color w:val="auto"/>
              </w:rPr>
            </w:pPr>
            <w:r>
              <w:rPr>
                <w:rFonts w:ascii="Arial" w:cs="Arial" w:eastAsia="Arial" w:hAnsi="Arial"/>
                <w:sz w:val="10"/>
                <w:szCs w:val="10"/>
                <w:b w:val="1"/>
                <w:bCs w:val="1"/>
                <w:color w:val="auto"/>
                <w:w w:val="88"/>
              </w:rPr>
              <w:t>Space</w:t>
            </w:r>
          </w:p>
        </w:tc>
        <w:tc>
          <w:tcPr>
            <w:tcW w:w="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2"/>
          </w:tcPr>
          <w:p>
            <w:pPr>
              <w:jc w:val="right"/>
              <w:ind w:right="152"/>
              <w:spacing w:after="0" w:line="88" w:lineRule="exact"/>
              <w:rPr>
                <w:sz w:val="20"/>
                <w:szCs w:val="20"/>
                <w:color w:val="auto"/>
              </w:rPr>
            </w:pPr>
            <w:r>
              <w:rPr>
                <w:rFonts w:ascii="Arial" w:cs="Arial" w:eastAsia="Arial" w:hAnsi="Arial"/>
                <w:sz w:val="10"/>
                <w:szCs w:val="10"/>
                <w:b w:val="1"/>
                <w:bCs w:val="1"/>
                <w:color w:val="auto"/>
              </w:rPr>
              <w:t>Air</w:t>
            </w: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10"/>
                <w:szCs w:val="10"/>
                <w:b w:val="1"/>
                <w:bCs w:val="1"/>
                <w:color w:val="auto"/>
                <w:w w:val="9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1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2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center"/>
              <w:ind w:left="207"/>
              <w:spacing w:after="0" w:line="124" w:lineRule="exact"/>
              <w:rPr>
                <w:sz w:val="20"/>
                <w:szCs w:val="20"/>
                <w:color w:val="auto"/>
              </w:rPr>
            </w:pPr>
            <w:r>
              <w:rPr>
                <w:rFonts w:ascii="Arial" w:cs="Arial" w:eastAsia="Arial" w:hAnsi="Arial"/>
                <w:sz w:val="11"/>
                <w:szCs w:val="11"/>
                <w:color w:val="auto"/>
                <w:w w:val="81"/>
              </w:rPr>
              <w:t>90</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105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147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74</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220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294</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(1,864)</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(2,290)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(6,221)</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(4,585)</w:t>
            </w:r>
          </w:p>
        </w:tc>
        <w:tc>
          <w:tcPr>
            <w:tcW w:w="7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(1)</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w w:val="97"/>
              </w:rPr>
              <w:t>(4,923)</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w w:val="92"/>
              </w:rPr>
              <w:t>(11,911)</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w w:val="92"/>
              </w:rPr>
              <w:t>(16,834)</w:t>
            </w:r>
          </w:p>
        </w:tc>
      </w:tr>
      <w:tr>
        <w:trPr>
          <w:trHeight w:val="130"/>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w w:val="92"/>
              </w:rPr>
              <w:t>Depreciation, amortization and impairment of other intangible assets and property, plant, and</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0"/>
        </w:trPr>
        <w:tc>
          <w:tcPr>
            <w:tcW w:w="4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equipment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(616)</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(666)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(1,843)</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(1,556)</w:t>
            </w:r>
          </w:p>
        </w:tc>
        <w:tc>
          <w:tcPr>
            <w:tcW w:w="7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(2)</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w w:val="97"/>
              </w:rPr>
              <w:t>(1,320)</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(3,581)</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(3)</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272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11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626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637</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Own work capitalized</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2,184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3,227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5,411</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2,102</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7,273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9,375</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(5,091)</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(10,078)</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b w:val="1"/>
                <w:bCs w:val="1"/>
                <w:color w:val="auto"/>
                <w:w w:val="97"/>
              </w:rPr>
              <w:t>(6,423)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2"/>
              </w:rPr>
              <w:t>(12,391)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(19,257)</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18</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109</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(531)</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b w:val="1"/>
                <w:bCs w:val="1"/>
                <w:color w:val="auto"/>
              </w:rPr>
              <w:t>182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(513)</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367</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367</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Total comprehensive income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(9,939)</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94" w:lineRule="exact"/>
        <w:rPr>
          <w:sz w:val="20"/>
          <w:szCs w:val="20"/>
          <w:color w:val="auto"/>
        </w:rPr>
      </w:pPr>
    </w:p>
    <w:p>
      <w:pPr>
        <w:ind w:left="2260" w:right="1059" w:hanging="288"/>
        <w:spacing w:after="0" w:line="214" w:lineRule="auto"/>
        <w:tabs>
          <w:tab w:leader="none" w:pos="2260" w:val="left"/>
        </w:tabs>
        <w:numPr>
          <w:ilvl w:val="0"/>
          <w:numId w:val="33"/>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260" w:right="999" w:hanging="288"/>
        <w:spacing w:after="0" w:line="206" w:lineRule="auto"/>
        <w:tabs>
          <w:tab w:leader="none" w:pos="2260" w:val="left"/>
        </w:tabs>
        <w:numPr>
          <w:ilvl w:val="0"/>
          <w:numId w:val="33"/>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260" w:right="999" w:hanging="288"/>
        <w:spacing w:after="0" w:line="221" w:lineRule="auto"/>
        <w:tabs>
          <w:tab w:leader="none" w:pos="2260" w:val="left"/>
        </w:tabs>
        <w:numPr>
          <w:ilvl w:val="0"/>
          <w:numId w:val="33"/>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Revenue increased from €90 thousand in the six months ended June 30, 2020 to €1,349 thousand in the six months ended June 30, 2021, due to a substantial increase in revenue in our Space segment driven by sales of our CONDOR terminals. Our Air Segment generated no revenue in the six months ended June 30, 2020 and June 30, 2021.</w:t>
      </w:r>
    </w:p>
    <w:p>
      <w:pPr>
        <w:spacing w:after="0" w:line="122"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On a regional level, revenue in our Space segment in the six months ended June 30, 2021 consisted exclusively of revenue from sales in the United States.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Revenue increased from €114 thousand in 2019 to €679 thousand in 2020, primarily due to a substantial increase in revenue in our Air segment driven by sales of our HAWK AIR terminals from no revenues in 2019 to €589 thousand in 2020. This increase in our Air segment revenue was partially offset by a slight decrease in revenue in our Space segment from €114 thousand in 2019 to €90 thousand in 2020, mainly driven by lower customer orders that contributed to revenue in 2020.</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0159"/>
          </w:cols>
          <w:pgMar w:left="30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On a regional level, revenue in our Air segment in 2020 consisted of revenue from sales in the United States and Canada. Revenue in our Space segment in 2019 and 2020 stemmed from sales in the U.K. and Belgium.</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Income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Other operating income increased from €230 thousand in the six months ended June 30, 2020 to €271 thousand in the six months ended June 30, 2021, primarily due to an increase in income from government grants.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Other operating income increased from €252 thousand in 2019 to €294 thousand in 2020, primarily due to an increase in income from government grants, notwithstanding that there was no other operating income in 2020 for certain other items including late payment penalties claimed.</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 of Materials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Cost of materials increased from €2,522 thousand in the six months ended June 30, 2020 to €4,431 thousand in the six months ended June 30, 2021, primarily due to a substantial increase of cost for raw materials and consumables used driven by our requirements for increased quantity of materials in connection with the production of our CONDOR terminals and, more generally, the ongoing preparations for the pre-serial production of our CONDOR and HAWK AIR terminals.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1159" w:firstLine="294"/>
        <w:spacing w:after="0" w:line="298" w:lineRule="auto"/>
        <w:rPr>
          <w:sz w:val="20"/>
          <w:szCs w:val="20"/>
          <w:color w:val="auto"/>
        </w:rPr>
      </w:pPr>
      <w:r>
        <w:rPr>
          <w:rFonts w:ascii="Arial" w:cs="Arial" w:eastAsia="Arial" w:hAnsi="Arial"/>
          <w:sz w:val="11"/>
          <w:szCs w:val="11"/>
          <w:color w:val="auto"/>
        </w:rPr>
        <w:t>Cost of materials increased from €2,790 thousand in 2019 to €6,221 thousand in 2020, primarily due to a substantial increase of cost for raw materials and consumables used from €1,208 thousand in 2019 to €4,715 thousand in 2020 driven by our requirements for increased quantity of materials in 2020 in connection with ongoing preparations for the pre-serial production of our CONDOR and HAWK AIR terminals.</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Expenses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99" w:firstLine="294"/>
        <w:spacing w:after="0" w:line="326" w:lineRule="auto"/>
        <w:rPr>
          <w:sz w:val="20"/>
          <w:szCs w:val="20"/>
          <w:color w:val="auto"/>
        </w:rPr>
      </w:pPr>
      <w:r>
        <w:rPr>
          <w:rFonts w:ascii="Arial" w:cs="Arial" w:eastAsia="Arial" w:hAnsi="Arial"/>
          <w:sz w:val="10"/>
          <w:szCs w:val="10"/>
          <w:color w:val="auto"/>
        </w:rPr>
        <w:t>Personnel expenses increased from €7,603 thousand in the six months ended June 30, 2020 to €10,812 thousand in the six months ended June 30, 2021, primarily due to the significant increase in our headcount to support the ramp-up of our pre-serial production activities for our HAWK AIR and CONDOR products as well as to support the increase in our research and development activities. Wages and salaries increased from €6,708 thousand in the six months ended June 30, 2020 to €9,274 thousand in the six months ended June 30, 2021, as we continued to increase our headcount.</w:t>
      </w:r>
    </w:p>
    <w:p>
      <w:pPr>
        <w:spacing w:after="0" w:line="9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Personnel expenses increased from €9,407 thousand in 2019 to €16,834 thousand in 2020, primarily due to the significant increase in our headcount to support the ramp-up of our research and development efforts and pre-serial production activities for our HAWK AIR and CONDOR products. Wages and salaries increased from €8,306 thousand in 2019 to €14,710 thousand in 2020, as we significantly increased our headcount in 2020. Share-based payments amounted to €1,125 thousand in 2020, which mainly related to the accelerated vesting of stock options due to the resignation of two former members of our management board. In 2019, share-based payments amounted to €1,146 thousand, primarily relating to the granting of stock options to Bulent Altan, our Chief Executive Officer and a member of our management board, by one of our shareholders.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159"/>
          </w:cols>
          <w:pgMar w:left="300" w:top="354"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Amortization and Impairment of Other Intangible Assets and Property, Plant and Equipment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Depreciation, amortization and impairment of other intangible assets and property, plant and equipment increased from €814 thousand in the six months ended June 30, 2020 to €1,916 thousand in the six months ended June 30, 2021, primarily due to the initial amortization of our SPACE technology, which accounted for €1,434 thousand of depreciation and amortization in the first six months ended June 30, 2021, and the ongoing amortization of our AIR technology.</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jc w:val="both"/>
        <w:ind w:left="1980" w:right="839" w:firstLine="294"/>
        <w:spacing w:after="0" w:line="263" w:lineRule="auto"/>
        <w:rPr>
          <w:sz w:val="20"/>
          <w:szCs w:val="20"/>
          <w:color w:val="auto"/>
        </w:rPr>
      </w:pPr>
      <w:r>
        <w:rPr>
          <w:rFonts w:ascii="Arial" w:cs="Arial" w:eastAsia="Arial" w:hAnsi="Arial"/>
          <w:sz w:val="12"/>
          <w:szCs w:val="12"/>
          <w:color w:val="auto"/>
        </w:rPr>
        <w:t>Depreciation, amortization and impairment of other intangible assets and property, plant and equipment increased from €1,117 thousand in 2019 to €1,843 thousand in 2020, primarily due to higher investments in the expansion of our development and production capacities and the initial amortization of our AIR technology, which accounted for €157 thousand of depreciation and amortization in 2020.</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Expenses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Other operating expenses increased from €2,147 thousand in the six months ended June 30, 2020 to €4,160 thousand in the six months ended June 30, 2021, primarily due to legal and consulting fees as well as ongoing IT costs related to the implementation of a new SAP ERP system. We also incurred higher expenses relating to the purchase of services as well as tools and devices in connection with the continued expansion of our development and production capacities.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79" w:firstLine="294"/>
        <w:spacing w:after="0" w:line="285" w:lineRule="auto"/>
        <w:rPr>
          <w:sz w:val="20"/>
          <w:szCs w:val="20"/>
          <w:color w:val="auto"/>
        </w:rPr>
      </w:pPr>
      <w:r>
        <w:rPr>
          <w:rFonts w:ascii="Arial" w:cs="Arial" w:eastAsia="Arial" w:hAnsi="Arial"/>
          <w:sz w:val="11"/>
          <w:szCs w:val="11"/>
          <w:color w:val="auto"/>
        </w:rPr>
        <w:t>Other operating expenses increased from €2,813 thousand in 2019 to €5,344 thousand in 2020, primarily due to the increase in legal and consulting fees as well as reporting, auditing and accounting expenses driven by reorganization considerations, preparations for this offering and the introduction and implementation of a new SAP ERP system. We also incurred higher expenses relating to the purchase of services as well as tools and devices in connection with the continued expansion of our development and production capacities. In addition, other personnel expenses increased, driven by higher recruiting expenses in connection with our increase in headcount.</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 in Inventories of Finished Goods and Work in Progress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Change in inventories of finished goods and work in progress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87"/>
              </w:rPr>
              <w:t>For the year</w:t>
            </w:r>
          </w:p>
        </w:tc>
        <w:tc>
          <w:tcPr>
            <w:tcW w:w="940" w:type="dxa"/>
            <w:vAlign w:val="bottom"/>
            <w:gridSpan w:val="3"/>
          </w:tcPr>
          <w:p>
            <w:pPr>
              <w:jc w:val="center"/>
              <w:ind w:right="2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28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18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94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28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ind w:right="168"/>
              <w:spacing w:after="0" w:line="88" w:lineRule="exact"/>
              <w:rPr>
                <w:sz w:val="20"/>
                <w:szCs w:val="20"/>
                <w:color w:val="auto"/>
              </w:rPr>
            </w:pPr>
            <w:r>
              <w:rPr>
                <w:rFonts w:ascii="Arial" w:cs="Arial" w:eastAsia="Arial" w:hAnsi="Arial"/>
                <w:sz w:val="10"/>
                <w:szCs w:val="10"/>
                <w:b w:val="1"/>
                <w:bCs w:val="1"/>
                <w:color w:val="auto"/>
              </w:rPr>
              <w:t>2019</w:t>
            </w:r>
          </w:p>
        </w:tc>
        <w:tc>
          <w:tcPr>
            <w:tcW w:w="46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ind w:right="167"/>
              <w:spacing w:after="0" w:line="88"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top w:val="single" w:sz="8" w:color="auto"/>
              <w:bottom w:val="single" w:sz="8" w:color="auto"/>
            </w:tcBorders>
          </w:tcPr>
          <w:p>
            <w:pPr>
              <w:jc w:val="right"/>
              <w:ind w:right="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28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28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18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94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28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Increase in inventories of work in progress</w:t>
            </w:r>
          </w:p>
        </w:tc>
        <w:tc>
          <w:tcPr>
            <w:tcW w:w="24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128"/>
              <w:spacing w:after="0" w:line="133" w:lineRule="exact"/>
              <w:rPr>
                <w:sz w:val="20"/>
                <w:szCs w:val="20"/>
                <w:color w:val="auto"/>
              </w:rPr>
            </w:pPr>
            <w:r>
              <w:rPr>
                <w:rFonts w:ascii="Arial" w:cs="Arial" w:eastAsia="Arial" w:hAnsi="Arial"/>
                <w:sz w:val="12"/>
                <w:szCs w:val="12"/>
                <w:color w:val="auto"/>
              </w:rPr>
              <w:t>272</w:t>
            </w:r>
          </w:p>
        </w:tc>
        <w:tc>
          <w:tcPr>
            <w:tcW w:w="460" w:type="dxa"/>
            <w:vAlign w:val="bottom"/>
            <w:tcBorders>
              <w:top w:val="single" w:sz="8" w:color="auto"/>
            </w:tcBorders>
            <w:shd w:val="clear" w:color="auto" w:fill="CCEEFF"/>
          </w:tcPr>
          <w:p>
            <w:pPr>
              <w:ind w:left="280"/>
              <w:spacing w:after="0" w:line="133" w:lineRule="exact"/>
              <w:rPr>
                <w:sz w:val="20"/>
                <w:szCs w:val="20"/>
                <w:color w:val="auto"/>
              </w:rPr>
            </w:pPr>
            <w:r>
              <w:rPr>
                <w:rFonts w:ascii="Arial" w:cs="Arial" w:eastAsia="Arial" w:hAnsi="Arial"/>
                <w:sz w:val="12"/>
                <w:szCs w:val="12"/>
                <w:color w:val="auto"/>
                <w:w w:val="79"/>
              </w:rPr>
              <w:t>757</w:t>
            </w: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87"/>
              <w:spacing w:after="0" w:line="133" w:lineRule="exact"/>
              <w:rPr>
                <w:sz w:val="20"/>
                <w:szCs w:val="20"/>
                <w:color w:val="auto"/>
              </w:rPr>
            </w:pPr>
            <w:r>
              <w:rPr>
                <w:rFonts w:ascii="Arial" w:cs="Arial" w:eastAsia="Arial" w:hAnsi="Arial"/>
                <w:sz w:val="12"/>
                <w:szCs w:val="12"/>
                <w:color w:val="auto"/>
              </w:rPr>
              <w:t>467</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820" w:type="dxa"/>
            <w:vAlign w:val="bottom"/>
          </w:tcPr>
          <w:p>
            <w:pPr>
              <w:spacing w:after="0"/>
              <w:rPr>
                <w:sz w:val="20"/>
                <w:szCs w:val="20"/>
                <w:color w:val="auto"/>
              </w:rPr>
            </w:pPr>
            <w:r>
              <w:rPr>
                <w:rFonts w:ascii="Arial" w:cs="Arial" w:eastAsia="Arial" w:hAnsi="Arial"/>
                <w:sz w:val="12"/>
                <w:szCs w:val="12"/>
                <w:color w:val="auto"/>
              </w:rPr>
              <w:t>Increase in inventories finished goods</w:t>
            </w:r>
          </w:p>
        </w:tc>
        <w:tc>
          <w:tcPr>
            <w:tcW w:w="2400" w:type="dxa"/>
            <w:vAlign w:val="bottom"/>
          </w:tcPr>
          <w:p>
            <w:pPr>
              <w:spacing w:after="0"/>
              <w:rPr>
                <w:sz w:val="12"/>
                <w:szCs w:val="12"/>
                <w:color w:val="auto"/>
              </w:rPr>
            </w:pPr>
          </w:p>
        </w:tc>
        <w:tc>
          <w:tcPr>
            <w:tcW w:w="480" w:type="dxa"/>
            <w:vAlign w:val="bottom"/>
          </w:tcPr>
          <w:p>
            <w:pPr>
              <w:jc w:val="right"/>
              <w:ind w:right="188"/>
              <w:spacing w:after="0"/>
              <w:rPr>
                <w:sz w:val="20"/>
                <w:szCs w:val="20"/>
                <w:color w:val="auto"/>
              </w:rPr>
            </w:pPr>
            <w:r>
              <w:rPr>
                <w:rFonts w:ascii="Arial" w:cs="Arial" w:eastAsia="Arial" w:hAnsi="Arial"/>
                <w:sz w:val="12"/>
                <w:szCs w:val="12"/>
                <w:color w:val="auto"/>
              </w:rPr>
              <w:t>—</w:t>
            </w:r>
          </w:p>
        </w:tc>
        <w:tc>
          <w:tcPr>
            <w:tcW w:w="70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87"/>
              <w:spacing w:after="0"/>
              <w:rPr>
                <w:sz w:val="20"/>
                <w:szCs w:val="20"/>
                <w:color w:val="auto"/>
              </w:rPr>
            </w:pPr>
            <w:r>
              <w:rPr>
                <w:rFonts w:ascii="Arial" w:cs="Arial" w:eastAsia="Arial" w:hAnsi="Arial"/>
                <w:sz w:val="12"/>
                <w:szCs w:val="12"/>
                <w:color w:val="auto"/>
              </w:rPr>
              <w:t>393</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970</w:t>
            </w:r>
          </w:p>
        </w:tc>
      </w:tr>
      <w:tr>
        <w:trPr>
          <w:trHeight w:val="144"/>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Write-downs</w:t>
            </w:r>
          </w:p>
        </w:tc>
        <w:tc>
          <w:tcPr>
            <w:tcW w:w="2880" w:type="dxa"/>
            <w:vAlign w:val="bottom"/>
            <w:gridSpan w:val="2"/>
            <w:shd w:val="clear" w:color="auto" w:fill="CCEEFF"/>
          </w:tcPr>
          <w:p>
            <w:pPr>
              <w:jc w:val="right"/>
              <w:ind w:right="128"/>
              <w:spacing w:after="0"/>
              <w:rPr>
                <w:sz w:val="20"/>
                <w:szCs w:val="20"/>
                <w:color w:val="auto"/>
              </w:rPr>
            </w:pPr>
            <w:r>
              <w:rPr>
                <w:rFonts w:ascii="Arial" w:cs="Arial" w:eastAsia="Arial" w:hAnsi="Arial"/>
                <w:sz w:val="12"/>
                <w:szCs w:val="12"/>
                <w:color w:val="auto"/>
              </w:rPr>
              <w:t>0</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-120</w:t>
            </w:r>
          </w:p>
        </w:tc>
        <w:tc>
          <w:tcPr>
            <w:tcW w:w="480" w:type="dxa"/>
            <w:vAlign w:val="bottom"/>
            <w:shd w:val="clear" w:color="auto" w:fill="CCEEFF"/>
          </w:tcPr>
          <w:p>
            <w:pPr>
              <w:jc w:val="right"/>
              <w:ind w:right="87"/>
              <w:spacing w:after="0"/>
              <w:rPr>
                <w:sz w:val="20"/>
                <w:szCs w:val="20"/>
                <w:color w:val="auto"/>
              </w:rPr>
            </w:pPr>
            <w:r>
              <w:rPr>
                <w:rFonts w:ascii="Arial" w:cs="Arial" w:eastAsia="Arial" w:hAnsi="Arial"/>
                <w:sz w:val="12"/>
                <w:szCs w:val="12"/>
                <w:color w:val="auto"/>
              </w:rPr>
              <w:t>-120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r>
      <w:tr>
        <w:trPr>
          <w:trHeight w:val="157"/>
        </w:trPr>
        <w:tc>
          <w:tcPr>
            <w:tcW w:w="2820" w:type="dxa"/>
            <w:vAlign w:val="bottom"/>
          </w:tcPr>
          <w:p>
            <w:pPr>
              <w:spacing w:after="0"/>
              <w:rPr>
                <w:sz w:val="20"/>
                <w:szCs w:val="20"/>
                <w:color w:val="auto"/>
              </w:rPr>
            </w:pPr>
            <w:r>
              <w:rPr>
                <w:rFonts w:ascii="Arial" w:cs="Arial" w:eastAsia="Arial" w:hAnsi="Arial"/>
                <w:sz w:val="12"/>
                <w:szCs w:val="12"/>
                <w:b w:val="1"/>
                <w:bCs w:val="1"/>
                <w:color w:val="auto"/>
              </w:rPr>
              <w:t>Total changes in inventories</w:t>
            </w:r>
          </w:p>
        </w:tc>
        <w:tc>
          <w:tcPr>
            <w:tcW w:w="2880" w:type="dxa"/>
            <w:vAlign w:val="bottom"/>
            <w:gridSpan w:val="2"/>
          </w:tcPr>
          <w:p>
            <w:pPr>
              <w:jc w:val="right"/>
              <w:ind w:right="128"/>
              <w:spacing w:after="0"/>
              <w:rPr>
                <w:sz w:val="20"/>
                <w:szCs w:val="20"/>
                <w:color w:val="auto"/>
              </w:rPr>
            </w:pPr>
            <w:r>
              <w:rPr>
                <w:rFonts w:ascii="Arial" w:cs="Arial" w:eastAsia="Arial" w:hAnsi="Arial"/>
                <w:sz w:val="12"/>
                <w:szCs w:val="12"/>
                <w:b w:val="1"/>
                <w:bCs w:val="1"/>
                <w:color w:val="auto"/>
              </w:rPr>
              <w:t>272</w:t>
            </w:r>
          </w:p>
        </w:tc>
        <w:tc>
          <w:tcPr>
            <w:tcW w:w="700" w:type="dxa"/>
            <w:vAlign w:val="bottom"/>
            <w:gridSpan w:val="2"/>
          </w:tcPr>
          <w:p>
            <w:pPr>
              <w:ind w:left="280"/>
              <w:spacing w:after="0"/>
              <w:rPr>
                <w:sz w:val="20"/>
                <w:szCs w:val="20"/>
                <w:color w:val="auto"/>
              </w:rPr>
            </w:pPr>
            <w:r>
              <w:rPr>
                <w:rFonts w:ascii="Arial" w:cs="Arial" w:eastAsia="Arial" w:hAnsi="Arial"/>
                <w:sz w:val="12"/>
                <w:szCs w:val="12"/>
                <w:b w:val="1"/>
                <w:bCs w:val="1"/>
                <w:color w:val="auto"/>
              </w:rPr>
              <w:t>637</w:t>
            </w:r>
          </w:p>
        </w:tc>
        <w:tc>
          <w:tcPr>
            <w:tcW w:w="480" w:type="dxa"/>
            <w:vAlign w:val="bottom"/>
          </w:tcPr>
          <w:p>
            <w:pPr>
              <w:jc w:val="right"/>
              <w:ind w:right="87"/>
              <w:spacing w:after="0"/>
              <w:rPr>
                <w:sz w:val="20"/>
                <w:szCs w:val="20"/>
                <w:color w:val="auto"/>
              </w:rPr>
            </w:pPr>
            <w:r>
              <w:rPr>
                <w:rFonts w:ascii="Arial" w:cs="Arial" w:eastAsia="Arial" w:hAnsi="Arial"/>
                <w:sz w:val="12"/>
                <w:szCs w:val="12"/>
                <w:b w:val="1"/>
                <w:bCs w:val="1"/>
                <w:color w:val="auto"/>
              </w:rPr>
              <w:t>740</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988</w:t>
            </w:r>
          </w:p>
        </w:tc>
      </w:tr>
      <w:tr>
        <w:trPr>
          <w:trHeight w:val="230"/>
        </w:trPr>
        <w:tc>
          <w:tcPr>
            <w:tcW w:w="2820" w:type="dxa"/>
            <w:vAlign w:val="bottom"/>
          </w:tcPr>
          <w:p>
            <w:pPr>
              <w:spacing w:after="0"/>
              <w:rPr>
                <w:sz w:val="20"/>
                <w:szCs w:val="20"/>
                <w:color w:val="auto"/>
              </w:rPr>
            </w:pPr>
          </w:p>
        </w:tc>
        <w:tc>
          <w:tcPr>
            <w:tcW w:w="2400" w:type="dxa"/>
            <w:vAlign w:val="bottom"/>
          </w:tcPr>
          <w:p>
            <w:pPr>
              <w:jc w:val="right"/>
              <w:ind w:right="1440"/>
              <w:spacing w:after="0"/>
              <w:rPr>
                <w:sz w:val="20"/>
                <w:szCs w:val="20"/>
                <w:color w:val="auto"/>
              </w:rPr>
            </w:pPr>
            <w:r>
              <w:rPr>
                <w:rFonts w:ascii="Arial" w:cs="Arial" w:eastAsia="Arial" w:hAnsi="Arial"/>
                <w:sz w:val="12"/>
                <w:szCs w:val="12"/>
                <w:color w:val="auto"/>
              </w:rPr>
              <w:t>67</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jc w:val="both"/>
        <w:ind w:left="1980" w:right="1459" w:firstLine="294"/>
        <w:spacing w:after="0" w:line="379" w:lineRule="auto"/>
        <w:rPr>
          <w:sz w:val="20"/>
          <w:szCs w:val="20"/>
          <w:color w:val="auto"/>
        </w:rPr>
      </w:pPr>
      <w:r>
        <w:rPr>
          <w:rFonts w:ascii="Arial" w:cs="Arial" w:eastAsia="Arial" w:hAnsi="Arial"/>
          <w:sz w:val="10"/>
          <w:szCs w:val="10"/>
          <w:color w:val="auto"/>
        </w:rPr>
        <w:t>Change in inventories of finished goods and work in progress increased from €393 thousand in the six months ended June 30, 2020 to €970 thousand in the six months ended June 30, 2021, primarily due to ramped up production of our HAWK AIR and CONDOR terminals.</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Change in inventories of finished goods and work in progress increased from €272 thousand in 2019 to €637 thousand in 2020, primarily due to ramped up production of our HAWK AIR terminals in connection with a contract we entered into with a U.S. customer to introduce our HAWK AIR product to the U.S. governmental market. This increase was partially offset by impairments with respect to two HAWK AIR terminals in 2020 in the amount of €120 thousand due to technological improvements in our products resulting in such terminals becoming obsolete.</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Own Work Capitalized</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Own work capitalized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7"/>
              </w:rPr>
              <w:t>For the year</w:t>
            </w:r>
          </w:p>
        </w:tc>
        <w:tc>
          <w:tcPr>
            <w:tcW w:w="8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88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ended June 30,</w:t>
            </w:r>
          </w:p>
        </w:tc>
      </w:tr>
      <w:tr>
        <w:trPr>
          <w:trHeight w:val="88"/>
        </w:trPr>
        <w:tc>
          <w:tcPr>
            <w:tcW w:w="538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ind w:right="165"/>
              <w:spacing w:after="0" w:line="88" w:lineRule="exact"/>
              <w:rPr>
                <w:sz w:val="20"/>
                <w:szCs w:val="20"/>
                <w:color w:val="auto"/>
              </w:rPr>
            </w:pPr>
            <w:r>
              <w:rPr>
                <w:rFonts w:ascii="Arial" w:cs="Arial" w:eastAsia="Arial" w:hAnsi="Arial"/>
                <w:sz w:val="10"/>
                <w:szCs w:val="10"/>
                <w:b w:val="1"/>
                <w:bCs w:val="1"/>
                <w:color w:val="auto"/>
              </w:rPr>
              <w:t>2019</w:t>
            </w:r>
          </w:p>
        </w:tc>
        <w:tc>
          <w:tcPr>
            <w:tcW w:w="42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ind w:right="127"/>
              <w:spacing w:after="0" w:line="88"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5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88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Cost of materials</w:t>
            </w:r>
          </w:p>
        </w:tc>
        <w:tc>
          <w:tcPr>
            <w:tcW w:w="480" w:type="dxa"/>
            <w:vAlign w:val="bottom"/>
            <w:tcBorders>
              <w:top w:val="single" w:sz="8" w:color="auto"/>
            </w:tcBorders>
            <w:shd w:val="clear" w:color="auto" w:fill="CCEEFF"/>
          </w:tcPr>
          <w:p>
            <w:pPr>
              <w:jc w:val="right"/>
              <w:ind w:right="85"/>
              <w:spacing w:after="0" w:line="133" w:lineRule="exact"/>
              <w:rPr>
                <w:sz w:val="20"/>
                <w:szCs w:val="20"/>
                <w:color w:val="auto"/>
              </w:rPr>
            </w:pPr>
            <w:r>
              <w:rPr>
                <w:rFonts w:ascii="Arial" w:cs="Arial" w:eastAsia="Arial" w:hAnsi="Arial"/>
                <w:sz w:val="12"/>
                <w:szCs w:val="12"/>
                <w:color w:val="auto"/>
              </w:rPr>
              <w:t>2,089</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4,073</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67"/>
              <w:spacing w:after="0" w:line="133" w:lineRule="exact"/>
              <w:rPr>
                <w:sz w:val="20"/>
                <w:szCs w:val="20"/>
                <w:color w:val="auto"/>
              </w:rPr>
            </w:pPr>
            <w:r>
              <w:rPr>
                <w:rFonts w:ascii="Arial" w:cs="Arial" w:eastAsia="Arial" w:hAnsi="Arial"/>
                <w:sz w:val="12"/>
                <w:szCs w:val="12"/>
                <w:color w:val="auto"/>
                <w:w w:val="99"/>
              </w:rPr>
              <w:t>1,710</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Personnel expenses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2,551</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3,921</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w w:val="99"/>
              </w:rPr>
              <w:t>2,247</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1,392</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w w:val="97"/>
              </w:rPr>
              <w:t>Depreciation, amortization and impairment of other intangible assets and property, plant and equipment</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494</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802</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color w:val="auto"/>
              </w:rPr>
              <w:t>462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187</w:t>
            </w: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Other operating expenses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277</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579</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rPr>
              <w:t>333</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260</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b w:val="1"/>
                <w:bCs w:val="1"/>
                <w:color w:val="auto"/>
              </w:rPr>
              <w:t>5,411</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9,375</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b w:val="1"/>
                <w:bCs w:val="1"/>
                <w:color w:val="auto"/>
                <w:w w:val="99"/>
              </w:rPr>
              <w:t>4,752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2,471</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Own work capitalized decreased from €4,752 thousand in the six months ended June 30, 2020 to €2,471 thousand in the six months ended</w:t>
      </w:r>
    </w:p>
    <w:p>
      <w:pPr>
        <w:spacing w:after="0" w:line="26" w:lineRule="exact"/>
        <w:rPr>
          <w:sz w:val="20"/>
          <w:szCs w:val="20"/>
          <w:color w:val="auto"/>
        </w:rPr>
      </w:pPr>
    </w:p>
    <w:p>
      <w:pPr>
        <w:jc w:val="both"/>
        <w:ind w:left="1980" w:right="879"/>
        <w:spacing w:after="0" w:line="260" w:lineRule="auto"/>
        <w:rPr>
          <w:sz w:val="20"/>
          <w:szCs w:val="20"/>
          <w:color w:val="auto"/>
        </w:rPr>
      </w:pPr>
      <w:r>
        <w:rPr>
          <w:rFonts w:ascii="Arial" w:cs="Arial" w:eastAsia="Arial" w:hAnsi="Arial"/>
          <w:sz w:val="12"/>
          <w:szCs w:val="12"/>
          <w:color w:val="auto"/>
        </w:rPr>
        <w:t>June 30, 2021, primarily due to the final development of our SPACE technology, followed by delivery of our products based on such final technology to customers in March 2021.</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Own work capitalized increased from €5,411 thousand in 2019 to €9,375 thousand in 2020, primarily due to an increase in capitalized development costs driven by further development of our space products. In addition, own work capitalized for the construction of property, plant and equipment increased from €87 thousand in 2019 to €1,127 thousand in 2020, mainly due to the ongoing expansion of our development and production capacities in 2020, which includes our link testbed and clean room facilities.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Operating Profit / (Loss) (EBIT)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Operating loss (EBIT) increased from €7,274 thousand in the six months ended June 30, 2020 to €16,240 thousand in the six months ended June 30, 2021, primarily due to higher investments in our development and production capacities and higher personnel expenses resulting from headcount growth. The substantial increase in</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159"/>
          </w:cols>
          <w:pgMar w:left="300" w:top="354"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operating loss (EBIT) was further driven by the completion of the development of our AIR technology in mid-2020 and of our SPACE technology in March 2021 following which all expenses incurred to maintain the value of our AIR and SPACE technology have been recognized as expenses, see “— Key Factors Affecting Our Results of Operations—Research and Development.” Broken down by segment, the increase in operating loss was primarily driven by our Space segment.</w:t>
      </w:r>
    </w:p>
    <w:p>
      <w:pPr>
        <w:spacing w:after="0" w:line="124"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In our Space segment, operating loss (EBIT) increased from a loss of €4,944 thousand in the six months ended June 30, 2020 to €11,288 thousand in the six months ended June 30, 2021, which was mainly due to significantly higher personnel expenses and cost of purchased material and services in connection with the initial development and ongoing improvements of our space products. Furthermore, as we completed the development of our SPACE technology in March 2021, all subsequent expenses incurred in connection with our SPACE technology have been recognized as expenses, which further contributed to the increase in operating loss (EBIT) in our Space segment in the six months ended June 30, 2021.</w:t>
      </w:r>
    </w:p>
    <w:p>
      <w:pPr>
        <w:spacing w:after="0" w:line="97"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In our Air segment, operating loss (EBIT) increased from a loss of €2,219 thousand in the six months ended June 30, 2020 to €4,509 thousand in the six months ended June 30, 2021, mainly due to the significantly higher personnel expenses and cost of purchased material and services in connection with the initial development and ongoing improvements of our space products. The increase in operating loss (EBIT) was further impacted by the completion of the development of our AIR technology in mid-2020 following which all expenses incurred to maintain the value of our AIR technology have been recognized as expenses.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Operating loss (EBIT) increased from €10,078 thousand in 2019 to €19,257 thousand in 2020, primarily driven by higher investments in our development and production capacities and higher personnel expenses resulting from headcount growth. The substantial increase in operating loss (EBIT) was further driven by the completion of the development of our AIR technology in mid-2020 following which all expenses incurred to maintain the value of our AIR technology have been recognized as expenses, see “—Key Factors Affecting Our Results of Operations—Research and Development.” Broken down by segment, the increase in operating loss was primarily driven by our Space segment.</w:t>
      </w:r>
    </w:p>
    <w:p>
      <w:pPr>
        <w:spacing w:after="0" w:line="113"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Operating loss (EBIT) in our Space segment increased from a loss of €5,091 thousand in 2019 to €12,391 thousand in 2020, mainly as a result of the significantly higher personnel expenses and cost of purchased material and services in connection with the initial development and ongoing improvements of our space products.</w:t>
      </w:r>
    </w:p>
    <w:p>
      <w:pPr>
        <w:spacing w:after="0" w:line="122" w:lineRule="exact"/>
        <w:rPr>
          <w:sz w:val="20"/>
          <w:szCs w:val="20"/>
          <w:color w:val="auto"/>
        </w:rPr>
      </w:pPr>
    </w:p>
    <w:p>
      <w:pPr>
        <w:ind w:left="1980" w:right="1279" w:firstLine="294"/>
        <w:spacing w:after="0" w:line="263" w:lineRule="auto"/>
        <w:rPr>
          <w:sz w:val="20"/>
          <w:szCs w:val="20"/>
          <w:color w:val="auto"/>
        </w:rPr>
      </w:pPr>
      <w:r>
        <w:rPr>
          <w:rFonts w:ascii="Arial" w:cs="Arial" w:eastAsia="Arial" w:hAnsi="Arial"/>
          <w:sz w:val="12"/>
          <w:szCs w:val="12"/>
          <w:color w:val="auto"/>
        </w:rPr>
        <w:t>In our Air segment, operating loss (EBIT) increased from a loss of €3,767 thousand in 2019 to €6,423 thousand in 2020 mainly due to the significantly higher personnel expenses and cost of purchased material and services in connection with the initial development and ongoing improvements of our air products.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Net Finance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jc w:val="both"/>
        <w:ind w:left="1980" w:right="839" w:firstLine="294"/>
        <w:spacing w:after="0" w:line="263" w:lineRule="auto"/>
        <w:rPr>
          <w:sz w:val="20"/>
          <w:szCs w:val="20"/>
          <w:color w:val="auto"/>
        </w:rPr>
      </w:pPr>
      <w:r>
        <w:rPr>
          <w:rFonts w:ascii="Arial" w:cs="Arial" w:eastAsia="Arial" w:hAnsi="Arial"/>
          <w:sz w:val="12"/>
          <w:szCs w:val="12"/>
          <w:color w:val="auto"/>
        </w:rPr>
        <w:t>Net finance costs increased from negative €19 thousand in the six months ended June 30, 2020 to €163 thousand in the six months ended June 30, 2021, primarily due to a positive result from foreign currency effects relating to the U.S. dollar in connection with an intercompany loan granted by us to our U.S. subsidiary.</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Net finance costs increased from €182 thousand in 2019 to negative €513 thousand in 2020, primarily due to a negative result from foreign currency effects relating to the U.S. dollar in connection with an intercompany loan granted by us to our U.S. subsidiary.</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159"/>
          </w:cols>
          <w:pgMar w:left="300" w:top="354"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Profit / Loss before Taxes (EBT)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Profit / loss before taxes (EBT) increased from a loss of €7,293 thousand in the six months ended June 30, 2020 to a loss of €16,077 thousand in the six months ended June 30, 2021 due to the foregoing reasons.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Profit / loss before taxes (EBT) increased from a loss of €9,896 thousand in 2019 to a loss of €19,770 thousand in 2020 due to the foregoing reasons.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Since our inception, we have not generated any significant revenue from the sale of our technology or products, and have incurred significant operating losses and negative cash flows from our operations. We are still in the pre-production phase and have only recently begun to monetize our technology.</w:t>
      </w:r>
    </w:p>
    <w:p>
      <w:pPr>
        <w:spacing w:after="0" w:line="122"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We incur and expect to continue to incur significant expenses related to the ramp-up of serial production, the further development of our technology and products as well as the expansion of our sales and marketing activities. In order to cover these expenses, we have relied on external financing. We have primarily raised capital and funded our operations to date with proceeds from the sale of our ordinary shares and debt financing, and we have also received limited grants from government agencies and similar bodies like the European Union for participation in specific research and development projects. Our ability to raise external financing has been, and will continue to be, highly dependent on making further progress in the development of our technology and products. Going forward, we intend to use the net proceeds from this offering and, to the extent required, proceeds from future financings, to cover these expenses. As of June 30, 2021, we had cash and cash equivalents of €18.4 million compared to €43.2 million as of December 31, 2020. Our cash and cash equivalents consist primarily of cash in bank accounts.</w:t>
      </w:r>
    </w:p>
    <w:p>
      <w:pPr>
        <w:spacing w:after="0" w:line="115"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In September 2021, we entered into a credit agreement for a credit line of approximately €25 million (see “—Credit Agreement”). Based on our current operating plan, existing cash and cash equivalents and the new credit facility, we believe we have sufficient sources of financing to fund our planned operating expenses and capital expenditure requirements through the end of the second quarter 2022. If we do not complete this offering, further financing will be needed to fund our operations thereafter. We are currently in discussions with various potential lenders and investors concerning additional debt and equity financing arrangements. Based on our ability to obtain sufficient financing to fund our operations historically as well as the current status of negotiations with potential investors, we believe it is probable that we will be successful in signing additional financing arrangements before the end of the second quarter of 2022. If this offering is not completed or in the unlikely event that such financing will not be accessible on a timely basis, we have the ability to postpone or curtail our currently planned operating and capital expenditures to conserve cash and cash equivalents. Should we be unable to obtain funding on a timely basis, we would be unable to achieve our current operational and development plans which may materially affect our business, financial condition and results of operations.</w:t>
      </w:r>
    </w:p>
    <w:p>
      <w:pPr>
        <w:spacing w:after="0" w:line="1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Credit Agreement</w:t>
      </w:r>
    </w:p>
    <w:p>
      <w:pPr>
        <w:spacing w:after="0" w:line="150"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On September 15, 2021, we entered into a credit agreement with Formue Nord Fokus A/S, Modelio Equity AB (publ) and Munkekullen 5 förvaltning AB as lenders for a credit line of approximately €25 million until March 31, 2021. Loans can be drawn in a minimum amount of €5 million subject to a drawdown fee of 1% of the utilized amount. Outstanding loans under the credit agreement bear interest at a rate of 1% per beginning 30 days. The credit agreement also requires us to pay a commitment fee totaling 6% of the aggregate commitments</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0159"/>
          </w:cols>
          <w:pgMar w:left="300" w:top="354"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of approximately €25 million. The commitment fee and interest on the drawn amount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As of October , 2021, no loan amounts have been utilized.</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Flow Statement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table shows selected information taken from our cash flow statement for the years ended December 31, 2019 and 2020:</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80" w:type="dxa"/>
            <w:vAlign w:val="bottom"/>
          </w:tcPr>
          <w:p>
            <w:pPr>
              <w:spacing w:after="0"/>
              <w:rPr>
                <w:sz w:val="10"/>
                <w:szCs w:val="10"/>
                <w:color w:val="auto"/>
              </w:rPr>
            </w:pPr>
          </w:p>
        </w:tc>
        <w:tc>
          <w:tcPr>
            <w:tcW w:w="20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86"/>
              </w:rPr>
              <w:t>For the year ended December 31,</w:t>
            </w:r>
          </w:p>
        </w:tc>
        <w:tc>
          <w:tcPr>
            <w:tcW w:w="17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For the six months ended June 30,</w:t>
            </w:r>
          </w:p>
        </w:tc>
      </w:tr>
      <w:tr>
        <w:trPr>
          <w:trHeight w:val="88"/>
        </w:trPr>
        <w:tc>
          <w:tcPr>
            <w:tcW w:w="348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68"/>
              <w:spacing w:after="0" w:line="88" w:lineRule="exact"/>
              <w:rPr>
                <w:sz w:val="20"/>
                <w:szCs w:val="20"/>
                <w:color w:val="auto"/>
              </w:rPr>
            </w:pPr>
            <w:r>
              <w:rPr>
                <w:rFonts w:ascii="Arial" w:cs="Arial" w:eastAsia="Arial" w:hAnsi="Arial"/>
                <w:sz w:val="10"/>
                <w:szCs w:val="10"/>
                <w:b w:val="1"/>
                <w:bCs w:val="1"/>
                <w:color w:val="auto"/>
              </w:rPr>
              <w:t>2019</w:t>
            </w:r>
          </w:p>
        </w:tc>
        <w:tc>
          <w:tcPr>
            <w:tcW w:w="40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67"/>
              <w:spacing w:after="0" w:line="88" w:lineRule="exact"/>
              <w:rPr>
                <w:sz w:val="20"/>
                <w:szCs w:val="20"/>
                <w:color w:val="auto"/>
              </w:rPr>
            </w:pPr>
            <w:r>
              <w:rPr>
                <w:rFonts w:ascii="Arial" w:cs="Arial" w:eastAsia="Arial" w:hAnsi="Arial"/>
                <w:sz w:val="10"/>
                <w:szCs w:val="10"/>
                <w:b w:val="1"/>
                <w:bCs w:val="1"/>
                <w:color w:val="auto"/>
                <w:w w:val="89"/>
              </w:rPr>
              <w:t>2020</w:t>
            </w:r>
          </w:p>
        </w:tc>
        <w:tc>
          <w:tcPr>
            <w:tcW w:w="420" w:type="dxa"/>
            <w:vAlign w:val="bottom"/>
          </w:tcPr>
          <w:p>
            <w:pPr>
              <w:spacing w:after="0"/>
              <w:rPr>
                <w:sz w:val="7"/>
                <w:szCs w:val="7"/>
                <w:color w:val="auto"/>
              </w:rPr>
            </w:pPr>
          </w:p>
        </w:tc>
        <w:tc>
          <w:tcPr>
            <w:tcW w:w="1240" w:type="dxa"/>
            <w:vAlign w:val="bottom"/>
            <w:tcBorders>
              <w:top w:val="single" w:sz="8" w:color="auto"/>
              <w:bottom w:val="single" w:sz="8" w:color="auto"/>
            </w:tcBorders>
          </w:tcPr>
          <w:p>
            <w:pPr>
              <w:jc w:val="right"/>
              <w:ind w:right="769"/>
              <w:spacing w:after="0" w:line="88" w:lineRule="exact"/>
              <w:rPr>
                <w:sz w:val="20"/>
                <w:szCs w:val="20"/>
                <w:color w:val="auto"/>
              </w:rPr>
            </w:pPr>
            <w:r>
              <w:rPr>
                <w:rFonts w:ascii="Arial" w:cs="Arial" w:eastAsia="Arial" w:hAnsi="Arial"/>
                <w:sz w:val="10"/>
                <w:szCs w:val="10"/>
                <w:b w:val="1"/>
                <w:bCs w:val="1"/>
                <w:color w:val="auto"/>
              </w:rPr>
              <w:t>2020</w:t>
            </w:r>
          </w:p>
        </w:tc>
        <w:tc>
          <w:tcPr>
            <w:tcW w:w="480" w:type="dxa"/>
            <w:vAlign w:val="bottom"/>
            <w:tcBorders>
              <w:top w:val="single" w:sz="8" w:color="auto"/>
              <w:bottom w:val="single" w:sz="8" w:color="auto"/>
            </w:tcBorders>
          </w:tcPr>
          <w:p>
            <w:pPr>
              <w:jc w:val="right"/>
              <w:ind w:right="187"/>
              <w:spacing w:after="0" w:line="88" w:lineRule="exact"/>
              <w:rPr>
                <w:sz w:val="20"/>
                <w:szCs w:val="20"/>
                <w:color w:val="auto"/>
              </w:rPr>
            </w:pPr>
            <w:r>
              <w:rPr>
                <w:rFonts w:ascii="Arial" w:cs="Arial" w:eastAsia="Arial" w:hAnsi="Arial"/>
                <w:sz w:val="10"/>
                <w:szCs w:val="10"/>
                <w:b w:val="1"/>
                <w:bCs w:val="1"/>
                <w:color w:val="auto"/>
                <w:w w:val="98"/>
              </w:rPr>
              <w:t>2021</w:t>
            </w:r>
          </w:p>
        </w:tc>
        <w:tc>
          <w:tcPr>
            <w:tcW w:w="60" w:type="dxa"/>
            <w:vAlign w:val="bottom"/>
          </w:tcPr>
          <w:p>
            <w:pPr>
              <w:spacing w:after="0"/>
              <w:rPr>
                <w:sz w:val="7"/>
                <w:szCs w:val="7"/>
                <w:color w:val="auto"/>
              </w:rPr>
            </w:pPr>
          </w:p>
        </w:tc>
      </w:tr>
      <w:tr>
        <w:trPr>
          <w:trHeight w:val="74"/>
        </w:trPr>
        <w:tc>
          <w:tcPr>
            <w:tcW w:w="3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tcPr>
          <w:p>
            <w:pPr>
              <w:jc w:val="center"/>
              <w:ind w:left="429"/>
              <w:spacing w:after="0" w:line="74" w:lineRule="exact"/>
              <w:rPr>
                <w:sz w:val="20"/>
                <w:szCs w:val="20"/>
                <w:color w:val="auto"/>
              </w:rPr>
            </w:pPr>
            <w:r>
              <w:rPr>
                <w:rFonts w:ascii="Arial" w:cs="Arial" w:eastAsia="Arial" w:hAnsi="Arial"/>
                <w:sz w:val="8"/>
                <w:szCs w:val="8"/>
                <w:b w:val="1"/>
                <w:bCs w:val="1"/>
                <w:color w:val="auto"/>
              </w:rPr>
              <w:t>(unaudited)</w:t>
            </w: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13"/>
        </w:trPr>
        <w:tc>
          <w:tcPr>
            <w:tcW w:w="3480" w:type="dxa"/>
            <w:vAlign w:val="bottom"/>
          </w:tcPr>
          <w:p>
            <w:pPr>
              <w:spacing w:after="0"/>
              <w:rPr>
                <w:sz w:val="9"/>
                <w:szCs w:val="9"/>
                <w:color w:val="auto"/>
              </w:rPr>
            </w:pPr>
          </w:p>
        </w:tc>
        <w:tc>
          <w:tcPr>
            <w:tcW w:w="1220" w:type="dxa"/>
            <w:vAlign w:val="bottom"/>
            <w:gridSpan w:val="3"/>
          </w:tcPr>
          <w:p>
            <w:pPr>
              <w:jc w:val="center"/>
              <w:ind w:left="388"/>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jc w:val="center"/>
              <w:ind w:left="409"/>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(8,319)</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(16,935)</w:t>
            </w:r>
          </w:p>
        </w:tc>
        <w:tc>
          <w:tcPr>
            <w:tcW w:w="1240" w:type="dxa"/>
            <w:vAlign w:val="bottom"/>
            <w:shd w:val="clear" w:color="auto" w:fill="CCEEFF"/>
          </w:tcPr>
          <w:p>
            <w:pPr>
              <w:jc w:val="right"/>
              <w:ind w:right="509"/>
              <w:spacing w:after="0"/>
              <w:rPr>
                <w:sz w:val="20"/>
                <w:szCs w:val="20"/>
                <w:color w:val="auto"/>
              </w:rPr>
            </w:pPr>
            <w:r>
              <w:rPr>
                <w:rFonts w:ascii="Arial" w:cs="Arial" w:eastAsia="Arial" w:hAnsi="Arial"/>
                <w:sz w:val="11"/>
                <w:szCs w:val="11"/>
                <w:color w:val="auto"/>
              </w:rPr>
              <w:t>(7,854)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(18,220)</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(7,167)</w:t>
            </w:r>
          </w:p>
        </w:tc>
        <w:tc>
          <w:tcPr>
            <w:tcW w:w="18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1"/>
                <w:szCs w:val="11"/>
                <w:color w:val="auto"/>
              </w:rPr>
              <w:t>(15,010)</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(6,378)</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11,466</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66,340</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12,022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(588)</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(4,020)</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34,395</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(2,210)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(24,780)</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12,923</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8,914</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36"/>
        </w:trPr>
        <w:tc>
          <w:tcPr>
            <w:tcW w:w="348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1040" w:type="dxa"/>
            <w:vAlign w:val="bottom"/>
            <w:gridSpan w:val="2"/>
          </w:tcPr>
          <w:p>
            <w:pPr>
              <w:jc w:val="right"/>
              <w:ind w:right="400"/>
              <w:spacing w:after="0"/>
              <w:rPr>
                <w:sz w:val="20"/>
                <w:szCs w:val="20"/>
                <w:color w:val="auto"/>
              </w:rPr>
            </w:pPr>
            <w:r>
              <w:rPr>
                <w:rFonts w:ascii="Arial" w:cs="Arial" w:eastAsia="Arial" w:hAnsi="Arial"/>
                <w:sz w:val="11"/>
                <w:szCs w:val="11"/>
                <w:color w:val="auto"/>
              </w:rPr>
              <w:t>8,914</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43,198</w:t>
            </w:r>
          </w:p>
        </w:tc>
        <w:tc>
          <w:tcPr>
            <w:tcW w:w="1240" w:type="dxa"/>
            <w:vAlign w:val="bottom"/>
          </w:tcPr>
          <w:p>
            <w:pPr>
              <w:jc w:val="right"/>
              <w:ind w:right="549"/>
              <w:spacing w:after="0"/>
              <w:rPr>
                <w:sz w:val="20"/>
                <w:szCs w:val="20"/>
                <w:color w:val="auto"/>
              </w:rPr>
            </w:pPr>
            <w:r>
              <w:rPr>
                <w:rFonts w:ascii="Arial" w:cs="Arial" w:eastAsia="Arial" w:hAnsi="Arial"/>
                <w:sz w:val="11"/>
                <w:szCs w:val="11"/>
                <w:color w:val="auto"/>
              </w:rPr>
              <w:t>6,700</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18,444</w:t>
            </w:r>
          </w:p>
        </w:tc>
      </w:tr>
    </w:tbl>
    <w:p>
      <w:pPr>
        <w:spacing w:after="0" w:line="13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operating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Net cash used in operating activities increased from a cash outflow of €7.9 million in the six months ended June 30, 2020 to a cash outflow of €18.2 million in the six months ended June 30, 2021, mainly driven by an increase in net loss for the six months ended June 30, 2021. Changes in working capital further contributed to the higher cash outflow as inventories increased due to ongoing preparations for serial production. Adjustments for non-cash items, however, had a positive effect as they increased substantially in the six months ended June 30, 2021 compared to the six months ended June 30, 2020, mainly due to an increase in depreciation, amortization and impairments driven by the completion of the development of our AIR technology in mid-2020 and of our SPACE technology in March 2021.</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Net cash used in operating activities increased from a cash outflow of €8.3 million in 2019 to a cash outflow of €16.9 million in 2020, mainly driven by an increase in net loss for 2020. Adjustments for non-cash items increased substantially in 2020 compared to 2019, mainly due to an increase in depreciation, amortization and impairments driven by the completion of the development of our AIR technology as well as equity settled share-based payment transactions. Changes in working capital contributed to the higher cash outflow as inventories increased due to ongoing preparations for serial production.</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investing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Net cash used in investing activities decreased from a cash outflow of €6.4 million in the six months ended June 30, 2020 to a cash outflow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€6.0 million in the six months ended June 30, 2021. This decrease was partially due to the final development of our AIR and SPACE technologies which</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resulted in a lower cash</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159"/>
          </w:cols>
          <w:pgMar w:left="300" w:top="354"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outflow of acquisition of intangible assets. Cash outflow relating to acquisition of property, plant and equipment, however, increased from €1.6 million in the six months ended June 30, 2020 compared to €3.5 million in the six months ended June 30, 2021, primarily driven by the expansion of our development and production capacity at our production facilities.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999" w:firstLine="294"/>
        <w:spacing w:after="0" w:line="285" w:lineRule="auto"/>
        <w:rPr>
          <w:sz w:val="20"/>
          <w:szCs w:val="20"/>
          <w:color w:val="auto"/>
        </w:rPr>
      </w:pPr>
      <w:r>
        <w:rPr>
          <w:rFonts w:ascii="Arial" w:cs="Arial" w:eastAsia="Arial" w:hAnsi="Arial"/>
          <w:sz w:val="11"/>
          <w:szCs w:val="11"/>
          <w:color w:val="auto"/>
        </w:rPr>
        <w:t>Net cash used in investing activities increased from a cash outflow of €7.2 million in 2019 to a cash outflow of €15.0 million in 2020, primarily due to an increase in cash outflow relating to acquisition of property, plant and equipment to expand development and production capacity at our production facilities, which amounted to €6.7 million in 2020 compared to €1.9 million in 2019. The increase in cash outflow was further driven by increased cash outflows for the acquisition of intangible assets to €8.3 million in 2020 compared to €5.3 million in 2019, most of which represents capitalized development costs associated with increased development and production activities in 2020.</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from financing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jc w:val="both"/>
        <w:ind w:left="1980" w:right="839" w:firstLine="294"/>
        <w:spacing w:after="0" w:line="298" w:lineRule="auto"/>
        <w:rPr>
          <w:sz w:val="20"/>
          <w:szCs w:val="20"/>
          <w:color w:val="auto"/>
        </w:rPr>
      </w:pPr>
      <w:r>
        <w:rPr>
          <w:rFonts w:ascii="Arial" w:cs="Arial" w:eastAsia="Arial" w:hAnsi="Arial"/>
          <w:sz w:val="11"/>
          <w:szCs w:val="11"/>
          <w:color w:val="auto"/>
        </w:rPr>
        <w:t>Net cash used in financing activities increased from a cash inflow of €12.0 million in the six months ended June 30, 2020 to a cash outflow of €0.6 million in the six months ended June 30, 2021. This was primarily due to the lack of proceeds from issue of share capital which significantly contributed to the high cash inflow in the six months ended June 30, 2020 and a decrease in proceeds from other financial assets.</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Net cash from financing activities increased from a cash inflow of €11.5 million in 2019 to a cash inflow of €66.3 million in 2020, primarily driven by the receipt of proceeds in the aggregate amount of €66.7 million from our private placement of new shares in February 2020, a rights offering in October 2020, the issuance of a convertible bond, which was converted into stock in December 2020, as well as an interim loan taken out in 2020. The increase was partially offset by higher payments in respect of lease liabilities relating to our new facilities, an increase in interest expense (attributable to the convertible bond), repayment of the interim loan and increased interest under IFRS 16 lease accounting rules.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table below summarizes the maturity profile of our financial liabilities based on contractual undiscounted payments as of June 30, 2021:</w:t>
      </w:r>
    </w:p>
    <w:p>
      <w:pPr>
        <w:spacing w:after="0" w:line="15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7"/>
              </w:rPr>
              <w:t>Less than</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7"/>
              </w:rPr>
              <w:t>More than</w:t>
            </w:r>
          </w:p>
        </w:tc>
      </w:tr>
      <w:tr>
        <w:trPr>
          <w:trHeight w:val="113"/>
        </w:trPr>
        <w:tc>
          <w:tcPr>
            <w:tcW w:w="4320" w:type="dxa"/>
            <w:vAlign w:val="bottom"/>
          </w:tcPr>
          <w:p>
            <w:pPr>
              <w:spacing w:after="0"/>
              <w:rPr>
                <w:sz w:val="9"/>
                <w:szCs w:val="9"/>
                <w:color w:val="auto"/>
              </w:rPr>
            </w:pPr>
          </w:p>
        </w:tc>
        <w:tc>
          <w:tcPr>
            <w:tcW w:w="10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Carrying amount</w:t>
            </w:r>
          </w:p>
        </w:tc>
        <w:tc>
          <w:tcPr>
            <w:tcW w:w="74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1 year</w:t>
            </w:r>
          </w:p>
        </w:tc>
        <w:tc>
          <w:tcPr>
            <w:tcW w:w="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1-5 years</w:t>
            </w:r>
          </w:p>
        </w:tc>
        <w:tc>
          <w:tcPr>
            <w:tcW w:w="48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5 years</w:t>
            </w:r>
          </w:p>
        </w:tc>
      </w:tr>
      <w:tr>
        <w:trPr>
          <w:trHeight w:val="88"/>
        </w:trPr>
        <w:tc>
          <w:tcPr>
            <w:tcW w:w="43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w w:val="93"/>
              </w:rPr>
              <w:t>(in € thousands)</w:t>
            </w:r>
          </w:p>
        </w:tc>
        <w:tc>
          <w:tcPr>
            <w:tcW w:w="3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Trade payables and other payables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6.512</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6.512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320" w:type="dxa"/>
            <w:vAlign w:val="bottom"/>
          </w:tcPr>
          <w:p>
            <w:pPr>
              <w:spacing w:after="0"/>
              <w:rPr>
                <w:sz w:val="20"/>
                <w:szCs w:val="20"/>
                <w:color w:val="auto"/>
              </w:rPr>
            </w:pPr>
            <w:r>
              <w:rPr>
                <w:rFonts w:ascii="Arial" w:cs="Arial" w:eastAsia="Arial" w:hAnsi="Arial"/>
                <w:sz w:val="11"/>
                <w:szCs w:val="11"/>
                <w:color w:val="auto"/>
              </w:rPr>
              <w:t>Lease liabilities</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7.935</w:t>
            </w:r>
          </w:p>
        </w:tc>
        <w:tc>
          <w:tcPr>
            <w:tcW w:w="340" w:type="dxa"/>
            <w:vAlign w:val="bottom"/>
          </w:tcPr>
          <w:p>
            <w:pPr>
              <w:spacing w:after="0"/>
              <w:rPr>
                <w:sz w:val="11"/>
                <w:szCs w:val="1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1.295</w:t>
            </w: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3.969</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3.251</w:t>
            </w: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432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14.527</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7.887</w:t>
            </w:r>
          </w:p>
        </w:tc>
        <w:tc>
          <w:tcPr>
            <w:tcW w:w="3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3.969</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3.251</w:t>
            </w:r>
          </w:p>
        </w:tc>
        <w:tc>
          <w:tcPr>
            <w:tcW w:w="4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Accounting Policies and Disclosures</w:t>
      </w:r>
    </w:p>
    <w:p>
      <w:pPr>
        <w:spacing w:after="0" w:line="154" w:lineRule="exact"/>
        <w:rPr>
          <w:sz w:val="20"/>
          <w:szCs w:val="20"/>
          <w:color w:val="auto"/>
        </w:rPr>
      </w:pPr>
    </w:p>
    <w:p>
      <w:pPr>
        <w:ind w:left="1980" w:right="1239" w:firstLine="294"/>
        <w:spacing w:after="0" w:line="263" w:lineRule="auto"/>
        <w:rPr>
          <w:sz w:val="20"/>
          <w:szCs w:val="20"/>
          <w:color w:val="auto"/>
        </w:rPr>
      </w:pPr>
      <w:r>
        <w:rPr>
          <w:rFonts w:ascii="Arial" w:cs="Arial" w:eastAsia="Arial" w:hAnsi="Arial"/>
          <w:sz w:val="12"/>
          <w:szCs w:val="12"/>
          <w:color w:val="auto"/>
        </w:rPr>
        <w:t>Certain new accounting standards and interpretations have been published that are not mandatory for the audited financial statements as of December 31, 2020 and have not been early-adopted by us. These standards are not expected to have a material impact on our audited financial statements in the current or future reporting</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0159"/>
          </w:cols>
          <w:pgMar w:left="300" w:top="354"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periods. For information regarding changes in accounting policies, and the impact of such changes in accounting policies on our financial statements, if any, see note 3.3 to our consolidated financial statements included elsewhere in this prospectus.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54" w:lineRule="exact"/>
        <w:rPr>
          <w:sz w:val="20"/>
          <w:szCs w:val="20"/>
          <w:color w:val="auto"/>
        </w:rPr>
      </w:pPr>
    </w:p>
    <w:p>
      <w:pPr>
        <w:ind w:left="1980" w:right="1079" w:firstLine="294"/>
        <w:spacing w:after="0" w:line="259" w:lineRule="auto"/>
        <w:rPr>
          <w:sz w:val="20"/>
          <w:szCs w:val="20"/>
          <w:color w:val="auto"/>
        </w:rPr>
      </w:pPr>
      <w:r>
        <w:rPr>
          <w:rFonts w:ascii="Arial" w:cs="Arial" w:eastAsia="Arial" w:hAnsi="Arial"/>
          <w:sz w:val="12"/>
          <w:szCs w:val="12"/>
          <w:color w:val="auto"/>
        </w:rPr>
        <w:t>We are exposed to a variety of risks in the ordinary course of our business, including, but not limited to, credit risk, liquidity risk, default risk, market risk, and currency and interest rate risk. We regularly assess each of these risks to minimize any adverse effects on our business as a result of those factors. For discussion and sensitivity analyses of our exposure to these risks, see note 33 to our consolidated financial statements included elsewhere in this prospectus.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Critical Accounting Policies and Use of Estimates and Assumptions</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prepare our financial statements in accordance with IFRS, which includes all standards issued by the IASB and related interpretations issued by the IFRS Interpretations Committee. The preparation of our audited financial statements requires us to make judgments, estimates and assumptions that affect the reported amounts in the audited financial statements. We continually evaluate our judgments and estimates in relation to assets, liabilities, contingent liabilities and expenses. We base our judgments and estimates on historical experience and on other various factors, we believe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 For information on critical accounting policies and our use of estimates and assumptions, see note 4 to our consolidated financial statements included elsewhere in this prospectus.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54"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15"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We have initiated a remediation plan to address these material weaknesses. As part of this plan, we intend to (i) implement an enterprise resource planning (ERP) system from SAP AG in the second half of 2021, and (ii) to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See also “Risk Factors—Risks Related to our ADSs and this Offering—We have 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159"/>
          </w:cols>
          <w:pgMar w:left="300" w:top="354"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BUSINESS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We also received an order from a major U.S. aerospace and defense company for our HAWK AIR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19" w:lineRule="exact"/>
        <w:rPr>
          <w:sz w:val="20"/>
          <w:szCs w:val="20"/>
          <w:color w:val="auto"/>
        </w:rPr>
      </w:pPr>
    </w:p>
    <w:p>
      <w:pPr>
        <w:ind w:left="1980" w:right="959" w:firstLine="294"/>
        <w:spacing w:after="0" w:line="281"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AIR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and most of the units produced in 2021 are intended for customer delivery.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0159"/>
          </w:cols>
          <w:pgMar w:left="300" w:top="354"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AIR terminal. Our measure of segment profitability for each reportable segment is operating profit / (loss) (EBIT). We are headquartered in Gilching, near Munich, Germany, with additional offices in Los Angeles and the Washington D.C. area, and had 200 FTEs as of March 31, 2021.</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Market Opportunity</w:t>
      </w:r>
    </w:p>
    <w:p>
      <w:pPr>
        <w:spacing w:after="0" w:line="15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IoT, which are to be supported by high speed, high bandwidth networks.</w:t>
      </w:r>
    </w:p>
    <w:p>
      <w:pPr>
        <w:spacing w:after="0" w:line="128"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1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19"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159"/>
          </w:cols>
          <w:pgMar w:left="300" w:top="354" w:right="1440"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98" w:lineRule="auto"/>
        <w:rPr>
          <w:sz w:val="20"/>
          <w:szCs w:val="20"/>
          <w:color w:val="auto"/>
        </w:rPr>
      </w:pPr>
      <w:r>
        <w:rPr>
          <w:rFonts w:ascii="Arial" w:cs="Arial" w:eastAsia="Arial" w:hAnsi="Arial"/>
          <w:sz w:val="11"/>
          <w:szCs w:val="11"/>
          <w:color w:val="auto"/>
        </w:rPr>
        <w:t>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05"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Value Proposition</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168" w:lineRule="exact"/>
        <w:rPr>
          <w:sz w:val="20"/>
          <w:szCs w:val="20"/>
          <w:color w:val="auto"/>
        </w:rPr>
      </w:pPr>
    </w:p>
    <w:p>
      <w:pPr>
        <w:ind w:left="2540" w:right="899" w:hanging="280"/>
        <w:spacing w:after="0" w:line="256" w:lineRule="auto"/>
        <w:tabs>
          <w:tab w:leader="none" w:pos="2540" w:val="left"/>
        </w:tabs>
        <w:numPr>
          <w:ilvl w:val="0"/>
          <w:numId w:val="34"/>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 wavelength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approximately 1550 nanometers to transmit data wirelessly through air and allows for superior performance parameters compared to RF-based communication 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146" w:lineRule="exact"/>
        <w:rPr>
          <w:rFonts w:ascii="Arial" w:cs="Arial" w:eastAsia="Arial" w:hAnsi="Arial"/>
          <w:sz w:val="12"/>
          <w:szCs w:val="12"/>
          <w:color w:val="auto"/>
        </w:rPr>
      </w:pPr>
    </w:p>
    <w:p>
      <w:pPr>
        <w:ind w:left="2540" w:right="1019" w:hanging="280"/>
        <w:spacing w:after="0" w:line="280" w:lineRule="auto"/>
        <w:tabs>
          <w:tab w:leader="none" w:pos="2540" w:val="left"/>
        </w:tabs>
        <w:numPr>
          <w:ilvl w:val="0"/>
          <w:numId w:val="34"/>
        </w:numPr>
        <w:rPr>
          <w:rFonts w:ascii="Arial" w:cs="Arial" w:eastAsia="Arial" w:hAnsi="Arial"/>
          <w:sz w:val="11"/>
          <w:szCs w:val="11"/>
          <w:color w:val="auto"/>
        </w:rPr>
      </w:pPr>
      <w:r>
        <w:rPr>
          <w:rFonts w:ascii="Arial" w:cs="Arial" w:eastAsia="Arial" w:hAnsi="Arial"/>
          <w:sz w:val="11"/>
          <w:szCs w:val="11"/>
          <w:b w:val="1"/>
          <w:bCs w:val="1"/>
          <w:i w:val="1"/>
          <w:iCs w:val="1"/>
          <w:color w:val="auto"/>
        </w:rPr>
        <w:t>Standardization enabling multiple use cases</w:t>
      </w:r>
      <w:r>
        <w:rPr>
          <w:rFonts w:ascii="Arial" w:cs="Arial" w:eastAsia="Arial" w:hAnsi="Arial"/>
          <w:sz w:val="11"/>
          <w:szCs w:val="11"/>
          <w:color w:val="auto"/>
        </w:rPr>
        <w:t>: Unlike traditional aerospace companies, which historically focused on developing bespoke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OISL industry standard.</w:t>
      </w:r>
    </w:p>
    <w:p>
      <w:pPr>
        <w:spacing w:after="0" w:line="133" w:lineRule="exact"/>
        <w:rPr>
          <w:rFonts w:ascii="Arial" w:cs="Arial" w:eastAsia="Arial" w:hAnsi="Arial"/>
          <w:sz w:val="11"/>
          <w:szCs w:val="11"/>
          <w:color w:val="auto"/>
        </w:rPr>
      </w:pPr>
    </w:p>
    <w:p>
      <w:pPr>
        <w:ind w:left="2540" w:right="899" w:hanging="280"/>
        <w:spacing w:after="0" w:line="283" w:lineRule="auto"/>
        <w:tabs>
          <w:tab w:leader="none" w:pos="2540" w:val="left"/>
        </w:tabs>
        <w:numPr>
          <w:ilvl w:val="0"/>
          <w:numId w:val="34"/>
        </w:numPr>
        <w:rPr>
          <w:rFonts w:ascii="Arial" w:cs="Arial" w:eastAsia="Arial" w:hAnsi="Arial"/>
          <w:sz w:val="11"/>
          <w:szCs w:val="11"/>
          <w:color w:val="auto"/>
        </w:rPr>
      </w:pPr>
      <w:r>
        <w:rPr>
          <w:rFonts w:ascii="Arial" w:cs="Arial" w:eastAsia="Arial" w:hAnsi="Arial"/>
          <w:sz w:val="11"/>
          <w:szCs w:val="11"/>
          <w:b w:val="1"/>
          <w:bCs w:val="1"/>
          <w:i w:val="1"/>
          <w:iCs w:val="1"/>
          <w:color w:val="auto"/>
        </w:rPr>
        <w:t>Cost-efficiency</w:t>
      </w:r>
      <w:r>
        <w:rPr>
          <w:rFonts w:ascii="Arial" w:cs="Arial" w:eastAsia="Arial" w:hAnsi="Arial"/>
          <w:sz w:val="11"/>
          <w:szCs w:val="11"/>
          <w:color w:val="auto"/>
        </w:rPr>
        <w:t>: We aim to industrialize laser communication by focusing on cost-efficient solutions to decrease the costs of deploying laser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more than 60%. We expect to be able to further reduce both material costs and assembly costs in connection with the commencement of serial production.</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159"/>
          </w:cols>
          <w:pgMar w:left="300" w:top="354" w:right="1440"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859" w:hanging="280"/>
        <w:spacing w:after="0" w:line="256" w:lineRule="auto"/>
        <w:tabs>
          <w:tab w:leader="none" w:pos="2540" w:val="left"/>
        </w:tabs>
        <w:numPr>
          <w:ilvl w:val="0"/>
          <w:numId w:val="35"/>
        </w:numPr>
        <w:rPr>
          <w:rFonts w:ascii="Arial" w:cs="Arial" w:eastAsia="Arial" w:hAnsi="Arial"/>
          <w:sz w:val="12"/>
          <w:szCs w:val="12"/>
          <w:color w:val="auto"/>
        </w:rPr>
      </w:pPr>
      <w:r>
        <w:rPr>
          <w:rFonts w:ascii="Arial" w:cs="Arial" w:eastAsia="Arial" w:hAnsi="Arial"/>
          <w:sz w:val="12"/>
          <w:szCs w:val="12"/>
          <w:b w:val="1"/>
          <w:bCs w:val="1"/>
          <w:i w:val="1"/>
          <w:iCs w:val="1"/>
          <w:color w:val="auto"/>
        </w:rPr>
        <w:t>High volume terminal production capabilities</w:t>
      </w:r>
      <w:r>
        <w:rPr>
          <w:rFonts w:ascii="Arial" w:cs="Arial" w:eastAsia="Arial" w:hAnsi="Arial"/>
          <w:sz w:val="12"/>
          <w:szCs w:val="12"/>
          <w:color w:val="auto"/>
        </w:rPr>
        <w:t>: We believe that the ability to manufacture laser terminals at scale will be a key differentiator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Investment Highlights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Significant growth potential for laser communication in government and commercial markets</w:t>
      </w:r>
    </w:p>
    <w:p>
      <w:pPr>
        <w:spacing w:after="0" w:line="150" w:lineRule="exact"/>
        <w:rPr>
          <w:sz w:val="20"/>
          <w:szCs w:val="20"/>
          <w:color w:val="auto"/>
        </w:rPr>
      </w:pPr>
    </w:p>
    <w:p>
      <w:pPr>
        <w:ind w:left="1980" w:right="979" w:firstLine="29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20"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 advantages for high quantity and low value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159"/>
          </w:cols>
          <w:pgMar w:left="300" w:top="354"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Multi-year government programs driving near-term adoption and technology validation</w:t>
      </w:r>
    </w:p>
    <w:p>
      <w:pPr>
        <w:spacing w:after="0" w:line="150"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CJADC2, the ultimate goal of which is to digitally connect all elements of the U.S. military across all five warfighting domains, consisting of air, land, sea, space and cyberspace.</w:t>
      </w:r>
    </w:p>
    <w:p>
      <w:pPr>
        <w:spacing w:after="0" w:line="124"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The most prominent government projects currently deploying laser communication are the SDA’s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119" w:lineRule="exact"/>
        <w:rPr>
          <w:sz w:val="20"/>
          <w:szCs w:val="20"/>
          <w:color w:val="auto"/>
        </w:rPr>
      </w:pPr>
    </w:p>
    <w:p>
      <w:pPr>
        <w:ind w:left="2540" w:right="839" w:hanging="280"/>
        <w:spacing w:after="0" w:line="279" w:lineRule="auto"/>
        <w:tabs>
          <w:tab w:leader="none" w:pos="2540" w:val="left"/>
        </w:tabs>
        <w:numPr>
          <w:ilvl w:val="0"/>
          <w:numId w:val="36"/>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 layers will</w:t>
      </w:r>
      <w:r>
        <w:rPr>
          <w:rFonts w:ascii="Arial" w:cs="Arial" w:eastAsia="Arial" w:hAnsi="Arial"/>
          <w:sz w:val="11"/>
          <w:szCs w:val="11"/>
          <w:b w:val="1"/>
          <w:bCs w:val="1"/>
          <w:color w:val="auto"/>
        </w:rPr>
        <w:t xml:space="preserve"> </w:t>
      </w:r>
      <w:r>
        <w:rPr>
          <w:rFonts w:ascii="Arial" w:cs="Arial" w:eastAsia="Arial" w:hAnsi="Arial"/>
          <w:sz w:val="11"/>
          <w:szCs w:val="11"/>
          <w:color w:val="auto"/>
        </w:rPr>
        <w:t>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 SDA issued a request for proposal soliciting bids for its “Tranche 1” constellation in August 2021. Tranche 1, expected to launch in late 2024, will include a transport layer with roughly 144 data relay satellites equipped with 430 to 720 laser communication terminals (assuming three to five terminals per satellite).</w:t>
      </w:r>
    </w:p>
    <w:p>
      <w:pPr>
        <w:spacing w:after="0" w:line="128" w:lineRule="exact"/>
        <w:rPr>
          <w:rFonts w:ascii="Arial" w:cs="Arial" w:eastAsia="Arial" w:hAnsi="Arial"/>
          <w:sz w:val="11"/>
          <w:szCs w:val="11"/>
          <w:color w:val="auto"/>
        </w:rPr>
      </w:pPr>
    </w:p>
    <w:p>
      <w:pPr>
        <w:ind w:left="2540" w:right="959" w:hanging="280"/>
        <w:spacing w:after="0" w:line="318" w:lineRule="auto"/>
        <w:tabs>
          <w:tab w:leader="none" w:pos="2540" w:val="left"/>
        </w:tabs>
        <w:numPr>
          <w:ilvl w:val="0"/>
          <w:numId w:val="36"/>
        </w:numPr>
        <w:rPr>
          <w:rFonts w:ascii="Arial" w:cs="Arial" w:eastAsia="Arial" w:hAnsi="Arial"/>
          <w:sz w:val="10"/>
          <w:szCs w:val="10"/>
          <w:color w:val="auto"/>
        </w:rPr>
      </w:pPr>
      <w:r>
        <w:rPr>
          <w:rFonts w:ascii="Arial" w:cs="Arial" w:eastAsia="Arial" w:hAnsi="Arial"/>
          <w:sz w:val="10"/>
          <w:szCs w:val="10"/>
          <w:b w:val="1"/>
          <w:bCs w:val="1"/>
          <w:color w:val="auto"/>
        </w:rPr>
        <w:t>DARPA’s Blackjack program</w:t>
      </w:r>
      <w:r>
        <w:rPr>
          <w:rFonts w:ascii="Arial" w:cs="Arial" w:eastAsia="Arial" w:hAnsi="Arial"/>
          <w:sz w:val="10"/>
          <w:szCs w:val="10"/>
          <w:color w:val="auto"/>
        </w:rPr>
        <w:t>: Much of the technology that the SDA needs for its constellations is being co-developed under DARPA’s</w:t>
      </w:r>
      <w:r>
        <w:rPr>
          <w:rFonts w:ascii="Arial" w:cs="Arial" w:eastAsia="Arial" w:hAnsi="Arial"/>
          <w:sz w:val="10"/>
          <w:szCs w:val="10"/>
          <w:b w:val="1"/>
          <w:bCs w:val="1"/>
          <w:color w:val="auto"/>
        </w:rPr>
        <w:t xml:space="preserve"> </w:t>
      </w:r>
      <w:r>
        <w:rPr>
          <w:rFonts w:ascii="Arial" w:cs="Arial" w:eastAsia="Arial" w:hAnsi="Arial"/>
          <w:sz w:val="10"/>
          <w:szCs w:val="10"/>
          <w:color w:val="auto"/>
        </w:rPr>
        <w:t>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9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UAVs that can communicate via a network shared with manned aircraft, enabling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0159"/>
          </w:cols>
          <w:pgMar w:left="300" w:top="354"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Well-positioned in the government market with significant program wins</w:t>
      </w:r>
    </w:p>
    <w:p>
      <w:pPr>
        <w:spacing w:after="0" w:line="150"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 airborne terminal.</w:t>
      </w:r>
    </w:p>
    <w:p>
      <w:pPr>
        <w:spacing w:after="0" w:line="124"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Most notably, in connection with the SDA’s NDSA, in September 2020, we were awarded the first part of an expected multi-million Euro contract in the mid-seven digit range for the delivery of our CONDOR terminals to a customer for its work on Tranche 0, with delivery scheduled for the second half of 2021. Tranche 0 is set to launch at the end of 2022 and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13" w:lineRule="exact"/>
        <w:rPr>
          <w:sz w:val="20"/>
          <w:szCs w:val="20"/>
          <w:color w:val="auto"/>
        </w:rPr>
      </w:pPr>
    </w:p>
    <w:p>
      <w:pPr>
        <w:ind w:left="1980" w:right="959" w:firstLine="294"/>
        <w:spacing w:after="0" w:line="254" w:lineRule="auto"/>
        <w:rPr>
          <w:sz w:val="20"/>
          <w:szCs w:val="20"/>
          <w:color w:val="auto"/>
        </w:rPr>
      </w:pPr>
      <w:r>
        <w:rPr>
          <w:rFonts w:ascii="Arial" w:cs="Arial" w:eastAsia="Arial" w:hAnsi="Arial"/>
          <w:sz w:val="12"/>
          <w:szCs w:val="12"/>
          <w:color w:val="auto"/>
        </w:rPr>
        <w:t>In October 2020, we were selected by Telesat to supply multiple units of our CONDOR terminals for Telesat’s work on DARPA’s Blackjack program. Our CONDOR terminals are scheduled to be delivered in mid-2021 to Lockheed Martin, which is acting as DARPA’s system integrator, with the satellites scheduled to launch in late 2021.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3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In 2020, we received an order for two of our HAWK AIR terminals from a U.S. aerospace and defense customer, introducing our HAWK AIR product to the U.S. government market. We delivered the pre-serial product versions of our HAWK AIR terminals to this customer in the fourth quarter of 2020, and our customer has started initial system testing and demonstrations in deployment scenarios. Through this partnership, we believe that we are well-positioned to successfully introduce our HAWK AIR terminal to other U.S. government programs.</w:t>
      </w:r>
    </w:p>
    <w:p>
      <w:pPr>
        <w:spacing w:after="0" w:line="111"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Strong positioning in the commercial market, leveraging government track record</w:t>
      </w:r>
    </w:p>
    <w:p>
      <w:pPr>
        <w:spacing w:after="0" w:line="150"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159"/>
          </w:cols>
          <w:pgMar w:left="300" w:top="354"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316" w:lineRule="auto"/>
        <w:rPr>
          <w:sz w:val="20"/>
          <w:szCs w:val="20"/>
          <w:color w:val="auto"/>
        </w:rPr>
      </w:pPr>
      <w:r>
        <w:rPr>
          <w:rFonts w:ascii="Arial" w:cs="Arial" w:eastAsia="Arial" w:hAnsi="Arial"/>
          <w:sz w:val="10"/>
          <w:szCs w:val="10"/>
          <w:color w:val="auto"/>
        </w:rPr>
        <w:t>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00"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jc w:val="both"/>
        <w:ind w:left="1980" w:right="1059" w:firstLine="29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Industry leading production capabilities with flexibility to scale</w:t>
      </w:r>
    </w:p>
    <w:p>
      <w:pPr>
        <w:spacing w:after="0" w:line="150" w:lineRule="exact"/>
        <w:rPr>
          <w:sz w:val="20"/>
          <w:szCs w:val="20"/>
          <w:color w:val="auto"/>
        </w:rPr>
      </w:pPr>
    </w:p>
    <w:p>
      <w:pPr>
        <w:ind w:left="1980" w:right="919" w:firstLine="294"/>
        <w:spacing w:after="0" w:line="316" w:lineRule="auto"/>
        <w:rPr>
          <w:sz w:val="20"/>
          <w:szCs w:val="20"/>
          <w:color w:val="auto"/>
        </w:rPr>
      </w:pPr>
      <w:r>
        <w:rPr>
          <w:rFonts w:ascii="Arial" w:cs="Arial" w:eastAsia="Arial" w:hAnsi="Arial"/>
          <w:sz w:val="10"/>
          <w:szCs w:val="10"/>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AIR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Learning curve benefits driving continued cost reductions over time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By realizing learning curve benefits as we have scaled from singular prototype production to pre-serial production, we have already reduced our material costs per unit by more than 60%.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Highly skilled management team with strong industry expertise and deep relationships</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We are led by a dedicated and highly skilled senior management team with significant industry experience, including at SpaceX, Boeing, SES, Iridium, Siemens, Panasonic and, in the case of our co-founder and Chief</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159"/>
          </w:cols>
          <w:pgMar w:left="300" w:top="354" w:right="1440"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Operations</w:t>
      </w:r>
    </w:p>
    <w:p>
      <w:pPr>
        <w:spacing w:after="0" w:line="154" w:lineRule="exact"/>
        <w:rPr>
          <w:sz w:val="20"/>
          <w:szCs w:val="20"/>
          <w:color w:val="auto"/>
        </w:rPr>
      </w:pPr>
    </w:p>
    <w:p>
      <w:pPr>
        <w:ind w:left="1980" w:right="999" w:firstLine="294"/>
        <w:spacing w:after="0" w:line="281" w:lineRule="auto"/>
        <w:rPr>
          <w:sz w:val="20"/>
          <w:szCs w:val="20"/>
          <w:color w:val="auto"/>
        </w:rPr>
      </w:pPr>
      <w:r>
        <w:rPr>
          <w:rFonts w:ascii="Arial" w:cs="Arial" w:eastAsia="Arial" w:hAnsi="Arial"/>
          <w:sz w:val="11"/>
          <w:szCs w:val="11"/>
          <w:color w:val="auto"/>
        </w:rPr>
        <w:t>Our laser communication technology and products are designed to provide the backbone for connectivity to link satellites, aircraft, UAVs and high-altitude platform stations to the ground. We have introduced two distinct product families for laser-enabled communication in air and space, our CONDOR inter-satellite link flight terminal and our HAWK AIR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We source the majority of the components for our products from third-party suppliers. Although some components are manufactured to our specifications, many of our components are commercial off-the-shelf and are broadly available.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Products</w:t>
      </w:r>
    </w:p>
    <w:p>
      <w:pPr>
        <w:spacing w:after="0" w:line="150"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have two principal product families: CONDOR, an optical inter-satellite link flight terminal providing for satellite-to-satellite communications in space, and HAWK AIR, an airborne flight terminal providing for air-to-air and air-to-ground links of airborne vehicles. We have developed and delivered pre-serial production versions of each of these products to initial customers and are currently ramping up initial serial production.</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Product Roadmap</w:t>
      </w:r>
    </w:p>
    <w:p>
      <w:pPr>
        <w:spacing w:after="0" w:line="150"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We have a strong track record of designing and manufacturing space and airborne laser communication terminals that deliver superior technological results and performance. In 2012, we developed an initial prototype of an airborne laser terminal (which we refer to as a “singleton”). With this initial prototype, we successfully demonstrated, together with Airbus, the maturity and readiness of laser communication in an air-to-ground scenario in 2013, reaching a data rate of 1.25 Gbit/s—a world record in data transmission via laser communication technology. We continuously developed and tested a variety of components and specifications to further improve our technology and completed our second prototype (singleton) in 2014, with which we conducted several internal test and demonstration missions. As a result of our continuous efforts, we developed our first demonstration prototype of our airborne laser terminal, of which we sold a number of units to initial customers, including Facebook. Following further refinement of our technology and components, we completed the development of pre-serial product versions of our flagship CONDOR and HAWK AIR terminals in 2021 and 2020, respectively.</w:t>
      </w:r>
    </w:p>
    <w:p>
      <w:pPr>
        <w:spacing w:after="0" w:line="117"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In addition to our flagship products, we developed demonstration prototypes of our ARMADILLO and RHINO ground stations in 2017 and 2018, respectively. Our ARMADILLO and RHINO ground stations are designed to offer high-speed access points for air-to-ground and space-to-ground communication scenarios, respectively. We sold both our ARMADILLO and RHINO prototypes to initial customers, including Facebook, for testing and demonstration purposes. In 2017, we tested, in collaboration with Facebook, our HAWK AIR prototype in combination with our ARMADILLO prototype and reached a second world record by successfully demonstrating the viability of our technology through a series of tests culminating in a 10 Gbps air-to-ground transmission from a moving aircraft. We currently do not actively promote or market our ARMADILLO and RHINO ground stations, as use cases and demand are still emerging. In certain cases, we use these prototypes for testing and demonstration scenarios with prospective customers. As the market evolves, we believe that ground stations will play a vital role in the further development and deployment of aerospace communication networks.</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0159"/>
          </w:cols>
          <w:pgMar w:left="300" w:top="354" w:right="1440"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development roadmap of our products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531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57575" cy="153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Space Terminals</w:t>
      </w:r>
    </w:p>
    <w:p>
      <w:pPr>
        <w:spacing w:after="0" w:line="150"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In our Space segment, we currently offer our flagship CONDOR terminal which is designed to be attached to satellites in order to establish connections between satellites. Our CONDOR terminal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 include, among others, government and military secured communication, backbone connectivity for optical mesh networks for commercial satellite constellations and in-orbit optical relay links for surveillance and Earth observation satellites.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CONDOR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57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57575"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We started pre-serial production of our CONDOR terminals for internal testing and qualification purposes in 2020 and expect to be able to deliver first CONDOR terminals to initial customers in the second half of 2021.</w:t>
      </w:r>
    </w:p>
    <w:p>
      <w:pPr>
        <w:spacing w:after="0" w:line="115"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By leveraging our SPACE technology, we recently entered into a definitive agreement with SpaceLink to develop a new spaceborne laser communication terminal for SpaceLink’s satellites in MEO. These MEO terminals will be designed to relay data within SpaceLink’s MEO constellation as well as from MEO</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0159"/>
          </w:cols>
          <w:pgMar w:left="300" w:top="354" w:right="1440"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satellites to space systems in LEO. In developing our new MEO terminals, we will focus on unit design and qualification, including component selection and radiation testing, to meet SpaceLink’s mission, system and programmatic requirements.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Air Terminals</w:t>
      </w:r>
    </w:p>
    <w:p>
      <w:pPr>
        <w:spacing w:after="0" w:line="150" w:lineRule="exact"/>
        <w:rPr>
          <w:sz w:val="20"/>
          <w:szCs w:val="20"/>
          <w:color w:val="auto"/>
        </w:rPr>
      </w:pPr>
    </w:p>
    <w:p>
      <w:pPr>
        <w:ind w:left="1980" w:right="979" w:firstLine="294"/>
        <w:spacing w:after="0" w:line="256" w:lineRule="auto"/>
        <w:rPr>
          <w:sz w:val="20"/>
          <w:szCs w:val="20"/>
          <w:color w:val="auto"/>
        </w:rPr>
      </w:pPr>
      <w:r>
        <w:rPr>
          <w:rFonts w:ascii="Arial" w:cs="Arial" w:eastAsia="Arial" w:hAnsi="Arial"/>
          <w:sz w:val="12"/>
          <w:szCs w:val="12"/>
          <w:color w:val="auto"/>
        </w:rPr>
        <w:t>In our Air segment, we currently offer our flagship HAWK AIR terminal for air operations, which is installed on airborne vehicles and provides high-speed laser connections between aircraft, balloons, drones and other UAVs. Our HAWK AIR terminal is designed for air-to-air and air-to-ground scenarios by using advanced sensor technology. Use cases include, among others, ultra-secure connectivity for ISR missions of UAVs in defense theaters, the establishment of temporary or regionally limited optical mesh networks to provide broadband connectivity and general high-speed UAV connectivity for government and commercial applications.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HAWK AIR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9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57575"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We started pre-serial production of our HAWK AIR terminals in 2020 with initial production units used for internal testing and qualification purposes. Customer-led testing campaigns started in late 2020 and are expected to continue throughout 2021.</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Go-To-Market Strategy</w:t>
      </w:r>
    </w:p>
    <w:p>
      <w:pPr>
        <w:spacing w:after="0" w:line="150" w:lineRule="exact"/>
        <w:rPr>
          <w:sz w:val="20"/>
          <w:szCs w:val="20"/>
          <w:color w:val="auto"/>
        </w:rPr>
      </w:pPr>
    </w:p>
    <w:p>
      <w:pPr>
        <w:ind w:left="1980" w:right="1219" w:firstLine="294"/>
        <w:spacing w:after="0" w:line="263" w:lineRule="auto"/>
        <w:rPr>
          <w:sz w:val="20"/>
          <w:szCs w:val="20"/>
          <w:color w:val="auto"/>
        </w:rPr>
      </w:pPr>
      <w:r>
        <w:rPr>
          <w:rFonts w:ascii="Arial" w:cs="Arial" w:eastAsia="Arial" w:hAnsi="Arial"/>
          <w:sz w:val="12"/>
          <w:szCs w:val="12"/>
          <w:color w:val="auto"/>
        </w:rPr>
        <w:t>We are a sub-system supplier in the aerospace communication industry providing products to system primes, such as aircraft and satellite manufacturers, and in certain cases (such as with Telesat) to system operators. We aim to influence both the system primes who build the satellite constellations and the system operators who make the ultimate decisions to deploy laser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our position as sub-system supplier in the aerospace communication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7258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57575" cy="72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0159"/>
          </w:cols>
          <w:pgMar w:left="300" w:top="354" w:right="1440"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Currently, our largest market is North America, specifically the United States. We also focus on selling our products into select other countries such as Israel, Japan, Korea and India and Western European countries. Over time, we believe that additional potential markets may develop across the globe.</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Acquisition</w:t>
      </w:r>
    </w:p>
    <w:p>
      <w:pPr>
        <w:spacing w:after="0" w:line="150" w:lineRule="exact"/>
        <w:rPr>
          <w:sz w:val="20"/>
          <w:szCs w:val="20"/>
          <w:color w:val="auto"/>
        </w:rPr>
      </w:pPr>
    </w:p>
    <w:p>
      <w:pPr>
        <w:jc w:val="both"/>
        <w:ind w:left="1980" w:right="959" w:firstLine="294"/>
        <w:spacing w:after="0" w:line="259" w:lineRule="auto"/>
        <w:rPr>
          <w:sz w:val="20"/>
          <w:szCs w:val="20"/>
          <w:color w:val="auto"/>
        </w:rPr>
      </w:pPr>
      <w:r>
        <w:rPr>
          <w:rFonts w:ascii="Arial" w:cs="Arial" w:eastAsia="Arial" w:hAnsi="Arial"/>
          <w:sz w:val="12"/>
          <w:szCs w:val="12"/>
          <w:color w:val="auto"/>
        </w:rPr>
        <w:t>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w:t>
      </w:r>
    </w:p>
    <w:p>
      <w:pPr>
        <w:spacing w:after="0" w:line="12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have a diverse network across the government market, including relationships with a number of system primes who contract with government agencies for the installation and integration of large space- and airborne-based communication systems. To participate in certain U.S. government programs, we may establish a U.S. entity cleared for access to classified information. We believe that our recent government and commercial contract wins and the successful demonstration of OISL interoperability in accordance with the SDA’s industry standard will help us further deepen our network and enable us to engage in leading government projects aiming to develop and deploy laser communication networks.</w:t>
      </w:r>
    </w:p>
    <w:p>
      <w:pPr>
        <w:spacing w:after="0" w:line="113"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AIR terminals, we focus on UAV and unmanned aircraft system builders who work with customers requiring significant data and increased bandwidth for their applications. As in the government market, we also seek to establish and advance our relationships with system primes, which focus on integrating new technologies and products into existing airframes of vehicles manufactured by third parties.</w:t>
      </w:r>
    </w:p>
    <w:p>
      <w:pPr>
        <w:spacing w:after="0" w:line="113" w:lineRule="exact"/>
        <w:rPr>
          <w:sz w:val="20"/>
          <w:szCs w:val="20"/>
          <w:color w:val="auto"/>
        </w:rPr>
      </w:pPr>
    </w:p>
    <w:p>
      <w:pPr>
        <w:ind w:left="1980" w:right="1219" w:firstLine="294"/>
        <w:spacing w:after="0" w:line="298" w:lineRule="auto"/>
        <w:rPr>
          <w:sz w:val="20"/>
          <w:szCs w:val="20"/>
          <w:color w:val="auto"/>
        </w:rPr>
      </w:pPr>
      <w:r>
        <w:rPr>
          <w:rFonts w:ascii="Arial" w:cs="Arial" w:eastAsia="Arial" w:hAnsi="Arial"/>
          <w:sz w:val="11"/>
          <w:szCs w:val="11"/>
          <w:color w:val="auto"/>
        </w:rPr>
        <w:t>In addition to our direct sales and marketing activities, we have developed a global network of distributors for our airborne laser-based communication products. For example, for our HAWK AIR terminal, we have distribution relationships in Australia, Israel and Japan and we are actively working to establish additional partnerships in other jurisdictions, such as India and South America.</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Sales Cycle</w:t>
      </w:r>
    </w:p>
    <w:p>
      <w:pPr>
        <w:spacing w:after="0" w:line="150"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While certain customers may choose, or be required, to conduct a RfI or RfP process, allowing several companies to openly bid for the project, we focus on developing relationships with potential customers early in their decision-making processes, positioning us to avoid RfP processes where possible.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Through our participation in these processes, we have developed an extensive library of materials and processes for responding effectively and efficiently in a timely manner. The entire sales process can take anywhere from a few months to over a year.</w:t>
      </w:r>
    </w:p>
    <w:p>
      <w:pPr>
        <w:spacing w:after="0" w:line="119" w:lineRule="exact"/>
        <w:rPr>
          <w:sz w:val="20"/>
          <w:szCs w:val="20"/>
          <w:color w:val="auto"/>
        </w:rPr>
      </w:pPr>
    </w:p>
    <w:p>
      <w:pPr>
        <w:jc w:val="both"/>
        <w:ind w:left="1980" w:right="1019" w:firstLine="294"/>
        <w:spacing w:after="0" w:line="263" w:lineRule="auto"/>
        <w:rPr>
          <w:sz w:val="20"/>
          <w:szCs w:val="20"/>
          <w:color w:val="auto"/>
        </w:rPr>
      </w:pPr>
      <w:r>
        <w:rPr>
          <w:rFonts w:ascii="Arial" w:cs="Arial" w:eastAsia="Arial" w:hAnsi="Arial"/>
          <w:sz w:val="12"/>
          <w:szCs w:val="12"/>
          <w:color w:val="auto"/>
        </w:rPr>
        <w:t>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0159"/>
          </w:cols>
          <w:pgMar w:left="300" w:top="354"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Awards</w:t>
      </w:r>
    </w:p>
    <w:p>
      <w:pPr>
        <w:spacing w:after="0" w:line="150"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In September 2020, we were awarded the first part of an expected multi-million Euro contract in the mid-seven digit range for the delivery of our CONDOR terminals to a customer for its work on Tranche 0. Delivery of our CONDOR terminals to this customer is scheduled for the second half of 2021. As part of this program, we successfully cooperated with the U.S. Naval Research Laboratory in connecting OISL standard-compliant modems via optical fiber in an R&amp;D environment. This is, to our knowledge, the first successful interoperability demonstration between two independently developed implementations of laser communication under the SDA’s OISL standard communications protocol.</w:t>
      </w:r>
    </w:p>
    <w:p>
      <w:pPr>
        <w:spacing w:after="0" w:line="113"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Additionally, in October 2020, we were selected by Telesat to supply multiple units of our CONDOR terminals for Telesat’s work (as system operator) on DARPA’s Blackjack Track B program. The terminals are scheduled to be delivered in mid-2021 to DARPA’s Blackjack system integrator, with satellites scheduled to launch in late 2021. Through this mission, Telesat aims to demonstrate the capabilities, as well as the interoperability, of laser communication products from different vendors. As part of this program, we have agreed to establish the industry’s first interoperability laboratory in Los Angeles that will simulate conditions in space to test interoperability between different laser communication terminals.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In April 2020, we received an order for HAWK AIR terminals from a major U.S. aerospace and defense company. We delivered pre-serial product versions of our HAWK AIR terminals to this customer in the fourth quarter of 2020, following which our customer conducted initial system testing and demonstrations in deployment scenarios. We continue to work with this customer to expand the mission scope of our HAWK AIR product in airborne scenarios.</w:t>
      </w:r>
    </w:p>
    <w:p>
      <w:pPr>
        <w:spacing w:after="0" w:line="12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w:t>
      </w:r>
    </w:p>
    <w:p>
      <w:pPr>
        <w:spacing w:after="0" w:line="128"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Technology</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Laser communication is a highly attractive broadband technology providing for fast, secure and reliable data transmission. Due to the nature of the laser and the small divergence angle of the transmitter, detecting and 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0159"/>
          </w:cols>
          <w:pgMar w:left="300" w:top="354"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graphic below illustrates the advantages of laser communication versus existing RF-based communication technology in terms of security due to the nature of the laser’s beam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4800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575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AIR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w:t>
      </w:r>
      <w:r>
        <w:rPr>
          <w:rFonts w:ascii="Arial" w:cs="Arial" w:eastAsia="Arial" w:hAnsi="Arial"/>
          <w:sz w:val="11"/>
          <w:szCs w:val="11"/>
          <w:i w:val="1"/>
          <w:iCs w:val="1"/>
          <w:color w:val="auto"/>
        </w:rPr>
        <w:t>i.e.</w:t>
      </w:r>
      <w:r>
        <w:rPr>
          <w:rFonts w:ascii="Arial" w:cs="Arial" w:eastAsia="Arial" w:hAnsi="Arial"/>
          <w:sz w:val="11"/>
          <w:szCs w:val="11"/>
          <w:color w:val="auto"/>
        </w:rPr>
        <w:t>, systems utilizing radio frequencies in the electromagnetic spectrum bands).</w:t>
      </w:r>
    </w:p>
    <w:p>
      <w:pPr>
        <w:spacing w:after="0" w:line="115"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 graphic below illustrates the technological benefits of laser communication compared to existing RF-based communication technologies in terms of distance, data and 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14801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57575" cy="148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 and Engineering</w:t>
      </w:r>
    </w:p>
    <w:p>
      <w:pPr>
        <w:spacing w:after="0" w:line="150"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Research &amp; development is critical to our business strategy.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w:t>
      </w:r>
    </w:p>
    <w:p>
      <w:pPr>
        <w:spacing w:after="0" w:line="87"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research &amp; development activities were initially based on a license granted to us by the DLR under a cooperation and licensing agreement entered into in 2013. Under this agreement, the DLR granted us a non-exclusive, non-assignable and non-sublicensable limited license for two of DLR’s patents, a software 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0159"/>
          </w:cols>
          <w:pgMar w:left="300" w:top="354" w:right="1440"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98" w:lineRule="auto"/>
        <w:rPr>
          <w:sz w:val="20"/>
          <w:szCs w:val="20"/>
          <w:color w:val="auto"/>
        </w:rPr>
      </w:pPr>
      <w:r>
        <w:rPr>
          <w:rFonts w:ascii="Arial" w:cs="Arial" w:eastAsia="Arial" w:hAnsi="Arial"/>
          <w:sz w:val="11"/>
          <w:szCs w:val="11"/>
          <w:color w:val="auto"/>
        </w:rPr>
        <w:t>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w:t>
      </w:r>
    </w:p>
    <w:p>
      <w:pPr>
        <w:spacing w:after="0" w:line="10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We are currently working on expanding our manufacturing capabilities to bring the telescope production for our CONDOR terminal in-house in the near-term. For our HAWK AIR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AIR terminals in the near term. Additionally, by leveraging “commercial off-the-shelf” components developed in the telecommunication industry, we seek to further develop techniques to increase optical bandwidth in a cost-efficient manner, which will allow us to significantly decrease the “cost per bit” over time.</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As part of our research and development activities, we have developed significant in-house testing capabilities for our products. For example, we have established a micro-vibration link testbed, which simulates the operational use of our products in air and space (</w:t>
      </w:r>
      <w:r>
        <w:rPr>
          <w:rFonts w:ascii="Arial" w:cs="Arial" w:eastAsia="Arial" w:hAnsi="Arial"/>
          <w:sz w:val="11"/>
          <w:szCs w:val="11"/>
          <w:i w:val="1"/>
          <w:iCs w:val="1"/>
          <w:color w:val="auto"/>
        </w:rPr>
        <w:t>e.g.</w:t>
      </w:r>
      <w:r>
        <w:rPr>
          <w:rFonts w:ascii="Arial" w:cs="Arial" w:eastAsia="Arial" w:hAnsi="Arial"/>
          <w:sz w:val="11"/>
          <w:szCs w:val="11"/>
          <w:color w:val="auto"/>
        </w:rPr>
        <w:t>, vibrations during satellite or aircraft operations) while also allowing us to conduct interoperability tests with other vendors. We installed our first micro-vibration link testbed in our research and development facility at our headquarters in Gilching, Germany, and are currently working on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w:t>
      </w:r>
    </w:p>
    <w:p>
      <w:pPr>
        <w:spacing w:after="0" w:line="119"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March 31, 2021, we had 120 FTEs dedicated to research and development.</w:t>
      </w:r>
    </w:p>
    <w:p>
      <w:pPr>
        <w:spacing w:after="0" w:line="111"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We have made substantial investments in product and technology development since our inception. Research and development expenditure totaled €7.4 million in the year ended December 31, 2019 and €14.4 million in the year ended December 31, 2020, of which €5.3 million and €8.2 million, respectively, were capitalized. For more information on the capitalization of development costs under IFRS, see “Management’s Discussion and Analysis of Financial Condition and Results of Operations—Key Factors Affecting Our Results of Operations—Research &amp; Development.”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Manufacturing and Supply Chain</w:t>
      </w:r>
    </w:p>
    <w:p>
      <w:pPr>
        <w:spacing w:after="0" w:line="150"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We have developed highly sophisticated and proprietary manufacturing capabilities in recent years. Initially, we manufactured the prototypes and pre-serial product versions of our CONDOR and HAWK AIR terminals in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0159"/>
          </w:cols>
          <w:pgMar w:left="300" w:top="354" w:right="1440" w:bottom="1440" w:gutter="0" w:footer="0" w:header="0"/>
        </w:sectPr>
      </w:pPr>
    </w:p>
    <w:bookmarkStart w:id="98" w:name="page99"/>
    <w:bookmarkEnd w:id="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our headquarters in Gilching, Germany. In 2020, we leased a larger, customized production facility in Oberpfaffenhofen, near Munich, to support ramping up serial production. Our facility in Oberpfaffenhofen has approximately 1,600 square meters (approximately 17,200 square feet) of production and warehouse space and we currently employ around 30 FTEs in the production of our laser terminals in this facility. Based on our current set-up, we expect to be able to increase production output from eleven terminals in 2020 to 50 terminals in 2021. Going forward, we may be required to install additional production equipment as we further scale our business. We may also consider outsourcing production of our products to third parties or customers by means of a license or licensing certain components of our products to third parties.</w:t>
      </w:r>
    </w:p>
    <w:p>
      <w:pPr>
        <w:spacing w:after="0" w:line="113"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work with third-party suppliers to provide components used in our products and we expect to continue to do so for future products. Although some components are manufactured to our specifications (such as certain 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framework agreements with certain suppliers to ensure continuous supply of critical components for our products.</w:t>
      </w:r>
    </w:p>
    <w:p>
      <w:pPr>
        <w:spacing w:after="0" w:line="13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Competitive Landscape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To our knowledge, only a limited number of companies focus on the development of laser communication capabilities in the aerospace industry.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Our main direct competitors include, among others:</w:t>
      </w:r>
    </w:p>
    <w:p>
      <w:pPr>
        <w:spacing w:after="0" w:line="159" w:lineRule="exact"/>
        <w:rPr>
          <w:sz w:val="20"/>
          <w:szCs w:val="20"/>
          <w:color w:val="auto"/>
        </w:rPr>
      </w:pPr>
    </w:p>
    <w:p>
      <w:pPr>
        <w:ind w:left="2540" w:right="859" w:hanging="280"/>
        <w:spacing w:after="0" w:line="276" w:lineRule="auto"/>
        <w:tabs>
          <w:tab w:leader="none" w:pos="2540" w:val="left"/>
        </w:tabs>
        <w:numPr>
          <w:ilvl w:val="0"/>
          <w:numId w:val="37"/>
        </w:numPr>
        <w:rPr>
          <w:rFonts w:ascii="Arial" w:cs="Arial" w:eastAsia="Arial" w:hAnsi="Arial"/>
          <w:sz w:val="12"/>
          <w:szCs w:val="12"/>
          <w:color w:val="auto"/>
        </w:rPr>
      </w:pPr>
      <w:r>
        <w:rPr>
          <w:rFonts w:ascii="Arial" w:cs="Arial" w:eastAsia="Arial" w:hAnsi="Arial"/>
          <w:sz w:val="12"/>
          <w:szCs w:val="12"/>
          <w:b w:val="1"/>
          <w:bCs w:val="1"/>
          <w:i w:val="1"/>
          <w:iCs w:val="1"/>
          <w:color w:val="auto"/>
        </w:rPr>
        <w:t>TESAT Spacecom</w:t>
      </w:r>
      <w:r>
        <w:rPr>
          <w:rFonts w:ascii="Arial" w:cs="Arial" w:eastAsia="Arial" w:hAnsi="Arial"/>
          <w:sz w:val="12"/>
          <w:szCs w:val="12"/>
          <w:color w:val="auto"/>
        </w:rPr>
        <w:t>, an Airbus subsidiary headquartered in Germany, specializing in the production of payload equipment for communication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satellites;</w:t>
      </w:r>
    </w:p>
    <w:p>
      <w:pPr>
        <w:spacing w:after="0" w:line="132"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37"/>
        </w:numPr>
        <w:rPr>
          <w:rFonts w:ascii="Arial" w:cs="Arial" w:eastAsia="Arial" w:hAnsi="Arial"/>
          <w:sz w:val="12"/>
          <w:szCs w:val="12"/>
          <w:color w:val="auto"/>
        </w:rPr>
      </w:pPr>
      <w:r>
        <w:rPr>
          <w:rFonts w:ascii="Arial" w:cs="Arial" w:eastAsia="Arial" w:hAnsi="Arial"/>
          <w:sz w:val="12"/>
          <w:szCs w:val="12"/>
          <w:b w:val="1"/>
          <w:bCs w:val="1"/>
          <w:i w:val="1"/>
          <w:iCs w:val="1"/>
          <w:color w:val="auto"/>
        </w:rPr>
        <w:t>Thales Alenia Space</w:t>
      </w:r>
      <w:r>
        <w:rPr>
          <w:rFonts w:ascii="Arial" w:cs="Arial" w:eastAsia="Arial" w:hAnsi="Arial"/>
          <w:sz w:val="12"/>
          <w:szCs w:val="12"/>
          <w:color w:val="auto"/>
        </w:rPr>
        <w:t>, a joint venture between Thales and Leonardo headquartered in France, that designs, operates and delivers satellite-based systems that help customers position and connect;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37"/>
        </w:numPr>
        <w:rPr>
          <w:rFonts w:ascii="Arial" w:cs="Arial" w:eastAsia="Arial" w:hAnsi="Arial"/>
          <w:sz w:val="12"/>
          <w:szCs w:val="12"/>
          <w:color w:val="auto"/>
        </w:rPr>
      </w:pPr>
      <w:r>
        <w:rPr>
          <w:rFonts w:ascii="Arial" w:cs="Arial" w:eastAsia="Arial" w:hAnsi="Arial"/>
          <w:sz w:val="12"/>
          <w:szCs w:val="12"/>
          <w:b w:val="1"/>
          <w:bCs w:val="1"/>
          <w:i w:val="1"/>
          <w:iCs w:val="1"/>
          <w:color w:val="auto"/>
        </w:rPr>
        <w:t>SA Photonics</w:t>
      </w:r>
      <w:r>
        <w:rPr>
          <w:rFonts w:ascii="Arial" w:cs="Arial" w:eastAsia="Arial" w:hAnsi="Arial"/>
          <w:sz w:val="12"/>
          <w:szCs w:val="12"/>
          <w:color w:val="auto"/>
        </w:rPr>
        <w:t>, a privately-held company headquartered in California, USA, specializing in free space optical communications, fiber lasers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optical sensing systems; and</w:t>
      </w:r>
    </w:p>
    <w:p>
      <w:pPr>
        <w:spacing w:after="0" w:line="132" w:lineRule="exact"/>
        <w:rPr>
          <w:rFonts w:ascii="Arial" w:cs="Arial" w:eastAsia="Arial" w:hAnsi="Arial"/>
          <w:sz w:val="12"/>
          <w:szCs w:val="12"/>
          <w:color w:val="auto"/>
        </w:rPr>
      </w:pPr>
    </w:p>
    <w:p>
      <w:pPr>
        <w:ind w:left="2540" w:right="979" w:hanging="280"/>
        <w:spacing w:after="0" w:line="276" w:lineRule="auto"/>
        <w:tabs>
          <w:tab w:leader="none" w:pos="2540" w:val="left"/>
        </w:tabs>
        <w:numPr>
          <w:ilvl w:val="0"/>
          <w:numId w:val="37"/>
        </w:numPr>
        <w:rPr>
          <w:rFonts w:ascii="Arial" w:cs="Arial" w:eastAsia="Arial" w:hAnsi="Arial"/>
          <w:sz w:val="12"/>
          <w:szCs w:val="12"/>
          <w:color w:val="auto"/>
        </w:rPr>
      </w:pPr>
      <w:r>
        <w:rPr>
          <w:rFonts w:ascii="Arial" w:cs="Arial" w:eastAsia="Arial" w:hAnsi="Arial"/>
          <w:sz w:val="12"/>
          <w:szCs w:val="12"/>
          <w:b w:val="1"/>
          <w:bCs w:val="1"/>
          <w:i w:val="1"/>
          <w:iCs w:val="1"/>
          <w:color w:val="auto"/>
        </w:rPr>
        <w:t>Ball Aerospace</w:t>
      </w:r>
      <w:r>
        <w:rPr>
          <w:rFonts w:ascii="Arial" w:cs="Arial" w:eastAsia="Arial" w:hAnsi="Arial"/>
          <w:sz w:val="12"/>
          <w:szCs w:val="12"/>
          <w:color w:val="auto"/>
        </w:rPr>
        <w:t>, a Ball Corporation subsidiary headquartered in Colorado, USA, specializing in the development and testing of terrestrial-based applications for laser technology.</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Technology</w:t>
      </w:r>
    </w:p>
    <w:p>
      <w:pPr>
        <w:spacing w:after="0" w:line="154"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We use several standard software programs for our business operations and our own proprietary software and applications in connection with operating our products. We seek to control costs and improve our ability to deliver our products by maintaining reliable systems.</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0159"/>
          </w:cols>
          <w:pgMar w:left="300" w:top="354" w:right="1440" w:bottom="1440" w:gutter="0" w:footer="0" w:header="0"/>
        </w:sectPr>
      </w:pPr>
    </w:p>
    <w:bookmarkStart w:id="99" w:name="page100"/>
    <w:bookmarkEnd w:id="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We engage in a variety of measures designed to address potential cybersecurity risks. Our efforts include firewalls, antivirus software, patches, data encryption, log monitors, routine backups and routine password modifications. Notwithstanding these efforts, our internal information technology systems environment continues to evolve and our business policies and internal security controls may not keep pace as new threats emerge.</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w:t>
      </w:r>
    </w:p>
    <w:p>
      <w:pPr>
        <w:spacing w:after="0" w:line="113"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agreement, we will be permitted to use such know-how and intellectual property freely without any further obligation to pay royalties.</w:t>
      </w:r>
    </w:p>
    <w:p>
      <w:pPr>
        <w:spacing w:after="0" w:line="97" w:lineRule="exact"/>
        <w:rPr>
          <w:sz w:val="20"/>
          <w:szCs w:val="20"/>
          <w:color w:val="auto"/>
        </w:rPr>
      </w:pPr>
    </w:p>
    <w:p>
      <w:pPr>
        <w:ind w:left="1980" w:right="1079" w:firstLine="294"/>
        <w:spacing w:after="0" w:line="316" w:lineRule="auto"/>
        <w:rPr>
          <w:sz w:val="20"/>
          <w:szCs w:val="20"/>
          <w:color w:val="auto"/>
        </w:rPr>
      </w:pPr>
      <w:r>
        <w:rPr>
          <w:rFonts w:ascii="Arial" w:cs="Arial" w:eastAsia="Arial" w:hAnsi="Arial"/>
          <w:sz w:val="10"/>
          <w:szCs w:val="10"/>
          <w:color w:val="auto"/>
        </w:rPr>
        <w:t>We own five trademarks and 37 internet domain names. We provide our products to customers pursuant to terms and conditions that impose restrictions on use and disclosure of our proprietary and confidential information. We also seek to avoid disclosure of our intellectual 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“Risk Factors—Risks Related to Our Business—We may be unable to adequately protect our intellectual property and proprietary rights and prevent others from making unauthorized use of our products and technology.”</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Insurance Coverage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We have insurance policies in place that we consider customary for our industry, including general liability insurance, product liability insurance, transportation insurance, and loss of property and earnings insurance. We believe that our insurance policies contain market-standard exclusions and deductibles. We regularly review the adequacy of our insurance coverage and consider the scope of our insurance coverage to be customary in our industry.</w:t>
      </w:r>
    </w:p>
    <w:p>
      <w:pPr>
        <w:spacing w:after="0" w:line="124"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have also taken out a directors and officers (“D&amp;O”) insurance policy that covers the current and future members of the management board and supervisory board with total coverage of up to €5.0 million per year and various sublimits depending on the specific nature of claims. Our D&amp;O insurance also provides for a deductible for all members of the management board in line with the relevant provisions of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xml:space="preserve">), </w:t>
      </w:r>
      <w:r>
        <w:rPr>
          <w:rFonts w:ascii="Arial" w:cs="Arial" w:eastAsia="Arial" w:hAnsi="Arial"/>
          <w:sz w:val="11"/>
          <w:szCs w:val="11"/>
          <w:i w:val="1"/>
          <w:iCs w:val="1"/>
          <w:color w:val="auto"/>
        </w:rPr>
        <w:t>i.e.</w:t>
      </w:r>
      <w:r>
        <w:rPr>
          <w:rFonts w:ascii="Arial" w:cs="Arial" w:eastAsia="Arial" w:hAnsi="Arial"/>
          <w:sz w:val="11"/>
          <w:szCs w:val="11"/>
          <w:color w:val="auto"/>
        </w:rPr>
        <w:t>, each member of the management board remains personally responsible in the case of any finding of personal liability, as the case may be, for 10% of the total amount of such personal liability. Claims in the United States or Canada, or pursuant to United States or Canadian law, are subject to a deductible in the amount of 10% of the related damages, at a minimum of €50,000 and a maximum of €100,000 for each claim.</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0159"/>
          </w:cols>
          <w:pgMar w:left="300" w:top="354" w:right="1440" w:bottom="1440" w:gutter="0" w:footer="0" w:header="0"/>
        </w:sectPr>
      </w:pPr>
    </w:p>
    <w:bookmarkStart w:id="100" w:name="page101"/>
    <w:bookmarkEnd w:id="1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As of June 30, 2021, we employed 214 FTEs, of which 198 FTEs were based in Germany and 16 FTEs were based in the United States.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shows the figures of our FTEs broken down by region as of the relevant date indicated:</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1500" w:type="dxa"/>
            <w:vAlign w:val="bottom"/>
            <w:gridSpan w:val="4"/>
          </w:tcPr>
          <w:p>
            <w:pPr>
              <w:ind w:left="180"/>
              <w:spacing w:after="0"/>
              <w:rPr>
                <w:sz w:val="20"/>
                <w:szCs w:val="20"/>
                <w:color w:val="auto"/>
              </w:rPr>
            </w:pPr>
            <w:r>
              <w:rPr>
                <w:rFonts w:ascii="Arial" w:cs="Arial" w:eastAsia="Arial" w:hAnsi="Arial"/>
                <w:sz w:val="10"/>
                <w:szCs w:val="10"/>
                <w:b w:val="1"/>
                <w:bCs w:val="1"/>
                <w:color w:val="auto"/>
              </w:rPr>
              <w:t>As of December 31,</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As of June 30,</w:t>
            </w:r>
          </w:p>
        </w:tc>
      </w:tr>
      <w:tr>
        <w:trPr>
          <w:trHeight w:val="88"/>
        </w:trPr>
        <w:tc>
          <w:tcPr>
            <w:tcW w:w="5240" w:type="dxa"/>
            <w:vAlign w:val="bottom"/>
            <w:tcBorders>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2019</w:t>
            </w:r>
          </w:p>
        </w:tc>
        <w:tc>
          <w:tcPr>
            <w:tcW w:w="360" w:type="dxa"/>
            <w:vAlign w:val="bottom"/>
            <w:tcBorders>
              <w:top w:val="single" w:sz="8" w:color="auto"/>
              <w:bottom w:val="single" w:sz="8" w:color="CCEEFF"/>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28"/>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7"/>
                <w:szCs w:val="7"/>
                <w:color w:val="auto"/>
              </w:rPr>
            </w:pPr>
          </w:p>
        </w:tc>
      </w:tr>
      <w:tr>
        <w:trPr>
          <w:trHeight w:val="124"/>
        </w:trPr>
        <w:tc>
          <w:tcPr>
            <w:tcW w:w="524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Germany</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92.5</w:t>
            </w:r>
          </w:p>
        </w:tc>
        <w:tc>
          <w:tcPr>
            <w:tcW w:w="3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179.6</w:t>
            </w: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198.0</w:t>
            </w:r>
          </w:p>
        </w:tc>
        <w:tc>
          <w:tcPr>
            <w:tcW w:w="40" w:type="dxa"/>
            <w:vAlign w:val="bottom"/>
            <w:shd w:val="clear" w:color="auto" w:fill="CCEEFF"/>
          </w:tcPr>
          <w:p>
            <w:pPr>
              <w:spacing w:after="0"/>
              <w:rPr>
                <w:sz w:val="10"/>
                <w:szCs w:val="10"/>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United States</w:t>
            </w: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16</w:t>
            </w:r>
          </w:p>
        </w:tc>
      </w:tr>
      <w:tr>
        <w:trPr>
          <w:trHeight w:val="20"/>
        </w:trPr>
        <w:tc>
          <w:tcPr>
            <w:tcW w:w="5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97.5</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186.6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214</w:t>
            </w:r>
          </w:p>
        </w:tc>
      </w:tr>
      <w:tr>
        <w:trPr>
          <w:trHeight w:val="27"/>
        </w:trPr>
        <w:tc>
          <w:tcPr>
            <w:tcW w:w="5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employ a significant number of temporary employees.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Facilities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currently own any real property.</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Our headquarters are located at Dornierstraße 19, 82205 Gilching, Germany. We lease approximately 4,500 square meters (approximately 48,400 square feet) of office space and development and pre-production facilities. The lease has a term of ten years, expiring in 2029. We have the option to extend our lease for an additional 10 years (two extension options, each for a five-year period). In 2020, we leased an additional production facility in Oberpfaffenhofen, Germany, with approximately 1,600 square meters (approximately 17,200 square feet) of production and warehouse space. Our lease for this facility has a term of five years, expiring in 2025.</w:t>
      </w:r>
    </w:p>
    <w:p>
      <w:pPr>
        <w:spacing w:after="0" w:line="128"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also maintain offices in California and the Washington D.C. area. Our office in California is located at 13100 Yukon Ave Unit A, Hawthorne, CA 90250. Our lease for this office covers approximately 900 square meters (approximately 10,000 square feet) of office space and development facilities (such as our interoperability laboratory) and has a term of 63 months, expiring in 2026. Our Washington D.C. area office is located at Arlington Tower, 1300 North 17</w:t>
      </w:r>
      <w:r>
        <w:rPr>
          <w:rFonts w:ascii="Arial" w:cs="Arial" w:eastAsia="Arial" w:hAnsi="Arial"/>
          <w:sz w:val="9"/>
          <w:szCs w:val="9"/>
          <w:color w:val="auto"/>
        </w:rPr>
        <w:t>th</w:t>
      </w:r>
      <w:r>
        <w:rPr>
          <w:rFonts w:ascii="Arial" w:cs="Arial" w:eastAsia="Arial" w:hAnsi="Arial"/>
          <w:sz w:val="11"/>
          <w:szCs w:val="11"/>
          <w:color w:val="auto"/>
        </w:rPr>
        <w:t xml:space="preserve"> Street, Arlington, Virginia 22209. Our lease for this office covers approximately 260 square meters (approximately 2,800 square feet) of office space and has a term of four years, expiring in 2025. We have the option to extend our lease for an additional three years.</w:t>
      </w:r>
    </w:p>
    <w:p>
      <w:pPr>
        <w:spacing w:after="0" w:line="11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believe this office space will be sufficient to meet our needs for the next 12 to 18 months and that suitable additional space will be available as and when needed.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From time to time, we may be involved in various claims and government, legal or arbitration proceedings arising out of our operations, including ordinary course litigation with former employees. As of the date of this prospectus, we are involved in the following proceedings:</w:t>
      </w:r>
    </w:p>
    <w:p>
      <w:pPr>
        <w:spacing w:after="0" w:line="92" w:lineRule="exact"/>
        <w:rPr>
          <w:sz w:val="20"/>
          <w:szCs w:val="20"/>
          <w:color w:val="auto"/>
        </w:rPr>
      </w:pPr>
    </w:p>
    <w:p>
      <w:pPr>
        <w:ind w:left="1980" w:right="1019" w:firstLine="294"/>
        <w:spacing w:after="0" w:line="255" w:lineRule="auto"/>
        <w:rPr>
          <w:sz w:val="20"/>
          <w:szCs w:val="20"/>
          <w:color w:val="auto"/>
        </w:rPr>
      </w:pPr>
      <w:r>
        <w:rPr>
          <w:rFonts w:ascii="Arial" w:cs="Arial" w:eastAsia="Arial" w:hAnsi="Arial"/>
          <w:sz w:val="12"/>
          <w:szCs w:val="12"/>
          <w:color w:val="auto"/>
        </w:rPr>
        <w:t>In July 2020, the German Federal Ministry for Economic Affairs and Energy (</w:t>
      </w:r>
      <w:r>
        <w:rPr>
          <w:rFonts w:ascii="Arial" w:cs="Arial" w:eastAsia="Arial" w:hAnsi="Arial"/>
          <w:sz w:val="12"/>
          <w:szCs w:val="12"/>
          <w:i w:val="1"/>
          <w:iCs w:val="1"/>
          <w:color w:val="auto"/>
        </w:rPr>
        <w:t>Bundesministerium für Wirtschaft und Energie</w:t>
      </w:r>
      <w:r>
        <w:rPr>
          <w:rFonts w:ascii="Arial" w:cs="Arial" w:eastAsia="Arial" w:hAnsi="Arial"/>
          <w:sz w:val="12"/>
          <w:szCs w:val="12"/>
          <w:color w:val="auto"/>
        </w:rPr>
        <w:t>) prohibited the export of laser communication terminals for installation on LEO satellites to customers in China based on Section 6 in conjunction with Section 4 para. 1 of the German Foreign Trade and Payments Act (</w:t>
      </w:r>
      <w:r>
        <w:rPr>
          <w:rFonts w:ascii="Arial" w:cs="Arial" w:eastAsia="Arial" w:hAnsi="Arial"/>
          <w:sz w:val="12"/>
          <w:szCs w:val="12"/>
          <w:i w:val="1"/>
          <w:iCs w:val="1"/>
          <w:color w:val="auto"/>
        </w:rPr>
        <w:t>Außenwirtschaftsgesetz</w:t>
      </w:r>
      <w:r>
        <w:rPr>
          <w:rFonts w:ascii="Arial" w:cs="Arial" w:eastAsia="Arial" w:hAnsi="Arial"/>
          <w:sz w:val="12"/>
          <w:szCs w:val="12"/>
          <w:color w:val="auto"/>
        </w:rPr>
        <w:t>,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0159"/>
          </w:cols>
          <w:pgMar w:left="300" w:top="354" w:right="1440" w:bottom="1440" w:gutter="0" w:footer="0" w:header="0"/>
        </w:sectPr>
      </w:pPr>
    </w:p>
    <w:bookmarkStart w:id="101" w:name="page102"/>
    <w:bookmarkEnd w:id="1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340" w:lineRule="auto"/>
        <w:rPr>
          <w:sz w:val="20"/>
          <w:szCs w:val="20"/>
          <w:color w:val="auto"/>
        </w:rPr>
      </w:pPr>
      <w:r>
        <w:rPr>
          <w:rFonts w:ascii="Arial" w:cs="Arial" w:eastAsia="Arial" w:hAnsi="Arial"/>
          <w:sz w:val="10"/>
          <w:szCs w:val="10"/>
          <w:color w:val="auto"/>
        </w:rPr>
        <w:t>fields of military reconnaissance and communication. To comply with the ban, in 2020 we terminated all business relationships with customers in China. At the same time, we have challenged the export ban with a lawsuit before the Administrative Court of Berlin in connection with seeking compensation for losses we suffered as a result of the export ban. After an initial exchange of written pleadings, a date for a court hearing is to be set by the court.</w:t>
      </w:r>
    </w:p>
    <w:p>
      <w:pPr>
        <w:spacing w:after="0" w:line="87" w:lineRule="exact"/>
        <w:rPr>
          <w:sz w:val="20"/>
          <w:szCs w:val="20"/>
          <w:color w:val="auto"/>
        </w:rPr>
      </w:pPr>
    </w:p>
    <w:p>
      <w:pPr>
        <w:ind w:left="1980" w:right="859" w:firstLine="294"/>
        <w:spacing w:after="0" w:line="307" w:lineRule="auto"/>
        <w:rPr>
          <w:sz w:val="20"/>
          <w:szCs w:val="20"/>
          <w:color w:val="auto"/>
        </w:rPr>
      </w:pPr>
      <w:r>
        <w:rPr>
          <w:rFonts w:ascii="Arial" w:cs="Arial" w:eastAsia="Arial" w:hAnsi="Arial"/>
          <w:sz w:val="10"/>
          <w:szCs w:val="10"/>
          <w:color w:val="auto"/>
        </w:rPr>
        <w:t>On February 17, 2020, the German Federal Financial Supervisory Authority (</w:t>
      </w:r>
      <w:r>
        <w:rPr>
          <w:rFonts w:ascii="Arial" w:cs="Arial" w:eastAsia="Arial" w:hAnsi="Arial"/>
          <w:sz w:val="10"/>
          <w:szCs w:val="10"/>
          <w:i w:val="1"/>
          <w:iCs w:val="1"/>
          <w:color w:val="auto"/>
        </w:rPr>
        <w:t>Bundesanstalt für Finanzdienstleistungsaufsicht</w:t>
      </w:r>
      <w:r>
        <w:rPr>
          <w:rFonts w:ascii="Arial" w:cs="Arial" w:eastAsia="Arial" w:hAnsi="Arial"/>
          <w:sz w:val="10"/>
          <w:szCs w:val="10"/>
          <w:color w:val="auto"/>
        </w:rPr>
        <w:t>, “BaFin”) initiated an investigation against us on the grounds of the alleged omission of an ad hoc disclosure under the ad hoc disclosure obligation of Article 17 para. 1 of the European Market Abuse Regulation (“MAR”). On January 14, 2020, we had announced, by means of a press release published on our website, that we had entered into a new multi-million Euro contract with a space customer. During the ongoing investigation, BaFin argued that the conclusion of a contract of such dimensions would have fallen under the ad hoc disclosure obligation of Article 17 para. 1 MAR, and that the publication on our website did not satisfy this obligation. On March 16, 2020, as requested, we provided BaFin with additional information about the contract and the negotiations leading up to it as well as our explanation as to why we did not file an ad hoc disclosure in this case. On November 13, 2020, BaFin informed us that notwithstanding the additional information we provided, it still upholds its view of an existing infringement of the ad hoc disclosure obligation. BaFin has now entered the process of investigating the alleged omission of an ad hoc disclosure as an administrative offence (</w:t>
      </w:r>
      <w:r>
        <w:rPr>
          <w:rFonts w:ascii="Arial" w:cs="Arial" w:eastAsia="Arial" w:hAnsi="Arial"/>
          <w:sz w:val="10"/>
          <w:szCs w:val="10"/>
          <w:i w:val="1"/>
          <w:iCs w:val="1"/>
          <w:color w:val="auto"/>
        </w:rPr>
        <w:t>Ordnungswidrigkeit</w:t>
      </w:r>
      <w:r>
        <w:rPr>
          <w:rFonts w:ascii="Arial" w:cs="Arial" w:eastAsia="Arial" w:hAnsi="Arial"/>
          <w:sz w:val="10"/>
          <w:szCs w:val="10"/>
          <w:color w:val="auto"/>
        </w:rPr>
        <w:t>). Should an administrative offence be found, the amount of any fine would depend on BaFin’s determination of the severity of the offence. We expect a minimum fine of at least €225,000 to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w:t>
      </w:r>
    </w:p>
    <w:p>
      <w:pPr>
        <w:spacing w:after="0" w:line="251"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On August 17, 2021, we received a notification of a hearing from the BaFin, which initiated an investigation against us on the grounds of the alleged delay of an ad hoc disclosure under the ad hoc disclosure obligation of Article 17 para. 1 MAR relating to the capital increase in connection with an accelerated book building transaction in February 2020. We submitted a written response to the BaFin on September 17, 2021.</w:t>
      </w:r>
    </w:p>
    <w:p>
      <w:pPr>
        <w:spacing w:after="0" w:line="10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are expected to begin in October 2021.</w:t>
      </w:r>
    </w:p>
    <w:p>
      <w:pPr>
        <w:spacing w:after="0" w:line="12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0159"/>
          </w:cols>
          <w:pgMar w:left="300" w:top="354" w:right="1440" w:bottom="1440" w:gutter="0" w:footer="0" w:header="0"/>
        </w:sectPr>
      </w:pPr>
    </w:p>
    <w:bookmarkStart w:id="102" w:name="page103"/>
    <w:bookmarkEnd w:id="1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40"/>
        <w:spacing w:after="0"/>
        <w:rPr>
          <w:sz w:val="20"/>
          <w:szCs w:val="20"/>
          <w:color w:val="auto"/>
        </w:rPr>
      </w:pPr>
      <w:r>
        <w:rPr>
          <w:rFonts w:ascii="Arial" w:cs="Arial" w:eastAsia="Arial" w:hAnsi="Arial"/>
          <w:sz w:val="12"/>
          <w:szCs w:val="12"/>
          <w:b w:val="1"/>
          <w:bCs w:val="1"/>
          <w:color w:val="auto"/>
        </w:rPr>
        <w:t>REGULATORY ENVIRONMENT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939" w:firstLine="294"/>
        <w:spacing w:after="0" w:line="311" w:lineRule="auto"/>
        <w:rPr>
          <w:sz w:val="20"/>
          <w:szCs w:val="20"/>
          <w:color w:val="auto"/>
        </w:rPr>
      </w:pPr>
      <w:r>
        <w:rPr>
          <w:rFonts w:ascii="Arial" w:cs="Arial" w:eastAsia="Arial" w:hAnsi="Arial"/>
          <w:sz w:val="10"/>
          <w:szCs w:val="10"/>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prospectus,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“Risk Factors—Regulatory, Legal and Tax Risks.”</w:t>
      </w:r>
    </w:p>
    <w:p>
      <w:pPr>
        <w:spacing w:after="0" w:line="10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provides a brief overview of certain selected areas of laws and regulations applicable to our business operations.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Laser Safety Provisions</w:t>
      </w:r>
    </w:p>
    <w:p>
      <w:pPr>
        <w:spacing w:after="0" w:line="154"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develop and test our technology and products in our headquarters in Gilching, Germany, and are currently ramping up serial production of our products in our production facility in Oberpfaffenhofen, Germany. In developing and manufacturing our products, we must comply with applicable German and EU laws and regulations on laser safety requirements. For example, Directive 2006/25/EC of the European Parliament and of the Council of 5 April 2006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Arial" w:cs="Arial" w:eastAsia="Arial" w:hAnsi="Arial"/>
          <w:sz w:val="11"/>
          <w:szCs w:val="11"/>
          <w:i w:val="1"/>
          <w:iCs w:val="1"/>
          <w:color w:val="auto"/>
        </w:rPr>
        <w:t>Verordnung zum Schutz der Beschäftigten vor Gefährdungen</w:t>
      </w:r>
      <w:r>
        <w:rPr>
          <w:rFonts w:ascii="Arial" w:cs="Arial" w:eastAsia="Arial" w:hAnsi="Arial"/>
          <w:sz w:val="11"/>
          <w:szCs w:val="11"/>
          <w:color w:val="auto"/>
        </w:rPr>
        <w:t xml:space="preserve"> </w:t>
      </w:r>
      <w:r>
        <w:rPr>
          <w:rFonts w:ascii="Arial" w:cs="Arial" w:eastAsia="Arial" w:hAnsi="Arial"/>
          <w:sz w:val="11"/>
          <w:szCs w:val="11"/>
          <w:i w:val="1"/>
          <w:iCs w:val="1"/>
          <w:color w:val="auto"/>
        </w:rPr>
        <w:t>durch künstliche optische Strahlung</w:t>
      </w:r>
      <w:r>
        <w:rPr>
          <w:rFonts w:ascii="Arial" w:cs="Arial" w:eastAsia="Arial" w:hAnsi="Arial"/>
          <w:sz w:val="11"/>
          <w:szCs w:val="11"/>
          <w:color w:val="auto"/>
        </w:rPr>
        <w:t>) and the Regulation on Preventive Occupational Medicine (</w:t>
      </w:r>
      <w:r>
        <w:rPr>
          <w:rFonts w:ascii="Arial" w:cs="Arial" w:eastAsia="Arial" w:hAnsi="Arial"/>
          <w:sz w:val="11"/>
          <w:szCs w:val="11"/>
          <w:i w:val="1"/>
          <w:iCs w:val="1"/>
          <w:color w:val="auto"/>
        </w:rPr>
        <w:t>Verordnung zur arbeitsmedizinischen Vorsorge</w:t>
      </w:r>
      <w:r>
        <w:rPr>
          <w:rFonts w:ascii="Arial" w:cs="Arial" w:eastAsia="Arial" w:hAnsi="Arial"/>
          <w:sz w:val="11"/>
          <w:szCs w:val="11"/>
          <w:color w:val="auto"/>
        </w:rPr>
        <w:t>). Among</w:t>
      </w:r>
      <w:r>
        <w:rPr>
          <w:rFonts w:ascii="Arial" w:cs="Arial" w:eastAsia="Arial" w:hAnsi="Arial"/>
          <w:sz w:val="11"/>
          <w:szCs w:val="11"/>
          <w:i w:val="1"/>
          <w:iCs w:val="1"/>
          <w:color w:val="auto"/>
        </w:rPr>
        <w:t xml:space="preserve"> </w:t>
      </w:r>
      <w:r>
        <w:rPr>
          <w:rFonts w:ascii="Arial" w:cs="Arial" w:eastAsia="Arial" w:hAnsi="Arial"/>
          <w:sz w:val="11"/>
          <w:szCs w:val="11"/>
          <w:color w:val="auto"/>
        </w:rPr>
        <w:t>other things, these regulations provide for technical rules related to the assessment of laser radiation risks for employees, measurements and calculations related to laser radiation exposure, and risk protection measures that include the appointment of a laser safety officer (</w:t>
      </w:r>
      <w:r>
        <w:rPr>
          <w:rFonts w:ascii="Arial" w:cs="Arial" w:eastAsia="Arial" w:hAnsi="Arial"/>
          <w:sz w:val="11"/>
          <w:szCs w:val="11"/>
          <w:i w:val="1"/>
          <w:iCs w:val="1"/>
          <w:color w:val="auto"/>
        </w:rPr>
        <w:t>Laserschutzbeauftragter</w:t>
      </w:r>
      <w:r>
        <w:rPr>
          <w:rFonts w:ascii="Arial" w:cs="Arial" w:eastAsia="Arial" w:hAnsi="Arial"/>
          <w:sz w:val="11"/>
          <w:szCs w:val="11"/>
          <w:color w:val="auto"/>
        </w:rPr>
        <w:t>) and the use of laser protective glasses and screens.</w:t>
      </w:r>
    </w:p>
    <w:p>
      <w:pPr>
        <w:spacing w:after="0" w:line="119"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AIR laser terminals are both categorized as laser class IV. If the FDA finds that the report is complete, it provides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 for both of our laser terminals.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0159"/>
          </w:cols>
          <w:pgMar w:left="300" w:top="354" w:right="1440" w:bottom="1440" w:gutter="0" w:footer="0" w:header="0"/>
        </w:sectPr>
      </w:pPr>
    </w:p>
    <w:bookmarkStart w:id="103" w:name="page104"/>
    <w:bookmarkEnd w:id="1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of Production Facilities and Storage Sites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Emissions</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 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Regulation of Hazardous Incidents</w:t>
      </w:r>
    </w:p>
    <w:p>
      <w:pPr>
        <w:spacing w:after="0" w:line="15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Germany, the Seveso III Directive was implemented on December 7, 2016, with the Seveso III Transposition Act (</w:t>
      </w:r>
      <w:r>
        <w:rPr>
          <w:rFonts w:ascii="Arial" w:cs="Arial" w:eastAsia="Arial" w:hAnsi="Arial"/>
          <w:sz w:val="12"/>
          <w:szCs w:val="12"/>
          <w:i w:val="1"/>
          <w:iCs w:val="1"/>
          <w:color w:val="auto"/>
        </w:rPr>
        <w:t>Seveso III</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Umsetzungsgesetz</w:t>
      </w:r>
      <w:r>
        <w:rPr>
          <w:rFonts w:ascii="Arial" w:cs="Arial" w:eastAsia="Arial" w:hAnsi="Arial"/>
          <w:sz w:val="12"/>
          <w:szCs w:val="12"/>
          <w:color w:val="auto"/>
        </w:rPr>
        <w:t>) which includes, among others, the amendment of certain provisions of the German Federal Immission Control Act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Bundesimmissionsschutzgesetz</w:t>
      </w:r>
      <w:r>
        <w:rPr>
          <w:rFonts w:ascii="Arial" w:cs="Arial" w:eastAsia="Arial" w:hAnsi="Arial"/>
          <w:sz w:val="11"/>
          <w:szCs w:val="11"/>
          <w:color w:val="auto"/>
        </w:rPr>
        <w:t>), the Environmental Impact Assessment Act (</w:t>
      </w:r>
      <w:r>
        <w:rPr>
          <w:rFonts w:ascii="Arial" w:cs="Arial" w:eastAsia="Arial" w:hAnsi="Arial"/>
          <w:sz w:val="11"/>
          <w:szCs w:val="11"/>
          <w:i w:val="1"/>
          <w:iCs w:val="1"/>
          <w:color w:val="auto"/>
        </w:rPr>
        <w:t>Umweltvertäglichkeitsprüfungsgesetz</w:t>
      </w:r>
      <w:r>
        <w:rPr>
          <w:rFonts w:ascii="Arial" w:cs="Arial" w:eastAsia="Arial" w:hAnsi="Arial"/>
          <w:sz w:val="11"/>
          <w:szCs w:val="11"/>
          <w:color w:val="auto"/>
        </w:rPr>
        <w:t>), and the Environmental Legal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Remedies Act (</w:t>
      </w:r>
      <w:r>
        <w:rPr>
          <w:rFonts w:ascii="Arial" w:cs="Arial" w:eastAsia="Arial" w:hAnsi="Arial"/>
          <w:sz w:val="11"/>
          <w:szCs w:val="11"/>
          <w:i w:val="1"/>
          <w:iCs w:val="1"/>
          <w:color w:val="auto"/>
        </w:rPr>
        <w:t>Umweltrechtsbehelfgesetz</w:t>
      </w:r>
      <w:r>
        <w:rPr>
          <w:rFonts w:ascii="Arial" w:cs="Arial" w:eastAsia="Arial" w:hAnsi="Arial"/>
          <w:sz w:val="11"/>
          <w:szCs w:val="11"/>
          <w:color w:val="auto"/>
        </w:rPr>
        <w:t>). Additional legislative changes came into force on January 14, 2017 with the amendment of the twelfth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xml:space="preserve">ordinance under the German Federal Emissions Control Act (the so-called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Production, Possession, and Handling of Waste</w:t>
      </w:r>
    </w:p>
    <w:p>
      <w:pPr>
        <w:spacing w:after="0" w:line="150"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 member states to take appropriate measures in this regard. In Germany, the Waste Management Act (</w:t>
      </w:r>
      <w:r>
        <w:rPr>
          <w:rFonts w:ascii="Arial" w:cs="Arial" w:eastAsia="Arial" w:hAnsi="Arial"/>
          <w:sz w:val="11"/>
          <w:szCs w:val="11"/>
          <w:i w:val="1"/>
          <w:iCs w:val="1"/>
          <w:color w:val="auto"/>
        </w:rPr>
        <w:t>Kreislaufwirtschaftsgesetz</w:t>
      </w:r>
      <w:r>
        <w:rPr>
          <w:rFonts w:ascii="Arial" w:cs="Arial" w:eastAsia="Arial" w:hAnsi="Arial"/>
          <w:sz w:val="11"/>
          <w:szCs w:val="11"/>
          <w:color w:val="auto"/>
        </w:rPr>
        <w:t>) transports these EU requirements into national law. Under the Waste Management Act, generators, owners, collectors, and transporters of waste have to demonstrate to the competent authority and to other parties that they have properly disposed of hazardous waste (</w:t>
      </w:r>
      <w:r>
        <w:rPr>
          <w:rFonts w:ascii="Arial" w:cs="Arial" w:eastAsia="Arial" w:hAnsi="Arial"/>
          <w:sz w:val="11"/>
          <w:szCs w:val="11"/>
          <w:i w:val="1"/>
          <w:iCs w:val="1"/>
          <w:color w:val="auto"/>
        </w:rPr>
        <w:t>gefährliche Abfälle</w:t>
      </w:r>
      <w:r>
        <w:rPr>
          <w:rFonts w:ascii="Arial" w:cs="Arial" w:eastAsia="Arial" w:hAnsi="Arial"/>
          <w:sz w:val="11"/>
          <w:szCs w:val="11"/>
          <w:color w:val="auto"/>
        </w:rPr>
        <w:t>) by waste disposal (</w:t>
      </w:r>
      <w:r>
        <w:rPr>
          <w:rFonts w:ascii="Arial" w:cs="Arial" w:eastAsia="Arial" w:hAnsi="Arial"/>
          <w:sz w:val="11"/>
          <w:szCs w:val="11"/>
          <w:i w:val="1"/>
          <w:iCs w:val="1"/>
          <w:color w:val="auto"/>
        </w:rPr>
        <w:t>Entsorgungsnachweis</w:t>
      </w:r>
      <w:r>
        <w:rPr>
          <w:rFonts w:ascii="Arial" w:cs="Arial" w:eastAsia="Arial" w:hAnsi="Arial"/>
          <w:sz w:val="11"/>
          <w:szCs w:val="11"/>
          <w:color w:val="auto"/>
        </w:rPr>
        <w:t>). Besides, the Waste Management Act contains regulations on, among other factors, permissible methods of, and responsibility for, the generation, handling, possession, and discharge as well as recycling methods of waste depending on the danger posed by the waste.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Act on Environmental Liability</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If damage is caused to persons or property by one of our facilities, we may be held strictly liable under the German Environmental Liability Act (</w:t>
      </w:r>
      <w:r>
        <w:rPr>
          <w:rFonts w:ascii="Arial" w:cs="Arial" w:eastAsia="Arial" w:hAnsi="Arial"/>
          <w:sz w:val="12"/>
          <w:szCs w:val="12"/>
          <w:i w:val="1"/>
          <w:iCs w:val="1"/>
          <w:color w:val="auto"/>
        </w:rPr>
        <w:t>Umwelthaftungsgesetz</w:t>
      </w:r>
      <w:r>
        <w:rPr>
          <w:rFonts w:ascii="Arial" w:cs="Arial" w:eastAsia="Arial" w:hAnsi="Arial"/>
          <w:sz w:val="12"/>
          <w:szCs w:val="12"/>
          <w:color w:val="auto"/>
        </w:rPr>
        <w:t>). Liability under the Environmental Liability Act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0159"/>
          </w:cols>
          <w:pgMar w:left="300" w:top="354" w:right="1440"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 in the future, we may be required to provide financial security (</w:t>
      </w:r>
      <w:r>
        <w:rPr>
          <w:rFonts w:ascii="Arial" w:cs="Arial" w:eastAsia="Arial" w:hAnsi="Arial"/>
          <w:sz w:val="12"/>
          <w:szCs w:val="12"/>
          <w:i w:val="1"/>
          <w:iCs w:val="1"/>
          <w:color w:val="auto"/>
        </w:rPr>
        <w:t>Deckungsvorsorge</w:t>
      </w:r>
      <w:r>
        <w:rPr>
          <w:rFonts w:ascii="Arial" w:cs="Arial" w:eastAsia="Arial" w:hAnsi="Arial"/>
          <w:sz w:val="12"/>
          <w:szCs w:val="12"/>
          <w:color w:val="auto"/>
        </w:rPr>
        <w:t>) for environmental damages.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Occupational Health and Safety Requirements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Germany, general health and safety requirements for employees are laid down by the Working Conditions Act (</w:t>
      </w:r>
      <w:r>
        <w:rPr>
          <w:rFonts w:ascii="Arial" w:cs="Arial" w:eastAsia="Arial" w:hAnsi="Arial"/>
          <w:sz w:val="11"/>
          <w:szCs w:val="11"/>
          <w:i w:val="1"/>
          <w:iCs w:val="1"/>
          <w:color w:val="auto"/>
        </w:rPr>
        <w:t>Arbeitsschutzgesetz</w:t>
      </w:r>
      <w:r>
        <w:rPr>
          <w:rFonts w:ascii="Arial" w:cs="Arial" w:eastAsia="Arial" w:hAnsi="Arial"/>
          <w:sz w:val="11"/>
          <w:szCs w:val="11"/>
          <w:color w:val="auto"/>
        </w:rPr>
        <w:t>),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Occupational Safety Act (</w:t>
      </w:r>
      <w:r>
        <w:rPr>
          <w:rFonts w:ascii="Arial" w:cs="Arial" w:eastAsia="Arial" w:hAnsi="Arial"/>
          <w:sz w:val="10"/>
          <w:szCs w:val="10"/>
          <w:i w:val="1"/>
          <w:iCs w:val="1"/>
          <w:color w:val="auto"/>
        </w:rPr>
        <w:t>Arbeitssicherheitsgesetz</w:t>
      </w:r>
      <w:r>
        <w:rPr>
          <w:rFonts w:ascii="Arial" w:cs="Arial" w:eastAsia="Arial" w:hAnsi="Arial"/>
          <w:sz w:val="10"/>
          <w:szCs w:val="10"/>
          <w:color w:val="auto"/>
        </w:rPr>
        <w:t>) and the Ordinance on Industrial Safety (</w:t>
      </w:r>
      <w:r>
        <w:rPr>
          <w:rFonts w:ascii="Arial" w:cs="Arial" w:eastAsia="Arial" w:hAnsi="Arial"/>
          <w:sz w:val="10"/>
          <w:szCs w:val="10"/>
          <w:i w:val="1"/>
          <w:iCs w:val="1"/>
          <w:color w:val="auto"/>
        </w:rPr>
        <w:t>Betriebssicherheitsverordnung</w:t>
      </w:r>
      <w:r>
        <w:rPr>
          <w:rFonts w:ascii="Arial" w:cs="Arial" w:eastAsia="Arial" w:hAnsi="Arial"/>
          <w:sz w:val="10"/>
          <w:szCs w:val="10"/>
          <w:color w:val="auto"/>
        </w:rPr>
        <w:t>). For the provision and use of</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working equipment, the Product Safety Act (</w:t>
      </w:r>
      <w:r>
        <w:rPr>
          <w:rFonts w:ascii="Arial" w:cs="Arial" w:eastAsia="Arial" w:hAnsi="Arial"/>
          <w:sz w:val="12"/>
          <w:szCs w:val="12"/>
          <w:i w:val="1"/>
          <w:iCs w:val="1"/>
          <w:color w:val="auto"/>
        </w:rPr>
        <w:t>Produktsicherheitsgesetz</w:t>
      </w:r>
      <w:r>
        <w:rPr>
          <w:rFonts w:ascii="Arial" w:cs="Arial" w:eastAsia="Arial" w:hAnsi="Arial"/>
          <w:sz w:val="12"/>
          <w:szCs w:val="12"/>
          <w:color w:val="auto"/>
        </w:rPr>
        <w:t>) applies, along with the Ordinance on Health and Safety at Work</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Arbeitsstättenverordnung</w:t>
      </w:r>
      <w:r>
        <w:rPr>
          <w:rFonts w:ascii="Arial" w:cs="Arial" w:eastAsia="Arial" w:hAnsi="Arial"/>
          <w:sz w:val="11"/>
          <w:szCs w:val="11"/>
          <w:color w:val="auto"/>
        </w:rPr>
        <w:t>). As regards exposure to hazardous substances, the Ordinance on Hazardous Substances (</w:t>
      </w:r>
      <w:r>
        <w:rPr>
          <w:rFonts w:ascii="Arial" w:cs="Arial" w:eastAsia="Arial" w:hAnsi="Arial"/>
          <w:sz w:val="11"/>
          <w:szCs w:val="11"/>
          <w:i w:val="1"/>
          <w:iCs w:val="1"/>
          <w:color w:val="auto"/>
        </w:rPr>
        <w:t>Gefahrstoffverordnung</w:t>
      </w:r>
      <w:r>
        <w:rPr>
          <w:rFonts w:ascii="Arial" w:cs="Arial" w:eastAsia="Arial" w:hAnsi="Arial"/>
          <w:sz w:val="11"/>
          <w:szCs w:val="11"/>
          <w:color w:val="auto"/>
        </w:rPr>
        <w:t>) and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Technical Rules for Hazardous Substances 900 (</w:t>
      </w:r>
      <w:r>
        <w:rPr>
          <w:rFonts w:ascii="Arial" w:cs="Arial" w:eastAsia="Arial" w:hAnsi="Arial"/>
          <w:sz w:val="10"/>
          <w:szCs w:val="10"/>
          <w:i w:val="1"/>
          <w:iCs w:val="1"/>
          <w:color w:val="auto"/>
        </w:rPr>
        <w:t>Technische Regel für Gefahrstoffe 900</w:t>
      </w:r>
      <w:r>
        <w:rPr>
          <w:rFonts w:ascii="Arial" w:cs="Arial" w:eastAsia="Arial" w:hAnsi="Arial"/>
          <w:sz w:val="10"/>
          <w:szCs w:val="10"/>
          <w:color w:val="auto"/>
        </w:rPr>
        <w:t>) set out limits for workplaces. All these requirements are further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specified by German trade associations (</w:t>
      </w:r>
      <w:r>
        <w:rPr>
          <w:rFonts w:ascii="Arial" w:cs="Arial" w:eastAsia="Arial" w:hAnsi="Arial"/>
          <w:sz w:val="11"/>
          <w:szCs w:val="11"/>
          <w:i w:val="1"/>
          <w:iCs w:val="1"/>
          <w:color w:val="auto"/>
        </w:rPr>
        <w:t>Berufsgenossenschaften</w:t>
      </w:r>
      <w:r>
        <w:rPr>
          <w:rFonts w:ascii="Arial" w:cs="Arial" w:eastAsia="Arial" w:hAnsi="Arial"/>
          <w:sz w:val="11"/>
          <w:szCs w:val="11"/>
          <w:color w:val="auto"/>
        </w:rPr>
        <w:t>) in their accident prevention regulations (</w:t>
      </w:r>
      <w:r>
        <w:rPr>
          <w:rFonts w:ascii="Arial" w:cs="Arial" w:eastAsia="Arial" w:hAnsi="Arial"/>
          <w:sz w:val="11"/>
          <w:szCs w:val="11"/>
          <w:i w:val="1"/>
          <w:iCs w:val="1"/>
          <w:color w:val="auto"/>
        </w:rPr>
        <w:t>Unfallverhütungsvorschriften</w:t>
      </w:r>
      <w:r>
        <w:rPr>
          <w:rFonts w:ascii="Arial" w:cs="Arial" w:eastAsia="Arial" w:hAnsi="Arial"/>
          <w:sz w:val="11"/>
          <w:szCs w:val="11"/>
          <w:color w:val="auto"/>
        </w:rPr>
        <w:t>), which also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address specific health and safety risks of our business.</w:t>
      </w:r>
    </w:p>
    <w:p>
      <w:pPr>
        <w:spacing w:after="0" w:line="14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Export Control Regime</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EU,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and German Dual-Use Export Control Regime</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European Union, the export of dual-use items from EU member states is harmonized and mainly governed by European law, in particular by Council Regulation (EC) No 428/2009 of 5 May 2009, as amended by Commission Delegated Regulation (EU) 2020/1749 of 7 October 2020,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 adopted an amendment to the Dual-Use Regulation, which is expected to come into effect in mid-2021.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w:t>
      </w:r>
    </w:p>
    <w:p>
      <w:pPr>
        <w:spacing w:after="0" w:line="117"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Dual-Use Regulation provides for four types of export authorizations: (i) EU general export authorizations (</w:t>
      </w:r>
      <w:r>
        <w:rPr>
          <w:rFonts w:ascii="Arial" w:cs="Arial" w:eastAsia="Arial" w:hAnsi="Arial"/>
          <w:sz w:val="12"/>
          <w:szCs w:val="12"/>
          <w:i w:val="1"/>
          <w:iCs w:val="1"/>
          <w:color w:val="auto"/>
        </w:rPr>
        <w:t>EU-Allgemeingenehmigungen</w:t>
      </w:r>
      <w:r>
        <w:rPr>
          <w:rFonts w:ascii="Arial" w:cs="Arial" w:eastAsia="Arial" w:hAnsi="Arial"/>
          <w:sz w:val="12"/>
          <w:szCs w:val="12"/>
          <w:color w:val="auto"/>
        </w:rPr>
        <w:t>; “EUGEAs”), which allow exports of dual-use items to certain destinations under certain conditions (see Annex II of the Regulation), (ii) national general export authorizations, which may be issued by EU member states if they are consistent with existing EUGEAs and do not refer to items listed in Annex IIg of the Dual-Use Regulation, (iii) individual export authorizations, which can be granted to one exporter and cover exports of one or more dual-use items to one end-user or consignee in a third country, and</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0159"/>
          </w:cols>
          <w:pgMar w:left="300" w:top="354" w:right="1440" w:bottom="1440" w:gutter="0" w:footer="0" w:header="0"/>
        </w:sectPr>
      </w:pPr>
    </w:p>
    <w:bookmarkStart w:id="105" w:name="page106"/>
    <w:bookmarkEnd w:id="1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hanging="8"/>
        <w:spacing w:after="0" w:line="263" w:lineRule="auto"/>
        <w:tabs>
          <w:tab w:leader="none" w:pos="2183" w:val="left"/>
        </w:tabs>
        <w:numPr>
          <w:ilvl w:val="0"/>
          <w:numId w:val="38"/>
        </w:numPr>
        <w:rPr>
          <w:rFonts w:ascii="Arial" w:cs="Arial" w:eastAsia="Arial" w:hAnsi="Arial"/>
          <w:sz w:val="12"/>
          <w:szCs w:val="12"/>
          <w:color w:val="auto"/>
        </w:rPr>
      </w:pPr>
      <w:r>
        <w:rPr>
          <w:rFonts w:ascii="Arial" w:cs="Arial" w:eastAsia="Arial" w:hAnsi="Arial"/>
          <w:sz w:val="12"/>
          <w:szCs w:val="12"/>
          <w:color w:val="auto"/>
        </w:rPr>
        <w:t>maximum amount authorizations, which can be granted to one exporter and may cover multiple items to multiple countries of destination or end users. Under the Dual-Use Regulation, the competent authorities of each member state are responsible for establishing their own administrative procedures for applying and obtaining such export authorizations.</w:t>
      </w:r>
    </w:p>
    <w:p>
      <w:pPr>
        <w:spacing w:after="0" w:line="122"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General export authorizations have the advantage that no authorization application needs to be filed; exports and intra-EU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 replacement (EU003), temporary exports for exhibitions or fairs (EU004), exports of specific telecommunication goods (EU005), and exports of specific chemicals (EU006).</w:t>
      </w:r>
    </w:p>
    <w:p>
      <w:pPr>
        <w:spacing w:after="0" w:line="115"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In Germany, the administrative procedure to obtain an export authorization is governed by the AWV, which also defines the German Federal Office for Economic Affairs and Export Control (</w:t>
      </w:r>
      <w:r>
        <w:rPr>
          <w:rFonts w:ascii="Arial" w:cs="Arial" w:eastAsia="Arial" w:hAnsi="Arial"/>
          <w:sz w:val="11"/>
          <w:szCs w:val="11"/>
          <w:i w:val="1"/>
          <w:iCs w:val="1"/>
          <w:color w:val="auto"/>
        </w:rPr>
        <w:t>Bundesamt für Wirtschaft und Ausfuhrkontrolle</w:t>
      </w:r>
      <w:r>
        <w:rPr>
          <w:rFonts w:ascii="Arial" w:cs="Arial" w:eastAsia="Arial" w:hAnsi="Arial"/>
          <w:sz w:val="11"/>
          <w:szCs w:val="11"/>
          <w:color w:val="auto"/>
        </w:rPr>
        <w:t>; “BAFA”) as the competent authority for issuing such authorization. In addition to control lists set out under the Dual-Use Regulation, EU member states may also set out their own lists of controlled dual-use items. Germany, for instance, has done so by including additional dual-use items on its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that are not already covered by the Dual-Use Regulation (</w:t>
      </w:r>
      <w:r>
        <w:rPr>
          <w:rFonts w:ascii="Arial" w:cs="Arial" w:eastAsia="Arial" w:hAnsi="Arial"/>
          <w:sz w:val="11"/>
          <w:szCs w:val="11"/>
          <w:i w:val="1"/>
          <w:iCs w:val="1"/>
          <w:color w:val="auto"/>
        </w:rPr>
        <w:t>e.g.</w:t>
      </w:r>
      <w:r>
        <w:rPr>
          <w:rFonts w:ascii="Arial" w:cs="Arial" w:eastAsia="Arial" w:hAnsi="Arial"/>
          <w:sz w:val="11"/>
          <w:szCs w:val="11"/>
          <w:color w:val="auto"/>
        </w:rPr>
        <w:t>,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EU’s general exportation authorization.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Export Regulations</w:t>
      </w:r>
    </w:p>
    <w:p>
      <w:pPr>
        <w:spacing w:after="0" w:line="150"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 xml:space="preserve">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International Traffic in Arms Regulations</w:t>
      </w:r>
    </w:p>
    <w:p>
      <w:pPr>
        <w:spacing w:after="0" w:line="150"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color w:val="auto"/>
        </w:rPr>
        <w:t>The International Traffic in Arms Regulations (the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0159"/>
          </w:cols>
          <w:pgMar w:left="300" w:top="354" w:right="1440"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479"/>
        <w:spacing w:after="0" w:line="276" w:lineRule="auto"/>
        <w:rPr>
          <w:sz w:val="20"/>
          <w:szCs w:val="20"/>
          <w:color w:val="auto"/>
        </w:rPr>
      </w:pPr>
      <w:r>
        <w:rPr>
          <w:rFonts w:ascii="Arial" w:cs="Arial" w:eastAsia="Arial" w:hAnsi="Arial"/>
          <w:sz w:val="12"/>
          <w:szCs w:val="12"/>
          <w:color w:val="auto"/>
        </w:rPr>
        <w:t>Controls (“DDTC”) interprets and enforces the ITAR. Nearly every item subject to the ITAR requires a license from DDTC for exportation, re-exportation or transfer, unless an ITAR exemption applies.</w:t>
      </w:r>
    </w:p>
    <w:p>
      <w:pPr>
        <w:spacing w:after="0" w:line="115"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For practical purposes, ITAR regulations dictate that information and material pertaining to defense- and military-related technologies (items listed on the USML) may not be shared with non-U.S. persons unless authorization from the U.S. Department of State is received or a special exemption is used. U.S. persons may face heavy fines if they, without authorization or the use of an exemption, provide foreign persons with access to ITAR-protected defense goods, services, or technical data.</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Trade Sanctions</w:t>
      </w:r>
    </w:p>
    <w:p>
      <w:pPr>
        <w:spacing w:after="0" w:line="154"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When selling and/or delivering our products to customers around the globe we must observe economic sanctions and embargoes. Such measures can be based on national legislation (like in Germany or the U.S.), but 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Act and the EU Conflict Minerals Regulation that require us to carefully monitor our supply chain.</w:t>
      </w:r>
    </w:p>
    <w:p>
      <w:pPr>
        <w:spacing w:after="0" w:line="13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We may be required to comply with embargoes, trade sanctions and sourcing regulations for various reasons, including due to the location of our factories, the seat of our respective entity, the nationality of our responsible employees or the components we use.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Embargoes and Trade Sanctions</w:t>
      </w:r>
    </w:p>
    <w:p>
      <w:pPr>
        <w:spacing w:after="0" w:line="150"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w:t>
      </w:r>
    </w:p>
    <w:p>
      <w:pPr>
        <w:spacing w:after="0" w:line="113"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U.S. sanctions may take the form of country- or territory-based sanctions or list-based sanctions. Currently, country- or territory-based sanctions target the Crimea region of Ukraine,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0159"/>
          </w:cols>
          <w:pgMar w:left="300" w:top="354" w:right="1440"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 U.S. sanctions. In addition, we may also be subject to sanctions-related obligations through contracts with suppliers, credit facilities or loan agreements that require compliance with U.S. sanctions or screening against U.S. sanctions lists.</w:t>
      </w:r>
    </w:p>
    <w:p>
      <w:pPr>
        <w:spacing w:after="0" w:line="113"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w:t>
      </w:r>
    </w:p>
    <w:p>
      <w:pPr>
        <w:spacing w:after="0" w:line="113" w:lineRule="exact"/>
        <w:rPr>
          <w:sz w:val="20"/>
          <w:szCs w:val="20"/>
          <w:color w:val="auto"/>
        </w:rPr>
      </w:pPr>
    </w:p>
    <w:p>
      <w:pPr>
        <w:ind w:left="1980" w:right="919" w:firstLine="294"/>
        <w:spacing w:after="0" w:line="313" w:lineRule="auto"/>
        <w:rPr>
          <w:sz w:val="20"/>
          <w:szCs w:val="20"/>
          <w:color w:val="auto"/>
        </w:rPr>
      </w:pPr>
      <w:r>
        <w:rPr>
          <w:rFonts w:ascii="Arial" w:cs="Arial" w:eastAsia="Arial" w:hAnsi="Arial"/>
          <w:sz w:val="10"/>
          <w:szCs w:val="10"/>
          <w:color w:val="auto"/>
        </w:rPr>
        <w:t>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 law but still violate U.S. sanctions. In case of such conflicts between EU law and U.S. sanctions, the Council Regulation (EC) No 2271/96 of 22 November 1996 protecting against the effects of the extraterritorial application of legislation adopted by a third country, and actions based thereon or resulting therefrom (as amended) prohibits EU companies from complying with certain listed U.S. sanctions and shields these entities from the effects of U.S. sanctions in the EU. Such anti-boycott rules apply, for example, to the 2018 U.S. sanctions targeting Iran. EU companies are, nonetheless, free to conduct their business as they see fit, i.e., not trade with countries sanctioned by the U.S.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Embargoes and Trade Sanctions</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EU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commitments in terms of sanctions and embargoes mainly (but not exclusively) derive from Council Regulation (EC) No 2580/2001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 December 2001 on specific restrictive measures directed against certain persons and entities with a view to combating terrorism. It aims to prevent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prohibit the financing of terrorist acts by prohibiting that funds, other financial assets, and economic resources are made available, directly or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indirectly, to, or for the benefit of, a natural or legal person, group, or entity included in the list of restricted parties, or by prohibiting financial or other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related services from being rendered for the benefit of restricted parties.</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Foreign Investment Regime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BMWi may prohibit or restrict the acquisition of our shares by a foreign investor that is resident or based outside the European Union (</w:t>
      </w:r>
      <w:r>
        <w:rPr>
          <w:rFonts w:ascii="Arial" w:cs="Arial" w:eastAsia="Arial" w:hAnsi="Arial"/>
          <w:sz w:val="12"/>
          <w:szCs w:val="12"/>
          <w:i w:val="1"/>
          <w:iCs w:val="1"/>
          <w:color w:val="auto"/>
        </w:rPr>
        <w:t>Unionsfremder</w:t>
      </w:r>
      <w:r>
        <w:rPr>
          <w:rFonts w:ascii="Arial" w:cs="Arial" w:eastAsia="Arial" w:hAnsi="Arial"/>
          <w:sz w:val="12"/>
          <w:szCs w:val="12"/>
          <w:color w:val="auto"/>
        </w:rPr>
        <w:t>) if it endangers the public order or the security of Germany.</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0159"/>
          </w:cols>
          <w:pgMar w:left="300" w:top="354" w:right="1440"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 xml:space="preserve">According to an amendment to the AWV, which came into force on May 1, 2021, statutory notification requirements apply, </w:t>
      </w:r>
      <w:r>
        <w:rPr>
          <w:rFonts w:ascii="Arial" w:cs="Arial" w:eastAsia="Arial" w:hAnsi="Arial"/>
          <w:sz w:val="10"/>
          <w:szCs w:val="10"/>
          <w:i w:val="1"/>
          <w:iCs w:val="1"/>
          <w:color w:val="auto"/>
        </w:rPr>
        <w:t>inter alia</w:t>
      </w:r>
      <w:r>
        <w:rPr>
          <w:rFonts w:ascii="Arial" w:cs="Arial" w:eastAsia="Arial" w:hAnsi="Arial"/>
          <w:sz w:val="10"/>
          <w:szCs w:val="10"/>
          <w:color w:val="auto"/>
        </w:rPr>
        <w:t>, to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the Company. Accordingly, any such acquisition must be notified to the BMWi upon signing of a binding agreement if the relevant acquisition has likely effects to public security and order. However, only the signing of the binding agreement is subject to the notification requirement, not the subsequent acquisition itself. Nonetheless, clearance by the BMWi qualifies as a statutory closing condition for all transactions that are subject to the cross-sectoral investment control proceeding and to the mandatory notification requirement. Furthermore, prior to clearance by the BMWi, the regime prohibits the acquirer, among other things, from exercising any voting rights in the target, from receiving claims for profit distributions associated with the acquisition, and from receiving company related information (provided that such information relates to company divisions or corporate assets that are subject to the investment control proceeding).</w:t>
      </w:r>
    </w:p>
    <w:p>
      <w:pPr>
        <w:spacing w:after="0" w:line="103"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addition, the BMWi may initiate investigations within two months after becoming aware of the conclusion of a binding agreement, but not later than five years after the conclusion of the respective agreement (Section 55 para. 1 AWV in conjunction with Section 14a para. 3 AWG). If grounds for objections exist, the BMWi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w:t>
      </w:r>
    </w:p>
    <w:p>
      <w:pPr>
        <w:spacing w:after="0" w:line="128"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Anti-Bribery, Anti-Corruption, Antitrust and Competition</w:t>
      </w:r>
    </w:p>
    <w:p>
      <w:pPr>
        <w:spacing w:after="0" w:line="154"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 comply with the rules against corruption and bribery of public officials (Sections 332, 334 of the German Criminal Code (</w:t>
      </w:r>
      <w:r>
        <w:rPr>
          <w:rFonts w:ascii="Arial" w:cs="Arial" w:eastAsia="Arial" w:hAnsi="Arial"/>
          <w:sz w:val="11"/>
          <w:szCs w:val="11"/>
          <w:i w:val="1"/>
          <w:iCs w:val="1"/>
          <w:color w:val="auto"/>
        </w:rPr>
        <w:t>Strafgesetzbuch</w:t>
      </w:r>
      <w:r>
        <w:rPr>
          <w:rFonts w:ascii="Arial" w:cs="Arial" w:eastAsia="Arial" w:hAnsi="Arial"/>
          <w:sz w:val="11"/>
          <w:szCs w:val="11"/>
          <w:color w:val="auto"/>
        </w:rPr>
        <w:t>)) or private sector employees or business representatives (Section 299 of the German Criminal Code) as well as rules against the taking and giving of bribes meant as an incentive to violating one’s official duties (Sections 331, 333 of the German Criminal Code). These provisions may under certain conditions also apply to circumstances that occur solely or partly on foreign territory. The German legislature is working on a revision of the overall framework for sanctioning corporations by introducing a new Corporate Sanctions Act (</w:t>
      </w:r>
      <w:r>
        <w:rPr>
          <w:rFonts w:ascii="Arial" w:cs="Arial" w:eastAsia="Arial" w:hAnsi="Arial"/>
          <w:sz w:val="11"/>
          <w:szCs w:val="11"/>
          <w:i w:val="1"/>
          <w:iCs w:val="1"/>
          <w:color w:val="auto"/>
        </w:rPr>
        <w:t>Verbandssanktionengesetz</w:t>
      </w:r>
      <w:r>
        <w:rPr>
          <w:rFonts w:ascii="Arial" w:cs="Arial" w:eastAsia="Arial" w:hAnsi="Arial"/>
          <w:sz w:val="11"/>
          <w:szCs w:val="11"/>
          <w:color w:val="auto"/>
        </w:rPr>
        <w:t>). The proposal by the German Federal Government (</w:t>
      </w:r>
      <w:r>
        <w:rPr>
          <w:rFonts w:ascii="Arial" w:cs="Arial" w:eastAsia="Arial" w:hAnsi="Arial"/>
          <w:sz w:val="11"/>
          <w:szCs w:val="11"/>
          <w:i w:val="1"/>
          <w:iCs w:val="1"/>
          <w:color w:val="auto"/>
        </w:rPr>
        <w:t>Bundesregierung</w:t>
      </w:r>
      <w:r>
        <w:rPr>
          <w:rFonts w:ascii="Arial" w:cs="Arial" w:eastAsia="Arial" w:hAnsi="Arial"/>
          <w:sz w:val="11"/>
          <w:szCs w:val="11"/>
          <w:color w:val="auto"/>
        </w:rPr>
        <w:t>) is currently being debated within the legislative process, but the final act will likely include increased fines for companies with a group turnover of more than €100 million.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w:t>
      </w:r>
    </w:p>
    <w:p>
      <w:pPr>
        <w:spacing w:after="0" w:line="120"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0159"/>
          </w:cols>
          <w:pgMar w:left="300" w:top="354" w:right="1440"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undertakings or similar agreements with restrictive effects on competition, in particular in terms of Article 101 para. 1 of the Treaty on the Functioning of the European Union and Section 1 of the German Act Against Restraints of Competition (</w:t>
      </w:r>
      <w:r>
        <w:rPr>
          <w:rFonts w:ascii="Arial" w:cs="Arial" w:eastAsia="Arial" w:hAnsi="Arial"/>
          <w:sz w:val="11"/>
          <w:szCs w:val="11"/>
          <w:i w:val="1"/>
          <w:iCs w:val="1"/>
          <w:color w:val="auto"/>
        </w:rPr>
        <w:t>Gesetz gegen Wettbewerbsbeschränkungen</w:t>
      </w:r>
      <w:r>
        <w:rPr>
          <w:rFonts w:ascii="Arial" w:cs="Arial" w:eastAsia="Arial" w:hAnsi="Arial"/>
          <w:sz w:val="11"/>
          <w:szCs w:val="11"/>
          <w:color w:val="auto"/>
        </w:rPr>
        <w:t>), and unless covered by so-called block exemptions or individual exemptions. Violations of antitrust and 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0159"/>
          </w:cols>
          <w:pgMar w:left="300" w:top="354" w:right="1440"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MANAGEMENT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Board Structure</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are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xml:space="preserve"> or </w:t>
      </w:r>
      <w:r>
        <w:rPr>
          <w:rFonts w:ascii="Arial" w:cs="Arial" w:eastAsia="Arial" w:hAnsi="Arial"/>
          <w:sz w:val="12"/>
          <w:szCs w:val="12"/>
          <w:i w:val="1"/>
          <w:iCs w:val="1"/>
          <w:color w:val="auto"/>
        </w:rPr>
        <w:t>AG</w:t>
      </w:r>
      <w:r>
        <w:rPr>
          <w:rFonts w:ascii="Arial" w:cs="Arial" w:eastAsia="Arial" w:hAnsi="Arial"/>
          <w:sz w:val="12"/>
          <w:szCs w:val="12"/>
          <w:color w:val="auto"/>
        </w:rPr>
        <w:t>) with our registered seat in Germany. We are subject to German legislation on stock corporations, most importantly the German Stock Corporation Act (</w:t>
      </w:r>
      <w:r>
        <w:rPr>
          <w:rFonts w:ascii="Arial" w:cs="Arial" w:eastAsia="Arial" w:hAnsi="Arial"/>
          <w:sz w:val="12"/>
          <w:szCs w:val="12"/>
          <w:i w:val="1"/>
          <w:iCs w:val="1"/>
          <w:color w:val="auto"/>
        </w:rPr>
        <w:t>Aktiengesetz</w:t>
      </w:r>
      <w:r>
        <w:rPr>
          <w:rFonts w:ascii="Arial" w:cs="Arial" w:eastAsia="Arial" w:hAnsi="Arial"/>
          <w:sz w:val="12"/>
          <w:szCs w:val="12"/>
          <w:color w:val="auto"/>
        </w:rPr>
        <w:t>). In accordance with the German Stock Corporation Act, our corporate bodies are the management board (</w:t>
      </w:r>
      <w:r>
        <w:rPr>
          <w:rFonts w:ascii="Arial" w:cs="Arial" w:eastAsia="Arial" w:hAnsi="Arial"/>
          <w:sz w:val="12"/>
          <w:szCs w:val="12"/>
          <w:i w:val="1"/>
          <w:iCs w:val="1"/>
          <w:color w:val="auto"/>
        </w:rPr>
        <w:t>Vorstand</w:t>
      </w:r>
      <w:r>
        <w:rPr>
          <w:rFonts w:ascii="Arial" w:cs="Arial" w:eastAsia="Arial" w:hAnsi="Arial"/>
          <w:sz w:val="12"/>
          <w:szCs w:val="12"/>
          <w:color w:val="auto"/>
        </w:rPr>
        <w:t>), the supervisory board (</w:t>
      </w:r>
      <w:r>
        <w:rPr>
          <w:rFonts w:ascii="Arial" w:cs="Arial" w:eastAsia="Arial" w:hAnsi="Arial"/>
          <w:sz w:val="12"/>
          <w:szCs w:val="12"/>
          <w:i w:val="1"/>
          <w:iCs w:val="1"/>
          <w:color w:val="auto"/>
        </w:rPr>
        <w:t>Aufsichtsrat</w:t>
      </w:r>
      <w:r>
        <w:rPr>
          <w:rFonts w:ascii="Arial" w:cs="Arial" w:eastAsia="Arial" w:hAnsi="Arial"/>
          <w:sz w:val="12"/>
          <w:szCs w:val="12"/>
          <w:color w:val="auto"/>
        </w:rPr>
        <w:t>) and the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Our management board and supervisory board are entirely separate and, as a rule, no individual may simultaneously be a member of both the management board and the supervisory board.</w:t>
      </w:r>
    </w:p>
    <w:p>
      <w:pPr>
        <w:spacing w:after="0" w:line="128"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Our management board is responsible for the day-to-day management of our business in accordance with applicable laws, our articles of association (</w:t>
      </w:r>
      <w:r>
        <w:rPr>
          <w:rFonts w:ascii="Arial" w:cs="Arial" w:eastAsia="Arial" w:hAnsi="Arial"/>
          <w:sz w:val="11"/>
          <w:szCs w:val="11"/>
          <w:i w:val="1"/>
          <w:iCs w:val="1"/>
          <w:color w:val="auto"/>
        </w:rPr>
        <w:t>Satzung</w:t>
      </w:r>
      <w:r>
        <w:rPr>
          <w:rFonts w:ascii="Arial" w:cs="Arial" w:eastAsia="Arial" w:hAnsi="Arial"/>
          <w:sz w:val="11"/>
          <w:szCs w:val="11"/>
          <w:color w:val="auto"/>
        </w:rPr>
        <w:t>) and the management board’s internal rules of procedure (</w:t>
      </w:r>
      <w:r>
        <w:rPr>
          <w:rFonts w:ascii="Arial" w:cs="Arial" w:eastAsia="Arial" w:hAnsi="Arial"/>
          <w:sz w:val="11"/>
          <w:szCs w:val="11"/>
          <w:i w:val="1"/>
          <w:iCs w:val="1"/>
          <w:color w:val="auto"/>
        </w:rPr>
        <w:t>Geschäftsordnung</w:t>
      </w:r>
      <w:r>
        <w:rPr>
          <w:rFonts w:ascii="Arial" w:cs="Arial" w:eastAsia="Arial" w:hAnsi="Arial"/>
          <w:sz w:val="11"/>
          <w:szCs w:val="11"/>
          <w:color w:val="auto"/>
        </w:rPr>
        <w:t>). Our management board represents us in our dealings with third parties and is responsible for implementing an internal monitoring system for risk management purposes.</w:t>
      </w:r>
    </w:p>
    <w:p>
      <w:pPr>
        <w:spacing w:after="0" w:line="105"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German law, the management board and the supervisory board are solely responsible for and manage their own areas of competency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Kompetenztrennung</w:t>
      </w:r>
      <w:r>
        <w:rPr>
          <w:rFonts w:ascii="Arial" w:cs="Arial" w:eastAsia="Arial" w:hAnsi="Arial"/>
          <w:sz w:val="11"/>
          <w:szCs w:val="11"/>
          <w:color w:val="auto"/>
        </w:rPr>
        <w:t>); therefore, neither board may make decisions that, pursuant to applicable law, our articles of association or our internal rules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procedure, are the responsibility of the other board. Members of both boards owe a duty of loyalty and care to us. In carrying out their duties,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management board and supervisory board members are required to exercise the standard of care of a prudent and diligent businessperson or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member, as the case may be. If they fail to observe the appropriate standard of care, they may become liable to the company.</w:t>
      </w:r>
    </w:p>
    <w:p>
      <w:pPr>
        <w:spacing w:after="0" w:line="141"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w:t>
      </w:r>
    </w:p>
    <w:p>
      <w:pPr>
        <w:spacing w:after="0" w:line="12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w:t>
      </w:r>
    </w:p>
    <w:p>
      <w:pPr>
        <w:spacing w:after="0" w:line="12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w:t>
      </w:r>
    </w:p>
    <w:p>
      <w:pPr>
        <w:spacing w:after="0" w:line="130"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following description, as far as it relates to our articles of association, is based on our articles of association, as adopted by our general shareholders’ meeting on May 14, 2021.</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0159"/>
          </w:cols>
          <w:pgMar w:left="300" w:top="354" w:right="1440"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 appointed, he or she represents our Company alone. If several management board members are appointed, we are represented by two management board members jointly or by one management board member together with an authorized representative (</w:t>
      </w:r>
      <w:r>
        <w:rPr>
          <w:rFonts w:ascii="Arial" w:cs="Arial" w:eastAsia="Arial" w:hAnsi="Arial"/>
          <w:sz w:val="12"/>
          <w:szCs w:val="12"/>
          <w:i w:val="1"/>
          <w:iCs w:val="1"/>
          <w:color w:val="auto"/>
        </w:rPr>
        <w:t>Prokurist</w:t>
      </w:r>
      <w:r>
        <w:rPr>
          <w:rFonts w:ascii="Arial" w:cs="Arial" w:eastAsia="Arial" w:hAnsi="Arial"/>
          <w:sz w:val="12"/>
          <w:szCs w:val="12"/>
          <w:color w:val="auto"/>
        </w:rPr>
        <w:t>). Currently, the management board consists of the following three members: Bulent Altan (Chief Executive Officer), Stefan Berndt-von Bülow (Chief Financial Officer), and Joachim Horwath (Chief Technology Officer).</w:t>
      </w:r>
    </w:p>
    <w:p>
      <w:pPr>
        <w:spacing w:after="0" w:line="128"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w:t>
      </w:r>
    </w:p>
    <w:p>
      <w:pPr>
        <w:spacing w:after="0" w:line="142" w:lineRule="exact"/>
        <w:rPr>
          <w:sz w:val="20"/>
          <w:szCs w:val="20"/>
          <w:color w:val="auto"/>
        </w:rPr>
      </w:pPr>
    </w:p>
    <w:p>
      <w:pPr>
        <w:ind w:left="2540" w:hanging="280"/>
        <w:spacing w:after="0"/>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preparing our annual financial statements;</w:t>
      </w:r>
    </w:p>
    <w:p>
      <w:pPr>
        <w:spacing w:after="0" w:line="168"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making a proposal to be submitted to our shareholders’ meeting on how our profits (if any) should be allocated (such proposal to be submitted simultaneously to the supervisory board); and</w:t>
      </w:r>
    </w:p>
    <w:p>
      <w:pPr>
        <w:spacing w:after="0" w:line="132"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regular reporting to the supervisory board on our current operating and financial performance, our budgeting and planning processes and our performance in relation thereto, and on future business planning (including strategic, financial, investment and personnel planning).</w:t>
      </w:r>
    </w:p>
    <w:p>
      <w:pPr>
        <w:spacing w:after="0" w:line="9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w:t>
      </w:r>
    </w:p>
    <w:p>
      <w:pPr>
        <w:spacing w:after="0" w:line="117"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Arial" w:cs="Arial" w:eastAsia="Arial" w:hAnsi="Arial"/>
          <w:sz w:val="12"/>
          <w:szCs w:val="12"/>
          <w:i w:val="1"/>
          <w:iCs w:val="1"/>
          <w:color w:val="auto"/>
        </w:rPr>
        <w:t>Gesamtzuständigkeit</w:t>
      </w:r>
      <w:r>
        <w:rPr>
          <w:rFonts w:ascii="Arial" w:cs="Arial" w:eastAsia="Arial" w:hAnsi="Arial"/>
          <w:sz w:val="12"/>
          <w:szCs w:val="12"/>
          <w:color w:val="auto"/>
        </w:rPr>
        <w:t>). Such matters include the following:</w:t>
      </w:r>
    </w:p>
    <w:p>
      <w:pPr>
        <w:spacing w:after="0" w:line="140" w:lineRule="exact"/>
        <w:rPr>
          <w:sz w:val="20"/>
          <w:szCs w:val="20"/>
          <w:color w:val="auto"/>
        </w:rPr>
      </w:pPr>
    </w:p>
    <w:p>
      <w:pPr>
        <w:ind w:left="2540" w:right="109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preparation of the annual financial statements, the management report, the consolidated financial statements and the group management report;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convocation of the annual shareholders’ meeting as well as motions and proposals of the management board on the adoption of resolutions by the shareholders’ meeting;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0159"/>
          </w:cols>
          <w:pgMar w:left="300" w:top="354" w:right="1440"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039" w:hanging="280"/>
        <w:spacing w:after="0" w:line="263"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matters of profound significance or economic risk for a business area (</w:t>
      </w:r>
      <w:r>
        <w:rPr>
          <w:rFonts w:ascii="Arial" w:cs="Arial" w:eastAsia="Arial" w:hAnsi="Arial"/>
          <w:sz w:val="12"/>
          <w:szCs w:val="12"/>
          <w:i w:val="1"/>
          <w:iCs w:val="1"/>
          <w:color w:val="auto"/>
        </w:rPr>
        <w:t>i.e.</w:t>
      </w:r>
      <w:r>
        <w:rPr>
          <w:rFonts w:ascii="Arial" w:cs="Arial" w:eastAsia="Arial" w:hAnsi="Arial"/>
          <w:sz w:val="12"/>
          <w:szCs w:val="12"/>
          <w:color w:val="auto"/>
        </w:rPr>
        <w:t>, a business area that has been allocated by means of a business responsibilities plan among the members of the management board), for example with respect to such business area’s organizational structure, business policy, or investment and financial planning;</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determination of fundamental objectives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disputes among the members of the management board (in particular with regard to such matters that affect several business areas</w:t>
      </w:r>
    </w:p>
    <w:p>
      <w:pPr>
        <w:spacing w:after="0" w:line="26" w:lineRule="exact"/>
        <w:rPr>
          <w:rFonts w:ascii="Arial" w:cs="Arial" w:eastAsia="Arial" w:hAnsi="Arial"/>
          <w:sz w:val="11"/>
          <w:szCs w:val="11"/>
          <w:color w:val="auto"/>
        </w:rPr>
      </w:pPr>
    </w:p>
    <w:p>
      <w:pPr>
        <w:ind w:left="2540" w:right="939"/>
        <w:spacing w:after="0" w:line="260" w:lineRule="auto"/>
        <w:rPr>
          <w:rFonts w:ascii="Arial" w:cs="Arial" w:eastAsia="Arial" w:hAnsi="Arial"/>
          <w:sz w:val="11"/>
          <w:szCs w:val="11"/>
          <w:color w:val="auto"/>
        </w:rPr>
      </w:pPr>
      <w:r>
        <w:rPr>
          <w:rFonts w:ascii="Arial" w:cs="Arial" w:eastAsia="Arial" w:hAnsi="Arial"/>
          <w:sz w:val="12"/>
          <w:szCs w:val="12"/>
          <w:color w:val="auto"/>
        </w:rPr>
        <w:t>(</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 or due to unclear responsibilities according to the schedule of responsibilities);</w:t>
      </w:r>
    </w:p>
    <w:p>
      <w:pPr>
        <w:spacing w:after="0" w:line="142" w:lineRule="exact"/>
        <w:rPr>
          <w:rFonts w:ascii="Arial" w:cs="Arial" w:eastAsia="Arial" w:hAnsi="Arial"/>
          <w:sz w:val="11"/>
          <w:szCs w:val="11"/>
          <w:color w:val="auto"/>
        </w:rPr>
      </w:pPr>
    </w:p>
    <w:p>
      <w:pPr>
        <w:ind w:left="2540" w:right="113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matters affecting all business areas (</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w:t>
      </w:r>
    </w:p>
    <w:p>
      <w:pPr>
        <w:spacing w:after="0" w:line="132" w:lineRule="exact"/>
        <w:rPr>
          <w:rFonts w:ascii="Arial" w:cs="Arial" w:eastAsia="Arial" w:hAnsi="Arial"/>
          <w:sz w:val="12"/>
          <w:szCs w:val="12"/>
          <w:color w:val="auto"/>
        </w:rPr>
      </w:pPr>
    </w:p>
    <w:p>
      <w:pPr>
        <w:ind w:left="2540" w:right="119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matters within the area of responsibility of a member of the management board, which the member submits for decision by the whole management board;</w:t>
      </w:r>
    </w:p>
    <w:p>
      <w:pPr>
        <w:spacing w:after="0" w:line="132" w:lineRule="exact"/>
        <w:rPr>
          <w:rFonts w:ascii="Arial" w:cs="Arial" w:eastAsia="Arial" w:hAnsi="Arial"/>
          <w:sz w:val="12"/>
          <w:szCs w:val="12"/>
          <w:color w:val="auto"/>
        </w:rPr>
      </w:pPr>
    </w:p>
    <w:p>
      <w:pPr>
        <w:ind w:left="2540" w:right="91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matters outside the scope of responsibility of a member of the management board, but for which that member of the management board has doubts as to their legality and/or significant concerns as to their appropriateness;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matters requiring the approval by the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coordination of reporting to the supervisory board;</w:t>
      </w:r>
    </w:p>
    <w:p>
      <w:pPr>
        <w:spacing w:after="0" w:line="168"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conclusion and termination of employee contracts with a total annual compensation (base salary and variable compensation components, but excluding fringe benefits and long-term incentives) of €100,000 or more, including in the case of replacement hires; and</w:t>
      </w:r>
    </w:p>
    <w:p>
      <w:pPr>
        <w:spacing w:after="0" w:line="109" w:lineRule="exact"/>
        <w:rPr>
          <w:rFonts w:ascii="Arial" w:cs="Arial" w:eastAsia="Arial" w:hAnsi="Arial"/>
          <w:sz w:val="11"/>
          <w:szCs w:val="11"/>
          <w:color w:val="auto"/>
        </w:rPr>
      </w:pPr>
    </w:p>
    <w:p>
      <w:pPr>
        <w:ind w:left="2540" w:right="93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entering into consulting agreements (fee-based and other freelance contracts) that are of material financial or strategic importance, i.e., that obligate the Company to pay a consideration of at least €200,000 per financial year.</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Management Board</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management board, their ages, the year of expiration of their term as management board members and position:</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0"/>
                <w:szCs w:val="10"/>
                <w:b w:val="1"/>
                <w:bCs w:val="1"/>
                <w:color w:val="auto"/>
              </w:rPr>
              <w:t>Year in which</w:t>
            </w:r>
          </w:p>
        </w:tc>
        <w:tc>
          <w:tcPr>
            <w:tcW w:w="3300" w:type="dxa"/>
            <w:vAlign w:val="bottom"/>
          </w:tcPr>
          <w:p>
            <w:pPr>
              <w:spacing w:after="0"/>
              <w:rPr>
                <w:sz w:val="10"/>
                <w:szCs w:val="10"/>
                <w:color w:val="auto"/>
              </w:rPr>
            </w:pPr>
          </w:p>
        </w:tc>
      </w:tr>
      <w:tr>
        <w:trPr>
          <w:trHeight w:val="133"/>
        </w:trPr>
        <w:tc>
          <w:tcPr>
            <w:tcW w:w="2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Age</w:t>
            </w: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b w:val="1"/>
                <w:bCs w:val="1"/>
                <w:color w:val="auto"/>
              </w:rPr>
              <w:t>Term Expires</w:t>
            </w:r>
          </w:p>
        </w:tc>
        <w:tc>
          <w:tcPr>
            <w:tcW w:w="3300" w:type="dxa"/>
            <w:vAlign w:val="bottom"/>
          </w:tcPr>
          <w:p>
            <w:pPr>
              <w:ind w:left="1480"/>
              <w:spacing w:after="0" w:line="114" w:lineRule="exact"/>
              <w:rPr>
                <w:sz w:val="20"/>
                <w:szCs w:val="20"/>
                <w:color w:val="auto"/>
              </w:rPr>
            </w:pPr>
            <w:r>
              <w:rPr>
                <w:rFonts w:ascii="Arial" w:cs="Arial" w:eastAsia="Arial" w:hAnsi="Arial"/>
                <w:sz w:val="10"/>
                <w:szCs w:val="10"/>
                <w:b w:val="1"/>
                <w:bCs w:val="1"/>
                <w:color w:val="auto"/>
              </w:rPr>
              <w:t>Position</w:t>
            </w:r>
          </w:p>
        </w:tc>
      </w:tr>
      <w:tr>
        <w:trPr>
          <w:trHeight w:val="108"/>
        </w:trPr>
        <w:tc>
          <w:tcPr>
            <w:tcW w:w="2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w w:val="70"/>
              </w:rPr>
              <w:t>Bulent</w:t>
            </w:r>
          </w:p>
        </w:tc>
        <w:tc>
          <w:tcPr>
            <w:tcW w:w="2480" w:type="dxa"/>
            <w:vAlign w:val="bottom"/>
          </w:tcPr>
          <w:p>
            <w:pPr>
              <w:ind w:left="60"/>
              <w:spacing w:after="0" w:line="100" w:lineRule="exact"/>
              <w:rPr>
                <w:sz w:val="20"/>
                <w:szCs w:val="20"/>
                <w:color w:val="auto"/>
              </w:rPr>
            </w:pPr>
            <w:r>
              <w:rPr>
                <w:rFonts w:ascii="Arial" w:cs="Arial" w:eastAsia="Arial" w:hAnsi="Arial"/>
                <w:sz w:val="11"/>
                <w:szCs w:val="11"/>
                <w:color w:val="auto"/>
              </w:rPr>
              <w:t>Altan</w:t>
            </w:r>
          </w:p>
        </w:tc>
        <w:tc>
          <w:tcPr>
            <w:tcW w:w="220" w:type="dxa"/>
            <w:vAlign w:val="bottom"/>
            <w:tcBorders>
              <w:top w:val="single" w:sz="8" w:color="auto"/>
            </w:tcBorders>
          </w:tcPr>
          <w:p>
            <w:pPr>
              <w:jc w:val="right"/>
              <w:ind w:right="72"/>
              <w:spacing w:after="0" w:line="108" w:lineRule="exact"/>
              <w:rPr>
                <w:sz w:val="20"/>
                <w:szCs w:val="20"/>
                <w:color w:val="auto"/>
              </w:rPr>
            </w:pPr>
            <w:r>
              <w:rPr>
                <w:rFonts w:ascii="Arial" w:cs="Arial" w:eastAsia="Arial" w:hAnsi="Arial"/>
                <w:sz w:val="10"/>
                <w:szCs w:val="10"/>
                <w:color w:val="auto"/>
                <w:w w:val="71"/>
              </w:rPr>
              <w:t>43</w:t>
            </w: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ind w:right="528"/>
              <w:spacing w:after="0" w:line="108" w:lineRule="exact"/>
              <w:rPr>
                <w:sz w:val="20"/>
                <w:szCs w:val="20"/>
                <w:color w:val="auto"/>
              </w:rPr>
            </w:pPr>
            <w:r>
              <w:rPr>
                <w:rFonts w:ascii="Arial" w:cs="Arial" w:eastAsia="Arial" w:hAnsi="Arial"/>
                <w:sz w:val="11"/>
                <w:szCs w:val="11"/>
                <w:color w:val="auto"/>
                <w:w w:val="81"/>
              </w:rPr>
              <w:t>2022</w:t>
            </w:r>
          </w:p>
        </w:tc>
        <w:tc>
          <w:tcPr>
            <w:tcW w:w="160" w:type="dxa"/>
            <w:vAlign w:val="bottom"/>
          </w:tcPr>
          <w:p>
            <w:pPr>
              <w:spacing w:after="0"/>
              <w:rPr>
                <w:sz w:val="9"/>
                <w:szCs w:val="9"/>
                <w:color w:val="auto"/>
              </w:rPr>
            </w:pPr>
          </w:p>
        </w:tc>
        <w:tc>
          <w:tcPr>
            <w:tcW w:w="330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Chief Executive Officer</w:t>
            </w:r>
          </w:p>
        </w:tc>
      </w:tr>
      <w:tr>
        <w:trPr>
          <w:trHeight w:val="135"/>
        </w:trPr>
        <w:tc>
          <w:tcPr>
            <w:tcW w:w="27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46</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Financial Officer</w:t>
            </w:r>
          </w:p>
        </w:tc>
      </w:tr>
      <w:tr>
        <w:trPr>
          <w:trHeight w:val="136"/>
        </w:trPr>
        <w:tc>
          <w:tcPr>
            <w:tcW w:w="2720" w:type="dxa"/>
            <w:vAlign w:val="bottom"/>
            <w:gridSpan w:val="2"/>
          </w:tcPr>
          <w:p>
            <w:pPr>
              <w:spacing w:after="0"/>
              <w:rPr>
                <w:sz w:val="20"/>
                <w:szCs w:val="20"/>
                <w:color w:val="auto"/>
              </w:rPr>
            </w:pPr>
            <w:r>
              <w:rPr>
                <w:rFonts w:ascii="Arial" w:cs="Arial" w:eastAsia="Arial" w:hAnsi="Arial"/>
                <w:sz w:val="11"/>
                <w:szCs w:val="11"/>
                <w:color w:val="auto"/>
              </w:rPr>
              <w:t>Joachim Horwath</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47</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2024</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Technology Officer</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Unless otherwise indicated, the current business address for each management board member is the same as our business address: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Dornierstraße 19, 82205 Gilching, Germany.</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management board:</w:t>
      </w:r>
    </w:p>
    <w:p>
      <w:pPr>
        <w:spacing w:after="0" w:line="150" w:lineRule="exact"/>
        <w:rPr>
          <w:sz w:val="20"/>
          <w:szCs w:val="20"/>
          <w:color w:val="auto"/>
        </w:rPr>
      </w:pPr>
    </w:p>
    <w:p>
      <w:pPr>
        <w:ind w:left="1980" w:right="1119" w:firstLine="294"/>
        <w:spacing w:after="0" w:line="263" w:lineRule="auto"/>
        <w:rPr>
          <w:sz w:val="20"/>
          <w:szCs w:val="20"/>
          <w:color w:val="auto"/>
        </w:rPr>
      </w:pPr>
      <w:r>
        <w:rPr>
          <w:rFonts w:ascii="Arial" w:cs="Arial" w:eastAsia="Arial" w:hAnsi="Arial"/>
          <w:sz w:val="12"/>
          <w:szCs w:val="12"/>
          <w:b w:val="1"/>
          <w:bCs w:val="1"/>
          <w:i w:val="1"/>
          <w:iCs w:val="1"/>
          <w:color w:val="auto"/>
        </w:rPr>
        <w:t xml:space="preserve">Bulent Altan </w:t>
      </w:r>
      <w:r>
        <w:rPr>
          <w:rFonts w:ascii="Arial" w:cs="Arial" w:eastAsia="Arial" w:hAnsi="Arial"/>
          <w:sz w:val="12"/>
          <w:szCs w:val="12"/>
          <w:color w:val="auto"/>
        </w:rPr>
        <w:t>has been our Chief Executive Officer (CEO) since March 2019. Mr. Altan has been active in the aerospace industry since 2004,</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when he started his professional career at Space Exploration Technologies Corp. (SpaceX), a private U.S. aerospace manufacturer and space transportation services company headquartered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0159"/>
          </w:cols>
          <w:pgMar w:left="300" w:top="354" w:right="1440"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4" w:lineRule="auto"/>
        <w:rPr>
          <w:sz w:val="20"/>
          <w:szCs w:val="20"/>
          <w:color w:val="auto"/>
        </w:rPr>
      </w:pPr>
      <w:r>
        <w:rPr>
          <w:rFonts w:ascii="Arial" w:cs="Arial" w:eastAsia="Arial" w:hAnsi="Arial"/>
          <w:sz w:val="11"/>
          <w:szCs w:val="11"/>
          <w:color w:val="auto"/>
        </w:rPr>
        <w:t>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our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 and is a member of the advisory board of C-Star Isar Ltd. and C-Star Isar Co-Invest Fund LP. Mr. Altan is also a limited partner of Alpine Space Ventures Fund I FLP GmbH &amp; Co. KG.</w:t>
      </w:r>
    </w:p>
    <w:p>
      <w:pPr>
        <w:spacing w:after="0" w:line="4" w:lineRule="exact"/>
        <w:rPr>
          <w:sz w:val="20"/>
          <w:szCs w:val="20"/>
          <w:color w:val="auto"/>
        </w:rPr>
      </w:pPr>
    </w:p>
    <w:p>
      <w:pPr>
        <w:ind w:left="1980" w:right="899"/>
        <w:spacing w:after="0" w:line="260" w:lineRule="auto"/>
        <w:rPr>
          <w:sz w:val="20"/>
          <w:szCs w:val="20"/>
          <w:color w:val="auto"/>
        </w:rPr>
      </w:pPr>
      <w:r>
        <w:rPr>
          <w:rFonts w:ascii="Arial" w:cs="Arial" w:eastAsia="Arial" w:hAnsi="Arial"/>
          <w:sz w:val="12"/>
          <w:szCs w:val="12"/>
          <w:color w:val="auto"/>
        </w:rPr>
        <w:t>Mr. Altan holds a Master of Science degree (</w:t>
      </w:r>
      <w:r>
        <w:rPr>
          <w:rFonts w:ascii="Arial" w:cs="Arial" w:eastAsia="Arial" w:hAnsi="Arial"/>
          <w:sz w:val="12"/>
          <w:szCs w:val="12"/>
          <w:i w:val="1"/>
          <w:iCs w:val="1"/>
          <w:color w:val="auto"/>
        </w:rPr>
        <w:t>Dipl.-Inf</w:t>
      </w:r>
      <w:r>
        <w:rPr>
          <w:rFonts w:ascii="Arial" w:cs="Arial" w:eastAsia="Arial" w:hAnsi="Arial"/>
          <w:sz w:val="12"/>
          <w:szCs w:val="12"/>
          <w:color w:val="auto"/>
        </w:rPr>
        <w:t>.) in computer science from the Technical University of Munich and a Master of Science degree in aeronautics and astronautics from Stanford University.</w:t>
      </w:r>
    </w:p>
    <w:p>
      <w:pPr>
        <w:spacing w:after="0" w:line="124" w:lineRule="exact"/>
        <w:rPr>
          <w:sz w:val="20"/>
          <w:szCs w:val="20"/>
          <w:color w:val="auto"/>
        </w:rPr>
      </w:pPr>
    </w:p>
    <w:p>
      <w:pPr>
        <w:ind w:left="1980" w:right="1019" w:firstLine="294"/>
        <w:spacing w:after="0" w:line="311" w:lineRule="auto"/>
        <w:rPr>
          <w:sz w:val="20"/>
          <w:szCs w:val="20"/>
          <w:color w:val="auto"/>
        </w:rPr>
      </w:pPr>
      <w:r>
        <w:rPr>
          <w:rFonts w:ascii="Arial" w:cs="Arial" w:eastAsia="Arial" w:hAnsi="Arial"/>
          <w:sz w:val="10"/>
          <w:szCs w:val="10"/>
          <w:b w:val="1"/>
          <w:bCs w:val="1"/>
          <w:i w:val="1"/>
          <w:iCs w:val="1"/>
          <w:color w:val="auto"/>
        </w:rPr>
        <w:t xml:space="preserve">Stefan Berndt-von Bülow </w:t>
      </w:r>
      <w:r>
        <w:rPr>
          <w:rFonts w:ascii="Arial" w:cs="Arial" w:eastAsia="Arial" w:hAnsi="Arial"/>
          <w:sz w:val="10"/>
          <w:szCs w:val="10"/>
          <w:color w:val="auto"/>
        </w:rPr>
        <w:t>has been our Chief Financial Officer (CFO) since September 2020. He began his professional career in 2002 at LKC</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 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us at the end of 2018 as head of finance before being appointed as our CFO in September 2020. Mr. Berndt-von Bülow graduated from the University of Munich and holds a degree in Business Administration (</w:t>
      </w:r>
      <w:r>
        <w:rPr>
          <w:rFonts w:ascii="Arial" w:cs="Arial" w:eastAsia="Arial" w:hAnsi="Arial"/>
          <w:sz w:val="10"/>
          <w:szCs w:val="10"/>
          <w:i w:val="1"/>
          <w:iCs w:val="1"/>
          <w:color w:val="auto"/>
        </w:rPr>
        <w:t>Dipl.-Kaufmann</w:t>
      </w:r>
      <w:r>
        <w:rPr>
          <w:rFonts w:ascii="Arial" w:cs="Arial" w:eastAsia="Arial" w:hAnsi="Arial"/>
          <w:sz w:val="10"/>
          <w:szCs w:val="10"/>
          <w:color w:val="auto"/>
        </w:rPr>
        <w:t>).</w:t>
      </w:r>
    </w:p>
    <w:p>
      <w:pPr>
        <w:spacing w:after="0" w:line="104"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Joachim Horwath </w:t>
      </w:r>
      <w:r>
        <w:rPr>
          <w:rFonts w:ascii="Arial" w:cs="Arial" w:eastAsia="Arial" w:hAnsi="Arial"/>
          <w:sz w:val="11"/>
          <w:szCs w:val="11"/>
          <w:color w:val="auto"/>
        </w:rPr>
        <w:t>has been our Chief Technology Officer (CTO) since 2009. Following a research stay at Siemens optical networks for his thesis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Simulation of Optical Fiber Amplifiers</w:t>
      </w:r>
      <w:r>
        <w:rPr>
          <w:rFonts w:ascii="Arial" w:cs="Arial" w:eastAsia="Arial" w:hAnsi="Arial"/>
          <w:sz w:val="11"/>
          <w:szCs w:val="11"/>
          <w:color w:val="auto"/>
        </w:rPr>
        <w:t xml:space="preserve">”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aircrafts in 2008 (project ARGOS). He was awarded the </w:t>
      </w:r>
      <w:r>
        <w:rPr>
          <w:rFonts w:ascii="Arial" w:cs="Arial" w:eastAsia="Arial" w:hAnsi="Arial"/>
          <w:sz w:val="11"/>
          <w:szCs w:val="11"/>
          <w:i w:val="1"/>
          <w:iCs w:val="1"/>
          <w:color w:val="auto"/>
        </w:rPr>
        <w:t>Erwin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Schrödinger Preis </w:t>
      </w:r>
      <w:r>
        <w:rPr>
          <w:rFonts w:ascii="Arial" w:cs="Arial" w:eastAsia="Arial" w:hAnsi="Arial"/>
          <w:sz w:val="11"/>
          <w:szCs w:val="11"/>
          <w:color w:val="auto"/>
        </w:rPr>
        <w:t>in 2015 for his contributions to Quantum Cryptography. In 2009, Mr. Horwath co-founded Mynaric Lasercom GmbH and has been</w:t>
      </w:r>
      <w:r>
        <w:rPr>
          <w:rFonts w:ascii="Arial" w:cs="Arial" w:eastAsia="Arial" w:hAnsi="Arial"/>
          <w:sz w:val="11"/>
          <w:szCs w:val="11"/>
          <w:i w:val="1"/>
          <w:iCs w:val="1"/>
          <w:color w:val="auto"/>
        </w:rPr>
        <w:t xml:space="preserve"> </w:t>
      </w:r>
      <w:r>
        <w:rPr>
          <w:rFonts w:ascii="Arial" w:cs="Arial" w:eastAsia="Arial" w:hAnsi="Arial"/>
          <w:sz w:val="11"/>
          <w:szCs w:val="11"/>
          <w:color w:val="auto"/>
        </w:rPr>
        <w:t>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w:t>
      </w:r>
      <w:r>
        <w:rPr>
          <w:rFonts w:ascii="Arial" w:cs="Arial" w:eastAsia="Arial" w:hAnsi="Arial"/>
          <w:sz w:val="11"/>
          <w:szCs w:val="11"/>
          <w:i w:val="1"/>
          <w:iCs w:val="1"/>
          <w:color w:val="auto"/>
        </w:rPr>
        <w:t>Dipl.-Elektroingenieur</w:t>
      </w:r>
      <w:r>
        <w:rPr>
          <w:rFonts w:ascii="Arial" w:cs="Arial" w:eastAsia="Arial" w:hAnsi="Arial"/>
          <w:sz w:val="11"/>
          <w:szCs w:val="11"/>
          <w:color w:val="auto"/>
        </w:rPr>
        <w:t>).</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Supervisory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German law requires that the supervisory board consists of at least three members, whereby the articles of association may stipulate a higher number. Our supervisory board currently consists of five (5) members, as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0159"/>
          </w:cols>
          <w:pgMar w:left="300" w:top="354" w:right="1440"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stipulated by our articles of association. All members of our current supervisory board were elected by the shareholders’ meeting in accordance with the provisions of the German Stock Corporation Act. As we grow, our supervisory board may be required to include employee representatives subject to the provisions of the German One-Third Employee 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 applies to companies that on a regular basis employ more than 500 employees in Germany (on a headcount basis), or the German Co-Determination Act (</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2022, his or her term of office may not extend past the shareholders’ meeting ratifying the acts of the supervisory board in the financial year 2026.</w:t>
      </w:r>
    </w:p>
    <w:p>
      <w:pPr>
        <w:spacing w:after="0" w:line="113"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w:t>
      </w:r>
    </w:p>
    <w:p>
      <w:pPr>
        <w:spacing w:after="0" w:line="12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Members of our supervisory board may be dismissed at any time during their term of office by a resolution of the shareholders’ meeting adopted by a simple majority of the votes cast at such meeting. In addition, any member of our supervisory board may resign at any time by giving three month’s written notice of his or her resignation to the chairperson of our supervisory board or, in case the chairperson resigns, to the deputy chairperson. Our supervisory board may agree upon a shorter notice period.</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w:t>
      </w:r>
    </w:p>
    <w:p>
      <w:pPr>
        <w:spacing w:after="0" w:line="105" w:lineRule="exact"/>
        <w:rPr>
          <w:sz w:val="20"/>
          <w:szCs w:val="20"/>
          <w:color w:val="auto"/>
        </w:rPr>
      </w:pPr>
    </w:p>
    <w:p>
      <w:pPr>
        <w:ind w:left="1980" w:right="839" w:firstLine="294"/>
        <w:spacing w:after="0" w:line="326" w:lineRule="auto"/>
        <w:rPr>
          <w:sz w:val="20"/>
          <w:szCs w:val="20"/>
          <w:color w:val="auto"/>
        </w:rPr>
      </w:pPr>
      <w:r>
        <w:rPr>
          <w:rFonts w:ascii="Arial" w:cs="Arial" w:eastAsia="Arial" w:hAnsi="Arial"/>
          <w:sz w:val="10"/>
          <w:szCs w:val="10"/>
          <w:color w:val="auto"/>
        </w:rPr>
        <w:t>Our supervisory board elects a chairperson and a deputy chairperson from among its members. The deputy chairperson assumes the chairperson’s responsibilities and duties whenever the chairperson is unable to discharge his or her duties. Manfred Krischke, Gerd Gruppe, Steve Geskos, Peter Müller-Brühl and Vincent Wobbe are the current members of our supervisory board. The members of our supervisory board have elected Manfred Krischke as chairperson of the supervisory board and Gerd Gruppe as deputy chairperson of the supervisory board, each for his respective term of office.</w:t>
      </w:r>
    </w:p>
    <w:p>
      <w:pPr>
        <w:spacing w:after="0" w:line="95"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German law does not require the majority of our supervisory board members to be independent. However, pursuant to recommendations contained in the German Corporate Governance Code (as in force as of the date of this prospectus),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w:t>
      </w:r>
    </w:p>
    <w:p>
      <w:pPr>
        <w:spacing w:after="0" w:line="10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the German Corporate Governance Code, in case the supervisory board is composed of no more than six (6) members, at least one</w:t>
      </w:r>
    </w:p>
    <w:p>
      <w:pPr>
        <w:spacing w:after="0" w:line="26" w:lineRule="exact"/>
        <w:rPr>
          <w:sz w:val="20"/>
          <w:szCs w:val="20"/>
          <w:color w:val="auto"/>
        </w:rPr>
      </w:pPr>
    </w:p>
    <w:p>
      <w:pPr>
        <w:ind w:left="2140" w:hanging="168"/>
        <w:spacing w:after="0"/>
        <w:tabs>
          <w:tab w:leader="none" w:pos="21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member of the supervisory board shall be independent from the controlling shareholder. In case the supervisory board comprises more than six</w:t>
      </w:r>
    </w:p>
    <w:p>
      <w:pPr>
        <w:spacing w:after="0" w:line="17" w:lineRule="exact"/>
        <w:rPr>
          <w:rFonts w:ascii="Arial" w:cs="Arial" w:eastAsia="Arial" w:hAnsi="Arial"/>
          <w:sz w:val="11"/>
          <w:szCs w:val="11"/>
          <w:color w:val="auto"/>
        </w:rPr>
      </w:pPr>
    </w:p>
    <w:p>
      <w:pPr>
        <w:ind w:left="2140" w:hanging="168"/>
        <w:spacing w:after="0"/>
        <w:tabs>
          <w:tab w:leader="none" w:pos="21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members, at least two (2) members of the</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0159"/>
          </w:cols>
          <w:pgMar w:left="300" w:top="354" w:right="1440"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supervisory board shall be independent from the controlling shareholder. A member of the supervisory board is 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w:t>
      </w:r>
    </w:p>
    <w:p>
      <w:pPr>
        <w:spacing w:after="0" w:line="124"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w:t>
      </w:r>
    </w:p>
    <w:p>
      <w:pPr>
        <w:spacing w:after="0" w:line="128" w:lineRule="exact"/>
        <w:rPr>
          <w:sz w:val="20"/>
          <w:szCs w:val="20"/>
          <w:color w:val="auto"/>
        </w:rPr>
      </w:pPr>
    </w:p>
    <w:p>
      <w:pPr>
        <w:ind w:left="1980" w:right="1319" w:firstLine="294"/>
        <w:spacing w:after="0" w:line="323" w:lineRule="auto"/>
        <w:rPr>
          <w:sz w:val="20"/>
          <w:szCs w:val="20"/>
          <w:color w:val="auto"/>
        </w:rPr>
      </w:pPr>
      <w:r>
        <w:rPr>
          <w:rFonts w:ascii="Arial" w:cs="Arial" w:eastAsia="Arial" w:hAnsi="Arial"/>
          <w:sz w:val="11"/>
          <w:szCs w:val="11"/>
          <w:color w:val="auto"/>
        </w:rPr>
        <w:t>Resolutions of our supervisory board are passed with a simple majority of the votes cast, unless otherwise required by law, our articles of association or the rules of procedure of our supervisory board. In the event of a tied vote, the chairperson has the tie-breaking vote.</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the German Stock Corporation Act, our supervisory board is not permitted to make management decisions. However, in accordance with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German law, our supervisory board determined that certain matters require its prior consent, including:</w:t>
      </w:r>
    </w:p>
    <w:p>
      <w:pPr>
        <w:spacing w:after="0" w:line="159" w:lineRule="exact"/>
        <w:rPr>
          <w:sz w:val="20"/>
          <w:szCs w:val="20"/>
          <w:color w:val="auto"/>
        </w:rPr>
      </w:pPr>
    </w:p>
    <w:p>
      <w:pPr>
        <w:ind w:left="2540" w:right="85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formation, acquisition, sale and dissolution of companies, business units, fixed and current assets related to operations and participations, silent partnerships as well as related transactions;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establishment and discontinuation of branches of the Company; changes to material strategic objectives of the existing business;</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entry into and termination of lease agreements with a fixed term exceeding one year, provided that the annual rent exceeds €250,000;</w:t>
      </w:r>
    </w:p>
    <w:p>
      <w:pPr>
        <w:spacing w:after="0" w:line="179" w:lineRule="exact"/>
        <w:rPr>
          <w:rFonts w:ascii="Arial" w:cs="Arial" w:eastAsia="Arial" w:hAnsi="Arial"/>
          <w:sz w:val="11"/>
          <w:szCs w:val="11"/>
          <w:color w:val="auto"/>
        </w:rPr>
      </w:pPr>
    </w:p>
    <w:p>
      <w:pPr>
        <w:ind w:left="2540" w:right="129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adoption of measures or entry into agreements or making investments related to property, plant and equipment, and financial assets, exceeding the approved budget, with a value of over €50,000;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entry into credit agreements exceeding an amount of €500,000;</w:t>
      </w:r>
    </w:p>
    <w:p>
      <w:pPr>
        <w:spacing w:after="0" w:line="168" w:lineRule="exact"/>
        <w:rPr>
          <w:rFonts w:ascii="Arial" w:cs="Arial" w:eastAsia="Arial" w:hAnsi="Arial"/>
          <w:sz w:val="12"/>
          <w:szCs w:val="12"/>
          <w:color w:val="auto"/>
        </w:rPr>
      </w:pPr>
    </w:p>
    <w:p>
      <w:pPr>
        <w:ind w:left="2540" w:right="1019" w:hanging="280"/>
        <w:spacing w:after="0" w:line="298" w:lineRule="auto"/>
        <w:tabs>
          <w:tab w:leader="none" w:pos="25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changes to human resources policy principles, including the introduction, modification and termination of generally applicable polices related to employee compensation, the introduction of occupational pensions or retirement plans or employee profit participation plans as well as economically comparable arrangements (such as trusts, shareholder loans and option agreements);</w:t>
      </w:r>
    </w:p>
    <w:p>
      <w:pPr>
        <w:spacing w:after="0" w:line="122" w:lineRule="exact"/>
        <w:rPr>
          <w:rFonts w:ascii="Arial" w:cs="Arial" w:eastAsia="Arial" w:hAnsi="Arial"/>
          <w:sz w:val="11"/>
          <w:szCs w:val="11"/>
          <w:color w:val="auto"/>
        </w:rPr>
      </w:pPr>
    </w:p>
    <w:p>
      <w:pPr>
        <w:ind w:left="2540" w:right="939" w:hanging="280"/>
        <w:spacing w:after="0" w:line="263"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termination of employment or other restructuring measures affecting more than 10% of the Company’s total head count;</w:t>
      </w:r>
    </w:p>
    <w:p>
      <w:pPr>
        <w:spacing w:after="0" w:line="168" w:lineRule="exact"/>
        <w:rPr>
          <w:rFonts w:ascii="Arial" w:cs="Arial" w:eastAsia="Arial" w:hAnsi="Arial"/>
          <w:sz w:val="12"/>
          <w:szCs w:val="12"/>
          <w:color w:val="auto"/>
        </w:rPr>
      </w:pPr>
    </w:p>
    <w:p>
      <w:pPr>
        <w:ind w:left="2540" w:right="113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commencement and termination of legal action having a material effect or a financial risk exceeding €200,000, both by and against the Company;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0159"/>
          </w:cols>
          <w:pgMar w:left="300" w:top="354" w:right="1440"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acquisition, sale or encumbrance of real estate, sections of land and comparable rights as well as their development;</w:t>
      </w:r>
    </w:p>
    <w:p>
      <w:pPr>
        <w:spacing w:after="0" w:line="168" w:lineRule="exact"/>
        <w:rPr>
          <w:rFonts w:ascii="Arial" w:cs="Arial" w:eastAsia="Arial" w:hAnsi="Arial"/>
          <w:sz w:val="12"/>
          <w:szCs w:val="12"/>
          <w:color w:val="auto"/>
        </w:rPr>
      </w:pPr>
    </w:p>
    <w:p>
      <w:pPr>
        <w:ind w:left="2540" w:right="87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granting shareholder loans and credit to non-affiliates, provided these do not concern the granting of mere terms of credit related to ordinary course supply and services, and the portion not covered by related credit insurance exceeds €200,000;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entry into speculative financial transactions (particularly investment in currencies, derivatives or securities);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granting security interests to third parties (excluding affiliates), particularly the assumption of suretyships and other guarantees;</w:t>
      </w:r>
    </w:p>
    <w:p>
      <w:pPr>
        <w:spacing w:after="0" w:line="168" w:lineRule="exact"/>
        <w:rPr>
          <w:rFonts w:ascii="Arial" w:cs="Arial" w:eastAsia="Arial" w:hAnsi="Arial"/>
          <w:sz w:val="12"/>
          <w:szCs w:val="12"/>
          <w:color w:val="auto"/>
        </w:rPr>
      </w:pPr>
    </w:p>
    <w:p>
      <w:pPr>
        <w:ind w:left="2540" w:right="85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entry into agreements with members of the Management Board or related persons within the meaning of Section 15 of the German Tax Code or corporations, with the exception of agreements with consolidated companies;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whole or partial sales of material portions of the Company’s assets or mergers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establishment or modification of administrative headquarters, branches or permanent establishments for tax purposes;</w:t>
      </w:r>
    </w:p>
    <w:p>
      <w:pPr>
        <w:spacing w:after="0" w:line="168"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grants and revocations of general powers of representation (</w:t>
      </w:r>
      <w:r>
        <w:rPr>
          <w:rFonts w:ascii="Arial" w:cs="Arial" w:eastAsia="Arial" w:hAnsi="Arial"/>
          <w:sz w:val="12"/>
          <w:szCs w:val="12"/>
          <w:i w:val="1"/>
          <w:iCs w:val="1"/>
          <w:color w:val="auto"/>
        </w:rPr>
        <w:t>Prokura</w:t>
      </w:r>
      <w:r>
        <w:rPr>
          <w:rFonts w:ascii="Arial" w:cs="Arial" w:eastAsia="Arial" w:hAnsi="Arial"/>
          <w:sz w:val="12"/>
          <w:szCs w:val="12"/>
          <w:color w:val="auto"/>
        </w:rPr>
        <w:t>) and general powers of attorney in accordance with applicable German laws;</w:t>
      </w:r>
    </w:p>
    <w:p>
      <w:pPr>
        <w:spacing w:after="0" w:line="132"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adoption of the annual consolidated budget (investment, finance, revenue, profit and staffing plans) as well as the implementation of related measures in affiliated companies that are not included in the consolidated budget;</w:t>
      </w:r>
    </w:p>
    <w:p>
      <w:pPr>
        <w:spacing w:after="0" w:line="132" w:lineRule="exact"/>
        <w:rPr>
          <w:rFonts w:ascii="Arial" w:cs="Arial" w:eastAsia="Arial" w:hAnsi="Arial"/>
          <w:sz w:val="12"/>
          <w:szCs w:val="12"/>
          <w:color w:val="auto"/>
        </w:rPr>
      </w:pPr>
    </w:p>
    <w:p>
      <w:pPr>
        <w:ind w:left="2540" w:right="115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disposal of tangible and intangible assets (including trademarks, domains and patents) related to the Company’s operations outside the ordinary course of business;</w:t>
      </w:r>
    </w:p>
    <w:p>
      <w:pPr>
        <w:spacing w:after="0" w:line="132"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entry into, modification or termination of intercompany agreements within the meaning of Sections 291 et seq. of the German Stock Corporation Act;</w:t>
      </w:r>
    </w:p>
    <w:p>
      <w:pPr>
        <w:spacing w:after="0" w:line="132" w:lineRule="exact"/>
        <w:rPr>
          <w:rFonts w:ascii="Arial" w:cs="Arial" w:eastAsia="Arial" w:hAnsi="Arial"/>
          <w:sz w:val="12"/>
          <w:szCs w:val="12"/>
          <w:color w:val="auto"/>
        </w:rPr>
      </w:pPr>
    </w:p>
    <w:p>
      <w:pPr>
        <w:ind w:left="2540" w:right="1079" w:hanging="280"/>
        <w:spacing w:after="0" w:line="276" w:lineRule="auto"/>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entry into, modification or termination of joint venture agreements or consortium contracts and other partnership agreements outside the ordinary course of business; and</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changes to material accounting policies.</w:t>
      </w:r>
    </w:p>
    <w:p>
      <w:pPr>
        <w:spacing w:after="0" w:line="150"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In addition to the matters that our supervisory board has determined from time to time to require its prior consent, as a matter of German law, certain transactions or other matters may only be carried out or implemented subject to our supervisory board’s prior consent.</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0159"/>
          </w:cols>
          <w:pgMar w:left="300" w:top="354" w:right="1440"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Supervisory Board</w:t>
      </w:r>
    </w:p>
    <w:p>
      <w:pPr>
        <w:spacing w:after="0" w:line="15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supervisory board, their ages, their terms (which expire on the date of the relevant year’s general shareholders’ meeting) and their principal occupations: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 in which</w:t>
            </w:r>
          </w:p>
        </w:tc>
        <w:tc>
          <w:tcPr>
            <w:tcW w:w="4340" w:type="dxa"/>
            <w:vAlign w:val="bottom"/>
          </w:tcPr>
          <w:p>
            <w:pPr>
              <w:spacing w:after="0"/>
              <w:rPr>
                <w:sz w:val="10"/>
                <w:szCs w:val="10"/>
                <w:color w:val="auto"/>
              </w:rPr>
            </w:pPr>
          </w:p>
        </w:tc>
      </w:tr>
      <w:tr>
        <w:trPr>
          <w:trHeight w:val="133"/>
        </w:trPr>
        <w:tc>
          <w:tcPr>
            <w:tcW w:w="18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Age</w:t>
            </w:r>
          </w:p>
        </w:tc>
        <w:tc>
          <w:tcPr>
            <w:tcW w:w="820" w:type="dxa"/>
            <w:vAlign w:val="bottom"/>
            <w:gridSpan w:val="2"/>
          </w:tcPr>
          <w:p>
            <w:pPr>
              <w:ind w:left="80"/>
              <w:spacing w:after="0" w:line="114" w:lineRule="exact"/>
              <w:rPr>
                <w:sz w:val="20"/>
                <w:szCs w:val="20"/>
                <w:color w:val="auto"/>
              </w:rPr>
            </w:pPr>
            <w:r>
              <w:rPr>
                <w:rFonts w:ascii="Arial" w:cs="Arial" w:eastAsia="Arial" w:hAnsi="Arial"/>
                <w:sz w:val="10"/>
                <w:szCs w:val="10"/>
                <w:b w:val="1"/>
                <w:bCs w:val="1"/>
                <w:color w:val="auto"/>
              </w:rPr>
              <w:t>Term Expires</w:t>
            </w:r>
          </w:p>
        </w:tc>
        <w:tc>
          <w:tcPr>
            <w:tcW w:w="4340" w:type="dxa"/>
            <w:vAlign w:val="bottom"/>
          </w:tcPr>
          <w:p>
            <w:pPr>
              <w:ind w:left="1740"/>
              <w:spacing w:after="0" w:line="114" w:lineRule="exact"/>
              <w:rPr>
                <w:sz w:val="20"/>
                <w:szCs w:val="20"/>
                <w:color w:val="auto"/>
              </w:rPr>
            </w:pPr>
            <w:r>
              <w:rPr>
                <w:rFonts w:ascii="Arial" w:cs="Arial" w:eastAsia="Arial" w:hAnsi="Arial"/>
                <w:sz w:val="10"/>
                <w:szCs w:val="10"/>
                <w:b w:val="1"/>
                <w:bCs w:val="1"/>
                <w:color w:val="auto"/>
              </w:rPr>
              <w:t>Principal occupation</w:t>
            </w:r>
          </w:p>
        </w:tc>
      </w:tr>
      <w:tr>
        <w:trPr>
          <w:trHeight w:val="108"/>
        </w:trPr>
        <w:tc>
          <w:tcPr>
            <w:tcW w:w="2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Dr.</w:t>
            </w:r>
          </w:p>
        </w:tc>
        <w:tc>
          <w:tcPr>
            <w:tcW w:w="1640" w:type="dxa"/>
            <w:vAlign w:val="bottom"/>
          </w:tcPr>
          <w:p>
            <w:pPr>
              <w:spacing w:after="0" w:line="100" w:lineRule="exact"/>
              <w:rPr>
                <w:sz w:val="20"/>
                <w:szCs w:val="20"/>
                <w:color w:val="auto"/>
              </w:rPr>
            </w:pPr>
            <w:r>
              <w:rPr>
                <w:rFonts w:ascii="Arial" w:cs="Arial" w:eastAsia="Arial" w:hAnsi="Arial"/>
                <w:sz w:val="11"/>
                <w:szCs w:val="11"/>
                <w:color w:val="auto"/>
              </w:rPr>
              <w:t>Manfred Krischke (chairperson)</w:t>
            </w:r>
          </w:p>
        </w:tc>
        <w:tc>
          <w:tcPr>
            <w:tcW w:w="200" w:type="dxa"/>
            <w:vAlign w:val="bottom"/>
            <w:tcBorders>
              <w:top w:val="single" w:sz="8" w:color="auto"/>
            </w:tcBorders>
          </w:tcPr>
          <w:p>
            <w:pPr>
              <w:jc w:val="right"/>
              <w:ind w:right="27"/>
              <w:spacing w:after="0" w:line="108" w:lineRule="exact"/>
              <w:rPr>
                <w:sz w:val="20"/>
                <w:szCs w:val="20"/>
                <w:color w:val="auto"/>
              </w:rPr>
            </w:pPr>
            <w:r>
              <w:rPr>
                <w:rFonts w:ascii="Arial" w:cs="Arial" w:eastAsia="Arial" w:hAnsi="Arial"/>
                <w:sz w:val="11"/>
                <w:szCs w:val="11"/>
                <w:color w:val="auto"/>
                <w:w w:val="81"/>
              </w:rPr>
              <w:t>55</w:t>
            </w:r>
          </w:p>
        </w:tc>
        <w:tc>
          <w:tcPr>
            <w:tcW w:w="100" w:type="dxa"/>
            <w:vAlign w:val="bottom"/>
          </w:tcPr>
          <w:p>
            <w:pPr>
              <w:spacing w:after="0"/>
              <w:rPr>
                <w:sz w:val="9"/>
                <w:szCs w:val="9"/>
                <w:color w:val="auto"/>
              </w:rPr>
            </w:pPr>
          </w:p>
        </w:tc>
        <w:tc>
          <w:tcPr>
            <w:tcW w:w="720" w:type="dxa"/>
            <w:vAlign w:val="bottom"/>
            <w:tcBorders>
              <w:top w:val="single" w:sz="8" w:color="auto"/>
            </w:tcBorders>
          </w:tcPr>
          <w:p>
            <w:pPr>
              <w:jc w:val="right"/>
              <w:ind w:right="448"/>
              <w:spacing w:after="0" w:line="108" w:lineRule="exact"/>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9"/>
                <w:szCs w:val="9"/>
                <w:color w:val="auto"/>
              </w:rPr>
            </w:pPr>
          </w:p>
        </w:tc>
        <w:tc>
          <w:tcPr>
            <w:tcW w:w="43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Chief executive officer of cloudeo AG</w:t>
            </w:r>
          </w:p>
        </w:tc>
      </w:tr>
      <w:tr>
        <w:trPr>
          <w:trHeight w:val="135"/>
        </w:trPr>
        <w:tc>
          <w:tcPr>
            <w:tcW w:w="1880" w:type="dxa"/>
            <w:vAlign w:val="bottom"/>
            <w:gridSpan w:val="2"/>
          </w:tcPr>
          <w:p>
            <w:pPr>
              <w:spacing w:after="0"/>
              <w:rPr>
                <w:sz w:val="20"/>
                <w:szCs w:val="20"/>
                <w:color w:val="auto"/>
              </w:rPr>
            </w:pPr>
            <w:r>
              <w:rPr>
                <w:rFonts w:ascii="Arial" w:cs="Arial" w:eastAsia="Arial" w:hAnsi="Arial"/>
                <w:sz w:val="11"/>
                <w:szCs w:val="11"/>
                <w:color w:val="auto"/>
              </w:rPr>
              <w:t>Dr. Gerd Gruppe (deputy chairperson)</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w w:val="81"/>
              </w:rPr>
              <w:t>68</w:t>
            </w:r>
          </w:p>
        </w:tc>
        <w:tc>
          <w:tcPr>
            <w:tcW w:w="100" w:type="dxa"/>
            <w:vAlign w:val="bottom"/>
          </w:tcPr>
          <w:p>
            <w:pPr>
              <w:spacing w:after="0"/>
              <w:rPr>
                <w:sz w:val="11"/>
                <w:szCs w:val="11"/>
                <w:color w:val="auto"/>
              </w:rPr>
            </w:pPr>
          </w:p>
        </w:tc>
        <w:tc>
          <w:tcPr>
            <w:tcW w:w="720" w:type="dxa"/>
            <w:vAlign w:val="bottom"/>
          </w:tcPr>
          <w:p>
            <w:pPr>
              <w:jc w:val="right"/>
              <w:ind w:right="44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Corporate consultant</w:t>
            </w:r>
          </w:p>
        </w:tc>
      </w:tr>
      <w:tr>
        <w:trPr>
          <w:trHeight w:val="135"/>
        </w:trPr>
        <w:tc>
          <w:tcPr>
            <w:tcW w:w="1880" w:type="dxa"/>
            <w:vAlign w:val="bottom"/>
            <w:gridSpan w:val="2"/>
          </w:tcPr>
          <w:p>
            <w:pPr>
              <w:spacing w:after="0"/>
              <w:rPr>
                <w:sz w:val="20"/>
                <w:szCs w:val="20"/>
                <w:color w:val="auto"/>
              </w:rPr>
            </w:pPr>
            <w:r>
              <w:rPr>
                <w:rFonts w:ascii="Arial" w:cs="Arial" w:eastAsia="Arial" w:hAnsi="Arial"/>
                <w:sz w:val="11"/>
                <w:szCs w:val="11"/>
                <w:color w:val="auto"/>
              </w:rPr>
              <w:t>Steve Geskos</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w w:val="81"/>
              </w:rPr>
              <w:t>43</w:t>
            </w:r>
          </w:p>
        </w:tc>
        <w:tc>
          <w:tcPr>
            <w:tcW w:w="100" w:type="dxa"/>
            <w:vAlign w:val="bottom"/>
          </w:tcPr>
          <w:p>
            <w:pPr>
              <w:spacing w:after="0"/>
              <w:rPr>
                <w:sz w:val="11"/>
                <w:szCs w:val="11"/>
                <w:color w:val="auto"/>
              </w:rPr>
            </w:pPr>
          </w:p>
        </w:tc>
        <w:tc>
          <w:tcPr>
            <w:tcW w:w="720" w:type="dxa"/>
            <w:vAlign w:val="bottom"/>
          </w:tcPr>
          <w:p>
            <w:pPr>
              <w:jc w:val="right"/>
              <w:ind w:right="44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Managing director of Rose Park Advisors</w:t>
            </w:r>
          </w:p>
        </w:tc>
      </w:tr>
      <w:tr>
        <w:trPr>
          <w:trHeight w:val="135"/>
        </w:trPr>
        <w:tc>
          <w:tcPr>
            <w:tcW w:w="188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w w:val="81"/>
              </w:rPr>
              <w:t>53</w:t>
            </w:r>
          </w:p>
        </w:tc>
        <w:tc>
          <w:tcPr>
            <w:tcW w:w="100" w:type="dxa"/>
            <w:vAlign w:val="bottom"/>
          </w:tcPr>
          <w:p>
            <w:pPr>
              <w:spacing w:after="0"/>
              <w:rPr>
                <w:sz w:val="11"/>
                <w:szCs w:val="11"/>
                <w:color w:val="auto"/>
              </w:rPr>
            </w:pPr>
          </w:p>
        </w:tc>
        <w:tc>
          <w:tcPr>
            <w:tcW w:w="720" w:type="dxa"/>
            <w:vAlign w:val="bottom"/>
          </w:tcPr>
          <w:p>
            <w:pPr>
              <w:jc w:val="right"/>
              <w:ind w:right="44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Chief operating officer of GreenCom Networks AG</w:t>
            </w:r>
          </w:p>
        </w:tc>
      </w:tr>
      <w:tr>
        <w:trPr>
          <w:trHeight w:val="136"/>
        </w:trPr>
        <w:tc>
          <w:tcPr>
            <w:tcW w:w="1880" w:type="dxa"/>
            <w:vAlign w:val="bottom"/>
            <w:gridSpan w:val="2"/>
          </w:tcPr>
          <w:p>
            <w:pPr>
              <w:spacing w:after="0"/>
              <w:rPr>
                <w:sz w:val="20"/>
                <w:szCs w:val="20"/>
                <w:color w:val="auto"/>
              </w:rPr>
            </w:pPr>
            <w:r>
              <w:rPr>
                <w:rFonts w:ascii="Arial" w:cs="Arial" w:eastAsia="Arial" w:hAnsi="Arial"/>
                <w:sz w:val="11"/>
                <w:szCs w:val="11"/>
                <w:color w:val="auto"/>
              </w:rPr>
              <w:t>Vincent Wobbe</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w w:val="81"/>
              </w:rPr>
              <w:t>35</w:t>
            </w:r>
          </w:p>
        </w:tc>
        <w:tc>
          <w:tcPr>
            <w:tcW w:w="100" w:type="dxa"/>
            <w:vAlign w:val="bottom"/>
          </w:tcPr>
          <w:p>
            <w:pPr>
              <w:spacing w:after="0"/>
              <w:rPr>
                <w:sz w:val="11"/>
                <w:szCs w:val="11"/>
                <w:color w:val="auto"/>
              </w:rPr>
            </w:pPr>
          </w:p>
        </w:tc>
        <w:tc>
          <w:tcPr>
            <w:tcW w:w="720" w:type="dxa"/>
            <w:vAlign w:val="bottom"/>
          </w:tcPr>
          <w:p>
            <w:pPr>
              <w:jc w:val="right"/>
              <w:ind w:right="44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w w:val="89"/>
              </w:rPr>
              <w:t>Head of public markets investments &amp; co-head equity capital markets of Apeiron Investment Group</w:t>
            </w:r>
          </w:p>
        </w:tc>
      </w:tr>
    </w:tbl>
    <w:p>
      <w:pPr>
        <w:spacing w:after="0" w:line="139" w:lineRule="exact"/>
        <w:rPr>
          <w:sz w:val="20"/>
          <w:szCs w:val="20"/>
          <w:color w:val="auto"/>
        </w:rPr>
      </w:pPr>
    </w:p>
    <w:p>
      <w:pPr>
        <w:jc w:val="both"/>
        <w:ind w:left="1980" w:right="859" w:firstLine="294"/>
        <w:spacing w:after="0" w:line="276" w:lineRule="auto"/>
        <w:rPr>
          <w:sz w:val="20"/>
          <w:szCs w:val="20"/>
          <w:color w:val="auto"/>
        </w:rPr>
      </w:pPr>
      <w:r>
        <w:rPr>
          <w:rFonts w:ascii="Arial" w:cs="Arial" w:eastAsia="Arial" w:hAnsi="Arial"/>
          <w:sz w:val="12"/>
          <w:szCs w:val="12"/>
          <w:color w:val="auto"/>
        </w:rPr>
        <w:t>Unless otherwise indicated, the current business address for each supervisory board member is the same as our business address: Dornierstraße 19, 82205 Gilching, Germany.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supervisory board:</w:t>
      </w:r>
    </w:p>
    <w:p>
      <w:pPr>
        <w:spacing w:after="0" w:line="150"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b w:val="1"/>
          <w:bCs w:val="1"/>
          <w:i w:val="1"/>
          <w:iCs w:val="1"/>
          <w:color w:val="auto"/>
        </w:rPr>
        <w:t xml:space="preserve">Dr. Manfred Krischke </w:t>
      </w:r>
      <w:r>
        <w:rPr>
          <w:rFonts w:ascii="Arial" w:cs="Arial" w:eastAsia="Arial" w:hAnsi="Arial"/>
          <w:sz w:val="10"/>
          <w:szCs w:val="10"/>
          <w:color w:val="auto"/>
        </w:rPr>
        <w:t>has been a member of our supervisory board since May 2017 and currently serves as chairperson of our supervisory board.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He received a doctorate in aerospace engineering from the Technical University of Munich.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w:t>
      </w:r>
    </w:p>
    <w:p>
      <w:pPr>
        <w:spacing w:after="0" w:line="103" w:lineRule="exact"/>
        <w:rPr>
          <w:sz w:val="20"/>
          <w:szCs w:val="20"/>
          <w:color w:val="auto"/>
        </w:rPr>
      </w:pPr>
    </w:p>
    <w:p>
      <w:pPr>
        <w:ind w:left="1980" w:right="959" w:firstLine="294"/>
        <w:spacing w:after="0" w:line="281" w:lineRule="auto"/>
        <w:rPr>
          <w:sz w:val="20"/>
          <w:szCs w:val="20"/>
          <w:color w:val="auto"/>
        </w:rPr>
      </w:pPr>
      <w:r>
        <w:rPr>
          <w:rFonts w:ascii="Arial" w:cs="Arial" w:eastAsia="Arial" w:hAnsi="Arial"/>
          <w:sz w:val="11"/>
          <w:szCs w:val="11"/>
          <w:b w:val="1"/>
          <w:bCs w:val="1"/>
          <w:i w:val="1"/>
          <w:iCs w:val="1"/>
          <w:color w:val="auto"/>
        </w:rPr>
        <w:t xml:space="preserve">Dr. Gerd Gruppe </w:t>
      </w:r>
      <w:r>
        <w:rPr>
          <w:rFonts w:ascii="Arial" w:cs="Arial" w:eastAsia="Arial" w:hAnsi="Arial"/>
          <w:sz w:val="11"/>
          <w:szCs w:val="11"/>
          <w:color w:val="auto"/>
        </w:rPr>
        <w:t>has been a member of our supervisory board since September 2017 and currently serves as deputy chairperson. He studied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engineering and received a degree from RWTH Aachen. In addition, he obtained a doctorate in energy marketing from the University of Augsburg in 1985. Since the end of the 1980s until 2011, Mr. Gruppe was employed in various positions at the Bavarian Ministry of Economic Affairs and, in this capacity, was involved in the development of the Galileo Control Centre, the Robotic and Mechatronic Centre, as well as the development of the ESA Business Incubator and its predecessor organizations. Mr. Gruppe was a member of the executive body of the German Aerospace Center (DLR) where he was the head of Space Administration between April 2011 and the end of 2017. He currently serves as chairman of the supervisory board of ArianeGroup GmbH.</w:t>
      </w:r>
    </w:p>
    <w:p>
      <w:pPr>
        <w:spacing w:after="0" w:line="115"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b w:val="1"/>
          <w:bCs w:val="1"/>
          <w:i w:val="1"/>
          <w:iCs w:val="1"/>
          <w:color w:val="auto"/>
        </w:rPr>
        <w:t xml:space="preserve">Steve Geskos </w:t>
      </w:r>
      <w:r>
        <w:rPr>
          <w:rFonts w:ascii="Arial" w:cs="Arial" w:eastAsia="Arial" w:hAnsi="Arial"/>
          <w:sz w:val="11"/>
          <w:szCs w:val="11"/>
          <w:color w:val="auto"/>
        </w:rPr>
        <w:t>has been a member of our supervisory board since May 2021. He received a B.A. in history from Brandeis University and an MBA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finance and operations from NYU Stern School of Business. Mr. Geskos has been an investor in public and private companies for over twenty years. He started his career as a research associate at Citigroup Salomon Smith Barney in 2000, before joining Jennison Associates LLC as an equity analyst from 2002 to 2006. From 2006 to 2008, he was a portfolio manager and analyst at Perry Capital, before joining MissionPoint Capital Partners as partner and portfolio manager from 2009 to 2011. In 2011, Mr. Geskos joined Fortress Investment Group as a managing director, where he managed a global equity long/short fund for Fortress Investment Group’s liquid markets business until 2018. During this time, he invested</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0159"/>
          </w:cols>
          <w:pgMar w:left="300" w:top="354" w:right="1440"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1099"/>
        <w:spacing w:after="0" w:line="259" w:lineRule="auto"/>
        <w:rPr>
          <w:sz w:val="20"/>
          <w:szCs w:val="20"/>
          <w:color w:val="auto"/>
        </w:rPr>
      </w:pPr>
      <w:r>
        <w:rPr>
          <w:rFonts w:ascii="Arial" w:cs="Arial" w:eastAsia="Arial" w:hAnsi="Arial"/>
          <w:sz w:val="12"/>
          <w:szCs w:val="12"/>
          <w:color w:val="auto"/>
        </w:rPr>
        <w:t>across the capital structure in both a public and private capacity with a particular emphasis on cyclical industries and hard asset classes. Mr. Geskos currently serves as a managing director at Rose Park Advisors, an investment firm focused on identifying investment opportunities by applying the frameworks of disruptive innovation, which he joined in 2019. Mr. Geskos has been nominated to the supervisory board of XPay Group, a position which he will assume in the second half of 2021.</w:t>
      </w:r>
    </w:p>
    <w:p>
      <w:pPr>
        <w:spacing w:after="0" w:line="124"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Peter Müller-Brühl </w:t>
      </w:r>
      <w:r>
        <w:rPr>
          <w:rFonts w:ascii="Arial" w:cs="Arial" w:eastAsia="Arial" w:hAnsi="Arial"/>
          <w:sz w:val="11"/>
          <w:szCs w:val="11"/>
          <w:color w:val="auto"/>
        </w:rPr>
        <w:t>has been a member of our supervisory board since July 2018. Mr. Müller-Brühl holds business degrees from Middlesex</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chief operating officer at RapidEye AG, a provider of quality high-resolution satellite imagery and derived geo-information products, from 2011 to 2012, and currently serves as chief operating officer and member of the management board of GreenCom Networks AG, a next generation energy service provider. He has served as chairman of the supervisory board and member of the audit and compensation committee of cloudeo AG since 2012, member of the supervisory board and member of the audit and compensation committee of Protection ONE GmbH since 2016, member of the supervisory board at Seidel GmbH &amp; Co. KG since 2015 and member of the supervisory board of Xpay Holding AG since 2019.</w:t>
      </w:r>
    </w:p>
    <w:p>
      <w:pPr>
        <w:spacing w:after="0" w:line="116"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b w:val="1"/>
          <w:bCs w:val="1"/>
          <w:i w:val="1"/>
          <w:iCs w:val="1"/>
          <w:color w:val="auto"/>
        </w:rPr>
        <w:t xml:space="preserve">Vincent Wobbe </w:t>
      </w:r>
      <w:r>
        <w:rPr>
          <w:rFonts w:ascii="Arial" w:cs="Arial" w:eastAsia="Arial" w:hAnsi="Arial"/>
          <w:sz w:val="10"/>
          <w:szCs w:val="10"/>
          <w:color w:val="auto"/>
        </w:rPr>
        <w:t>has been a member of our supervisory board since June 2021. Mr. Wobbe holds a Master of Science in Financial Management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from Hull University Business School and a Bachelor of Science in European Management from the European Business School. Mr. Wobbe has over a decade of experience in corporate finance and equity capital markets. He started his career in corporate finance at Société Générale Corporate and Investment Banking in 2010, before joining BNP Paribas from 2014 to 2016. In 2016, he joined Deutsche Bank Aktiengesellschaft in London, where he advised and executed equity capital raisings for pan-European issuers until 2019. In 2020, Mr. Wobbe joined Apeiron Investment Group Ltd. as head of public markets investments and co-head of the equity capital markets team. He currently serves on the supervisory board of nextmarkets AG.</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Supervisory Board Practices</w:t>
      </w:r>
    </w:p>
    <w:p>
      <w:pPr>
        <w:spacing w:after="0" w:line="150" w:lineRule="exact"/>
        <w:rPr>
          <w:sz w:val="20"/>
          <w:szCs w:val="20"/>
          <w:color w:val="auto"/>
        </w:rPr>
      </w:pPr>
    </w:p>
    <w:p>
      <w:pPr>
        <w:jc w:val="both"/>
        <w:ind w:left="1980" w:right="939" w:firstLine="294"/>
        <w:spacing w:after="0" w:line="289" w:lineRule="auto"/>
        <w:rPr>
          <w:sz w:val="20"/>
          <w:szCs w:val="20"/>
          <w:color w:val="auto"/>
        </w:rPr>
      </w:pPr>
      <w:r>
        <w:rPr>
          <w:rFonts w:ascii="Arial" w:cs="Arial" w:eastAsia="Arial" w:hAnsi="Arial"/>
          <w:sz w:val="11"/>
          <w:szCs w:val="11"/>
          <w:color w:val="auto"/>
        </w:rPr>
        <w:t>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w:t>
      </w:r>
    </w:p>
    <w:p>
      <w:pPr>
        <w:spacing w:after="0" w:line="128" w:lineRule="exact"/>
        <w:rPr>
          <w:sz w:val="20"/>
          <w:szCs w:val="20"/>
          <w:color w:val="auto"/>
        </w:rPr>
      </w:pPr>
    </w:p>
    <w:p>
      <w:pPr>
        <w:jc w:val="both"/>
        <w:ind w:left="1980" w:right="879" w:firstLine="294"/>
        <w:spacing w:after="0" w:line="259" w:lineRule="auto"/>
        <w:rPr>
          <w:sz w:val="20"/>
          <w:szCs w:val="20"/>
          <w:color w:val="auto"/>
        </w:rPr>
      </w:pPr>
      <w:r>
        <w:rPr>
          <w:rFonts w:ascii="Arial" w:cs="Arial" w:eastAsia="Arial" w:hAnsi="Arial"/>
          <w:sz w:val="12"/>
          <w:szCs w:val="12"/>
          <w:color w:val="auto"/>
        </w:rPr>
        <w:t>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 delegate to one or more committees all tasks and responsibilities not reserved for the supervisory board as a whole as a matter of mandatory law.</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0159"/>
          </w:cols>
          <w:pgMar w:left="300" w:top="354" w:right="1440"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Pursuant to its internal rules of procedure, the supervisory board has established an audit committee, a compensation committee and a nomination committee: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84"/>
              </w:rPr>
              <w:t>Name of committee</w:t>
            </w:r>
          </w:p>
        </w:tc>
        <w:tc>
          <w:tcPr>
            <w:tcW w:w="192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9"/>
              </w:rPr>
              <w:t>Current Members</w:t>
            </w:r>
          </w:p>
        </w:tc>
        <w:tc>
          <w:tcPr>
            <w:tcW w:w="360" w:type="dxa"/>
            <w:vAlign w:val="bottom"/>
          </w:tcPr>
          <w:p>
            <w:pPr>
              <w:spacing w:after="0"/>
              <w:rPr>
                <w:sz w:val="10"/>
                <w:szCs w:val="10"/>
                <w:color w:val="auto"/>
              </w:rPr>
            </w:pPr>
          </w:p>
        </w:tc>
        <w:tc>
          <w:tcPr>
            <w:tcW w:w="1800" w:type="dxa"/>
            <w:vAlign w:val="bottom"/>
            <w:vMerge w:val="restart"/>
          </w:tcPr>
          <w:p>
            <w:pPr>
              <w:ind w:left="160"/>
              <w:spacing w:after="0"/>
              <w:rPr>
                <w:sz w:val="20"/>
                <w:szCs w:val="20"/>
                <w:color w:val="auto"/>
              </w:rPr>
            </w:pPr>
            <w:r>
              <w:rPr>
                <w:rFonts w:ascii="Arial" w:cs="Arial" w:eastAsia="Arial" w:hAnsi="Arial"/>
                <w:sz w:val="11"/>
                <w:szCs w:val="11"/>
                <w:color w:val="auto"/>
              </w:rPr>
              <w:t>and</w:t>
            </w:r>
          </w:p>
        </w:tc>
        <w:tc>
          <w:tcPr>
            <w:tcW w:w="0" w:type="dxa"/>
            <w:vAlign w:val="bottom"/>
          </w:tcPr>
          <w:p>
            <w:pPr>
              <w:spacing w:after="0"/>
              <w:rPr>
                <w:sz w:val="1"/>
                <w:szCs w:val="1"/>
                <w:color w:val="auto"/>
              </w:rPr>
            </w:pPr>
          </w:p>
        </w:tc>
      </w:tr>
      <w:tr>
        <w:trPr>
          <w:trHeight w:val="119"/>
        </w:trPr>
        <w:tc>
          <w:tcPr>
            <w:tcW w:w="800" w:type="dxa"/>
            <w:vAlign w:val="bottom"/>
            <w:gridSpan w:val="2"/>
          </w:tcPr>
          <w:p>
            <w:pPr>
              <w:spacing w:after="0" w:line="119" w:lineRule="exact"/>
              <w:rPr>
                <w:sz w:val="20"/>
                <w:szCs w:val="20"/>
                <w:color w:val="auto"/>
              </w:rPr>
            </w:pPr>
            <w:r>
              <w:rPr>
                <w:rFonts w:ascii="Arial" w:cs="Arial" w:eastAsia="Arial" w:hAnsi="Arial"/>
                <w:sz w:val="11"/>
                <w:szCs w:val="11"/>
                <w:color w:val="auto"/>
                <w:w w:val="98"/>
              </w:rPr>
              <w:t>Audit committee</w:t>
            </w: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20" w:type="dxa"/>
            <w:vAlign w:val="bottom"/>
            <w:gridSpan w:val="2"/>
          </w:tcPr>
          <w:p>
            <w:pPr>
              <w:ind w:left="340"/>
              <w:spacing w:after="0" w:line="119" w:lineRule="exact"/>
              <w:rPr>
                <w:sz w:val="20"/>
                <w:szCs w:val="20"/>
                <w:color w:val="auto"/>
              </w:rPr>
            </w:pPr>
            <w:r>
              <w:rPr>
                <w:rFonts w:ascii="Arial" w:cs="Arial" w:eastAsia="Arial" w:hAnsi="Arial"/>
                <w:sz w:val="11"/>
                <w:szCs w:val="11"/>
                <w:color w:val="auto"/>
              </w:rPr>
              <w:t>(chairperson),</w:t>
            </w: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20" w:type="dxa"/>
            <w:vAlign w:val="bottom"/>
            <w:gridSpan w:val="4"/>
          </w:tcPr>
          <w:p>
            <w:pPr>
              <w:spacing w:after="0"/>
              <w:rPr>
                <w:sz w:val="20"/>
                <w:szCs w:val="20"/>
                <w:color w:val="auto"/>
              </w:rPr>
            </w:pPr>
            <w:r>
              <w:rPr>
                <w:rFonts w:ascii="Arial" w:cs="Arial" w:eastAsia="Arial" w:hAnsi="Arial"/>
                <w:sz w:val="11"/>
                <w:szCs w:val="11"/>
                <w:color w:val="auto"/>
              </w:rPr>
              <w:t>Compensation committee</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340"/>
              <w:spacing w:after="0"/>
              <w:rPr>
                <w:sz w:val="20"/>
                <w:szCs w:val="20"/>
                <w:color w:val="auto"/>
              </w:rPr>
            </w:pPr>
            <w:r>
              <w:rPr>
                <w:rFonts w:ascii="Arial" w:cs="Arial" w:eastAsia="Arial" w:hAnsi="Arial"/>
                <w:sz w:val="11"/>
                <w:szCs w:val="11"/>
                <w:color w:val="auto"/>
              </w:rPr>
              <w:t>(chairperson),</w:t>
            </w:r>
          </w:p>
        </w:tc>
        <w:tc>
          <w:tcPr>
            <w:tcW w:w="1800" w:type="dxa"/>
            <w:vAlign w:val="bottom"/>
          </w:tcPr>
          <w:p>
            <w:pPr>
              <w:ind w:left="160"/>
              <w:spacing w:after="0"/>
              <w:rPr>
                <w:sz w:val="20"/>
                <w:szCs w:val="20"/>
                <w:color w:val="auto"/>
              </w:rPr>
            </w:pPr>
            <w:r>
              <w:rPr>
                <w:rFonts w:ascii="Arial" w:cs="Arial" w:eastAsia="Arial" w:hAnsi="Arial"/>
                <w:sz w:val="11"/>
                <w:szCs w:val="11"/>
                <w:color w:val="auto"/>
              </w:rPr>
              <w:t>and</w:t>
            </w:r>
          </w:p>
        </w:tc>
        <w:tc>
          <w:tcPr>
            <w:tcW w:w="0" w:type="dxa"/>
            <w:vAlign w:val="bottom"/>
          </w:tcPr>
          <w:p>
            <w:pPr>
              <w:spacing w:after="0"/>
              <w:rPr>
                <w:sz w:val="1"/>
                <w:szCs w:val="1"/>
                <w:color w:val="auto"/>
              </w:rPr>
            </w:pPr>
          </w:p>
        </w:tc>
      </w:tr>
      <w:tr>
        <w:trPr>
          <w:trHeight w:val="136"/>
        </w:trPr>
        <w:tc>
          <w:tcPr>
            <w:tcW w:w="2720" w:type="dxa"/>
            <w:vAlign w:val="bottom"/>
            <w:gridSpan w:val="4"/>
          </w:tcPr>
          <w:p>
            <w:pPr>
              <w:spacing w:after="0"/>
              <w:rPr>
                <w:sz w:val="20"/>
                <w:szCs w:val="20"/>
                <w:color w:val="auto"/>
              </w:rPr>
            </w:pPr>
            <w:r>
              <w:rPr>
                <w:rFonts w:ascii="Arial" w:cs="Arial" w:eastAsia="Arial" w:hAnsi="Arial"/>
                <w:sz w:val="11"/>
                <w:szCs w:val="11"/>
                <w:color w:val="auto"/>
              </w:rPr>
              <w:t>Nomination committee</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340"/>
              <w:spacing w:after="0"/>
              <w:rPr>
                <w:sz w:val="20"/>
                <w:szCs w:val="20"/>
                <w:color w:val="auto"/>
              </w:rPr>
            </w:pPr>
            <w:r>
              <w:rPr>
                <w:rFonts w:ascii="Arial" w:cs="Arial" w:eastAsia="Arial" w:hAnsi="Arial"/>
                <w:sz w:val="11"/>
                <w:szCs w:val="11"/>
                <w:color w:val="auto"/>
              </w:rPr>
              <w:t>(chairperson),</w:t>
            </w:r>
          </w:p>
        </w:tc>
        <w:tc>
          <w:tcPr>
            <w:tcW w:w="1800" w:type="dxa"/>
            <w:vAlign w:val="bottom"/>
          </w:tcPr>
          <w:p>
            <w:pPr>
              <w:ind w:left="160"/>
              <w:spacing w:after="0"/>
              <w:rPr>
                <w:sz w:val="20"/>
                <w:szCs w:val="20"/>
                <w:color w:val="auto"/>
              </w:rPr>
            </w:pPr>
            <w:r>
              <w:rPr>
                <w:rFonts w:ascii="Arial" w:cs="Arial" w:eastAsia="Arial" w:hAnsi="Arial"/>
                <w:sz w:val="11"/>
                <w:szCs w:val="11"/>
                <w:color w:val="auto"/>
              </w:rPr>
              <w:t>and</w:t>
            </w:r>
          </w:p>
        </w:tc>
        <w:tc>
          <w:tcPr>
            <w:tcW w:w="0" w:type="dxa"/>
            <w:vAlign w:val="bottom"/>
          </w:tcPr>
          <w:p>
            <w:pPr>
              <w:spacing w:after="0"/>
              <w:rPr>
                <w:sz w:val="1"/>
                <w:szCs w:val="1"/>
                <w:color w:val="auto"/>
              </w:rPr>
            </w:pPr>
          </w:p>
        </w:tc>
      </w:tr>
      <w:tr>
        <w:trPr>
          <w:trHeight w:val="265"/>
        </w:trPr>
        <w:tc>
          <w:tcPr>
            <w:tcW w:w="280" w:type="dxa"/>
            <w:vAlign w:val="bottom"/>
          </w:tcPr>
          <w:p>
            <w:pPr>
              <w:spacing w:after="0"/>
              <w:rPr>
                <w:sz w:val="23"/>
                <w:szCs w:val="23"/>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0"/>
              </w:rPr>
              <w:t>Audit Committee</w:t>
            </w:r>
          </w:p>
        </w:tc>
        <w:tc>
          <w:tcPr>
            <w:tcW w:w="1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80" w:type="dxa"/>
            <w:vAlign w:val="bottom"/>
          </w:tcPr>
          <w:p>
            <w:pPr>
              <w:spacing w:after="0"/>
              <w:rPr>
                <w:sz w:val="24"/>
                <w:szCs w:val="24"/>
                <w:color w:val="auto"/>
              </w:rPr>
            </w:pPr>
          </w:p>
        </w:tc>
        <w:tc>
          <w:tcPr>
            <w:tcW w:w="2440" w:type="dxa"/>
            <w:vAlign w:val="bottom"/>
            <w:gridSpan w:val="3"/>
          </w:tcPr>
          <w:p>
            <w:pPr>
              <w:spacing w:after="0"/>
              <w:rPr>
                <w:sz w:val="20"/>
                <w:szCs w:val="20"/>
                <w:color w:val="auto"/>
              </w:rPr>
            </w:pPr>
            <w:r>
              <w:rPr>
                <w:rFonts w:ascii="Arial" w:cs="Arial" w:eastAsia="Arial" w:hAnsi="Arial"/>
                <w:sz w:val="12"/>
                <w:szCs w:val="12"/>
                <w:color w:val="auto"/>
              </w:rPr>
              <w:t>Our audit committee is expected to consist of</w:t>
            </w:r>
          </w:p>
        </w:tc>
        <w:tc>
          <w:tcPr>
            <w:tcW w:w="5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ind w:left="260"/>
              <w:spacing w:after="0"/>
              <w:rPr>
                <w:sz w:val="20"/>
                <w:szCs w:val="20"/>
                <w:color w:val="auto"/>
              </w:rPr>
            </w:pPr>
            <w:r>
              <w:rPr>
                <w:rFonts w:ascii="Arial" w:cs="Arial" w:eastAsia="Arial" w:hAnsi="Arial"/>
                <w:sz w:val="12"/>
                <w:szCs w:val="12"/>
                <w:color w:val="auto"/>
              </w:rPr>
              <w:t>and</w:t>
            </w:r>
          </w:p>
        </w:tc>
        <w:tc>
          <w:tcPr>
            <w:tcW w:w="2920" w:type="dxa"/>
            <w:vAlign w:val="bottom"/>
            <w:gridSpan w:val="3"/>
          </w:tcPr>
          <w:p>
            <w:pPr>
              <w:ind w:left="340"/>
              <w:spacing w:after="0"/>
              <w:rPr>
                <w:sz w:val="20"/>
                <w:szCs w:val="20"/>
                <w:color w:val="auto"/>
              </w:rPr>
            </w:pPr>
            <w:r>
              <w:rPr>
                <w:rFonts w:ascii="Arial" w:cs="Arial" w:eastAsia="Arial" w:hAnsi="Arial"/>
                <w:sz w:val="12"/>
                <w:szCs w:val="12"/>
                <w:color w:val="auto"/>
                <w:w w:val="89"/>
              </w:rPr>
              <w:t>. Our audit committee assists the supervisory board in</w:t>
            </w:r>
          </w:p>
        </w:tc>
        <w:tc>
          <w:tcPr>
            <w:tcW w:w="0" w:type="dxa"/>
            <w:vAlign w:val="bottom"/>
          </w:tcPr>
          <w:p>
            <w:pPr>
              <w:spacing w:after="0"/>
              <w:rPr>
                <w:sz w:val="1"/>
                <w:szCs w:val="1"/>
                <w:color w:val="auto"/>
              </w:rPr>
            </w:pPr>
          </w:p>
        </w:tc>
      </w:tr>
    </w:tbl>
    <w:p>
      <w:pPr>
        <w:ind w:left="1980" w:right="999"/>
        <w:spacing w:after="0" w:line="253" w:lineRule="auto"/>
        <w:rPr>
          <w:sz w:val="20"/>
          <w:szCs w:val="20"/>
          <w:color w:val="auto"/>
        </w:rPr>
      </w:pPr>
      <w:r>
        <w:rPr>
          <w:rFonts w:ascii="Arial" w:cs="Arial" w:eastAsia="Arial" w:hAnsi="Arial"/>
          <w:sz w:val="12"/>
          <w:szCs w:val="12"/>
          <w:color w:val="auto"/>
        </w:rPr>
        <w:t>overseeing the accuracy and integrity of our accounting and financial reporting processes, along with the audits of our financial statements. The audit 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w:t>
      </w:r>
    </w:p>
    <w:p>
      <w:pPr>
        <w:spacing w:after="0" w:line="129"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audit committee’s duties and responsibilities to carry out its purposes include, among others:</w:t>
      </w:r>
    </w:p>
    <w:p>
      <w:pPr>
        <w:spacing w:after="0" w:line="168" w:lineRule="exact"/>
        <w:rPr>
          <w:sz w:val="20"/>
          <w:szCs w:val="20"/>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review of our accounting processes;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review of the effectiveness of our internal control systems, risk management and compliance;</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review and the handling of matters and processes related to auditor independence;</w:t>
      </w:r>
    </w:p>
    <w:p>
      <w:pPr>
        <w:spacing w:after="0" w:line="168"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preparation of the supervisory board recommendation to the shareholders’ meeting on the appointment of the independent auditors to audit our financial statements and the related proposal to the supervisory board;</w:t>
      </w:r>
    </w:p>
    <w:p>
      <w:pPr>
        <w:spacing w:after="0" w:line="132" w:lineRule="exact"/>
        <w:rPr>
          <w:rFonts w:ascii="Arial" w:cs="Arial" w:eastAsia="Arial" w:hAnsi="Arial"/>
          <w:sz w:val="12"/>
          <w:szCs w:val="12"/>
          <w:color w:val="auto"/>
        </w:rPr>
      </w:pPr>
    </w:p>
    <w:p>
      <w:pPr>
        <w:ind w:left="2540" w:right="1019" w:hanging="280"/>
        <w:spacing w:after="0" w:line="263"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direct responsibility for the appointment, compensation, retention and oversight of the work of the independent auditors, who shall report directly to the audit committee, provided that the auditor appointment and termination shall be subject to approval by the shareholders’ meeting;</w:t>
      </w:r>
    </w:p>
    <w:p>
      <w:pPr>
        <w:spacing w:after="0" w:line="140" w:lineRule="exact"/>
        <w:rPr>
          <w:rFonts w:ascii="Arial" w:cs="Arial" w:eastAsia="Arial" w:hAnsi="Arial"/>
          <w:sz w:val="12"/>
          <w:szCs w:val="12"/>
          <w:color w:val="auto"/>
        </w:rPr>
      </w:pPr>
    </w:p>
    <w:p>
      <w:pPr>
        <w:ind w:left="2540" w:right="1439" w:hanging="280"/>
        <w:spacing w:after="0" w:line="276"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pre-approval, or the adoption of appropriate procedures to pre-approve, all audit and non-audit services to be provided by the independent auditors;</w:t>
      </w:r>
    </w:p>
    <w:p>
      <w:pPr>
        <w:spacing w:after="0" w:line="132" w:lineRule="exact"/>
        <w:rPr>
          <w:rFonts w:ascii="Arial" w:cs="Arial" w:eastAsia="Arial" w:hAnsi="Arial"/>
          <w:sz w:val="12"/>
          <w:szCs w:val="12"/>
          <w:color w:val="auto"/>
        </w:rPr>
      </w:pPr>
    </w:p>
    <w:p>
      <w:pPr>
        <w:ind w:left="2540" w:right="899" w:hanging="280"/>
        <w:spacing w:after="0" w:line="263" w:lineRule="auto"/>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establishment of procedures for (i) the receipt, retention and treatment of complaints we receive regarding accounting, internal accounting controls or auditing matters and (ii) the submission by our employees of concerns regarding questionable accounting or auditing matters; and</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review and approval of all our related party transactions in accordance with our policies in effect from time to time.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Subject to certain limited exceptions, each member of the audit committee must be independent according to the following criteria:</w:t>
      </w:r>
    </w:p>
    <w:p>
      <w:pPr>
        <w:spacing w:after="0" w:line="168" w:lineRule="exact"/>
        <w:rPr>
          <w:sz w:val="20"/>
          <w:szCs w:val="20"/>
          <w:color w:val="auto"/>
        </w:rPr>
      </w:pPr>
    </w:p>
    <w:p>
      <w:pPr>
        <w:ind w:left="2540" w:right="859" w:hanging="280"/>
        <w:spacing w:after="0" w:line="323" w:lineRule="auto"/>
        <w:tabs>
          <w:tab w:leader="none" w:pos="2540" w:val="left"/>
        </w:tabs>
        <w:numPr>
          <w:ilvl w:val="0"/>
          <w:numId w:val="47"/>
        </w:numPr>
        <w:rPr>
          <w:rFonts w:ascii="Arial" w:cs="Arial" w:eastAsia="Arial" w:hAnsi="Arial"/>
          <w:sz w:val="11"/>
          <w:szCs w:val="11"/>
          <w:color w:val="auto"/>
        </w:rPr>
      </w:pPr>
      <w:r>
        <w:rPr>
          <w:rFonts w:ascii="Arial" w:cs="Arial" w:eastAsia="Arial" w:hAnsi="Arial"/>
          <w:sz w:val="11"/>
          <w:szCs w:val="11"/>
          <w:color w:val="auto"/>
        </w:rPr>
        <w:t>no member of the audit committee may, directly or indirectly, accept any consulting, advisory or other compensatory fees from our company or its subsidiaries other than in such member’s capacity as a member of our supervisory board or any of its committees; and</w:t>
      </w:r>
    </w:p>
    <w:p>
      <w:pPr>
        <w:spacing w:after="0" w:line="109" w:lineRule="exact"/>
        <w:rPr>
          <w:rFonts w:ascii="Arial" w:cs="Arial" w:eastAsia="Arial" w:hAnsi="Arial"/>
          <w:sz w:val="11"/>
          <w:szCs w:val="11"/>
          <w:color w:val="auto"/>
        </w:rPr>
      </w:pPr>
    </w:p>
    <w:p>
      <w:pPr>
        <w:ind w:left="2540" w:right="879" w:hanging="280"/>
        <w:spacing w:after="0" w:line="259" w:lineRule="auto"/>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no member of the audit committee may be an “affiliated person” of our company or any of its subsidiaries except for such member’s capacity as a member of our supervisory board or any of its committees; for this purpose, the term “affiliated person” means a person that directly or indirectly, through one or more intermediaries, controls or is controlled by, or is under common control of our company or any of its subsidiaries.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0159"/>
          </w:cols>
          <w:pgMar w:left="300" w:top="354" w:right="1440"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At least one member of the audit committee shall qualify as an “audit committee financial expert” as defined under the Exchange Act.</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Compensation Committee</w:t>
      </w:r>
    </w:p>
    <w:p>
      <w:pPr>
        <w:spacing w:after="0" w:line="150" w:lineRule="exact"/>
        <w:rPr>
          <w:sz w:val="20"/>
          <w:szCs w:val="20"/>
          <w:color w:val="auto"/>
        </w:rPr>
      </w:pPr>
    </w:p>
    <w:p>
      <w:pPr>
        <w:ind w:left="2260"/>
        <w:spacing w:after="0"/>
        <w:tabs>
          <w:tab w:leader="none" w:pos="5360" w:val="left"/>
          <w:tab w:leader="none" w:pos="5920" w:val="left"/>
          <w:tab w:leader="none" w:pos="6600" w:val="left"/>
        </w:tabs>
        <w:rPr>
          <w:sz w:val="20"/>
          <w:szCs w:val="20"/>
          <w:color w:val="auto"/>
        </w:rPr>
      </w:pPr>
      <w:r>
        <w:rPr>
          <w:rFonts w:ascii="Arial" w:cs="Arial" w:eastAsia="Arial" w:hAnsi="Arial"/>
          <w:sz w:val="12"/>
          <w:szCs w:val="12"/>
          <w:color w:val="auto"/>
        </w:rPr>
        <w:t>Our compensation committee is expected to consist of</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and</w:t>
      </w:r>
      <w:r>
        <w:rPr>
          <w:sz w:val="20"/>
          <w:szCs w:val="20"/>
          <w:color w:val="auto"/>
        </w:rPr>
        <w:tab/>
      </w:r>
      <w:r>
        <w:rPr>
          <w:rFonts w:ascii="Arial" w:cs="Arial" w:eastAsia="Arial" w:hAnsi="Arial"/>
          <w:sz w:val="10"/>
          <w:szCs w:val="10"/>
          <w:color w:val="auto"/>
        </w:rPr>
        <w:t>. Our compensation committee is responsible for:</w:t>
      </w:r>
    </w:p>
    <w:p>
      <w:pPr>
        <w:spacing w:after="0" w:line="168" w:lineRule="exact"/>
        <w:rPr>
          <w:sz w:val="20"/>
          <w:szCs w:val="20"/>
          <w:color w:val="auto"/>
        </w:rPr>
      </w:pPr>
    </w:p>
    <w:p>
      <w:pPr>
        <w:ind w:left="2540" w:right="899" w:hanging="280"/>
        <w:spacing w:after="0" w:line="259"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w:t>
      </w:r>
    </w:p>
    <w:p>
      <w:pPr>
        <w:spacing w:after="0" w:line="142" w:lineRule="exact"/>
        <w:rPr>
          <w:rFonts w:ascii="Arial" w:cs="Arial" w:eastAsia="Arial" w:hAnsi="Arial"/>
          <w:sz w:val="12"/>
          <w:szCs w:val="12"/>
          <w:color w:val="auto"/>
        </w:rPr>
      </w:pPr>
    </w:p>
    <w:p>
      <w:pPr>
        <w:ind w:left="2540" w:right="117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considering the compensation and general employment terms for second level management, and in this regard it is authorized to make recommendations to the management board;</w:t>
      </w:r>
    </w:p>
    <w:p>
      <w:pPr>
        <w:spacing w:after="0" w:line="132" w:lineRule="exact"/>
        <w:rPr>
          <w:rFonts w:ascii="Arial" w:cs="Arial" w:eastAsia="Arial" w:hAnsi="Arial"/>
          <w:sz w:val="12"/>
          <w:szCs w:val="12"/>
          <w:color w:val="auto"/>
        </w:rPr>
      </w:pPr>
    </w:p>
    <w:p>
      <w:pPr>
        <w:jc w:val="both"/>
        <w:ind w:left="2540" w:right="979" w:hanging="280"/>
        <w:spacing w:after="0" w:line="263"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w:t>
      </w:r>
    </w:p>
    <w:p>
      <w:pPr>
        <w:spacing w:after="0" w:line="140" w:lineRule="exact"/>
        <w:rPr>
          <w:rFonts w:ascii="Arial" w:cs="Arial" w:eastAsia="Arial" w:hAnsi="Arial"/>
          <w:sz w:val="12"/>
          <w:szCs w:val="12"/>
          <w:color w:val="auto"/>
        </w:rPr>
      </w:pPr>
    </w:p>
    <w:p>
      <w:pPr>
        <w:ind w:left="2540" w:right="109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presenting an evaluation of the management board’s performance and making a recommendation to the supervisory board regarding the employment terms and compensation of the management board;</w:t>
      </w:r>
    </w:p>
    <w:p>
      <w:pPr>
        <w:spacing w:after="0" w:line="132" w:lineRule="exact"/>
        <w:rPr>
          <w:rFonts w:ascii="Arial" w:cs="Arial" w:eastAsia="Arial" w:hAnsi="Arial"/>
          <w:sz w:val="12"/>
          <w:szCs w:val="12"/>
          <w:color w:val="auto"/>
        </w:rPr>
      </w:pPr>
    </w:p>
    <w:p>
      <w:pPr>
        <w:jc w:val="both"/>
        <w:ind w:left="2540" w:right="1039" w:hanging="280"/>
        <w:spacing w:after="0" w:line="263"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w:t>
      </w:r>
    </w:p>
    <w:p>
      <w:pPr>
        <w:spacing w:after="0" w:line="140" w:lineRule="exact"/>
        <w:rPr>
          <w:rFonts w:ascii="Arial" w:cs="Arial" w:eastAsia="Arial" w:hAnsi="Arial"/>
          <w:sz w:val="12"/>
          <w:szCs w:val="12"/>
          <w:color w:val="auto"/>
        </w:rPr>
      </w:pPr>
    </w:p>
    <w:p>
      <w:pPr>
        <w:ind w:left="2540" w:right="123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examining compensation guidelines that serve as a framework for all compensation matters to be submitted to and determined by the supervisory board.</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Nomination Committee</w:t>
      </w:r>
    </w:p>
    <w:p>
      <w:pPr>
        <w:spacing w:after="0" w:line="150" w:lineRule="exact"/>
        <w:rPr>
          <w:sz w:val="20"/>
          <w:szCs w:val="20"/>
          <w:color w:val="auto"/>
        </w:rPr>
      </w:pPr>
    </w:p>
    <w:p>
      <w:pPr>
        <w:ind w:left="2260"/>
        <w:spacing w:after="0"/>
        <w:tabs>
          <w:tab w:leader="none" w:pos="5600" w:val="left"/>
          <w:tab w:leader="none" w:pos="6160" w:val="left"/>
          <w:tab w:leader="none" w:pos="6840" w:val="left"/>
        </w:tabs>
        <w:rPr>
          <w:sz w:val="20"/>
          <w:szCs w:val="20"/>
          <w:color w:val="auto"/>
        </w:rPr>
      </w:pPr>
      <w:r>
        <w:rPr>
          <w:rFonts w:ascii="Arial" w:cs="Arial" w:eastAsia="Arial" w:hAnsi="Arial"/>
          <w:sz w:val="12"/>
          <w:szCs w:val="12"/>
          <w:color w:val="auto"/>
        </w:rPr>
        <w:t>Our nomination committee, which is expected to consist of</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and</w:t>
      </w:r>
      <w:r>
        <w:rPr>
          <w:sz w:val="20"/>
          <w:szCs w:val="20"/>
          <w:color w:val="auto"/>
        </w:rPr>
        <w:tab/>
      </w:r>
      <w:r>
        <w:rPr>
          <w:rFonts w:ascii="Arial" w:cs="Arial" w:eastAsia="Arial" w:hAnsi="Arial"/>
          <w:sz w:val="11"/>
          <w:szCs w:val="11"/>
          <w:color w:val="auto"/>
        </w:rPr>
        <w:t>, will assist our supervisory board in identifying</w:t>
      </w:r>
    </w:p>
    <w:p>
      <w:pPr>
        <w:spacing w:after="0" w:line="15" w:lineRule="exact"/>
        <w:rPr>
          <w:sz w:val="20"/>
          <w:szCs w:val="20"/>
          <w:color w:val="auto"/>
        </w:rPr>
      </w:pPr>
    </w:p>
    <w:p>
      <w:pPr>
        <w:ind w:left="1980" w:right="939"/>
        <w:spacing w:after="0" w:line="260" w:lineRule="auto"/>
        <w:rPr>
          <w:sz w:val="20"/>
          <w:szCs w:val="20"/>
          <w:color w:val="auto"/>
        </w:rPr>
      </w:pPr>
      <w:r>
        <w:rPr>
          <w:rFonts w:ascii="Arial" w:cs="Arial" w:eastAsia="Arial" w:hAnsi="Arial"/>
          <w:sz w:val="12"/>
          <w:szCs w:val="12"/>
          <w:color w:val="auto"/>
        </w:rPr>
        <w:t>individuals qualified to become members of our management board consistent with criteria established by our supervisory board and in developing our corporate governance principles.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nomination committee will be responsible for:</w:t>
      </w:r>
    </w:p>
    <w:p>
      <w:pPr>
        <w:spacing w:after="0" w:line="168" w:lineRule="exact"/>
        <w:rPr>
          <w:sz w:val="20"/>
          <w:szCs w:val="20"/>
          <w:color w:val="auto"/>
        </w:rPr>
      </w:pPr>
    </w:p>
    <w:p>
      <w:pPr>
        <w:ind w:left="2540" w:hanging="280"/>
        <w:spacing w:after="0"/>
        <w:tabs>
          <w:tab w:leader="none" w:pos="2540" w:val="left"/>
        </w:tabs>
        <w:numPr>
          <w:ilvl w:val="0"/>
          <w:numId w:val="49"/>
        </w:numPr>
        <w:rPr>
          <w:rFonts w:ascii="Arial" w:cs="Arial" w:eastAsia="Arial" w:hAnsi="Arial"/>
          <w:sz w:val="11"/>
          <w:szCs w:val="11"/>
          <w:color w:val="auto"/>
        </w:rPr>
      </w:pPr>
      <w:r>
        <w:rPr>
          <w:rFonts w:ascii="Arial" w:cs="Arial" w:eastAsia="Arial" w:hAnsi="Arial"/>
          <w:sz w:val="11"/>
          <w:szCs w:val="11"/>
          <w:color w:val="auto"/>
        </w:rPr>
        <w:t>the appointment and dismissal of management board members, as well as the nomination of the management board chairperson;</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completion of, amendments to and termination of employment contracts with management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election proposals for suitable supervisory board candidates to be presented to the shareholders’ meeting.</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0159"/>
          </w:cols>
          <w:pgMar w:left="300" w:top="354" w:right="1440" w:bottom="1440" w:gutter="0" w:footer="0" w:header="0"/>
        </w:sectPr>
      </w:pPr>
    </w:p>
    <w:bookmarkStart w:id="121" w:name="page122"/>
    <w:bookmarkEnd w:id="1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Compensation of Management Board and Supervisory Board Members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Management Board Members</w:t>
      </w:r>
    </w:p>
    <w:p>
      <w:pPr>
        <w:spacing w:after="0" w:line="150"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In connection with this offering, we entered into service agreements (as amended) with the current members of our management board. These agreements provide for an annual fixed base salary and an annual performance award (annual bonus). In addition to the fixed and variable remuneration components, the members of our management board are entitled to additional benefits under the terms of their service agreements, including reimbursement of out-of-pocket expenses incurred in the course of providing services to our Company in accordance with our applicable expense policies. We have obtained directors’ &amp; officers’ (D&amp;O) indemnity insurance policies for the benefit of the members of our management board covering the statutory liability arising from their activities in this capacity. The D&amp;O insurance has a deductible of 10% of the damage incurred.</w:t>
      </w:r>
    </w:p>
    <w:p>
      <w:pPr>
        <w:spacing w:after="0" w:line="113"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The current members of the management board are entitled to a bonus payment in the case of a successful closing of an offering of our shares or of ADSs representing our shares on the New York Stock Exchange or NASDAQ including this offering (the “IPO Bonus”). The amounts to be paid to the beneficiaries under the IPO Bonus depend on the amount of gross proceeds raised in this offering. If the gross proceeds of this offering (taking into account any proceeds of the underwriters’ option to purchase additional ADSs) equal or exceed $150 million, Mr. Altan, Mr. Berndt-von Bülow and Mr. Horwath will be entitled to an IPO Bonus payment of 0.7%, 0.5% and 0.3%, respectively, of the amount of gross proceeds. If the gross proceeds of this offering (taking into account any proceeds of the underwriters’ option to purchase additional ADSs) equal or exceed $100 million but amount to less than $150 million, the IPO Bonus will be calculated on a linear basis in which case the minimum IPO Bonus entitlement (i.e., in case gross proceeds amount to $100 million) of Mr. Altan, Mr. Berndt-von Bülow and Mr. Horwath will amount to 0.35%, 0.25% and 0.15%, respectively, of the gross proceeds of the offering. While the IPO Bonus will be paid out in cash, each beneficiary is obliged to re-invest 50% of such beneficiary’s bonus payment in our shares or ADSs representing shares in the Company (“IPO Bonus Shares”). Each beneficiary is obliged to hold the IPO Bonus Shares, subject to a repayment obligation further explained below, for a minimum period of 12 months following this offering and may not transfer, pledge or otherwise dispose of the IPO Bonus Shares during such period. If a beneficiary ceases to a be a member of our management board during such 12 month period for reasons that are attributable to such beneficiary, such beneficiary will be obliged to repay to the Company an amount of cash equal to the actual amount re-invested in the IPO Bonus Shares unless the supervisory board decides otherwise.</w:t>
      </w:r>
    </w:p>
    <w:p>
      <w:pPr>
        <w:spacing w:after="0" w:line="116"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In addition, Bulent Altan (CEO) and Stefan Berndt-von Bülow (CFO), both current members of our management board, are entitled to a yearly cash bonus of up to €125,000 and €200,000, respectively, if certain annual goals agreed upon by the management board and the Company have been met. In addition, both are entitled to a one-time bonus for investments by strategic investors which exceed 5% of the then current share capital of the Company. The one-time bonus is set to amount to 1% of the acquired funds (payment into the share capital or into the capital reserve) and is capped at €1,000,000. In the case of a capital increase with subscription rights, only those investments which go beyond the investor’s subscription rights count towards the 5% threshold.</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We believe that the service agreements between us and the members of our management board provide for payments and benefits that are in line with customary market practice for similar companies who are operating in our industry.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Remuneration of the Members of the Management Board in 2020</w:t>
      </w:r>
    </w:p>
    <w:p>
      <w:pPr>
        <w:spacing w:after="0" w:line="150" w:lineRule="exact"/>
        <w:rPr>
          <w:sz w:val="20"/>
          <w:szCs w:val="20"/>
          <w:color w:val="auto"/>
        </w:rPr>
      </w:pPr>
    </w:p>
    <w:p>
      <w:pPr>
        <w:jc w:val="both"/>
        <w:ind w:left="1980" w:right="1019" w:firstLine="294"/>
        <w:spacing w:after="0" w:line="298" w:lineRule="auto"/>
        <w:rPr>
          <w:sz w:val="20"/>
          <w:szCs w:val="20"/>
          <w:color w:val="auto"/>
        </w:rPr>
      </w:pPr>
      <w:r>
        <w:rPr>
          <w:rFonts w:ascii="Arial" w:cs="Arial" w:eastAsia="Arial" w:hAnsi="Arial"/>
          <w:sz w:val="11"/>
          <w:szCs w:val="11"/>
          <w:color w:val="auto"/>
        </w:rPr>
        <w:t>In 2020, our management board initially comprised Bulent Altan (Chief Executive Officer), Wolfram Peschko (former Chief Financial Officer) and Hubertus Edler von Janecek (former Chief Sales Officer). Mr. Peschko and Mr. Edler von Janecek both resigned from our management board in June and July 2020, respectively. Stefan Berndt-von Bülow was appointed to our management board in September 2020.</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0159"/>
          </w:cols>
          <w:pgMar w:left="300" w:top="354" w:right="1440"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In 2020, the members of our management board were entitled to receive total compensation of €882 thousand, which includes base salary in the amount of €525 thousand and short-term variable remuneration in the amount of €357 thousand. In addition, 47,000 stock options were granted to the members of the management board (including former and current members of the management board), for which an aggregate amount of €549 thousand was recognized as expense. 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 Mr. Peschko and Mr. Edler von Janecek were both granted severance payments in the amount of €691 thousand and €263 thousand, respectively.</w:t>
      </w:r>
    </w:p>
    <w:p>
      <w:pPr>
        <w:spacing w:after="0" w:line="13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 Ownership of Management Board Members</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Mr. Altan and Mr. Berndt-von Bülow do not hold any shares in our Company. Mr. Horwath holds 220,527 ordinary shares in our Company, which represents 5.4% of our outstanding share capital as of immediately prior to the completion of this offering.</w:t>
      </w:r>
    </w:p>
    <w:p>
      <w:pPr>
        <w:spacing w:after="0" w:line="115"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Mr. Peschko, a former member of our management board who resigned in 2020, holds, to the best of our knowledge, 70,000 ordinary shares in our Company, which represents 1.7% of our outstanding share capital as of immediately prior to the completion of this offering.</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Option Ownership of Management Board Members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the option ownership of our current and former management board members as of March 31, 2021.</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Exercise</w:t>
            </w: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0" w:type="dxa"/>
            <w:vAlign w:val="bottom"/>
            <w:vMerge w:val="restart"/>
          </w:tcPr>
          <w:p>
            <w:pPr>
              <w:spacing w:after="0"/>
              <w:rPr>
                <w:sz w:val="20"/>
                <w:szCs w:val="20"/>
                <w:color w:val="auto"/>
              </w:rPr>
            </w:pPr>
            <w:r>
              <w:rPr>
                <w:rFonts w:ascii="Arial" w:cs="Arial" w:eastAsia="Arial" w:hAnsi="Arial"/>
                <w:sz w:val="10"/>
                <w:szCs w:val="10"/>
                <w:b w:val="1"/>
                <w:bCs w:val="1"/>
                <w:color w:val="auto"/>
                <w:w w:val="80"/>
              </w:rPr>
              <w:t>Name</w:t>
            </w:r>
          </w:p>
        </w:tc>
        <w:tc>
          <w:tcPr>
            <w:tcW w:w="238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right"/>
              <w:ind w:right="274"/>
              <w:spacing w:after="0" w:line="99" w:lineRule="exact"/>
              <w:rPr>
                <w:sz w:val="20"/>
                <w:szCs w:val="20"/>
                <w:color w:val="auto"/>
              </w:rPr>
            </w:pPr>
            <w:r>
              <w:rPr>
                <w:rFonts w:ascii="Arial" w:cs="Arial" w:eastAsia="Arial" w:hAnsi="Arial"/>
                <w:sz w:val="10"/>
                <w:szCs w:val="10"/>
                <w:b w:val="1"/>
                <w:bCs w:val="1"/>
                <w:color w:val="auto"/>
                <w:w w:val="87"/>
              </w:rPr>
              <w:t>Number of</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1"/>
              </w:rPr>
              <w:t>Price</w:t>
            </w: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0" w:type="dxa"/>
            <w:vAlign w:val="bottom"/>
            <w:tcBorders>
              <w:bottom w:val="single" w:sz="8" w:color="auto"/>
            </w:tcBorders>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334"/>
              <w:spacing w:after="0" w:line="105" w:lineRule="exact"/>
              <w:rPr>
                <w:sz w:val="20"/>
                <w:szCs w:val="20"/>
                <w:color w:val="auto"/>
              </w:rPr>
            </w:pPr>
            <w:r>
              <w:rPr>
                <w:rFonts w:ascii="Arial" w:cs="Arial" w:eastAsia="Arial" w:hAnsi="Arial"/>
                <w:sz w:val="10"/>
                <w:szCs w:val="10"/>
                <w:b w:val="1"/>
                <w:bCs w:val="1"/>
                <w:color w:val="auto"/>
              </w:rPr>
              <w:t>Options</w:t>
            </w:r>
          </w:p>
        </w:tc>
        <w:tc>
          <w:tcPr>
            <w:tcW w:w="960" w:type="dxa"/>
            <w:vAlign w:val="bottom"/>
            <w:gridSpan w:val="2"/>
          </w:tcPr>
          <w:p>
            <w:pPr>
              <w:ind w:left="300"/>
              <w:spacing w:after="0" w:line="105" w:lineRule="exact"/>
              <w:rPr>
                <w:sz w:val="20"/>
                <w:szCs w:val="20"/>
                <w:color w:val="auto"/>
              </w:rPr>
            </w:pPr>
            <w:r>
              <w:rPr>
                <w:rFonts w:ascii="Arial" w:cs="Arial" w:eastAsia="Arial" w:hAnsi="Arial"/>
                <w:sz w:val="10"/>
                <w:szCs w:val="10"/>
                <w:b w:val="1"/>
                <w:bCs w:val="1"/>
                <w:color w:val="auto"/>
              </w:rPr>
              <w:t>Title</w:t>
            </w:r>
          </w:p>
        </w:tc>
        <w:tc>
          <w:tcPr>
            <w:tcW w:w="56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83"/>
              </w:rPr>
              <w:t>(in €)</w:t>
            </w:r>
          </w:p>
        </w:tc>
        <w:tc>
          <w:tcPr>
            <w:tcW w:w="120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Grant Date</w:t>
            </w:r>
          </w:p>
        </w:tc>
        <w:tc>
          <w:tcPr>
            <w:tcW w:w="10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Expiration Date</w:t>
            </w:r>
          </w:p>
        </w:tc>
        <w:tc>
          <w:tcPr>
            <w:tcW w:w="0" w:type="dxa"/>
            <w:vAlign w:val="bottom"/>
          </w:tcPr>
          <w:p>
            <w:pPr>
              <w:spacing w:after="0"/>
              <w:rPr>
                <w:sz w:val="1"/>
                <w:szCs w:val="1"/>
                <w:color w:val="auto"/>
              </w:rPr>
            </w:pPr>
          </w:p>
        </w:tc>
      </w:tr>
      <w:tr>
        <w:trPr>
          <w:trHeight w:val="104"/>
        </w:trPr>
        <w:tc>
          <w:tcPr>
            <w:tcW w:w="26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color w:val="auto"/>
              </w:rPr>
              <w:t>Bulent Altan</w:t>
            </w:r>
          </w:p>
        </w:tc>
        <w:tc>
          <w:tcPr>
            <w:tcW w:w="1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w:t>
            </w:r>
          </w:p>
        </w:tc>
        <w:tc>
          <w:tcPr>
            <w:tcW w:w="300" w:type="dxa"/>
            <w:vAlign w:val="bottom"/>
            <w:tcBorders>
              <w:top w:val="single" w:sz="8" w:color="CCEEFF"/>
            </w:tcBorders>
            <w:shd w:val="clear" w:color="auto" w:fill="CCEEFF"/>
          </w:tcPr>
          <w:p>
            <w:pPr>
              <w:jc w:val="right"/>
              <w:ind w:right="134"/>
              <w:spacing w:after="0" w:line="96" w:lineRule="exact"/>
              <w:rPr>
                <w:sz w:val="20"/>
                <w:szCs w:val="20"/>
                <w:color w:val="auto"/>
              </w:rPr>
            </w:pPr>
            <w:r>
              <w:rPr>
                <w:rFonts w:ascii="Arial" w:cs="Arial" w:eastAsia="Arial" w:hAnsi="Arial"/>
                <w:sz w:val="9"/>
                <w:szCs w:val="9"/>
                <w:color w:val="auto"/>
                <w:w w:val="90"/>
              </w:rPr>
              <w:t>(1)</w:t>
            </w:r>
          </w:p>
        </w:tc>
        <w:tc>
          <w:tcPr>
            <w:tcW w:w="800" w:type="dxa"/>
            <w:vAlign w:val="bottom"/>
            <w:tcBorders>
              <w:top w:val="single" w:sz="8" w:color="auto"/>
            </w:tcBorders>
            <w:shd w:val="clear" w:color="auto" w:fill="CCEEFF"/>
          </w:tcPr>
          <w:p>
            <w:pPr>
              <w:ind w:left="120"/>
              <w:spacing w:after="0" w:line="104" w:lineRule="exact"/>
              <w:rPr>
                <w:sz w:val="20"/>
                <w:szCs w:val="20"/>
                <w:color w:val="auto"/>
              </w:rPr>
            </w:pPr>
            <w:r>
              <w:rPr>
                <w:rFonts w:ascii="Arial" w:cs="Arial" w:eastAsia="Arial" w:hAnsi="Arial"/>
                <w:sz w:val="11"/>
                <w:szCs w:val="11"/>
                <w:color w:val="auto"/>
                <w:w w:val="84"/>
              </w:rPr>
              <w:t>Ordinary shares</w:t>
            </w: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42.46</w:t>
            </w:r>
          </w:p>
        </w:tc>
        <w:tc>
          <w:tcPr>
            <w:tcW w:w="16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13, 2019</w:t>
            </w:r>
          </w:p>
        </w:tc>
        <w:tc>
          <w:tcPr>
            <w:tcW w:w="18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2026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29,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29,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4"/>
              <w:spacing w:after="0" w:line="144" w:lineRule="exact"/>
              <w:rPr>
                <w:sz w:val="20"/>
                <w:szCs w:val="20"/>
                <w:color w:val="auto"/>
              </w:rPr>
            </w:pPr>
            <w:r>
              <w:rPr>
                <w:rFonts w:ascii="Arial" w:cs="Arial" w:eastAsia="Arial" w:hAnsi="Arial"/>
                <w:sz w:val="10"/>
                <w:szCs w:val="10"/>
                <w:color w:val="auto"/>
              </w:rPr>
              <w:t>56,700</w:t>
            </w:r>
            <w:r>
              <w:rPr>
                <w:rFonts w:ascii="Arial" w:cs="Arial" w:eastAsia="Arial" w:hAnsi="Arial"/>
                <w:sz w:val="16"/>
                <w:szCs w:val="16"/>
                <w:color w:val="auto"/>
                <w:vertAlign w:val="superscript"/>
              </w:rPr>
              <w:t>(3)</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August 13,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December 31, 2022</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60" w:type="dxa"/>
            <w:vAlign w:val="bottom"/>
          </w:tcPr>
          <w:p>
            <w:pPr>
              <w:spacing w:after="0"/>
              <w:rPr>
                <w:sz w:val="10"/>
                <w:szCs w:val="10"/>
                <w:color w:val="auto"/>
              </w:rPr>
            </w:pPr>
          </w:p>
        </w:tc>
        <w:tc>
          <w:tcPr>
            <w:tcW w:w="780" w:type="dxa"/>
            <w:vAlign w:val="bottom"/>
            <w:gridSpan w:val="2"/>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41.03</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November 15,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December 30, 2026</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23,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29,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7"/>
        </w:trPr>
        <w:tc>
          <w:tcPr>
            <w:tcW w:w="2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13,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line="127" w:lineRule="exact"/>
              <w:rPr>
                <w:sz w:val="20"/>
                <w:szCs w:val="20"/>
                <w:color w:val="auto"/>
              </w:rPr>
            </w:pPr>
            <w:r>
              <w:rPr>
                <w:rFonts w:ascii="Arial" w:cs="Arial" w:eastAsia="Arial" w:hAnsi="Arial"/>
                <w:sz w:val="9"/>
                <w:szCs w:val="9"/>
                <w:color w:val="auto"/>
              </w:rPr>
              <w:t>Wolfram Peschko</w:t>
            </w:r>
            <w:r>
              <w:rPr>
                <w:rFonts w:ascii="Arial" w:cs="Arial" w:eastAsia="Arial" w:hAnsi="Arial"/>
                <w:sz w:val="14"/>
                <w:szCs w:val="14"/>
                <w:color w:val="auto"/>
                <w:vertAlign w:val="superscript"/>
              </w:rPr>
              <w:t>(4)</w:t>
            </w: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13,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23,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28"/>
        </w:trPr>
        <w:tc>
          <w:tcPr>
            <w:tcW w:w="2620" w:type="dxa"/>
            <w:vAlign w:val="bottom"/>
            <w:gridSpan w:val="2"/>
            <w:shd w:val="clear" w:color="auto" w:fill="CCEEFF"/>
          </w:tcPr>
          <w:p>
            <w:pPr>
              <w:spacing w:after="0" w:line="129" w:lineRule="exact"/>
              <w:rPr>
                <w:sz w:val="20"/>
                <w:szCs w:val="20"/>
                <w:color w:val="auto"/>
              </w:rPr>
            </w:pPr>
            <w:r>
              <w:rPr>
                <w:rFonts w:ascii="Arial" w:cs="Arial" w:eastAsia="Arial" w:hAnsi="Arial"/>
                <w:sz w:val="9"/>
                <w:szCs w:val="9"/>
                <w:color w:val="auto"/>
              </w:rPr>
              <w:t>Hubertus Edler von Janecek</w:t>
            </w:r>
            <w:r>
              <w:rPr>
                <w:rFonts w:ascii="Arial" w:cs="Arial" w:eastAsia="Arial" w:hAnsi="Arial"/>
                <w:sz w:val="14"/>
                <w:szCs w:val="14"/>
                <w:color w:val="auto"/>
                <w:vertAlign w:val="superscript"/>
              </w:rPr>
              <w:t>(4)</w:t>
            </w: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13,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23,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86" w:lineRule="exact"/>
        <w:rPr>
          <w:sz w:val="20"/>
          <w:szCs w:val="20"/>
          <w:color w:val="auto"/>
        </w:rPr>
      </w:pPr>
    </w:p>
    <w:p>
      <w:pPr>
        <w:ind w:left="2260" w:hanging="288"/>
        <w:spacing w:after="0"/>
        <w:tabs>
          <w:tab w:leader="none" w:pos="2260" w:val="left"/>
        </w:tabs>
        <w:numPr>
          <w:ilvl w:val="0"/>
          <w:numId w:val="50"/>
        </w:numPr>
        <w:rPr>
          <w:rFonts w:ascii="Arial" w:cs="Arial" w:eastAsia="Arial" w:hAnsi="Arial"/>
          <w:sz w:val="10"/>
          <w:szCs w:val="10"/>
          <w:color w:val="auto"/>
        </w:rPr>
      </w:pPr>
      <w:r>
        <w:rPr>
          <w:rFonts w:ascii="Arial" w:cs="Arial" w:eastAsia="Arial" w:hAnsi="Arial"/>
          <w:sz w:val="10"/>
          <w:szCs w:val="10"/>
          <w:color w:val="auto"/>
        </w:rPr>
        <w:t>Indicates beneficial ownership of less than 1% of our outstanding ordinary shares.</w:t>
      </w:r>
    </w:p>
    <w:p>
      <w:pPr>
        <w:ind w:left="2260" w:hanging="288"/>
        <w:spacing w:after="0" w:line="206" w:lineRule="auto"/>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Granted under the 2019 Plan.</w:t>
      </w:r>
    </w:p>
    <w:p>
      <w:pPr>
        <w:ind w:left="2260" w:hanging="288"/>
        <w:spacing w:after="0" w:line="206" w:lineRule="auto"/>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Granted under the 2020 Plan.</w:t>
      </w:r>
    </w:p>
    <w:p>
      <w:pPr>
        <w:ind w:left="2260" w:right="1059" w:hanging="288"/>
        <w:spacing w:after="0" w:line="206" w:lineRule="auto"/>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Granted under a stock option agreement entered into by and between Bulent Altan, our Chief Executive Officer and a member of our management board, and Apeiron Investment Group Ltd., one of our shareholders, on August 13, 2019, as amended on March 31, 2021.</w:t>
      </w:r>
    </w:p>
    <w:p>
      <w:pPr>
        <w:ind w:left="2260" w:hanging="288"/>
        <w:spacing w:after="0" w:line="236" w:lineRule="auto"/>
        <w:tabs>
          <w:tab w:leader="none" w:pos="2260" w:val="left"/>
        </w:tabs>
        <w:numPr>
          <w:ilvl w:val="0"/>
          <w:numId w:val="51"/>
        </w:numPr>
        <w:rPr>
          <w:rFonts w:ascii="Arial" w:cs="Arial" w:eastAsia="Arial" w:hAnsi="Arial"/>
          <w:sz w:val="10"/>
          <w:szCs w:val="10"/>
          <w:color w:val="auto"/>
        </w:rPr>
      </w:pPr>
      <w:r>
        <w:rPr>
          <w:rFonts w:ascii="Arial" w:cs="Arial" w:eastAsia="Arial" w:hAnsi="Arial"/>
          <w:sz w:val="10"/>
          <w:szCs w:val="10"/>
          <w:color w:val="auto"/>
        </w:rPr>
        <w:t>Mr. Peschko and Mr. Edler von Janecek both resigned from our management board in June and July 2020, respectively.</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Supervisory Board Members</w:t>
      </w:r>
    </w:p>
    <w:p>
      <w:pPr>
        <w:spacing w:after="0" w:line="150"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Our articles of association provide for a fixed annual compensation for each member of the supervisory board of €30,000. The chairperson of the supervisory board is entitled to receive a fixed annual compensation of €60,000, and the deputy chairperson €45,000. The compensation is payable after the end of the financial year. A member of the supervisory board who serves for only a portion of a given fiscal year or who holds the position of chairman or vice chairman of the supervisory board for only a portion of a given fiscal year will only be</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0159"/>
          </w:cols>
          <w:pgMar w:left="300" w:top="354" w:right="1440"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remunerated pro rata. Members of the supervisory board will also receive an attendance fee for the attendance in any board meeting or the passing of a resolution by means of a telephone conference. Subject to the listing of our shares on a foreign stock exchange (including pursuant to this offering), supervisory board compensation will be increased to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w:t>
      </w:r>
    </w:p>
    <w:p>
      <w:pPr>
        <w:spacing w:after="0" w:line="128"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addition to the aforementioned compensation, the members of the supervisory board will be reimbursed for their reasonable out-of-pocket expenses incurred in the performance of their duties as supervisory board members as well as the value-added tax on their compensation and out-of-pocket expenses. For the year ended December 31, 2020, the aggregate remuneration paid to our supervisory board amounted to €130 thousand (December 31, 2019: €63 thousand). In addition, the members of the supervisory board are covered by a directors’ and officers’ (“D&amp;O”) insurance policy in line with market practice.</w:t>
      </w:r>
    </w:p>
    <w:p>
      <w:pPr>
        <w:spacing w:after="0" w:line="128" w:lineRule="exact"/>
        <w:rPr>
          <w:sz w:val="20"/>
          <w:szCs w:val="20"/>
          <w:color w:val="auto"/>
        </w:rPr>
      </w:pPr>
    </w:p>
    <w:p>
      <w:pPr>
        <w:ind w:left="1980" w:right="1159" w:firstLine="294"/>
        <w:spacing w:after="0" w:line="263" w:lineRule="auto"/>
        <w:rPr>
          <w:sz w:val="20"/>
          <w:szCs w:val="20"/>
          <w:color w:val="auto"/>
        </w:rPr>
      </w:pPr>
      <w:r>
        <w:rPr>
          <w:rFonts w:ascii="Arial" w:cs="Arial" w:eastAsia="Arial" w:hAnsi="Arial"/>
          <w:sz w:val="12"/>
          <w:szCs w:val="12"/>
          <w:color w:val="auto"/>
        </w:rPr>
        <w:t>Except for Peter Müller-Brühl, no member of our supervisory board beneficially owns ordinary shares in our Company. Mr. Müller-Brühl beneficially owns 4,445 ordinary shares in our Company, which he holds indirectly through EOversal UG (</w:t>
      </w:r>
      <w:r>
        <w:rPr>
          <w:rFonts w:ascii="Arial" w:cs="Arial" w:eastAsia="Arial" w:hAnsi="Arial"/>
          <w:sz w:val="12"/>
          <w:szCs w:val="12"/>
          <w:i w:val="1"/>
          <w:iCs w:val="1"/>
          <w:color w:val="auto"/>
        </w:rPr>
        <w:t>haftungsbeschränkt</w:t>
      </w:r>
      <w:r>
        <w:rPr>
          <w:rFonts w:ascii="Arial" w:cs="Arial" w:eastAsia="Arial" w:hAnsi="Arial"/>
          <w:sz w:val="12"/>
          <w:szCs w:val="12"/>
          <w:color w:val="auto"/>
        </w:rPr>
        <w:t>), a German limited liability entrepreneurial company (</w:t>
      </w:r>
      <w:r>
        <w:rPr>
          <w:rFonts w:ascii="Arial" w:cs="Arial" w:eastAsia="Arial" w:hAnsi="Arial"/>
          <w:sz w:val="12"/>
          <w:szCs w:val="12"/>
          <w:i w:val="1"/>
          <w:iCs w:val="1"/>
          <w:color w:val="auto"/>
        </w:rPr>
        <w:t>Unternehmergesellschaft</w:t>
      </w:r>
      <w:r>
        <w:rPr>
          <w:rFonts w:ascii="Arial" w:cs="Arial" w:eastAsia="Arial" w:hAnsi="Arial"/>
          <w:sz w:val="12"/>
          <w:szCs w:val="12"/>
          <w:color w:val="auto"/>
        </w:rPr>
        <w:t>) wholly-owned by him.</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member of our supervisory board currently owns any options or other equity awards for ordinary shares in the Company.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 Participation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2017</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2017, we implemented our initial stock option plan (the “2017 Plan”). Under the 2017 Plan, our management board was authorized, until December 31, 2019, to grant (i) up to 100,000 stock options to members of our management board or managing directors of our affiliates and (ii) up to 100,000 stock options to our employees or to employees of our affiliates. If stock options under the 2017 Plan are to be granted to members of our management board, only our supervisory board is entitled to decide on such grants. On June 12, 2020, the authorization to grant stock options under the 2017 Plan was reduced to 1,500 stock options.</w:t>
      </w:r>
    </w:p>
    <w:p>
      <w:pPr>
        <w:spacing w:after="0" w:line="128"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The stock options under the 2017 Plan are subject to a vesting period of four years. Once they have vested, they may be exercised within two years following the expiry of the vesting period (but only during the period that is four weeks following the announcement of our annual financial results in each of such two years). The stock options may only be exercised if and to the extent that the following performance targets, which are linked to the absolute performance of our share price during the vesting period, have been achieved: One third of the stock options can be exercised if the volume-weighted six-month price of our shares on the Xetra trading system (or a comparable successor system) of the Frankfurt Stock Exchange (“XETRA Share Price”) is at least 20% above the exercise price at the end of the vesting period, another third if the XETRA Share Price is at least 30% above the exercise price and the last third if the XETRA Share Price is at least 50% above the exercise price. The exercise price under the 2017 Plan corresponds to €59.1473. On May 14, 2021, our shareholders’ meeting resolved on an amendment to the 2017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our ADSs (converted into an amount per share) or the XETRA Share Price as the reference price under the 2017 Plan.</w:t>
      </w:r>
    </w:p>
    <w:p>
      <w:pPr>
        <w:spacing w:after="0" w:line="116"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Stock options under the 2017 Plan may only be exercised by an optionholder (i) during the time of such optionholder’s employment with us or one of our affiliates, or (ii) if such optionholder’s employment contract is terminated due to time limitation or upon retirement or mutual agreement. If the employment contract is terminated for other reasons and before the end of the vesting period, the stock options forfeit immediately. If the</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0159"/>
          </w:cols>
          <w:pgMar w:left="300" w:top="354" w:right="1440"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employment contract is terminated for other reasons and after vesting of the stock options but before the option rights have been exercised, such stock options forfeit following expiry of the next exercise period without replacement or compensation.</w:t>
      </w:r>
    </w:p>
    <w:p>
      <w:pPr>
        <w:spacing w:after="0" w:line="115"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Under the 2017 Plan, we may issue shares by utilizing the Conditional Capital 2017 (as described below under “Description of Share Capital and Articles of Association—Conditional Capital”) or treasury shares. At our discretion, we may also redeem the stock options in cash.</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2019</w:t>
      </w:r>
    </w:p>
    <w:p>
      <w:pPr>
        <w:spacing w:after="0" w:line="150" w:lineRule="exact"/>
        <w:rPr>
          <w:sz w:val="20"/>
          <w:szCs w:val="20"/>
          <w:color w:val="auto"/>
        </w:rPr>
      </w:pPr>
    </w:p>
    <w:p>
      <w:pPr>
        <w:jc w:val="both"/>
        <w:ind w:left="1980" w:right="839" w:firstLine="294"/>
        <w:spacing w:after="0" w:line="289" w:lineRule="auto"/>
        <w:rPr>
          <w:sz w:val="20"/>
          <w:szCs w:val="20"/>
          <w:color w:val="auto"/>
        </w:rPr>
      </w:pPr>
      <w:r>
        <w:rPr>
          <w:rFonts w:ascii="Arial" w:cs="Arial" w:eastAsia="Arial" w:hAnsi="Arial"/>
          <w:sz w:val="11"/>
          <w:szCs w:val="11"/>
          <w:color w:val="auto"/>
        </w:rPr>
        <w:t>In 2019, we established another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w:t>
      </w:r>
    </w:p>
    <w:p>
      <w:pPr>
        <w:spacing w:after="0" w:line="111" w:lineRule="exact"/>
        <w:rPr>
          <w:sz w:val="20"/>
          <w:szCs w:val="20"/>
          <w:color w:val="auto"/>
        </w:rPr>
      </w:pPr>
    </w:p>
    <w:p>
      <w:pPr>
        <w:ind w:left="1980" w:right="959" w:firstLine="294"/>
        <w:spacing w:after="0" w:line="280" w:lineRule="auto"/>
        <w:rPr>
          <w:sz w:val="20"/>
          <w:szCs w:val="20"/>
          <w:color w:val="auto"/>
        </w:rPr>
      </w:pPr>
      <w:r>
        <w:rPr>
          <w:rFonts w:ascii="Arial" w:cs="Arial" w:eastAsia="Arial" w:hAnsi="Arial"/>
          <w:sz w:val="11"/>
          <w:szCs w:val="11"/>
          <w:color w:val="auto"/>
        </w:rPr>
        <w:t>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our ADSs (converted into an amount per share) or the XETRA Share Price as the reference price under the 2019 Plan.</w:t>
      </w:r>
    </w:p>
    <w:p>
      <w:pPr>
        <w:spacing w:after="0" w:line="115"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w:t>
      </w:r>
    </w:p>
    <w:p>
      <w:pPr>
        <w:spacing w:after="0" w:line="128"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2019 Plan, we may issue shares by utilizing the Conditional Capital 2019 (as described below under “Description of Share Capital and Articles of Association—Conditional Capital”) or treasury shares. At our discretion, we may also settle the stock options in cash. In addition, the 2019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2020</w:t>
      </w:r>
    </w:p>
    <w:p>
      <w:pPr>
        <w:spacing w:after="0" w:line="15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0159"/>
          </w:cols>
          <w:pgMar w:left="300" w:top="354" w:right="1440"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280" w:lineRule="auto"/>
        <w:rPr>
          <w:sz w:val="20"/>
          <w:szCs w:val="20"/>
          <w:color w:val="auto"/>
        </w:rPr>
      </w:pPr>
      <w:r>
        <w:rPr>
          <w:rFonts w:ascii="Arial" w:cs="Arial" w:eastAsia="Arial" w:hAnsi="Arial"/>
          <w:sz w:val="11"/>
          <w:szCs w:val="11"/>
          <w:color w:val="auto"/>
        </w:rPr>
        <w:t>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our ADSs (converted into an amount per share) or the XETRA Share Price as the reference price under the 2020 Plan.</w:t>
      </w:r>
    </w:p>
    <w:p>
      <w:pPr>
        <w:spacing w:after="0" w:line="115"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 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w:t>
      </w:r>
    </w:p>
    <w:p>
      <w:pPr>
        <w:spacing w:after="0" w:line="113"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2020 Plan, we may issue shares by utilizing the Conditional Capital 2020 (as described below under “Description of Share Capital and Articles of Association—Conditional Capital”) or treasury shares. At our discretion, we may also settle the stock options in cash. In addition, the 2020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2021</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In connection with this offering, we intend to establish an additional stock option program (the “2021 Plan”) pursuant to which our supervisory board will be authorized to grant up to 103,321 stock options to the members of our management board.</w:t>
      </w:r>
    </w:p>
    <w:p>
      <w:pPr>
        <w:spacing w:after="0" w:line="11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The stock options under our 2021 Plan will be subject to a vesting period of three years. During this period, the stock options will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the vesting period, in any case within four weeks following the announcement of our annual or half year financial results.</w:t>
      </w:r>
    </w:p>
    <w:p>
      <w:pPr>
        <w:spacing w:after="0" w:line="12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Stock options under the 2021 Plan can only be exercised if the volume-weighted six-month average stock price of our shares or share certificates (converted into an amount per share) on the trading system with the highest total trading volume in our shares or share certificates (the “SOP 2021 Share Price”) within the last ten trading days prior to the exercise day is at least 20% above the exercise price at the end of the vesting period. If the Frankfurt Stock Exchange is such trading system, the XETRA Share Price is the relevant performance standard and the XETRA Share Price on the day preceding the issuance period is the relevant exercise price.</w:t>
      </w:r>
    </w:p>
    <w:p>
      <w:pPr>
        <w:spacing w:after="0" w:line="128" w:lineRule="exact"/>
        <w:rPr>
          <w:sz w:val="20"/>
          <w:szCs w:val="20"/>
          <w:color w:val="auto"/>
        </w:rPr>
      </w:pPr>
    </w:p>
    <w:p>
      <w:pPr>
        <w:ind w:left="1980" w:right="1019" w:firstLine="294"/>
        <w:spacing w:after="0" w:line="323" w:lineRule="auto"/>
        <w:rPr>
          <w:sz w:val="20"/>
          <w:szCs w:val="20"/>
          <w:color w:val="auto"/>
        </w:rPr>
      </w:pPr>
      <w:r>
        <w:rPr>
          <w:rFonts w:ascii="Arial" w:cs="Arial" w:eastAsia="Arial" w:hAnsi="Arial"/>
          <w:sz w:val="11"/>
          <w:szCs w:val="11"/>
          <w:color w:val="auto"/>
        </w:rPr>
        <w:t>Under the 2021 Plan, we may issue shares by utilizing the Conditional Capital 2021/II (as described below under “Description of Share Capital and Articles of Association—Conditional Capital”) or treasury shares. At our discretion, we may also settle the stock options in cash.</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0159"/>
          </w:cols>
          <w:pgMar w:left="300" w:top="354" w:right="1440" w:bottom="1440" w:gutter="0" w:footer="0" w:header="0"/>
        </w:sectPr>
      </w:pPr>
    </w:p>
    <w:bookmarkStart w:id="126" w:name="page127"/>
    <w:bookmarkEnd w:id="1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Restricted Stock Units Program 2021</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In addition to the 2021 Plan, we intend to implement a restricted stock units program (the “RSU Program”) in connection with this offering. Under the RSU Program, our management board will be authorized to grant up to 204,647 restricted stock units (“RSUs”) to (i) selected employees,</w:t>
      </w:r>
    </w:p>
    <w:p>
      <w:pPr>
        <w:spacing w:after="0" w:line="1" w:lineRule="exact"/>
        <w:rPr>
          <w:sz w:val="20"/>
          <w:szCs w:val="20"/>
          <w:color w:val="auto"/>
        </w:rPr>
      </w:pPr>
    </w:p>
    <w:p>
      <w:pPr>
        <w:ind w:left="1980" w:right="839" w:hanging="8"/>
        <w:spacing w:after="0" w:line="260" w:lineRule="auto"/>
        <w:tabs>
          <w:tab w:leader="none" w:pos="2157" w:val="left"/>
        </w:tabs>
        <w:numPr>
          <w:ilvl w:val="0"/>
          <w:numId w:val="52"/>
        </w:numPr>
        <w:rPr>
          <w:rFonts w:ascii="Arial" w:cs="Arial" w:eastAsia="Arial" w:hAnsi="Arial"/>
          <w:sz w:val="12"/>
          <w:szCs w:val="12"/>
          <w:color w:val="auto"/>
        </w:rPr>
      </w:pPr>
      <w:r>
        <w:rPr>
          <w:rFonts w:ascii="Arial" w:cs="Arial" w:eastAsia="Arial" w:hAnsi="Arial"/>
          <w:sz w:val="12"/>
          <w:szCs w:val="12"/>
          <w:color w:val="auto"/>
        </w:rPr>
        <w:t>selected employees of our affiliates, and (iii) managing directors of our affiliates. Forfeited RSUs under the RSU Program will be available for future grants.</w:t>
      </w:r>
    </w:p>
    <w:p>
      <w:pPr>
        <w:spacing w:after="0" w:line="124"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Under the RSU Program,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will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will vest. Following the expiry of the Cliff Period, the remaining RSUs will vest in instalments of one-twelfth for each fully completed quarter during which the beneficiary’s employment continues without termination, subject to certain exceptions. In a good leaver event (as defined), all vested RSUs will be retained and all unvested RSUs will forfeit without entitlement to compensation. In a bad leaver event (as defined), all vested and unvested RSUs will forfeit without entitlement to compensation.</w:t>
      </w:r>
    </w:p>
    <w:p>
      <w:pPr>
        <w:spacing w:after="0" w:line="119"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At our discretion, we may settle vested RSUs either (i) by way of new shares utilizing the Authorized Capital 2021/II (as described below under “Description of Share Capital and Articles of Association—Conditional Capital”), (ii) by way of a cash settlement, or (iii) a combination of both.</w:t>
      </w:r>
    </w:p>
    <w:p>
      <w:pPr>
        <w:spacing w:after="0" w:line="9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Each RSU entitles a beneficiary to a cash payment claim against us. Such payment claim will correspond to (i) 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or (ii) in case of a cash settlement, the average closing price of our shares or share certificates during the 30 trading days following the publication of our annual results, while such closing price is determined by the trading system with the highest total trading volume in shares or share certificates representing our shares within the ten last trading days prior to the publication of our annual financial report.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Corporate Governance Code</w:t>
      </w:r>
    </w:p>
    <w:p>
      <w:pPr>
        <w:spacing w:after="0" w:line="154"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German Corporate Governance Code (the “Corporate Governance Code”), sets out recognized standards of good and responsible corporate governance. The current version of the Corporate Governance Code is the version as amended as of December 16, 2019 and published in the German Federal Gazette (</w:t>
      </w:r>
      <w:r>
        <w:rPr>
          <w:rFonts w:ascii="Arial" w:cs="Arial" w:eastAsia="Arial" w:hAnsi="Arial"/>
          <w:sz w:val="12"/>
          <w:szCs w:val="12"/>
          <w:i w:val="1"/>
          <w:iCs w:val="1"/>
          <w:color w:val="auto"/>
        </w:rPr>
        <w:t>Bundesanzeiger</w:t>
      </w:r>
      <w:r>
        <w:rPr>
          <w:rFonts w:ascii="Arial" w:cs="Arial" w:eastAsia="Arial" w:hAnsi="Arial"/>
          <w:sz w:val="12"/>
          <w:szCs w:val="12"/>
          <w:color w:val="auto"/>
        </w:rPr>
        <w:t>) on March 20, 2020.</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Corporate Governance Code contains principles (</w:t>
      </w:r>
      <w:r>
        <w:rPr>
          <w:rFonts w:ascii="Arial" w:cs="Arial" w:eastAsia="Arial" w:hAnsi="Arial"/>
          <w:sz w:val="11"/>
          <w:szCs w:val="11"/>
          <w:i w:val="1"/>
          <w:iCs w:val="1"/>
          <w:color w:val="auto"/>
        </w:rPr>
        <w:t>Grundsätze</w:t>
      </w:r>
      <w:r>
        <w:rPr>
          <w:rFonts w:ascii="Arial" w:cs="Arial" w:eastAsia="Arial" w:hAnsi="Arial"/>
          <w:sz w:val="11"/>
          <w:szCs w:val="11"/>
          <w:color w:val="auto"/>
        </w:rPr>
        <w:t>), recommendations (</w:t>
      </w:r>
      <w:r>
        <w:rPr>
          <w:rFonts w:ascii="Arial" w:cs="Arial" w:eastAsia="Arial" w:hAnsi="Arial"/>
          <w:sz w:val="11"/>
          <w:szCs w:val="11"/>
          <w:i w:val="1"/>
          <w:iCs w:val="1"/>
          <w:color w:val="auto"/>
        </w:rPr>
        <w:t>Empfehlungen</w:t>
      </w:r>
      <w:r>
        <w:rPr>
          <w:rFonts w:ascii="Arial" w:cs="Arial" w:eastAsia="Arial" w:hAnsi="Arial"/>
          <w:sz w:val="11"/>
          <w:szCs w:val="11"/>
          <w:color w:val="auto"/>
        </w:rPr>
        <w:t>) and suggestions (</w:t>
      </w:r>
      <w:r>
        <w:rPr>
          <w:rFonts w:ascii="Arial" w:cs="Arial" w:eastAsia="Arial" w:hAnsi="Arial"/>
          <w:sz w:val="11"/>
          <w:szCs w:val="11"/>
          <w:i w:val="1"/>
          <w:iCs w:val="1"/>
          <w:color w:val="auto"/>
        </w:rPr>
        <w:t>Anregungen</w:t>
      </w:r>
      <w:r>
        <w:rPr>
          <w:rFonts w:ascii="Arial" w:cs="Arial" w:eastAsia="Arial" w:hAnsi="Arial"/>
          <w:sz w:val="11"/>
          <w:szCs w:val="11"/>
          <w:color w:val="auto"/>
        </w:rPr>
        <w:t>) relating to</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management and supervision of German companies whose shares are listed on the regulated market of a stock exchange in the European Union (or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equivalent supervised foreign market), and companies that both have other securities listed on a regulated market of a stock exchange in the European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Union (or equivalent supervised foreign market) and initiated the trading of their shares on a multilateral trading facility (MTF). The principles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Grundsätze</w:t>
      </w:r>
      <w:r>
        <w:rPr>
          <w:rFonts w:ascii="Arial" w:cs="Arial" w:eastAsia="Arial" w:hAnsi="Arial"/>
          <w:sz w:val="10"/>
          <w:szCs w:val="10"/>
          <w:color w:val="auto"/>
        </w:rPr>
        <w:t>) constitute only a purely informal reproduction of significant legal requirements under German substantive law. The Corporate Governance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Code follows nationally and internationally recognized standards for good and responsible corporate governance. The purpose of the Corporate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Governance Code is to make the German system of corporate governance transparent for</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0159"/>
          </w:cols>
          <w:pgMar w:left="300" w:top="354" w:right="1440"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59"/>
        <w:spacing w:after="0" w:line="323" w:lineRule="auto"/>
        <w:rPr>
          <w:sz w:val="20"/>
          <w:szCs w:val="20"/>
          <w:color w:val="auto"/>
        </w:rPr>
      </w:pPr>
      <w:r>
        <w:rPr>
          <w:rFonts w:ascii="Arial" w:cs="Arial" w:eastAsia="Arial" w:hAnsi="Arial"/>
          <w:sz w:val="11"/>
          <w:szCs w:val="11"/>
          <w:color w:val="auto"/>
        </w:rPr>
        <w:t>investors. The Corporate Governance Code includes corporate governance recommendations and suggestions with respect to shareholders and shareholders’ meetings, the management board and the supervisory board, transparency, accounting policies and auditing.</w:t>
      </w:r>
    </w:p>
    <w:p>
      <w:pPr>
        <w:spacing w:after="0" w:line="9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 xml:space="preserve">There is no obligation to comply with the recommendations or suggestions of the Corporate Governance Code. The German Stock Corporation Act merely requires that the management board and the supervisory board of a listed German company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(compliance statement, or </w:t>
      </w:r>
      <w:r>
        <w:rPr>
          <w:rFonts w:ascii="Arial" w:cs="Arial" w:eastAsia="Arial" w:hAnsi="Arial"/>
          <w:sz w:val="11"/>
          <w:szCs w:val="11"/>
          <w:i w:val="1"/>
          <w:iCs w:val="1"/>
          <w:color w:val="auto"/>
        </w:rPr>
        <w:t>Entsprechenserklärung</w:t>
      </w:r>
      <w:r>
        <w:rPr>
          <w:rFonts w:ascii="Arial" w:cs="Arial" w:eastAsia="Arial" w:hAnsi="Arial"/>
          <w:sz w:val="11"/>
          <w:szCs w:val="11"/>
          <w:color w:val="auto"/>
        </w:rPr>
        <w:t>). In addition, a company subject to the Corporate Governance Code is also required to state in its annual compliance statement</w:t>
      </w:r>
      <w:r>
        <w:rPr>
          <w:rFonts w:ascii="Arial" w:cs="Arial" w:eastAsia="Arial" w:hAnsi="Arial"/>
          <w:sz w:val="11"/>
          <w:szCs w:val="11"/>
          <w:i w:val="1"/>
          <w:iCs w:val="1"/>
          <w:color w:val="auto"/>
        </w:rPr>
        <w:t xml:space="preserve"> </w:t>
      </w:r>
      <w:r>
        <w:rPr>
          <w:rFonts w:ascii="Arial" w:cs="Arial" w:eastAsia="Arial" w:hAnsi="Arial"/>
          <w:sz w:val="11"/>
          <w:szCs w:val="11"/>
          <w:color w:val="auto"/>
        </w:rPr>
        <w:t>whether it intends to comply with the recommendations or list the recommendations it does not intend to comply with in the future. These compliance statements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17" w:lineRule="exact"/>
        <w:rPr>
          <w:sz w:val="20"/>
          <w:szCs w:val="20"/>
          <w:color w:val="auto"/>
        </w:rPr>
      </w:pPr>
    </w:p>
    <w:p>
      <w:pPr>
        <w:ind w:left="1980" w:right="1019" w:firstLine="294"/>
        <w:spacing w:after="0" w:line="309" w:lineRule="auto"/>
        <w:rPr>
          <w:sz w:val="20"/>
          <w:szCs w:val="20"/>
          <w:color w:val="auto"/>
        </w:rPr>
      </w:pPr>
      <w:r>
        <w:rPr>
          <w:rFonts w:ascii="Arial" w:cs="Arial" w:eastAsia="Arial" w:hAnsi="Arial"/>
          <w:sz w:val="10"/>
          <w:szCs w:val="10"/>
          <w:color w:val="auto"/>
        </w:rPr>
        <w:t>The Corporate Governance Code does not currently apply to us, as our shares are not listed on the regulated market of a stock exchange in the European Union (or equivalent supervised foreign market) and we do not have other securities listed on a regulated market of a stock exchange in the</w:t>
      </w:r>
    </w:p>
    <w:p>
      <w:pPr>
        <w:spacing w:after="0" w:line="1" w:lineRule="exact"/>
        <w:rPr>
          <w:sz w:val="20"/>
          <w:szCs w:val="20"/>
          <w:color w:val="auto"/>
        </w:rPr>
      </w:pPr>
    </w:p>
    <w:p>
      <w:pPr>
        <w:ind w:left="1980" w:right="919"/>
        <w:spacing w:after="0" w:line="253" w:lineRule="auto"/>
        <w:rPr>
          <w:sz w:val="20"/>
          <w:szCs w:val="20"/>
          <w:color w:val="auto"/>
        </w:rPr>
      </w:pPr>
      <w:r>
        <w:rPr>
          <w:rFonts w:ascii="Arial" w:cs="Arial" w:eastAsia="Arial" w:hAnsi="Arial"/>
          <w:sz w:val="12"/>
          <w:szCs w:val="12"/>
          <w:color w:val="auto"/>
        </w:rPr>
        <w:t>European Union (or equivalent supervised foreign market) nor do our shares trade on a MTF. Following our listing on , the Corporate Governance Code will apply to us and we will be required to issue annual compliance statements as described above. Our management board and supervisory board will be obliged to comply with the Corporate Governance Code except for such provisions, which are explicitly listed in such annual compliance statements and for which they provide an explanation of non-compliance.</w:t>
      </w:r>
    </w:p>
    <w:p>
      <w:pPr>
        <w:spacing w:after="0" w:line="129"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We expect to deviate from certain recommendations and suggestions of the Corporate Governance Code. All deviations from the Corporate Governance Code recommendations will be published in the official annual declarations.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In connection with the completion of this offering, we intend to adopt a written code of business conduct and ethics, or code of conduct, which will outline the principles of legal and ethical business conduct under which we do business. The code of conduct will apply to all of our management board members, supervisory board members and employees. Upon the effectiveness of the registration statement of which this prospectus forms a part, the full text of the code of conduct will be available on our website at www.mynaric.com. This website address is included in this prospectus as an inactive textual reference only. The information and other content appearing on our website are not part of this prospectus. Any amendments to, or waivers from, the provisions of the code of conduct applicable to members of our supervisory board and management board will be disclosed on our website promptly following the date of such amendment or waiver.</w:t>
      </w:r>
    </w:p>
    <w:p>
      <w:pPr>
        <w:spacing w:after="0" w:line="115"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addition, we intend to implement a compliance handbook which describes the compliance management system that we are going to implement for us and our subsidiaries. Our compliance handbook will be designed to ensure compliance with all legal requirements, while at the same time implementing high ethical standards that are mandatory for both management and each employee. The overall responsibility for the compliance management system lies with the management board.</w:t>
      </w:r>
    </w:p>
    <w:p>
      <w:pPr>
        <w:spacing w:after="0" w:line="120" w:lineRule="exact"/>
        <w:rPr>
          <w:sz w:val="20"/>
          <w:szCs w:val="20"/>
          <w:color w:val="auto"/>
        </w:rPr>
      </w:pPr>
    </w:p>
    <w:p>
      <w:pPr>
        <w:ind w:left="2260"/>
        <w:spacing w:after="0"/>
        <w:tabs>
          <w:tab w:leader="none" w:pos="7120" w:val="left"/>
        </w:tabs>
        <w:rPr>
          <w:sz w:val="20"/>
          <w:szCs w:val="20"/>
          <w:color w:val="auto"/>
        </w:rPr>
      </w:pPr>
      <w:r>
        <w:rPr>
          <w:rFonts w:ascii="Arial" w:cs="Arial" w:eastAsia="Arial" w:hAnsi="Arial"/>
          <w:sz w:val="12"/>
          <w:szCs w:val="12"/>
          <w:b w:val="1"/>
          <w:bCs w:val="1"/>
          <w:color w:val="auto"/>
        </w:rPr>
        <w:t>Differences Between Our Corporate Governance Practice and Those Set Forth in the</w:t>
      </w:r>
      <w:r>
        <w:rPr>
          <w:sz w:val="20"/>
          <w:szCs w:val="20"/>
          <w:color w:val="auto"/>
        </w:rPr>
        <w:tab/>
      </w:r>
      <w:r>
        <w:rPr>
          <w:rFonts w:ascii="Arial" w:cs="Arial" w:eastAsia="Arial" w:hAnsi="Arial"/>
          <w:sz w:val="11"/>
          <w:szCs w:val="11"/>
          <w:b w:val="1"/>
          <w:bCs w:val="1"/>
          <w:color w:val="auto"/>
        </w:rPr>
        <w:t>Listed Company Manual</w:t>
      </w:r>
    </w:p>
    <w:p>
      <w:pPr>
        <w:spacing w:after="0" w:line="10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0159"/>
          </w:cols>
          <w:pgMar w:left="300" w:top="354" w:right="1440"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PRINCIPAL SHAREHOLDERS</w:t>
      </w:r>
    </w:p>
    <w:p>
      <w:pPr>
        <w:spacing w:after="0" w:line="154" w:lineRule="exact"/>
        <w:rPr>
          <w:sz w:val="20"/>
          <w:szCs w:val="20"/>
          <w:color w:val="auto"/>
        </w:rPr>
      </w:pPr>
    </w:p>
    <w:p>
      <w:pPr>
        <w:ind w:left="2260"/>
        <w:spacing w:after="0"/>
        <w:tabs>
          <w:tab w:leader="none" w:pos="5060" w:val="left"/>
        </w:tabs>
        <w:rPr>
          <w:sz w:val="20"/>
          <w:szCs w:val="20"/>
          <w:color w:val="auto"/>
        </w:rPr>
      </w:pPr>
      <w:r>
        <w:rPr>
          <w:rFonts w:ascii="Arial" w:cs="Arial" w:eastAsia="Arial" w:hAnsi="Arial"/>
          <w:sz w:val="12"/>
          <w:szCs w:val="12"/>
          <w:color w:val="auto"/>
        </w:rPr>
        <w:t>The following table sets forth information, as of</w:t>
      </w:r>
      <w:r>
        <w:rPr>
          <w:sz w:val="20"/>
          <w:szCs w:val="20"/>
          <w:color w:val="auto"/>
        </w:rPr>
        <w:tab/>
      </w:r>
      <w:r>
        <w:rPr>
          <w:rFonts w:ascii="Arial" w:cs="Arial" w:eastAsia="Arial" w:hAnsi="Arial"/>
          <w:sz w:val="11"/>
          <w:szCs w:val="11"/>
          <w:color w:val="auto"/>
        </w:rPr>
        <w:t>, 2021, regarding the beneficial ownership of our ordinary shares: (i) prior to the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completion of this offering and (ii) as adjusted to reflect the sale of our ADSs in this offering, for:</w:t>
      </w:r>
    </w:p>
    <w:p>
      <w:pPr>
        <w:spacing w:after="0" w:line="159" w:lineRule="exact"/>
        <w:rPr>
          <w:sz w:val="20"/>
          <w:szCs w:val="20"/>
          <w:color w:val="auto"/>
        </w:rPr>
      </w:pPr>
    </w:p>
    <w:p>
      <w:pPr>
        <w:ind w:left="2540" w:hanging="280"/>
        <w:spacing w:after="0"/>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members of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members of our management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members of our supervisory board and our management board as a group;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each person who, to the best of our knowledge, beneficially owns 5% or more of our outstanding ordinary shares.</w:t>
      </w:r>
    </w:p>
    <w:p>
      <w:pPr>
        <w:spacing w:after="0" w:line="150" w:lineRule="exact"/>
        <w:rPr>
          <w:sz w:val="20"/>
          <w:szCs w:val="20"/>
          <w:color w:val="auto"/>
        </w:rPr>
      </w:pPr>
    </w:p>
    <w:p>
      <w:pPr>
        <w:ind w:left="1980" w:right="919" w:firstLine="294"/>
        <w:spacing w:after="0" w:line="309" w:lineRule="auto"/>
        <w:rPr>
          <w:sz w:val="20"/>
          <w:szCs w:val="20"/>
          <w:color w:val="auto"/>
        </w:rPr>
      </w:pPr>
      <w:r>
        <w:rPr>
          <w:rFonts w:ascii="Arial" w:cs="Arial" w:eastAsia="Arial" w:hAnsi="Arial"/>
          <w:sz w:val="10"/>
          <w:szCs w:val="10"/>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w:t>
      </w:r>
    </w:p>
    <w:p>
      <w:pPr>
        <w:spacing w:after="0" w:line="1" w:lineRule="exact"/>
        <w:rPr>
          <w:sz w:val="20"/>
          <w:szCs w:val="20"/>
          <w:color w:val="auto"/>
        </w:rPr>
      </w:pPr>
    </w:p>
    <w:p>
      <w:pPr>
        <w:ind w:left="1980" w:right="1019"/>
        <w:spacing w:after="0" w:line="255" w:lineRule="auto"/>
        <w:rPr>
          <w:sz w:val="20"/>
          <w:szCs w:val="20"/>
          <w:color w:val="auto"/>
        </w:rPr>
      </w:pPr>
      <w:r>
        <w:rPr>
          <w:rFonts w:ascii="Arial" w:cs="Arial" w:eastAsia="Arial" w:hAnsi="Arial"/>
          <w:sz w:val="12"/>
          <w:szCs w:val="12"/>
          <w:color w:val="auto"/>
        </w:rPr>
        <w:t>or investment power as well as any shares that the individual has the right to acquire within 60 days of , 2021,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27" w:lineRule="exact"/>
        <w:rPr>
          <w:sz w:val="20"/>
          <w:szCs w:val="20"/>
          <w:color w:val="auto"/>
        </w:rPr>
      </w:pPr>
    </w:p>
    <w:p>
      <w:pPr>
        <w:ind w:left="2260"/>
        <w:spacing w:after="0"/>
        <w:tabs>
          <w:tab w:leader="none" w:pos="7220" w:val="left"/>
        </w:tabs>
        <w:rPr>
          <w:sz w:val="20"/>
          <w:szCs w:val="20"/>
          <w:color w:val="auto"/>
        </w:rPr>
      </w:pPr>
      <w:r>
        <w:rPr>
          <w:rFonts w:ascii="Arial" w:cs="Arial" w:eastAsia="Arial" w:hAnsi="Arial"/>
          <w:sz w:val="12"/>
          <w:szCs w:val="12"/>
          <w:color w:val="auto"/>
        </w:rPr>
        <w:t>The percentage of shares beneficially owned before this offering is computed on the basis of</w:t>
      </w:r>
      <w:r>
        <w:rPr>
          <w:sz w:val="20"/>
          <w:szCs w:val="20"/>
          <w:color w:val="auto"/>
        </w:rPr>
        <w:tab/>
      </w:r>
      <w:r>
        <w:rPr>
          <w:rFonts w:ascii="Arial" w:cs="Arial" w:eastAsia="Arial" w:hAnsi="Arial"/>
          <w:sz w:val="10"/>
          <w:szCs w:val="10"/>
          <w:color w:val="auto"/>
        </w:rPr>
        <w:t>outstanding ordinary shares as of</w:t>
      </w:r>
    </w:p>
    <w:p>
      <w:pPr>
        <w:spacing w:after="0" w:line="15" w:lineRule="exact"/>
        <w:rPr>
          <w:sz w:val="20"/>
          <w:szCs w:val="20"/>
          <w:color w:val="auto"/>
        </w:rPr>
      </w:pPr>
    </w:p>
    <w:p>
      <w:pPr>
        <w:ind w:left="2460"/>
        <w:spacing w:after="0"/>
        <w:tabs>
          <w:tab w:leader="none" w:pos="8340" w:val="left"/>
        </w:tabs>
        <w:rPr>
          <w:sz w:val="20"/>
          <w:szCs w:val="20"/>
          <w:color w:val="auto"/>
        </w:rPr>
      </w:pPr>
      <w:r>
        <w:rPr>
          <w:rFonts w:ascii="Arial" w:cs="Arial" w:eastAsia="Arial" w:hAnsi="Arial"/>
          <w:sz w:val="12"/>
          <w:szCs w:val="12"/>
          <w:color w:val="auto"/>
        </w:rPr>
        <w:t>, 2021. The percentage of ordinary shares beneficially owned on an adjusted basis after this offering is based on</w:t>
      </w:r>
      <w:r>
        <w:rPr>
          <w:sz w:val="20"/>
          <w:szCs w:val="20"/>
          <w:color w:val="auto"/>
        </w:rPr>
        <w:tab/>
      </w:r>
      <w:r>
        <w:rPr>
          <w:rFonts w:ascii="Arial" w:cs="Arial" w:eastAsia="Arial" w:hAnsi="Arial"/>
          <w:sz w:val="10"/>
          <w:szCs w:val="10"/>
          <w:color w:val="auto"/>
        </w:rPr>
        <w:t>ordinary shares to</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be outstanding after this offering after giving effect to completion of this offering assuming no exercise of the underwriters’ option to purchase</w:t>
      </w:r>
    </w:p>
    <w:p>
      <w:pPr>
        <w:spacing w:after="0" w:line="18" w:lineRule="exact"/>
        <w:rPr>
          <w:sz w:val="20"/>
          <w:szCs w:val="20"/>
          <w:color w:val="auto"/>
        </w:rPr>
      </w:pPr>
    </w:p>
    <w:p>
      <w:pPr>
        <w:ind w:left="1980"/>
        <w:spacing w:after="0"/>
        <w:tabs>
          <w:tab w:leader="none" w:pos="3920" w:val="left"/>
        </w:tabs>
        <w:rPr>
          <w:sz w:val="20"/>
          <w:szCs w:val="20"/>
          <w:color w:val="auto"/>
        </w:rPr>
      </w:pPr>
      <w:r>
        <w:rPr>
          <w:rFonts w:ascii="Arial" w:cs="Arial" w:eastAsia="Arial" w:hAnsi="Arial"/>
          <w:sz w:val="12"/>
          <w:szCs w:val="12"/>
          <w:color w:val="auto"/>
        </w:rPr>
        <w:t>additional ADSs from us, and</w:t>
      </w:r>
      <w:r>
        <w:rPr>
          <w:sz w:val="20"/>
          <w:szCs w:val="20"/>
          <w:color w:val="auto"/>
        </w:rPr>
        <w:tab/>
      </w:r>
      <w:r>
        <w:rPr>
          <w:rFonts w:ascii="Arial" w:cs="Arial" w:eastAsia="Arial" w:hAnsi="Arial"/>
          <w:sz w:val="11"/>
          <w:szCs w:val="11"/>
          <w:color w:val="auto"/>
        </w:rPr>
        <w:t>ordinary shares to be outstanding after this offering after giving effect to completion of this offering and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assuming full exercise of the underwriters’ option to purchase additional ADSs from us. Shares that a person has the right to acquire within 60 days of</w:t>
      </w:r>
    </w:p>
    <w:p>
      <w:pPr>
        <w:spacing w:after="0" w:line="18" w:lineRule="exact"/>
        <w:rPr>
          <w:sz w:val="20"/>
          <w:szCs w:val="20"/>
          <w:color w:val="auto"/>
        </w:rPr>
      </w:pPr>
    </w:p>
    <w:p>
      <w:pPr>
        <w:ind w:left="1980" w:right="859" w:firstLine="472"/>
        <w:spacing w:after="0" w:line="253" w:lineRule="auto"/>
        <w:tabs>
          <w:tab w:leader="none" w:pos="25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2021,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management board, as a group. Unless otherwise indicated below, the address for each beneficial owner listed is c/o Mynaric AG, Dornierstraße 19, 82205 Gilching, Germany.</w:t>
      </w:r>
    </w:p>
    <w:p>
      <w:pPr>
        <w:spacing w:after="0" w:line="14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0" w:type="dxa"/>
            <w:vAlign w:val="bottom"/>
            <w:gridSpan w:val="8"/>
          </w:tcPr>
          <w:p>
            <w:pPr>
              <w:ind w:left="380"/>
              <w:spacing w:after="0"/>
              <w:rPr>
                <w:sz w:val="20"/>
                <w:szCs w:val="20"/>
                <w:color w:val="auto"/>
              </w:rPr>
            </w:pPr>
            <w:r>
              <w:rPr>
                <w:rFonts w:ascii="Arial" w:cs="Arial" w:eastAsia="Arial" w:hAnsi="Arial"/>
                <w:sz w:val="10"/>
                <w:szCs w:val="10"/>
                <w:b w:val="1"/>
                <w:bCs w:val="1"/>
                <w:color w:val="auto"/>
              </w:rPr>
              <w:t>Shares beneficially owned after this offering</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Borders>
              <w:top w:val="single" w:sz="8" w:color="auto"/>
            </w:tcBorders>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2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220" w:type="dxa"/>
            <w:vAlign w:val="bottom"/>
          </w:tcPr>
          <w:p>
            <w:pPr>
              <w:spacing w:after="0"/>
              <w:rPr>
                <w:sz w:val="8"/>
                <w:szCs w:val="8"/>
                <w:color w:val="auto"/>
              </w:rPr>
            </w:pPr>
          </w:p>
        </w:tc>
        <w:tc>
          <w:tcPr>
            <w:tcW w:w="120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720" w:type="dxa"/>
            <w:vAlign w:val="bottom"/>
            <w:gridSpan w:val="5"/>
          </w:tcPr>
          <w:p>
            <w:pPr>
              <w:ind w:left="80"/>
              <w:spacing w:after="0" w:line="99" w:lineRule="exact"/>
              <w:rPr>
                <w:sz w:val="20"/>
                <w:szCs w:val="20"/>
                <w:color w:val="auto"/>
              </w:rPr>
            </w:pPr>
            <w:r>
              <w:rPr>
                <w:rFonts w:ascii="Arial" w:cs="Arial" w:eastAsia="Arial" w:hAnsi="Arial"/>
                <w:sz w:val="10"/>
                <w:szCs w:val="10"/>
                <w:b w:val="1"/>
                <w:bCs w:val="1"/>
                <w:color w:val="auto"/>
              </w:rPr>
              <w:t>Shares beneficially owned before</w:t>
            </w:r>
          </w:p>
        </w:tc>
        <w:tc>
          <w:tcPr>
            <w:tcW w:w="118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7"/>
              </w:rPr>
              <w:t>additional ADSs from us</w:t>
            </w:r>
          </w:p>
        </w:tc>
        <w:tc>
          <w:tcPr>
            <w:tcW w:w="220" w:type="dxa"/>
            <w:vAlign w:val="bottom"/>
          </w:tcPr>
          <w:p>
            <w:pPr>
              <w:spacing w:after="0"/>
              <w:rPr>
                <w:sz w:val="8"/>
                <w:szCs w:val="8"/>
                <w:color w:val="auto"/>
              </w:rPr>
            </w:pPr>
          </w:p>
        </w:tc>
        <w:tc>
          <w:tcPr>
            <w:tcW w:w="120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6"/>
              </w:rPr>
              <w:t>additional ADSs from us</w:t>
            </w:r>
          </w:p>
        </w:tc>
        <w:tc>
          <w:tcPr>
            <w:tcW w:w="0" w:type="dxa"/>
            <w:vAlign w:val="bottom"/>
          </w:tcPr>
          <w:p>
            <w:pPr>
              <w:spacing w:after="0"/>
              <w:rPr>
                <w:sz w:val="1"/>
                <w:szCs w:val="1"/>
                <w:color w:val="auto"/>
              </w:rPr>
            </w:pPr>
          </w:p>
        </w:tc>
      </w:tr>
      <w:tr>
        <w:trPr>
          <w:trHeight w:val="113"/>
        </w:trPr>
        <w:tc>
          <w:tcPr>
            <w:tcW w:w="500" w:type="dxa"/>
            <w:vAlign w:val="bottom"/>
            <w:vMerge w:val="restart"/>
          </w:tcPr>
          <w:p>
            <w:pPr>
              <w:spacing w:after="0"/>
              <w:rPr>
                <w:sz w:val="20"/>
                <w:szCs w:val="20"/>
                <w:color w:val="auto"/>
              </w:rPr>
            </w:pPr>
            <w:r>
              <w:rPr>
                <w:rFonts w:ascii="Arial" w:cs="Arial" w:eastAsia="Arial" w:hAnsi="Arial"/>
                <w:sz w:val="10"/>
                <w:szCs w:val="10"/>
                <w:b w:val="1"/>
                <w:bCs w:val="1"/>
                <w:color w:val="auto"/>
                <w:w w:val="82"/>
              </w:rPr>
              <w:t>Shareholder</w:t>
            </w:r>
          </w:p>
        </w:tc>
        <w:tc>
          <w:tcPr>
            <w:tcW w:w="2520" w:type="dxa"/>
            <w:vAlign w:val="bottom"/>
            <w:vMerge w:val="restart"/>
          </w:tcPr>
          <w:p>
            <w:pPr>
              <w:spacing w:after="0"/>
              <w:rPr>
                <w:sz w:val="9"/>
                <w:szCs w:val="9"/>
                <w:color w:val="auto"/>
              </w:rPr>
            </w:pPr>
          </w:p>
        </w:tc>
        <w:tc>
          <w:tcPr>
            <w:tcW w:w="1020" w:type="dxa"/>
            <w:vAlign w:val="bottom"/>
            <w:gridSpan w:val="3"/>
          </w:tcPr>
          <w:p>
            <w:pPr>
              <w:ind w:left="500"/>
              <w:spacing w:after="0" w:line="114" w:lineRule="exact"/>
              <w:rPr>
                <w:sz w:val="20"/>
                <w:szCs w:val="20"/>
                <w:color w:val="auto"/>
              </w:rPr>
            </w:pPr>
            <w:r>
              <w:rPr>
                <w:rFonts w:ascii="Arial" w:cs="Arial" w:eastAsia="Arial" w:hAnsi="Arial"/>
                <w:sz w:val="10"/>
                <w:szCs w:val="10"/>
                <w:b w:val="1"/>
                <w:bCs w:val="1"/>
                <w:color w:val="auto"/>
                <w:w w:val="86"/>
              </w:rPr>
              <w:t>this offering</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jc w:val="center"/>
              <w:spacing w:after="0" w:line="114" w:lineRule="exact"/>
              <w:rPr>
                <w:sz w:val="20"/>
                <w:szCs w:val="20"/>
                <w:color w:val="auto"/>
              </w:rPr>
            </w:pPr>
            <w:r>
              <w:rPr>
                <w:rFonts w:ascii="Arial" w:cs="Arial" w:eastAsia="Arial" w:hAnsi="Arial"/>
                <w:sz w:val="10"/>
                <w:szCs w:val="10"/>
                <w:b w:val="1"/>
                <w:bCs w:val="1"/>
                <w:color w:val="auto"/>
                <w:w w:val="81"/>
              </w:rPr>
              <w:t>is not exercised</w:t>
            </w:r>
          </w:p>
        </w:tc>
        <w:tc>
          <w:tcPr>
            <w:tcW w:w="220" w:type="dxa"/>
            <w:vAlign w:val="bottom"/>
          </w:tcPr>
          <w:p>
            <w:pPr>
              <w:spacing w:after="0"/>
              <w:rPr>
                <w:sz w:val="9"/>
                <w:szCs w:val="9"/>
                <w:color w:val="auto"/>
              </w:rPr>
            </w:pPr>
          </w:p>
        </w:tc>
        <w:tc>
          <w:tcPr>
            <w:tcW w:w="1200" w:type="dxa"/>
            <w:vAlign w:val="bottom"/>
            <w:gridSpan w:val="4"/>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is exercised in full</w:t>
            </w:r>
          </w:p>
        </w:tc>
        <w:tc>
          <w:tcPr>
            <w:tcW w:w="0" w:type="dxa"/>
            <w:vAlign w:val="bottom"/>
          </w:tcPr>
          <w:p>
            <w:pPr>
              <w:spacing w:after="0"/>
              <w:rPr>
                <w:sz w:val="1"/>
                <w:szCs w:val="1"/>
                <w:color w:val="auto"/>
              </w:rPr>
            </w:pPr>
          </w:p>
        </w:tc>
      </w:tr>
      <w:tr>
        <w:trPr>
          <w:trHeight w:val="99"/>
        </w:trPr>
        <w:tc>
          <w:tcPr>
            <w:tcW w:w="500" w:type="dxa"/>
            <w:vAlign w:val="bottom"/>
            <w:tcBorders>
              <w:bottom w:val="single" w:sz="8" w:color="auto"/>
            </w:tcBorders>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1020" w:type="dxa"/>
            <w:vAlign w:val="bottom"/>
            <w:tcBorders>
              <w:top w:val="single" w:sz="8" w:color="auto"/>
            </w:tcBorders>
            <w:gridSpan w:val="3"/>
          </w:tcPr>
          <w:p>
            <w:pPr>
              <w:ind w:left="160"/>
              <w:spacing w:after="0" w:line="79" w:lineRule="exact"/>
              <w:rPr>
                <w:sz w:val="20"/>
                <w:szCs w:val="20"/>
                <w:color w:val="auto"/>
              </w:rPr>
            </w:pPr>
            <w:r>
              <w:rPr>
                <w:rFonts w:ascii="Arial" w:cs="Arial" w:eastAsia="Arial" w:hAnsi="Arial"/>
                <w:sz w:val="8"/>
                <w:szCs w:val="8"/>
                <w:b w:val="1"/>
                <w:bCs w:val="1"/>
                <w:color w:val="auto"/>
              </w:rPr>
              <w:t>Number</w:t>
            </w:r>
          </w:p>
        </w:tc>
        <w:tc>
          <w:tcPr>
            <w:tcW w:w="480" w:type="dxa"/>
            <w:vAlign w:val="bottom"/>
            <w:tcBorders>
              <w:top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rPr>
              <w:t>Percent</w:t>
            </w:r>
          </w:p>
        </w:tc>
        <w:tc>
          <w:tcPr>
            <w:tcW w:w="220" w:type="dxa"/>
            <w:vAlign w:val="bottom"/>
          </w:tcPr>
          <w:p>
            <w:pPr>
              <w:spacing w:after="0"/>
              <w:rPr>
                <w:sz w:val="8"/>
                <w:szCs w:val="8"/>
                <w:color w:val="auto"/>
              </w:rPr>
            </w:pPr>
          </w:p>
        </w:tc>
        <w:tc>
          <w:tcPr>
            <w:tcW w:w="480" w:type="dxa"/>
            <w:vAlign w:val="bottom"/>
            <w:tcBorders>
              <w:top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rPr>
              <w:t>Number</w:t>
            </w:r>
          </w:p>
        </w:tc>
        <w:tc>
          <w:tcPr>
            <w:tcW w:w="2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Percent</w:t>
            </w:r>
          </w:p>
        </w:tc>
        <w:tc>
          <w:tcPr>
            <w:tcW w:w="220" w:type="dxa"/>
            <w:vAlign w:val="bottom"/>
          </w:tcPr>
          <w:p>
            <w:pPr>
              <w:spacing w:after="0"/>
              <w:rPr>
                <w:sz w:val="8"/>
                <w:szCs w:val="8"/>
                <w:color w:val="auto"/>
              </w:rPr>
            </w:pPr>
          </w:p>
        </w:tc>
        <w:tc>
          <w:tcPr>
            <w:tcW w:w="460" w:type="dxa"/>
            <w:vAlign w:val="bottom"/>
            <w:tcBorders>
              <w:top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rPr>
              <w:t>Number</w:t>
            </w:r>
          </w:p>
        </w:tc>
        <w:tc>
          <w:tcPr>
            <w:tcW w:w="2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Percent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0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5% shareholders</w:t>
            </w: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Dr. Markus Knapek</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252,347</w:t>
            </w:r>
          </w:p>
        </w:tc>
        <w:tc>
          <w:tcPr>
            <w:tcW w:w="10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6.2</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Apeiron Investment Group Ltd.</w:t>
            </w:r>
            <w:r>
              <w:rPr>
                <w:rFonts w:ascii="Arial" w:cs="Arial" w:eastAsia="Arial" w:hAnsi="Arial"/>
                <w:sz w:val="15"/>
                <w:szCs w:val="15"/>
                <w:color w:val="auto"/>
                <w:vertAlign w:val="superscript"/>
              </w:rPr>
              <w:t>(1)(2)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242,900</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5.9</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Members of our supervisory board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Manfred Krischke</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Dr. Gerd Gruppe</w:t>
            </w:r>
          </w:p>
        </w:tc>
        <w:tc>
          <w:tcPr>
            <w:tcW w:w="102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Steve Geskos</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line="135" w:lineRule="exact"/>
              <w:rPr>
                <w:sz w:val="20"/>
                <w:szCs w:val="20"/>
                <w:color w:val="auto"/>
              </w:rPr>
            </w:pPr>
            <w:r>
              <w:rPr>
                <w:rFonts w:ascii="Arial" w:cs="Arial" w:eastAsia="Arial" w:hAnsi="Arial"/>
                <w:sz w:val="9"/>
                <w:szCs w:val="9"/>
                <w:color w:val="auto"/>
              </w:rPr>
              <w:t>Peter Müller-Brühl</w:t>
            </w:r>
            <w:r>
              <w:rPr>
                <w:rFonts w:ascii="Arial" w:cs="Arial" w:eastAsia="Arial" w:hAnsi="Arial"/>
                <w:sz w:val="15"/>
                <w:szCs w:val="15"/>
                <w:color w:val="auto"/>
                <w:vertAlign w:val="superscript"/>
              </w:rPr>
              <w:t>(3)</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10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0.1</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Vincent Wobbe</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Members of our management board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Bulent Altan</w:t>
            </w:r>
            <w:r>
              <w:rPr>
                <w:rFonts w:ascii="Arial" w:cs="Arial" w:eastAsia="Arial" w:hAnsi="Arial"/>
                <w:sz w:val="15"/>
                <w:szCs w:val="15"/>
                <w:color w:val="auto"/>
                <w:vertAlign w:val="superscript"/>
              </w:rPr>
              <w:t>(2)</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02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220,527</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5.4</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All members of our supervisory board and management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100"/>
              <w:spacing w:after="0"/>
              <w:rPr>
                <w:sz w:val="20"/>
                <w:szCs w:val="20"/>
                <w:color w:val="auto"/>
              </w:rPr>
            </w:pPr>
            <w:r>
              <w:rPr>
                <w:rFonts w:ascii="Arial" w:cs="Arial" w:eastAsia="Arial" w:hAnsi="Arial"/>
                <w:sz w:val="11"/>
                <w:szCs w:val="11"/>
                <w:b w:val="1"/>
                <w:bCs w:val="1"/>
                <w:color w:val="auto"/>
              </w:rPr>
              <w:t>board, as a group</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224,972</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5.5</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720,664</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17.6</w:t>
            </w: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0159"/>
          </w:cols>
          <w:pgMar w:left="300" w:top="354" w:right="1440"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193675</wp:posOffset>
            </wp:positionV>
            <wp:extent cx="130302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308" w:lineRule="exact"/>
        <w:rPr>
          <w:sz w:val="20"/>
          <w:szCs w:val="20"/>
          <w:color w:val="auto"/>
        </w:rPr>
      </w:pPr>
    </w:p>
    <w:p>
      <w:pPr>
        <w:ind w:left="2260" w:right="1159" w:hanging="288"/>
        <w:spacing w:after="0" w:line="214" w:lineRule="auto"/>
        <w:tabs>
          <w:tab w:leader="none" w:pos="2260" w:val="left"/>
        </w:tabs>
        <w:numPr>
          <w:ilvl w:val="0"/>
          <w:numId w:val="55"/>
        </w:numPr>
        <w:rPr>
          <w:rFonts w:ascii="Arial" w:cs="Arial" w:eastAsia="Arial" w:hAnsi="Arial"/>
          <w:sz w:val="10"/>
          <w:szCs w:val="10"/>
          <w:color w:val="auto"/>
        </w:rPr>
      </w:pPr>
      <w:r>
        <w:rPr>
          <w:rFonts w:ascii="Arial" w:cs="Arial" w:eastAsia="Arial" w:hAnsi="Arial"/>
          <w:sz w:val="10"/>
          <w:szCs w:val="10"/>
          <w:color w:val="auto"/>
        </w:rPr>
        <w:t>Apeiron Investment Group Ltd. is owned and controlled by Christian Angermayer. Mr. Angermayer may be deemed to have beneficial ownership of the shares held by Apeiron Investment Group Ltd. The address for Mr. Angermayer is 66 &amp; 67, Beatrice, Amery Street, Sliema, SLM1707, Malta.</w:t>
      </w:r>
    </w:p>
    <w:p>
      <w:pPr>
        <w:ind w:left="2260" w:right="859" w:hanging="288"/>
        <w:spacing w:after="0" w:line="258" w:lineRule="auto"/>
        <w:tabs>
          <w:tab w:leader="none" w:pos="2260" w:val="left"/>
        </w:tabs>
        <w:numPr>
          <w:ilvl w:val="0"/>
          <w:numId w:val="55"/>
        </w:numPr>
        <w:rPr>
          <w:rFonts w:ascii="Arial" w:cs="Arial" w:eastAsia="Arial" w:hAnsi="Arial"/>
          <w:sz w:val="8"/>
          <w:szCs w:val="8"/>
          <w:color w:val="auto"/>
        </w:rPr>
      </w:pPr>
      <w:r>
        <w:rPr>
          <w:rFonts w:ascii="Arial" w:cs="Arial" w:eastAsia="Arial" w:hAnsi="Arial"/>
          <w:sz w:val="8"/>
          <w:szCs w:val="8"/>
          <w:color w:val="auto"/>
        </w:rPr>
        <w:t>Apeiron Investment Group Ltd. (“Apeiron”) and Bulent Altan entered into an option agreement dated August 13, 2019 (as amended), pursuant to which Bulent Altan was granted the right to acquire 56,700 no-par value bearer shares of the Company from Apeiron. Since the option under the option agreement is immediately exercisable, Mr. Altan may be deemed to have beneficial ownership of 56,700 ordinary shares in the Company. Upon exercise of this option by Mr. Altan, the shareholding of Apeiron will decrease accordingly. For more information on the option agreement, see “Related Party Transactions—Option Agreement with Bulent Altan.”</w:t>
      </w:r>
    </w:p>
    <w:p>
      <w:pPr>
        <w:ind w:left="2260" w:right="1199" w:hanging="288"/>
        <w:spacing w:after="0" w:line="221" w:lineRule="auto"/>
        <w:tabs>
          <w:tab w:leader="none" w:pos="2260" w:val="left"/>
        </w:tabs>
        <w:numPr>
          <w:ilvl w:val="0"/>
          <w:numId w:val="55"/>
        </w:numPr>
        <w:rPr>
          <w:rFonts w:ascii="Arial" w:cs="Arial" w:eastAsia="Arial" w:hAnsi="Arial"/>
          <w:sz w:val="10"/>
          <w:szCs w:val="10"/>
          <w:color w:val="auto"/>
        </w:rPr>
      </w:pPr>
      <w:r>
        <w:rPr>
          <w:rFonts w:ascii="Arial" w:cs="Arial" w:eastAsia="Arial" w:hAnsi="Arial"/>
          <w:sz w:val="10"/>
          <w:szCs w:val="10"/>
          <w:color w:val="auto"/>
        </w:rPr>
        <w:t>Peter Müller-Brühl beneficially owns 4,445 ordinary shares in our Company, which he holds indirectly through EOversal UG (</w:t>
      </w:r>
      <w:r>
        <w:rPr>
          <w:rFonts w:ascii="Arial" w:cs="Arial" w:eastAsia="Arial" w:hAnsi="Arial"/>
          <w:sz w:val="10"/>
          <w:szCs w:val="10"/>
          <w:i w:val="1"/>
          <w:iCs w:val="1"/>
          <w:color w:val="auto"/>
        </w:rPr>
        <w:t>haftungsbeschränkt</w:t>
      </w:r>
      <w:r>
        <w:rPr>
          <w:rFonts w:ascii="Arial" w:cs="Arial" w:eastAsia="Arial" w:hAnsi="Arial"/>
          <w:sz w:val="10"/>
          <w:szCs w:val="10"/>
          <w:color w:val="auto"/>
        </w:rPr>
        <w:t>), a German limited liability entrepreneurial company (</w:t>
      </w:r>
      <w:r>
        <w:rPr>
          <w:rFonts w:ascii="Arial" w:cs="Arial" w:eastAsia="Arial" w:hAnsi="Arial"/>
          <w:sz w:val="10"/>
          <w:szCs w:val="10"/>
          <w:i w:val="1"/>
          <w:iCs w:val="1"/>
          <w:color w:val="auto"/>
        </w:rPr>
        <w:t>Unternehmergesellschaft</w:t>
      </w:r>
      <w:r>
        <w:rPr>
          <w:rFonts w:ascii="Arial" w:cs="Arial" w:eastAsia="Arial" w:hAnsi="Arial"/>
          <w:sz w:val="10"/>
          <w:szCs w:val="10"/>
          <w:color w:val="auto"/>
        </w:rPr>
        <w:t>), wholly-owned by him.</w:t>
      </w:r>
    </w:p>
    <w:p>
      <w:pPr>
        <w:spacing w:after="0" w:line="126"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To our knowledge, no other shareholder beneficially owns more than 5% of our shares. Under German law, shareholders of a public company are required to notify the company and the German Federal Financial Supervisory Authority of the number of shares they own when their percentage ownership reaches, exceeds or falls below certain threshold levels. German law does not require a shareholder to update this information unless it again reaches, exceeds or falls below a notification threshold. The thresholds vary for companies listed in different segments of the Frankfurt Stock Exchange. As our ordinary shares are currently listed in the Scale segment of the Frankfurt Stock Exchange, the notification threshold applicable to our shareholders is 25%. As a result, we cannot be certain whether the number of shares owned by the shareholders (other than the shareholders who are members of our supervisory board and management board) listed above is accurate.</w:t>
      </w:r>
    </w:p>
    <w:p>
      <w:pPr>
        <w:spacing w:after="0" w:line="115"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Our ordinary shares are issued only in bearer form. Accordingly, we cannot determine the identity of our shareholders or how many shares a particular shareholder owns and the number of ordinary shares directly held by persons with U.S. addresses.</w:t>
      </w:r>
    </w:p>
    <w:p>
      <w:pPr>
        <w:spacing w:after="0" w:line="115"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None of our shareholders will have different voting rights from other shareholders after the completion of this offering. We are not aware of any arrangement that may, at a subsequent date, result in a change of control of our company.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0159"/>
          </w:cols>
          <w:pgMar w:left="300" w:top="354" w:right="1440"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following is a description of related party transactions we have entered into since January 1, 2018, with any members of our management or supervisory board, executive officers or holders of more than 10% of any class of our voting securities.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Service Agreement with MCConsult GbR</w:t>
      </w:r>
    </w:p>
    <w:p>
      <w:pPr>
        <w:spacing w:after="0" w:line="154"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On September 20, 2017, we entered into a management service agreement with Adelanto management services s.I. (“Adelanto”), pursuant to which Wolfram Peschko agreed to provide management services to the Company in connection with his management of the Company as a member of the management board. The management service agreement with Adelanto, which was wholly-owned by Mr. Peschko, had an initial term until May 19, 2022. In connection with his appointment as member of the management board, we entered into a separate service agreement with Mr. Peschko, dated September 21, 2017.</w:t>
      </w:r>
    </w:p>
    <w:p>
      <w:pPr>
        <w:spacing w:after="0" w:line="128"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On January 23, 2019, the initial management service agreement with Adelanto was subsequently transferred to and assumed by MCConsult Dr. Wolfram Peschko (the “MCConsult Management Agreement”), a company wholly-owned by Mr. Peschko. Under the initial management service agreement with Adelanto, Mr. Peschko was entitled to receive an annual fixed salary (plus value added tax) and a variable bonus up to 50% of his annual fixed salary contingent upon achievement of predetermined milestones and targets. On May 27, 2020, Mr. Peschko resigned from the management board with immediate effect. As part of his resignation package, we entered into a severance agreement, dated June 13, 2020, pursuant to which (i) his separate service agreement was terminated with effect as of May 27, 2020 (</w:t>
      </w:r>
      <w:r>
        <w:rPr>
          <w:rFonts w:ascii="Arial" w:cs="Arial" w:eastAsia="Arial" w:hAnsi="Arial"/>
          <w:sz w:val="11"/>
          <w:szCs w:val="11"/>
          <w:i w:val="1"/>
          <w:iCs w:val="1"/>
          <w:color w:val="auto"/>
        </w:rPr>
        <w:t>i.e.</w:t>
      </w:r>
      <w:r>
        <w:rPr>
          <w:rFonts w:ascii="Arial" w:cs="Arial" w:eastAsia="Arial" w:hAnsi="Arial"/>
          <w:sz w:val="11"/>
          <w:szCs w:val="11"/>
          <w:color w:val="auto"/>
        </w:rPr>
        <w:t>, the date of his resignation), (ii) we agreed to grant him 17,000 stock options in the Company that immediately vested, and (iii) we agreed to amend the MCConsult Management Agreement. Under the amended MCConsult Management Agreement, Mr. Peschko was initially engaged to provide certain consulting services relating to our China business. Since we decided to discontinue our China business in mid-2020, we agreed to continue payment of the service fee under the MCConsult Management Agreement as part of his severance pay; the agreement will expire on May 19, 2022.</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connection with the MCConsult Management Agreement and the MCConsult Consulting Agreement, we recorded expenses in the amount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€825 thousand for the financial year ended December 31, 2020, of which €344 thousand were paid to MCConsult GbR for the services provided in 2020</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and €591 thousand were recognized as an accrued expense.</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Option Agreement with Bulent Altan</w:t>
      </w:r>
    </w:p>
    <w:p>
      <w:pPr>
        <w:spacing w:after="0" w:line="15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Apeiron, one of our shareholders, and Bulent Altan, our Chief Executive Officer and a member of our management board,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 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 Former Supervisory Board Member</w:t>
      </w:r>
    </w:p>
    <w:p>
      <w:pPr>
        <w:spacing w:after="0" w:line="154" w:lineRule="exact"/>
        <w:rPr>
          <w:sz w:val="20"/>
          <w:szCs w:val="20"/>
          <w:color w:val="auto"/>
        </w:rPr>
      </w:pPr>
    </w:p>
    <w:p>
      <w:pPr>
        <w:ind w:left="1980" w:right="1299" w:firstLine="294"/>
        <w:spacing w:after="0" w:line="276" w:lineRule="auto"/>
        <w:rPr>
          <w:sz w:val="20"/>
          <w:szCs w:val="20"/>
          <w:color w:val="auto"/>
        </w:rPr>
      </w:pPr>
      <w:r>
        <w:rPr>
          <w:rFonts w:ascii="Arial" w:cs="Arial" w:eastAsia="Arial" w:hAnsi="Arial"/>
          <w:sz w:val="12"/>
          <w:szCs w:val="12"/>
          <w:color w:val="auto"/>
        </w:rPr>
        <w:t>Thomas Mayrhofer, a former member of our supervisory board who resigned in 2020, is a partner of Pinsent Masons LLP, a law firm that provided legal advisory services to us in connection with our rights offering in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0159"/>
          </w:cols>
          <w:pgMar w:left="300" w:top="354" w:right="1440"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October 2020 and other capital markets related advice. Related party expenses involving Pinsent Masons LLP amounted to €135 thousand and</w:t>
      </w:r>
    </w:p>
    <w:p>
      <w:pPr>
        <w:spacing w:after="0" w:line="26" w:lineRule="exact"/>
        <w:rPr>
          <w:sz w:val="20"/>
          <w:szCs w:val="20"/>
          <w:color w:val="auto"/>
        </w:rPr>
      </w:pPr>
    </w:p>
    <w:p>
      <w:pPr>
        <w:ind w:left="1980" w:right="1159"/>
        <w:spacing w:after="0" w:line="361" w:lineRule="auto"/>
        <w:rPr>
          <w:sz w:val="20"/>
          <w:szCs w:val="20"/>
          <w:color w:val="auto"/>
        </w:rPr>
      </w:pPr>
      <w:r>
        <w:rPr>
          <w:rFonts w:ascii="Arial" w:cs="Arial" w:eastAsia="Arial" w:hAnsi="Arial"/>
          <w:sz w:val="10"/>
          <w:szCs w:val="10"/>
          <w:color w:val="auto"/>
        </w:rPr>
        <w:t>€75 thousand in the years ended December 31, 2020 and 2019, respectively. Trade and other payables, which include outstanding obligations from transactions with Pinsent Masons LLP, amounted to €12 thousand and €6 thousand in the years ended December 31, 2020 and 2019, respectively.</w:t>
      </w:r>
    </w:p>
    <w:p>
      <w:pPr>
        <w:spacing w:after="0" w:line="1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Ariane Knapek</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Ariane Knapek is the spouse of Markus Knapek, a former member of our management board and a significant shareholder in our Company.</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Ms. Knapek was a part-time employee with the Company from June 2016 to January 2021 and received a salary at arm’s length terms.</w:t>
      </w:r>
    </w:p>
    <w:p>
      <w:pPr>
        <w:spacing w:after="0" w:line="10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0159"/>
          </w:cols>
          <w:pgMar w:left="300" w:top="354" w:right="1440"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DESCRIPTION OF SHARE CAPITAL AND ARTICLES OF ASSOCIATION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description is a summary of certain information relating to our share capital as well as certain provisions of our articles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association and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This summary does not purport to be complete and speaks as of the date of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Copies of the articles of association will be publicly available from the commercial register (</w:t>
      </w:r>
      <w:r>
        <w:rPr>
          <w:rFonts w:ascii="Arial" w:cs="Arial" w:eastAsia="Arial" w:hAnsi="Arial"/>
          <w:sz w:val="12"/>
          <w:szCs w:val="12"/>
          <w:i w:val="1"/>
          <w:iCs w:val="1"/>
          <w:color w:val="auto"/>
        </w:rPr>
        <w:t>Handelsregister</w:t>
      </w:r>
      <w:r>
        <w:rPr>
          <w:rFonts w:ascii="Arial" w:cs="Arial" w:eastAsia="Arial" w:hAnsi="Arial"/>
          <w:sz w:val="12"/>
          <w:szCs w:val="12"/>
          <w:color w:val="auto"/>
        </w:rPr>
        <w:t>) of the local court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in Munich, Germany, electronically at www.unternehmensregister.de and as an exhibit to the registration statement of which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forms a part.</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Company History</w:t>
      </w:r>
    </w:p>
    <w:p>
      <w:pPr>
        <w:spacing w:after="0" w:line="154"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incorporated under German law. ViaLight Communications GmbH was registered with the commercial register of the local court (</w:t>
      </w:r>
      <w:r>
        <w:rPr>
          <w:rFonts w:ascii="Arial" w:cs="Arial" w:eastAsia="Arial" w:hAnsi="Arial"/>
          <w:sz w:val="11"/>
          <w:szCs w:val="11"/>
          <w:i w:val="1"/>
          <w:iCs w:val="1"/>
          <w:color w:val="auto"/>
        </w:rPr>
        <w:t>Amtsgericht</w:t>
      </w:r>
      <w:r>
        <w:rPr>
          <w:rFonts w:ascii="Arial" w:cs="Arial" w:eastAsia="Arial" w:hAnsi="Arial"/>
          <w:sz w:val="11"/>
          <w:szCs w:val="1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of Munich, Germany, on June 15, 2009 under docket number HRB 179806 with an initial share capital of €25,050 and its corporate seat in Weßling, Germany. On August 8, 2012, the shareholders of ViaLight Communications GmbH resolved to move the registered office to Gilching, Germany, which became effective upon registration with the commercial register on August 17, 2012.</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preparation for the initial public offering of our ordinary shares on the Frankfurt Stock Exchange (</w:t>
      </w:r>
      <w:r>
        <w:rPr>
          <w:rFonts w:ascii="Arial" w:cs="Arial" w:eastAsia="Arial" w:hAnsi="Arial"/>
          <w:sz w:val="12"/>
          <w:szCs w:val="12"/>
          <w:i w:val="1"/>
          <w:iCs w:val="1"/>
          <w:color w:val="auto"/>
        </w:rPr>
        <w:t>Frankfurter Wertpapierbörse</w:t>
      </w:r>
      <w:r>
        <w:rPr>
          <w:rFonts w:ascii="Arial" w:cs="Arial" w:eastAsia="Arial" w:hAnsi="Arial"/>
          <w:sz w:val="12"/>
          <w:szCs w:val="12"/>
          <w:color w:val="auto"/>
        </w:rPr>
        <w:t>), the shareholders of ViaLight Communications GmbH decided to incorporate a new entity in the form of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to serve as a holding company for the Mynaric group (formerly ViaLight Communications group). For this purpose, our former Chief Executive Officer, Wolfram Peschko, acquired a shelf company with the legal name Blitz 17-625 AG.</w:t>
      </w:r>
    </w:p>
    <w:p>
      <w:pPr>
        <w:spacing w:after="0" w:line="12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Blitz 17-625 AG (subsequently renamed to Mynaric AG) was established on April 6, 2017, as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incorporated under German law, with its corporate seat in Munich, Germany, and registered with the commercial register of the local court in Munich under docket number HRB 232763. Following the acquisition of Blitz 17-625 AG, Wolfram Peschko, as its sole shareholder, resolved to move the corporate seat to Gilching, Germany. The change of the corporate seat became effective upon registration with the commercial register on May 23, 2017.</w:t>
      </w:r>
    </w:p>
    <w:p>
      <w:pPr>
        <w:spacing w:after="0" w:line="95"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On August 1, 2017, the shareholders of ViaLight Communications GmbH, as the sole shareholders of Blitz 17 625 AG, contributed all shares in ViaLight Communications GmbH to Blitz 17-625 AG. In an extraordinary shareholders’ meeting held on August 7, 2017, the shareholders of Blitz 17 625 AG resolved upon a capital increase against contribution in kind (</w:t>
      </w:r>
      <w:r>
        <w:rPr>
          <w:rFonts w:ascii="Arial" w:cs="Arial" w:eastAsia="Arial" w:hAnsi="Arial"/>
          <w:sz w:val="11"/>
          <w:szCs w:val="11"/>
          <w:i w:val="1"/>
          <w:iCs w:val="1"/>
          <w:color w:val="auto"/>
        </w:rPr>
        <w:t>Sachkapitalerhöhung</w:t>
      </w:r>
      <w:r>
        <w:rPr>
          <w:rFonts w:ascii="Arial" w:cs="Arial" w:eastAsia="Arial" w:hAnsi="Arial"/>
          <w:sz w:val="11"/>
          <w:szCs w:val="11"/>
          <w:color w:val="auto"/>
        </w:rPr>
        <w:t>) for purposes of implementing the contribution of the shares in ViaLight Communications GmbH. As a result of this capital increase, which became effective upon registration with the commercial register on August 30, 2017, our share capital was increased by €1,950,000, from €50,000 to €2,000,000, through the issuance of 1,950,000 new ordinary shares, each with a nominal value of €1.00 per share, to the former shareholders of ViaLight Communications GmbH. As a result, we became the sole shareholder of ViaLight Communications GmbH and our shareholders received new shares in the Company issued in the capital increase proportionate to their shareholding in ViaLight Communications GmbH.</w:t>
      </w:r>
    </w:p>
    <w:p>
      <w:pPr>
        <w:spacing w:after="0" w:line="11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On August 7, 2017, our general shareholders’ meeting further resolved to change our legal name from Blitz 17-625 AG to Mynaric AG. The change in our company name became effective upon registration with the commercial register on August 30, 2017.</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On September 8, 2017, we, as the sole shareholder of ViaLight Communications GmbH, resolved to change the company name of ViaLight Communications GmbH to Mynaric Lasercom GmbH. This change became effective upon registration with the commercial register on September 18, 2017.</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0159"/>
          </w:cols>
          <w:pgMar w:left="300" w:top="354" w:right="1440" w:bottom="1440" w:gutter="0" w:footer="0" w:header="0"/>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Our corporate seat is in Gilching, Germany, and our business address is Dornierstraße 19, 82205 Gilching, Germany.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 Capital</w:t>
      </w:r>
    </w:p>
    <w:p>
      <w:pPr>
        <w:spacing w:after="0" w:line="154" w:lineRule="exact"/>
        <w:rPr>
          <w:sz w:val="20"/>
          <w:szCs w:val="20"/>
          <w:color w:val="auto"/>
        </w:rPr>
      </w:pPr>
    </w:p>
    <w:p>
      <w:pPr>
        <w:ind w:left="2260"/>
        <w:spacing w:after="0"/>
        <w:tabs>
          <w:tab w:leader="none" w:pos="7560" w:val="left"/>
        </w:tabs>
        <w:rPr>
          <w:sz w:val="20"/>
          <w:szCs w:val="20"/>
          <w:color w:val="auto"/>
        </w:rPr>
      </w:pPr>
      <w:r>
        <w:rPr>
          <w:rFonts w:ascii="Arial" w:cs="Arial" w:eastAsia="Arial" w:hAnsi="Arial"/>
          <w:sz w:val="12"/>
          <w:szCs w:val="12"/>
          <w:color w:val="auto"/>
        </w:rPr>
        <w:t>As of the date of this prospectus, our share capital registered in the commercial register amounts to €</w:t>
      </w:r>
      <w:r>
        <w:rPr>
          <w:sz w:val="20"/>
          <w:szCs w:val="20"/>
          <w:color w:val="auto"/>
        </w:rPr>
        <w:tab/>
      </w:r>
      <w:r>
        <w:rPr>
          <w:rFonts w:ascii="Arial" w:cs="Arial" w:eastAsia="Arial" w:hAnsi="Arial"/>
          <w:sz w:val="11"/>
          <w:szCs w:val="11"/>
          <w:color w:val="auto"/>
        </w:rPr>
        <w:t>, which is divided in to</w:t>
      </w:r>
    </w:p>
    <w:p>
      <w:pPr>
        <w:spacing w:after="0" w:line="15" w:lineRule="exact"/>
        <w:rPr>
          <w:sz w:val="20"/>
          <w:szCs w:val="20"/>
          <w:color w:val="auto"/>
        </w:rPr>
      </w:pPr>
    </w:p>
    <w:p>
      <w:pPr>
        <w:ind w:left="1980" w:right="1299"/>
        <w:spacing w:after="0" w:line="260" w:lineRule="auto"/>
        <w:rPr>
          <w:sz w:val="20"/>
          <w:szCs w:val="20"/>
          <w:color w:val="auto"/>
        </w:rPr>
      </w:pPr>
      <w:r>
        <w:rPr>
          <w:rFonts w:ascii="Arial" w:cs="Arial" w:eastAsia="Arial" w:hAnsi="Arial"/>
          <w:sz w:val="12"/>
          <w:szCs w:val="12"/>
          <w:color w:val="auto"/>
        </w:rPr>
        <w:t>ordinary bearer shares (</w:t>
      </w:r>
      <w:r>
        <w:rPr>
          <w:rFonts w:ascii="Arial" w:cs="Arial" w:eastAsia="Arial" w:hAnsi="Arial"/>
          <w:sz w:val="12"/>
          <w:szCs w:val="12"/>
          <w:i w:val="1"/>
          <w:iCs w:val="1"/>
          <w:color w:val="auto"/>
        </w:rPr>
        <w:t>Inhaberaktien</w:t>
      </w:r>
      <w:r>
        <w:rPr>
          <w:rFonts w:ascii="Arial" w:cs="Arial" w:eastAsia="Arial" w:hAnsi="Arial"/>
          <w:sz w:val="12"/>
          <w:szCs w:val="12"/>
          <w:color w:val="auto"/>
        </w:rPr>
        <w:t>). All of our outstanding shares are no par-value bearer shares (</w:t>
      </w:r>
      <w:r>
        <w:rPr>
          <w:rFonts w:ascii="Arial" w:cs="Arial" w:eastAsia="Arial" w:hAnsi="Arial"/>
          <w:sz w:val="12"/>
          <w:szCs w:val="12"/>
          <w:i w:val="1"/>
          <w:iCs w:val="1"/>
          <w:color w:val="auto"/>
        </w:rPr>
        <w:t>auf den Inhaber lautende Stückaktien ohne</w:t>
      </w:r>
      <w:r>
        <w:rPr>
          <w:rFonts w:ascii="Arial" w:cs="Arial" w:eastAsia="Arial" w:hAnsi="Arial"/>
          <w:sz w:val="12"/>
          <w:szCs w:val="12"/>
          <w:color w:val="auto"/>
        </w:rPr>
        <w:t xml:space="preserve"> </w:t>
      </w:r>
      <w:r>
        <w:rPr>
          <w:rFonts w:ascii="Arial" w:cs="Arial" w:eastAsia="Arial" w:hAnsi="Arial"/>
          <w:sz w:val="12"/>
          <w:szCs w:val="12"/>
          <w:i w:val="1"/>
          <w:iCs w:val="1"/>
          <w:color w:val="auto"/>
        </w:rPr>
        <w:t>Nennbetrag</w:t>
      </w:r>
      <w:r>
        <w:rPr>
          <w:rFonts w:ascii="Arial" w:cs="Arial" w:eastAsia="Arial" w:hAnsi="Arial"/>
          <w:sz w:val="12"/>
          <w:szCs w:val="12"/>
          <w:color w:val="auto"/>
        </w:rPr>
        <w: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Certification and Transferability of the Shares</w:t>
      </w:r>
    </w:p>
    <w:p>
      <w:pPr>
        <w:spacing w:after="0" w:line="154"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The form and content of our global share certificates, any dividend certificates, renewal certificates and interest coupons are determined by our management board with the approval of our supervisory board. Shareholders do not have the right to have their shares certificated, to the extent permitted by law and to the extent that certification is not required by the stock exchange on which the shares are admitted to trading. In the event that we decide to issue share certificates, we are permitted to issue global share certificates that represent one or more shares.</w:t>
      </w:r>
    </w:p>
    <w:p>
      <w:pPr>
        <w:spacing w:after="0" w:line="111"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Our shares are freely transferable under German law (subject to the proposed AWV amendment described under “Regulatory Environment— German Foreign Investment Regime”), with the transfer of ownership governed by the rules of the relevant clearing system.</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Information on Capital Measures</w:t>
      </w:r>
    </w:p>
    <w:p>
      <w:pPr>
        <w:spacing w:after="0" w:line="154"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Pursuant to our articles of association, an increase of our share capital generally requires a resolution passed at our shareholders’ meeting with both a simple majority of the share capital represented at the relevant shareholders’ meeting and a simple majority of the votes cast.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Our shareholders’ meeting may also resolve to create so-called authorized share capital (</w:t>
      </w:r>
      <w:r>
        <w:rPr>
          <w:rFonts w:ascii="Arial" w:cs="Arial" w:eastAsia="Arial" w:hAnsi="Arial"/>
          <w:sz w:val="10"/>
          <w:szCs w:val="10"/>
          <w:i w:val="1"/>
          <w:iCs w:val="1"/>
          <w:color w:val="auto"/>
        </w:rPr>
        <w:t>genehmigtes Kapital</w:t>
      </w:r>
      <w:r>
        <w:rPr>
          <w:rFonts w:ascii="Arial" w:cs="Arial" w:eastAsia="Arial" w:hAnsi="Arial"/>
          <w:sz w:val="10"/>
          <w:szCs w:val="10"/>
          <w:color w:val="auto"/>
        </w:rPr>
        <w:t>), authorizing our management board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to increase our registered share capital with the consent of our supervisory board within a period of five years by issuing shares for a certain total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amount up to the authorized capital amount. Authorized capital is a German law concept that allows us to issue shares without going through the process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obtaining an additional shareholders’ resolution. The shareholders’ authorization becomes effective upon registration in the commercial register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Handelsregister</w:t>
      </w:r>
      <w:r>
        <w:rPr>
          <w:rFonts w:ascii="Arial" w:cs="Arial" w:eastAsia="Arial" w:hAnsi="Arial"/>
          <w:sz w:val="10"/>
          <w:szCs w:val="10"/>
          <w:color w:val="auto"/>
        </w:rPr>
        <w:t>) and may extend for a period of no more than five years thereafter. The aggregate nominal amount of the authorized capital created by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shareholders may not exceed one half of the share capital existing at the time of registration of the authorized capital with the commercial register.</w:t>
      </w:r>
    </w:p>
    <w:p>
      <w:pPr>
        <w:spacing w:after="0" w:line="15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Furthermore, our shareholders may resolve to amend or create conditional capital (</w:t>
      </w:r>
      <w:r>
        <w:rPr>
          <w:rFonts w:ascii="Arial" w:cs="Arial" w:eastAsia="Arial" w:hAnsi="Arial"/>
          <w:sz w:val="11"/>
          <w:szCs w:val="11"/>
          <w:i w:val="1"/>
          <w:iCs w:val="1"/>
          <w:color w:val="auto"/>
        </w:rPr>
        <w:t>bedingtes Kapital</w:t>
      </w:r>
      <w:r>
        <w:rPr>
          <w:rFonts w:ascii="Arial" w:cs="Arial" w:eastAsia="Arial" w:hAnsi="Arial"/>
          <w:sz w:val="11"/>
          <w:szCs w:val="11"/>
          <w:color w:val="auto"/>
        </w:rPr>
        <w:t>).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the share capital existing at the time of the shareholders’ meeting adopting such resolution. The aggregate nominal amount of the conditional capital resolved for the purpose of granting subscription rights to employees and members of the management of our Company or of an affiliated company may not exceed 10% of the share capital existing at the time of the shareholders’ meeting adopting such resolution.</w:t>
      </w:r>
    </w:p>
    <w:p>
      <w:pPr>
        <w:spacing w:after="0" w:line="115"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According to German law, any resolution pertaining to the creation of authorized or conditional capital requires the vote of at least three quarters of the share capital represented at the relevant shareholders’ meeting and a simple majority of the votes cast.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0159"/>
          </w:cols>
          <w:pgMar w:left="300" w:top="354" w:right="1440"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shareholders may also resolve to increase the share capital from own resources (</w:t>
      </w:r>
      <w:r>
        <w:rPr>
          <w:rFonts w:ascii="Arial" w:cs="Arial" w:eastAsia="Arial" w:hAnsi="Arial"/>
          <w:sz w:val="12"/>
          <w:szCs w:val="12"/>
          <w:i w:val="1"/>
          <w:iCs w:val="1"/>
          <w:color w:val="auto"/>
        </w:rPr>
        <w:t>Kapitalerhöhung aus Gesellschaftsmitteln</w:t>
      </w:r>
      <w:r>
        <w:rPr>
          <w:rFonts w:ascii="Arial" w:cs="Arial" w:eastAsia="Arial" w:hAnsi="Arial"/>
          <w:sz w:val="12"/>
          <w:szCs w:val="12"/>
          <w:color w:val="auto"/>
        </w:rPr>
        <w:t>) by converting capital reserves and profit reserves into registered share capital. Pursuant to our articles of association, any resolution pertaining to an increase in share capital from own resources requires the vote of a simple majority of the share capital represented at the relevant shareholders’ meeting and a simple majority of the votes cast.</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All shares issued by the Company are fully paid in (meaning that shareholders are not liable to the Company to pay in any further amount in relation to their existing shares). Any resolution relating to a reduction of our share capital requires the vote of at least three quarters of the share capital represented at the relevant shareholders’ meeting as well as a simple majority of the votes cast according to German law.</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Our Share Capital during the Last Three Financial Years</w:t>
      </w:r>
    </w:p>
    <w:p>
      <w:pPr>
        <w:sectPr>
          <w:pgSz w:w="11900" w:h="16838" w:orient="portrait"/>
          <w:cols w:equalWidth="0" w:num="1">
            <w:col w:w="10159"/>
          </w:cols>
          <w:pgMar w:left="300" w:top="354" w:right="1440" w:bottom="1440" w:gutter="0" w:footer="0" w:header="0"/>
        </w:sectPr>
      </w:pPr>
    </w:p>
    <w:p>
      <w:pPr>
        <w:spacing w:after="0" w:line="154" w:lineRule="exact"/>
        <w:rPr>
          <w:sz w:val="20"/>
          <w:szCs w:val="20"/>
          <w:color w:val="auto"/>
        </w:rPr>
      </w:pPr>
    </w:p>
    <w:p>
      <w:pPr>
        <w:ind w:left="1980" w:firstLine="294"/>
        <w:spacing w:after="0" w:line="276" w:lineRule="auto"/>
        <w:rPr>
          <w:sz w:val="20"/>
          <w:szCs w:val="20"/>
          <w:color w:val="auto"/>
        </w:rPr>
      </w:pPr>
      <w:r>
        <w:rPr>
          <w:rFonts w:ascii="Arial" w:cs="Arial" w:eastAsia="Arial" w:hAnsi="Arial"/>
          <w:sz w:val="12"/>
          <w:szCs w:val="12"/>
          <w:color w:val="auto"/>
        </w:rPr>
        <w:t>As of , 2021, our share capital as registered with the commercial register amounted to € capital has changed as follows: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 Since January 1, 2018, our share</w:t>
      </w:r>
    </w:p>
    <w:p>
      <w:pPr>
        <w:spacing w:after="0" w:line="335" w:lineRule="exact"/>
        <w:rPr>
          <w:sz w:val="20"/>
          <w:szCs w:val="20"/>
          <w:color w:val="auto"/>
        </w:rPr>
      </w:pPr>
    </w:p>
    <w:p>
      <w:pPr>
        <w:sectPr>
          <w:pgSz w:w="11900" w:h="16838" w:orient="portrait"/>
          <w:cols w:equalWidth="0" w:num="2">
            <w:col w:w="6940" w:space="480"/>
            <w:col w:w="2739"/>
          </w:cols>
          <w:pgMar w:left="300" w:top="354" w:right="1440" w:bottom="1440" w:gutter="0" w:footer="0" w:header="0"/>
          <w:type w:val="continuous"/>
        </w:sectPr>
      </w:pPr>
    </w:p>
    <w:p>
      <w:pPr>
        <w:ind w:left="2620" w:right="879" w:hanging="288"/>
        <w:spacing w:after="0" w:line="263" w:lineRule="auto"/>
        <w:tabs>
          <w:tab w:leader="none" w:pos="26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On May 14, 2019, our share capital as registered with the commercial register was increased by issuing 200,000 no-par value bearer shares from €2,704,304.00 by €200,000.00 to €2,904,304.00 utilizing the authorized capital granted by our shareholders’ meeting on August 7, 2017.</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On February 7, 2020, our share capital as registered with the commercial register was increased by issuing 290,430 no-par value bearer shares from €2,904,304.00 by €290,430.00 to €3,194,734.00 utilizing the authorized capital granted by our shareholders’ meeting on July 2, 2019.</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On October 13, 2020, our share capital as registered with the commercial register was increased by issuing 800,000 no-par value bearer shares from €3,194,734.00 by €800,000.00 to €3,994,734.00 utilizing the authorized capital granted by our shareholders’ meeting on June 12, 2020.</w:t>
      </w:r>
    </w:p>
    <w:p>
      <w:pPr>
        <w:spacing w:after="0" w:line="140" w:lineRule="exact"/>
        <w:rPr>
          <w:rFonts w:ascii="Arial" w:cs="Arial" w:eastAsia="Arial" w:hAnsi="Arial"/>
          <w:sz w:val="12"/>
          <w:szCs w:val="12"/>
          <w:color w:val="auto"/>
        </w:rPr>
      </w:pPr>
    </w:p>
    <w:p>
      <w:pPr>
        <w:ind w:left="2620" w:hanging="288"/>
        <w:spacing w:after="0"/>
        <w:tabs>
          <w:tab w:leader="none" w:pos="2620" w:val="left"/>
        </w:tabs>
        <w:numPr>
          <w:ilvl w:val="0"/>
          <w:numId w:val="56"/>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On May 14, 2021, our general shareholders’ meeting resolved on several amendments to our authorized capital, which include the following:</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w:t>
      </w:r>
    </w:p>
    <w:p>
      <w:pPr>
        <w:spacing w:after="0" w:line="150"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Pursuant to section 4 para. 3 of our articles of association, the management board is authorized until May 13, 2026, subject to the consent of the supervisory board, to increase, once or repeatedly, our share capital by up to a total of €1,841,827.00 through the issuance of up to 1,841,827 new bearer shares with no par value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w:t>
      </w:r>
    </w:p>
    <w:p>
      <w:pPr>
        <w:spacing w:after="0" w:line="12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In principle, the shareholders are to be granted subscription rights. The shares may be subscribed by one or more credit institutions(s) or one or several enterprise(s) operating pursuant to Section 53 para. 1 sentence 1 or Section 53b para. 1 sentence 1 or para. 7 of the German Banking Act (</w:t>
      </w:r>
      <w:r>
        <w:rPr>
          <w:rFonts w:ascii="Arial" w:cs="Arial" w:eastAsia="Arial" w:hAnsi="Arial"/>
          <w:sz w:val="11"/>
          <w:szCs w:val="11"/>
          <w:i w:val="1"/>
          <w:iCs w:val="1"/>
          <w:color w:val="auto"/>
        </w:rPr>
        <w:t>Gesetz</w:t>
      </w:r>
      <w:r>
        <w:rPr>
          <w:rFonts w:ascii="Arial" w:cs="Arial" w:eastAsia="Arial" w:hAnsi="Arial"/>
          <w:sz w:val="11"/>
          <w:szCs w:val="11"/>
          <w:color w:val="auto"/>
        </w:rPr>
        <w:t xml:space="preserve"> </w:t>
      </w:r>
      <w:r>
        <w:rPr>
          <w:rFonts w:ascii="Arial" w:cs="Arial" w:eastAsia="Arial" w:hAnsi="Arial"/>
          <w:sz w:val="11"/>
          <w:szCs w:val="11"/>
          <w:i w:val="1"/>
          <w:iCs w:val="1"/>
          <w:color w:val="auto"/>
        </w:rPr>
        <w:t>über das Kreditwesen</w:t>
      </w:r>
      <w:r>
        <w:rPr>
          <w:rFonts w:ascii="Arial" w:cs="Arial" w:eastAsia="Arial" w:hAnsi="Arial"/>
          <w:sz w:val="11"/>
          <w:szCs w:val="11"/>
          <w:color w:val="auto"/>
        </w:rPr>
        <w:t>) with the obligation to offer the shares to our shareholders pursuant to Section 186 para. 5 of the German Stock</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0159"/>
          </w:cols>
          <w:pgMar w:left="300" w:top="354" w:right="1440" w:bottom="1440" w:gutter="0" w:footer="0" w:header="0"/>
          <w:type w:val="continuous"/>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Corporation Act (so-called indirect subscription right). With the consent of the supervisory board, our management board is authorized to exclude the subscription rights in the following circumstances:</w:t>
      </w:r>
    </w:p>
    <w:p>
      <w:pPr>
        <w:spacing w:after="0" w:line="133" w:lineRule="exact"/>
        <w:rPr>
          <w:sz w:val="20"/>
          <w:szCs w:val="20"/>
          <w:color w:val="auto"/>
        </w:rPr>
      </w:pPr>
    </w:p>
    <w:p>
      <w:pPr>
        <w:ind w:left="2620" w:hanging="288"/>
        <w:spacing w:after="0"/>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to exclude fractional amounts resulting from the statutory subscription rights;</w:t>
      </w:r>
    </w:p>
    <w:p>
      <w:pPr>
        <w:spacing w:after="0" w:line="168"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 case of a capital increase against contributions in kind, in particular, in the context of mergers or for the purpose of acquiring, directly or indirectly, companies, businesses, parts of companies, interests in companies or other assets, or claims relating to the acquisition of assets including claims against the Company or its group companies;</w:t>
      </w:r>
    </w:p>
    <w:p>
      <w:pPr>
        <w:spacing w:after="0" w:line="140" w:lineRule="exact"/>
        <w:rPr>
          <w:rFonts w:ascii="Arial" w:cs="Arial" w:eastAsia="Arial" w:hAnsi="Arial"/>
          <w:sz w:val="12"/>
          <w:szCs w:val="12"/>
          <w:color w:val="auto"/>
        </w:rPr>
      </w:pPr>
    </w:p>
    <w:p>
      <w:pPr>
        <w:ind w:left="2620" w:right="839" w:hanging="288"/>
        <w:spacing w:after="0" w:line="278" w:lineRule="auto"/>
        <w:tabs>
          <w:tab w:leader="none" w:pos="2620" w:val="left"/>
        </w:tabs>
        <w:numPr>
          <w:ilvl w:val="0"/>
          <w:numId w:val="57"/>
        </w:numPr>
        <w:rPr>
          <w:rFonts w:ascii="Arial" w:cs="Arial" w:eastAsia="Arial" w:hAnsi="Arial"/>
          <w:sz w:val="11"/>
          <w:szCs w:val="11"/>
          <w:color w:val="auto"/>
        </w:rPr>
      </w:pPr>
      <w:r>
        <w:rPr>
          <w:rFonts w:ascii="Arial" w:cs="Arial" w:eastAsia="Arial" w:hAnsi="Arial"/>
          <w:sz w:val="11"/>
          <w:szCs w:val="11"/>
          <w:color w:val="auto"/>
        </w:rPr>
        <w:t>if a capital increase against cash contribution does not exceed 10% of the registered share capital (i) at the time this authorization becomes effective or (ii) if such amount is lower, at the time the authorization is exercised, provided that the issue price of the new shares is not significantly lower than the stock exchange price of the Company’s shares (as defined in Section 186 para. 3 sentence 4 of the German Stock Corporation Act); when exercising this authorization, the exclusion of subscription rights under other authorizations pursuant to Section 186 para. 3 sentence 4 of the German Stock Corporation Act in direct or analogous application has to be taken into account. The stock exchange price may also be determined by the price of the Company’s ADSs listed on the New York Stock Exchange or the NASDAQ multiplied by the number of ADSs represented by one ordinary share. If our shares are listed on the XETRA trading system (or a comparable successor system) of the Frankfurt Stock Exchange and, at the same time, ADSs representing the Company’s shares are listed on the New York Stock Exchange or the NASDAQ, we may choose which of the exchange prices shall be relevant within the meaning of Section 186 para. 3 sentence 4 of the German Stock Corporation Act.</w:t>
      </w:r>
    </w:p>
    <w:p>
      <w:pPr>
        <w:spacing w:after="0" w:line="136" w:lineRule="exact"/>
        <w:rPr>
          <w:rFonts w:ascii="Arial" w:cs="Arial" w:eastAsia="Arial" w:hAnsi="Arial"/>
          <w:sz w:val="11"/>
          <w:szCs w:val="11"/>
          <w:color w:val="auto"/>
        </w:rPr>
      </w:pPr>
    </w:p>
    <w:p>
      <w:pPr>
        <w:ind w:left="2620" w:right="1019" w:hanging="288"/>
        <w:spacing w:after="0" w:line="276" w:lineRule="auto"/>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 order to introduce shares or ADSs of the Company on a foreign stock exchange including shares or ADSs which shall be used for the exercise or in connection with options to purchase additional shares.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The management board is further authorized, with the consent of the supervisory board, to determine any additional content of the rights attached to the shares and the conditions of the share issue and to determine the profit participation with respect to the new shares which may, in deviation from Section 60 para. 2 of the German Stock Corporation Act, also include profit participation for the previous financial year. The supervisory board is authorized to adjust the wording of our articles of association accordingly after utilization of the Authorized Capital 2021/I or upon expiry of the period for utilization of the Authorized Capital 2021/I.</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2021/II</w:t>
      </w:r>
    </w:p>
    <w:p>
      <w:pPr>
        <w:spacing w:after="0" w:line="150" w:lineRule="exact"/>
        <w:rPr>
          <w:sz w:val="20"/>
          <w:szCs w:val="20"/>
          <w:color w:val="auto"/>
        </w:rPr>
      </w:pPr>
    </w:p>
    <w:p>
      <w:pPr>
        <w:ind w:left="1980" w:right="999" w:firstLine="294"/>
        <w:spacing w:after="0" w:line="254" w:lineRule="auto"/>
        <w:rPr>
          <w:sz w:val="20"/>
          <w:szCs w:val="20"/>
          <w:color w:val="auto"/>
        </w:rPr>
      </w:pPr>
      <w:r>
        <w:rPr>
          <w:rFonts w:ascii="Arial" w:cs="Arial" w:eastAsia="Arial" w:hAnsi="Arial"/>
          <w:sz w:val="12"/>
          <w:szCs w:val="12"/>
          <w:color w:val="auto"/>
        </w:rPr>
        <w:t>Pursuant to section 4 para. 8 of our articles of association, the management board is authorized until May 13, 2026, subject to the consent of the supervisory board, to increase, once or repeatedly, our share capital by up to a total of €204,647.00 through the issuance of up to 204,647 new no par value bearer shares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2021/II”). The subscription rights of the shareholders are excluded. The Authorized Capital 2021/II serves to fulfill claims under our RSU Program. The shares that will be created from the Authorized Capital 2021/II may only be issued for this purpose. A capital increase may be implemented only to the extent that the holders of claims under the RSU Program exercise their rights, and we decide, in our discretion, to settle the claims, totally or partially, with shares.</w:t>
      </w:r>
    </w:p>
    <w:p>
      <w:pPr>
        <w:spacing w:after="0" w:line="13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The issue amount of each new share must be at least €1.00 per share and may be paid in cash or in kind, including claims against us. The management board, with the consent of the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also include profit participation for the previous financial year. The supervisory board is authorized to adjust the wording of the articles of association accordingly after the utilization of the Authorized Capital 2021/II or upon expiry of the period for the utilization of the Authorized Capital 2021/II.</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0159"/>
          </w:cols>
          <w:pgMar w:left="300" w:top="354" w:right="1440" w:bottom="1440" w:gutter="0" w:footer="0" w:header="0"/>
        </w:sectPr>
      </w:pPr>
    </w:p>
    <w:bookmarkStart w:id="136" w:name="page137"/>
    <w:bookmarkEnd w:id="1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On May 14, 2021, our general shareholders’ meeting resolved on amendments to our conditional capital, which include the following:</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2017</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4 of our articles of association, our share capital is conditionally increased by up to €1,500.00 through the issuance of up to 1,500 new no-par value ordinary bearer shares or new no-par value registered shares (“Conditional Capital 2017”). The Conditional Capital 2017 serves exclusively for the issuance of shares upon the exercise of stock option under our 2017 Plan. The new shares will be issued at the issue price to be determined in accordance with the 2017 Plan. The conditional capital increase will only be implemented (i) to the extent that the holders of stock options under the 2017 Plan exercise their option rights pursuant to the 2017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2017. The supervisory board is authorized to amend our articles of association accordingly after the respective utilization of the Conditional Capital 2017 and upon expiration of all option or conversion periods.</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2019</w:t>
      </w:r>
    </w:p>
    <w:p>
      <w:pPr>
        <w:spacing w:after="0" w:line="150" w:lineRule="exact"/>
        <w:rPr>
          <w:sz w:val="20"/>
          <w:szCs w:val="20"/>
          <w:color w:val="auto"/>
        </w:rPr>
      </w:pPr>
    </w:p>
    <w:p>
      <w:pPr>
        <w:ind w:left="1980" w:right="959" w:firstLine="294"/>
        <w:spacing w:after="0" w:line="310" w:lineRule="auto"/>
        <w:rPr>
          <w:sz w:val="20"/>
          <w:szCs w:val="20"/>
          <w:color w:val="auto"/>
        </w:rPr>
      </w:pPr>
      <w:r>
        <w:rPr>
          <w:rFonts w:ascii="Arial" w:cs="Arial" w:eastAsia="Arial" w:hAnsi="Arial"/>
          <w:sz w:val="10"/>
          <w:szCs w:val="10"/>
          <w:color w:val="auto"/>
        </w:rPr>
        <w:t>Pursuant to section 4 para. 5 of our articles of association, our share capital is conditionally increased by up to €270,000.00 through the issuance of up to 270,000 new no-par value ordinary bearer shares or new no-par value registered shares (“Conditional Capital 2019”). The Conditional Capital 2019 serves exclusively for the issuance of shares upon the exercise of stock options under our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2019. The supervisory board is authorized to amend our articles of association accordingly after the respective utilization of the Conditional Capital 2019 and upon expiration of all option or conversion periods.</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6 of our articles of association, our share capital is conditionally increased by up to €34,473.00 through the issuance of up to 34,473 new no-par value ordinary bearer shares or new no-par value registered shares (“Conditional Capital 2020/I”). The Conditional Capital 2020/I serves exclusively for the issuance of shares on the exercise of stock options under our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 The supervisory board is authorized to amend our articles of association accordingly after the respective utilization of the Conditional Capital 2020/I and upon expiration of all option or conversion periods.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0159"/>
          </w:cols>
          <w:pgMar w:left="300" w:top="354" w:right="1440" w:bottom="1440" w:gutter="0" w:footer="0" w:header="0"/>
        </w:sectPr>
      </w:pPr>
    </w:p>
    <w:bookmarkStart w:id="137" w:name="page138"/>
    <w:bookmarkEnd w:id="1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2020/II</w:t>
      </w:r>
    </w:p>
    <w:p>
      <w:pPr>
        <w:spacing w:after="0" w:line="150" w:lineRule="exact"/>
        <w:rPr>
          <w:sz w:val="20"/>
          <w:szCs w:val="20"/>
          <w:color w:val="auto"/>
        </w:rPr>
      </w:pPr>
    </w:p>
    <w:p>
      <w:pPr>
        <w:ind w:left="1980" w:right="859" w:firstLine="294"/>
        <w:spacing w:after="0" w:line="303" w:lineRule="auto"/>
        <w:rPr>
          <w:sz w:val="20"/>
          <w:szCs w:val="20"/>
          <w:color w:val="auto"/>
        </w:rPr>
      </w:pPr>
      <w:r>
        <w:rPr>
          <w:rFonts w:ascii="Arial" w:cs="Arial" w:eastAsia="Arial" w:hAnsi="Arial"/>
          <w:sz w:val="10"/>
          <w:szCs w:val="10"/>
          <w:color w:val="auto"/>
        </w:rPr>
        <w:t>Pursuant to section 4 para. 7 of our articles of association, our share capital is conditionally increased by up to €1,179,679.00 through issuance of up to 1,179,679 new no-par value bearer shares (“Conditional Capital 2020/II”).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“Bonds”)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 (i) to the extent that the holders or creditors of Bonds which are issued by the Company on the basis of the authorizing resolution of the shareholders’ meeting of</w:t>
      </w:r>
    </w:p>
    <w:p>
      <w:pPr>
        <w:spacing w:after="0" w:line="1"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June 12, 2020 until June 11, 2025,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2020/II. The supervisory board is authorized to amend our articles of association accordingly after the respective utilization of the Conditional Capital 2020/II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w:t>
      </w:r>
    </w:p>
    <w:p>
      <w:pPr>
        <w:spacing w:after="0" w:line="15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Pursuant to section 4 para. 9 of our articles of association, our share capital is conditionally increased by up to €457,501.00 through issuance of up to 457,501 new no-par value bearer shares (“Conditional Capital 2021/I”). The Conditional Capital 2021/I serves for the issuance of shares upon the exercise of conversion or option rights associated with the fulfilment of conversion or option obligations to the holders of Bonds issued on the basis of the authorizing resolution of the shareholders’ meeting of May 14, 2021. The new shares are issued on the basis of the conversion or option price to be determined in accordance with the authorizing resolution of the shareholders’ meeting of May 14, 2021. The conditional capital increase will only be implemented (i) to the extent that the holders or creditors of Bonds which are issued by the Company on the basis of the authorizing resolution of the shareholders’ meeting of May 14, 2021 until of May 13, 2026,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2021/I. The supervisory board is authorized to adjust our articles of association accordingly after the respective utilization of the Conditional Capital 2021/I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2021/II</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Pursuant to section 4 para. 10 of our articles of association, our share capital is conditionally increased by up to €103,321.00 through the issuance of up to 103,321 new no-par value bearer shares or registered shares (“Conditional Capital 2021/II”). The Conditional Capital 2021/II serves exclusively for the issuance of shares upon the exercise of stock options by the members of our management board, as specified in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0159"/>
          </w:cols>
          <w:pgMar w:left="300" w:top="354" w:right="1440" w:bottom="1440" w:gutter="0" w:footer="0" w:header="0"/>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59" w:lineRule="auto"/>
        <w:rPr>
          <w:sz w:val="20"/>
          <w:szCs w:val="20"/>
          <w:color w:val="auto"/>
        </w:rPr>
      </w:pPr>
      <w:r>
        <w:rPr>
          <w:rFonts w:ascii="Arial" w:cs="Arial" w:eastAsia="Arial" w:hAnsi="Arial"/>
          <w:sz w:val="12"/>
          <w:szCs w:val="12"/>
          <w:color w:val="auto"/>
        </w:rPr>
        <w:t>shares or in cash. The new no-par value bearer shares will be entitled to dividends (if declared) from the beginning of the financial year in which they are issued. The supervisory board is authorized to determine the further details of the implementation of the conditional capital increase under the Conditional Capital 2021/II and to adjust our articles of association accordingly after the respective utilization of the Conditional Capital 2021/II and upon expiration of all option or conversion periods.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Rules regarding Shareholders’ Subscription Rights</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w:t>
      </w:r>
    </w:p>
    <w:p>
      <w:pPr>
        <w:spacing w:after="0" w:line="12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interest in excluding the subscription rights outweighs the shareholders’ interest in having them. Such justification may be subject to judicial review. Accordingly,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the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Shareholders’ Meetings, Resolutions and Voting Rights</w:t>
      </w:r>
    </w:p>
    <w:p>
      <w:pPr>
        <w:spacing w:after="0" w:line="154" w:lineRule="exact"/>
        <w:rPr>
          <w:sz w:val="20"/>
          <w:szCs w:val="20"/>
          <w:color w:val="auto"/>
        </w:rPr>
      </w:pPr>
    </w:p>
    <w:p>
      <w:pPr>
        <w:ind w:left="1980" w:right="959" w:firstLine="294"/>
        <w:spacing w:after="0" w:line="283" w:lineRule="auto"/>
        <w:rPr>
          <w:sz w:val="20"/>
          <w:szCs w:val="20"/>
          <w:color w:val="auto"/>
        </w:rPr>
      </w:pPr>
      <w:r>
        <w:rPr>
          <w:rFonts w:ascii="Arial" w:cs="Arial" w:eastAsia="Arial" w:hAnsi="Arial"/>
          <w:sz w:val="11"/>
          <w:szCs w:val="11"/>
          <w:color w:val="auto"/>
        </w:rPr>
        <w:t>Pursuant to our articles of association, shareholders’ meetings may be held at our registered seat, at the seat of a German stock exchange or in a German city with a population of more than 500,000. In general, shareholders’ meetings are convened by our management board. Separately, the supervisory board is required to convene a shareholders’ meeting in cases where this is required as a matter of statutory law (</w:t>
      </w:r>
      <w:r>
        <w:rPr>
          <w:rFonts w:ascii="Arial" w:cs="Arial" w:eastAsia="Arial" w:hAnsi="Arial"/>
          <w:sz w:val="11"/>
          <w:szCs w:val="11"/>
          <w:i w:val="1"/>
          <w:iCs w:val="1"/>
          <w:color w:val="auto"/>
        </w:rPr>
        <w:t>i.e.</w:t>
      </w:r>
      <w:r>
        <w:rPr>
          <w:rFonts w:ascii="Arial" w:cs="Arial" w:eastAsia="Arial" w:hAnsi="Arial"/>
          <w:sz w:val="11"/>
          <w:szCs w:val="11"/>
          <w:color w:val="auto"/>
        </w:rPr>
        <w:t>, if calling the meeting is in the best interest of our Company). In addition, shareholders who, individually or as a group, own at least 5% of our share capital may request that our management board convene a shareholders’ meeting. If our management board does not convene a shareholders’ meeting upon such a request, the shareholders may petition in German court for authorization to convene a shareholders’ meeting.</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Pursuant to our articles of association, the convening notice for a shareholders’ meeting must be made public at least 36 days prior to the meeting. Shareholders who, individually or as a group, own at least 5% or €500,000 of our share capital may require that modified or additional items be added to the agenda of the shareholders’ meeting and that these items be published prior to the shareholders’ meeting. For each new item, the requesting shareholders shall either provide an explanation of the requested change or submit a specific</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0159"/>
          </w:cols>
          <w:pgMar w:left="300" w:top="354" w:right="1440" w:bottom="1440" w:gutter="0" w:footer="0" w:header="0"/>
        </w:sectPr>
      </w:pPr>
    </w:p>
    <w:bookmarkStart w:id="139" w:name="page140"/>
    <w:bookmarkEnd w:id="1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340" w:lineRule="auto"/>
        <w:rPr>
          <w:sz w:val="20"/>
          <w:szCs w:val="20"/>
          <w:color w:val="auto"/>
        </w:rPr>
      </w:pPr>
      <w:r>
        <w:rPr>
          <w:rFonts w:ascii="Arial" w:cs="Arial" w:eastAsia="Arial" w:hAnsi="Arial"/>
          <w:sz w:val="10"/>
          <w:szCs w:val="10"/>
          <w:color w:val="auto"/>
        </w:rPr>
        <w:t>voting proposal (</w:t>
      </w:r>
      <w:r>
        <w:rPr>
          <w:rFonts w:ascii="Arial" w:cs="Arial" w:eastAsia="Arial" w:hAnsi="Arial"/>
          <w:sz w:val="10"/>
          <w:szCs w:val="10"/>
          <w:i w:val="1"/>
          <w:iCs w:val="1"/>
          <w:color w:val="auto"/>
        </w:rPr>
        <w:t>Beschlussvorlage</w:t>
      </w:r>
      <w:r>
        <w:rPr>
          <w:rFonts w:ascii="Arial" w:cs="Arial" w:eastAsia="Arial" w:hAnsi="Arial"/>
          <w:sz w:val="10"/>
          <w:szCs w:val="10"/>
          <w:color w:val="auto"/>
        </w:rPr>
        <w:t>)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The Company must publish any requests for the amendment of the agenda of the shareholders’ meeting immediately.</w:t>
      </w:r>
    </w:p>
    <w:p>
      <w:pPr>
        <w:spacing w:after="0" w:line="87"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Under German law, our annual general shareholders’ meeting must take place within the first eight months of each financial year. Among other things, the general shareholders’ meeting is required to decide on the following issues:</w:t>
      </w:r>
    </w:p>
    <w:p>
      <w:pPr>
        <w:spacing w:after="0" w:line="133" w:lineRule="exact"/>
        <w:rPr>
          <w:sz w:val="20"/>
          <w:szCs w:val="20"/>
          <w:color w:val="auto"/>
        </w:rPr>
      </w:pPr>
    </w:p>
    <w:p>
      <w:pPr>
        <w:ind w:left="2540" w:hanging="280"/>
        <w:spacing w:after="0"/>
        <w:tabs>
          <w:tab w:leader="none" w:pos="2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use of our annual net profit determined in accordance with German generally accepted accounting principles;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discharge or ratification of the actions taken by the members of our management board and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approval of our statutory auditors;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increases or decreases in our share capital;</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election of supervisory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to the extent legally required, the approval of our financial statements.</w:t>
      </w:r>
    </w:p>
    <w:p>
      <w:pPr>
        <w:spacing w:after="0" w:line="150"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Each ordinary share grants one vote in a shareholders’ meeting. Voting rights may be exercised by authorized proxies, which may be appointed by the Company (</w:t>
      </w:r>
      <w:r>
        <w:rPr>
          <w:rFonts w:ascii="Arial" w:cs="Arial" w:eastAsia="Arial" w:hAnsi="Arial"/>
          <w:sz w:val="12"/>
          <w:szCs w:val="12"/>
          <w:i w:val="1"/>
          <w:iCs w:val="1"/>
          <w:color w:val="auto"/>
        </w:rPr>
        <w:t>Stimmrechtsvertreter</w:t>
      </w:r>
      <w:r>
        <w:rPr>
          <w:rFonts w:ascii="Arial" w:cs="Arial" w:eastAsia="Arial" w:hAnsi="Arial"/>
          <w:sz w:val="12"/>
          <w:szCs w:val="12"/>
          <w:color w:val="auto"/>
        </w:rPr>
        <w:t>). The granting of a power of attorney must be made in text form. Generally, the shareholder or an authorized proxy must be present at the shareholders’ meeting to cast a vote.</w:t>
      </w:r>
    </w:p>
    <w:p>
      <w:pPr>
        <w:spacing w:after="0" w:line="122" w:lineRule="exact"/>
        <w:rPr>
          <w:sz w:val="20"/>
          <w:szCs w:val="20"/>
          <w:color w:val="auto"/>
        </w:rPr>
      </w:pPr>
    </w:p>
    <w:p>
      <w:pPr>
        <w:jc w:val="both"/>
        <w:ind w:left="1980" w:right="1039" w:firstLine="294"/>
        <w:spacing w:after="0" w:line="263" w:lineRule="auto"/>
        <w:rPr>
          <w:sz w:val="20"/>
          <w:szCs w:val="20"/>
          <w:color w:val="auto"/>
        </w:rPr>
      </w:pPr>
      <w:r>
        <w:rPr>
          <w:rFonts w:ascii="Arial" w:cs="Arial" w:eastAsia="Arial" w:hAnsi="Arial"/>
          <w:sz w:val="12"/>
          <w:szCs w:val="12"/>
          <w:color w:val="auto"/>
        </w:rPr>
        <w:t>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w:t>
      </w:r>
    </w:p>
    <w:p>
      <w:pPr>
        <w:spacing w:after="0" w:line="122"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Neither German law nor our articles of association provide for a minimum participation requirement to form a quorum at our shareholders’ meetings.</w:t>
      </w:r>
    </w:p>
    <w:p>
      <w:pPr>
        <w:spacing w:after="0" w:line="115"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2"/>
          <w:szCs w:val="12"/>
          <w:i w:val="1"/>
          <w:iCs w:val="1"/>
          <w:color w:val="auto"/>
        </w:rPr>
        <w:t>Unternehmensverträge</w:t>
      </w:r>
      <w:r>
        <w:rPr>
          <w:rFonts w:ascii="Arial" w:cs="Arial" w:eastAsia="Arial" w:hAnsi="Arial"/>
          <w:sz w:val="12"/>
          <w:szCs w:val="12"/>
          <w:color w:val="auto"/>
        </w:rPr>
        <w:t>), as defined in the German Stock Corporation Act (in particular domination agreements (</w:t>
      </w:r>
      <w:r>
        <w:rPr>
          <w:rFonts w:ascii="Arial" w:cs="Arial" w:eastAsia="Arial" w:hAnsi="Arial"/>
          <w:sz w:val="12"/>
          <w:szCs w:val="12"/>
          <w:i w:val="1"/>
          <w:iCs w:val="1"/>
          <w:color w:val="auto"/>
        </w:rPr>
        <w:t>Beherrschungsverträge</w:t>
      </w:r>
      <w:r>
        <w:rPr>
          <w:rFonts w:ascii="Arial" w:cs="Arial" w:eastAsia="Arial" w:hAnsi="Arial"/>
          <w:sz w:val="12"/>
          <w:szCs w:val="12"/>
          <w:color w:val="auto"/>
        </w:rPr>
        <w:t>), and profit and loss transfer agreements (</w:t>
      </w:r>
      <w:r>
        <w:rPr>
          <w:rFonts w:ascii="Arial" w:cs="Arial" w:eastAsia="Arial" w:hAnsi="Arial"/>
          <w:sz w:val="12"/>
          <w:szCs w:val="12"/>
          <w:i w:val="1"/>
          <w:iCs w:val="1"/>
          <w:color w:val="auto"/>
        </w:rPr>
        <w:t>Ergebnisabführungsverträge</w:t>
      </w:r>
      <w:r>
        <w:rPr>
          <w:rFonts w:ascii="Arial" w:cs="Arial" w:eastAsia="Arial" w:hAnsi="Arial"/>
          <w:sz w:val="12"/>
          <w:szCs w:val="12"/>
          <w:color w:val="auto"/>
        </w:rPr>
        <w:t>)), and a change of the legal form of a company.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 Rights</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Under German law, distributions of dividends on shares for a given financial year are generally determined by a process in which the management board and supervisory board submit a proposal to the annual general shareholders’ meeting held in the subsequent financial year and such general shareholders’ meeting adopts a resolution.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0159"/>
          </w:cols>
          <w:pgMar w:left="300" w:top="354" w:right="1440" w:bottom="1440" w:gutter="0" w:footer="0" w:header="0"/>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German law provides that a resolution concerning dividends and distribution thereof may be adopted only if the company’s unconsolidated annual financial statements prepared in accordance with German GAAP 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11"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w:t>
      </w:r>
    </w:p>
    <w:p>
      <w:pPr>
        <w:spacing w:after="0" w:line="122"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We have never declared or paid any dividends to our shareholders and, as of the date of this prospectus, have no intention to declare or pay any dividends in the foreseeable future. See “Dividend Policy.” For information about the tax considerations relating to dividend payments, please see “Taxation—German Taxation—German Taxation of ADSs.”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Liquidation Rights</w:t>
      </w:r>
    </w:p>
    <w:p>
      <w:pPr>
        <w:spacing w:after="0" w:line="154" w:lineRule="exact"/>
        <w:rPr>
          <w:sz w:val="20"/>
          <w:szCs w:val="20"/>
          <w:color w:val="auto"/>
        </w:rPr>
      </w:pPr>
    </w:p>
    <w:p>
      <w:pPr>
        <w:jc w:val="both"/>
        <w:ind w:left="1980" w:right="919" w:firstLine="294"/>
        <w:spacing w:after="0" w:line="289" w:lineRule="auto"/>
        <w:rPr>
          <w:sz w:val="20"/>
          <w:szCs w:val="20"/>
          <w:color w:val="auto"/>
        </w:rPr>
      </w:pPr>
      <w:r>
        <w:rPr>
          <w:rFonts w:ascii="Arial" w:cs="Arial" w:eastAsia="Arial" w:hAnsi="Arial"/>
          <w:sz w:val="11"/>
          <w:szCs w:val="11"/>
          <w:color w:val="auto"/>
        </w:rPr>
        <w:t>Apart from liquidation as a result of insolvency proceedings, we may be liquidated only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Authorization to Acquire Our Own Shares</w:t>
      </w:r>
    </w:p>
    <w:p>
      <w:pPr>
        <w:spacing w:after="0" w:line="154"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We may not acquire our own shares unless authorized by the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 manner that treats all shareholders equally, or in accordance with the rules that apply to subscription rights relating to a capital increase.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Squeeze-Out of Minority Shareholders</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Arial" w:cs="Arial" w:eastAsia="Arial" w:hAnsi="Arial"/>
          <w:sz w:val="12"/>
          <w:szCs w:val="12"/>
          <w:i w:val="1"/>
          <w:iCs w:val="1"/>
          <w:color w:val="auto"/>
        </w:rPr>
        <w:t>Ausschluss von Minderheitsaktionären</w:t>
      </w:r>
      <w:r>
        <w:rPr>
          <w:rFonts w:ascii="Arial" w:cs="Arial" w:eastAsia="Arial" w:hAnsi="Arial"/>
          <w:sz w:val="12"/>
          <w:szCs w:val="12"/>
          <w:color w:val="auto"/>
        </w:rPr>
        <w:t>). This amount must take into account the full value of the company at the time of the resolution, which is generally determined using the future earnings value method (</w:t>
      </w:r>
      <w:r>
        <w:rPr>
          <w:rFonts w:ascii="Arial" w:cs="Arial" w:eastAsia="Arial" w:hAnsi="Arial"/>
          <w:sz w:val="12"/>
          <w:szCs w:val="12"/>
          <w:i w:val="1"/>
          <w:iCs w:val="1"/>
          <w:color w:val="auto"/>
        </w:rPr>
        <w:t>Ertragswertmethode</w:t>
      </w:r>
      <w:r>
        <w:rPr>
          <w:rFonts w:ascii="Arial" w:cs="Arial" w:eastAsia="Arial" w:hAnsi="Arial"/>
          <w:sz w:val="12"/>
          <w:szCs w:val="12"/>
          <w:color w:val="auto"/>
        </w:rPr>
        <w:t>).</w:t>
      </w:r>
    </w:p>
    <w:p>
      <w:pPr>
        <w:spacing w:after="0" w:line="124"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A squeeze-out in the context of a merger (</w:t>
      </w:r>
      <w:r>
        <w:rPr>
          <w:rFonts w:ascii="Arial" w:cs="Arial" w:eastAsia="Arial" w:hAnsi="Arial"/>
          <w:sz w:val="12"/>
          <w:szCs w:val="12"/>
          <w:i w:val="1"/>
          <w:iCs w:val="1"/>
          <w:color w:val="auto"/>
        </w:rPr>
        <w:t>umwandlungsrechtlicher Squeeze-Out</w:t>
      </w:r>
      <w:r>
        <w:rPr>
          <w:rFonts w:ascii="Arial" w:cs="Arial" w:eastAsia="Arial" w:hAnsi="Arial"/>
          <w:sz w:val="12"/>
          <w:szCs w:val="12"/>
          <w:color w:val="auto"/>
        </w:rPr>
        <w:t>) only requires a majority shareholder to hold at least 90% of the share capital.</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Objects and Purpose of our Company</w:t>
      </w:r>
    </w:p>
    <w:p>
      <w:pPr>
        <w:spacing w:after="0" w:line="154" w:lineRule="exact"/>
        <w:rPr>
          <w:sz w:val="20"/>
          <w:szCs w:val="20"/>
          <w:color w:val="auto"/>
        </w:rPr>
      </w:pPr>
    </w:p>
    <w:p>
      <w:pPr>
        <w:jc w:val="both"/>
        <w:ind w:left="1980" w:right="979" w:firstLine="294"/>
        <w:spacing w:after="0" w:line="298" w:lineRule="auto"/>
        <w:rPr>
          <w:sz w:val="20"/>
          <w:szCs w:val="20"/>
          <w:color w:val="auto"/>
        </w:rPr>
      </w:pPr>
      <w:r>
        <w:rPr>
          <w:rFonts w:ascii="Arial" w:cs="Arial" w:eastAsia="Arial" w:hAnsi="Arial"/>
          <w:sz w:val="11"/>
          <w:szCs w:val="11"/>
          <w:color w:val="auto"/>
        </w:rPr>
        <w:t>Pursuant to Section 2 of our articles of association, our main corporate objectives are the development, production, distribution and operation of equipment, software, systems and solutions for communications networks, in particular in the air and space industries, and related products; as well as the holding and management of shareholdings in companies active in this field and the provision of related services.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0159"/>
          </w:cols>
          <w:pgMar w:left="300" w:top="354" w:right="1440" w:bottom="1440" w:gutter="0" w:footer="0" w:header="0"/>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We may engage in all business activities which serve, directly or indirectly, our business purpose. In particular, we are allowed to invest in, acquire interests in and dispose of other companies, and to establish domestic and foreign branch offices and subsidiaries.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Listing</w:t>
      </w:r>
    </w:p>
    <w:p>
      <w:pPr>
        <w:spacing w:after="0" w:line="154" w:lineRule="exact"/>
        <w:rPr>
          <w:sz w:val="20"/>
          <w:szCs w:val="20"/>
          <w:color w:val="auto"/>
        </w:rPr>
      </w:pPr>
    </w:p>
    <w:p>
      <w:pPr>
        <w:ind w:left="2260"/>
        <w:spacing w:after="0"/>
        <w:tabs>
          <w:tab w:leader="none" w:pos="4400" w:val="left"/>
          <w:tab w:leader="none" w:pos="5800" w:val="left"/>
        </w:tabs>
        <w:rPr>
          <w:sz w:val="20"/>
          <w:szCs w:val="20"/>
          <w:color w:val="auto"/>
        </w:rPr>
      </w:pPr>
      <w:r>
        <w:rPr>
          <w:rFonts w:ascii="Arial" w:cs="Arial" w:eastAsia="Arial" w:hAnsi="Arial"/>
          <w:sz w:val="12"/>
          <w:szCs w:val="12"/>
          <w:color w:val="auto"/>
        </w:rPr>
        <w:t>We will apply to list the ADSs on</w:t>
      </w:r>
      <w:r>
        <w:rPr>
          <w:sz w:val="20"/>
          <w:szCs w:val="20"/>
          <w:color w:val="auto"/>
        </w:rPr>
        <w:tab/>
      </w:r>
      <w:r>
        <w:rPr>
          <w:rFonts w:ascii="Arial" w:cs="Arial" w:eastAsia="Arial" w:hAnsi="Arial"/>
          <w:sz w:val="12"/>
          <w:szCs w:val="12"/>
          <w:color w:val="auto"/>
        </w:rPr>
        <w:t>under the symbol “</w:t>
      </w:r>
      <w:r>
        <w:rPr>
          <w:sz w:val="20"/>
          <w:szCs w:val="20"/>
          <w:color w:val="auto"/>
        </w:rPr>
        <w:tab/>
      </w:r>
      <w:r>
        <w:rPr>
          <w:rFonts w:ascii="Arial" w:cs="Arial" w:eastAsia="Arial" w:hAnsi="Arial"/>
          <w:sz w:val="12"/>
          <w:szCs w:val="12"/>
          <w:color w:val="auto"/>
        </w:rPr>
        <w: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Transfer Agent and Registrar</w:t>
      </w:r>
    </w:p>
    <w:p>
      <w:pPr>
        <w:spacing w:after="0" w:line="154" w:lineRule="exact"/>
        <w:rPr>
          <w:sz w:val="20"/>
          <w:szCs w:val="20"/>
          <w:color w:val="auto"/>
        </w:rPr>
      </w:pPr>
    </w:p>
    <w:p>
      <w:pPr>
        <w:ind w:left="2260"/>
        <w:spacing w:after="0"/>
        <w:tabs>
          <w:tab w:leader="none" w:pos="6880" w:val="left"/>
        </w:tabs>
        <w:rPr>
          <w:sz w:val="20"/>
          <w:szCs w:val="20"/>
          <w:color w:val="auto"/>
        </w:rPr>
      </w:pPr>
      <w:r>
        <w:rPr>
          <w:rFonts w:ascii="Arial" w:cs="Arial" w:eastAsia="Arial" w:hAnsi="Arial"/>
          <w:sz w:val="12"/>
          <w:szCs w:val="12"/>
          <w:color w:val="auto"/>
        </w:rPr>
        <w:t>Upon the closing of this offering, the transfer agent and registrar for the ADSs will be</w:t>
      </w:r>
      <w:r>
        <w:rPr>
          <w:sz w:val="20"/>
          <w:szCs w:val="20"/>
          <w:color w:val="auto"/>
        </w:rPr>
        <w:tab/>
      </w:r>
      <w:r>
        <w:rPr>
          <w:rFonts w:ascii="Arial" w:cs="Arial" w:eastAsia="Arial" w:hAnsi="Arial"/>
          <w:sz w:val="7"/>
          <w:szCs w:val="7"/>
          <w:color w:val="auto"/>
        </w:rPr>
        <w: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Differences in Corporate Law</w:t>
      </w:r>
    </w:p>
    <w:p>
      <w:pPr>
        <w:spacing w:after="0" w:line="154"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The applicable provisions of the German Stock Corporation Act differ from laws applicable to U.S. corporations and their shareholders. Set forth below is a summary of certain differences between the provisions of the German Stock Corporation Act applicable to us and the Delaware General Corporation Law, in each case relating to shareholders’ rights and protections.</w:t>
      </w:r>
    </w:p>
    <w:p>
      <w:pPr>
        <w:sectPr>
          <w:pgSz w:w="11900" w:h="16838" w:orient="portrait"/>
          <w:cols w:equalWidth="0" w:num="1">
            <w:col w:w="10159"/>
          </w:cols>
          <w:pgMar w:left="300" w:top="354" w:right="1440" w:bottom="1440" w:gutter="0" w:footer="0" w:header="0"/>
        </w:sectPr>
      </w:pP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vMerge w:val="restart"/>
          </w:tcPr>
          <w:p>
            <w:pPr>
              <w:spacing w:after="0"/>
              <w:rPr>
                <w:sz w:val="20"/>
                <w:szCs w:val="20"/>
                <w:color w:val="auto"/>
              </w:rPr>
            </w:pPr>
            <w:r>
              <w:rPr>
                <w:rFonts w:ascii="Arial" w:cs="Arial" w:eastAsia="Arial" w:hAnsi="Arial"/>
                <w:sz w:val="11"/>
                <w:szCs w:val="11"/>
                <w:b w:val="1"/>
                <w:bCs w:val="1"/>
                <w:color w:val="auto"/>
              </w:rPr>
              <w:t>Board System</w:t>
            </w: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c>
          <w:tcPr>
            <w:tcW w:w="0" w:type="dxa"/>
            <w:vAlign w:val="bottom"/>
          </w:tcPr>
          <w:p>
            <w:pPr>
              <w:spacing w:after="0"/>
              <w:rPr>
                <w:sz w:val="1"/>
                <w:szCs w:val="1"/>
                <w:color w:val="auto"/>
              </w:rPr>
            </w:pPr>
          </w:p>
        </w:tc>
      </w:tr>
      <w:tr>
        <w:trPr>
          <w:trHeight w:val="119"/>
        </w:trPr>
        <w:tc>
          <w:tcPr>
            <w:tcW w:w="2720" w:type="dxa"/>
            <w:vAlign w:val="bottom"/>
            <w:vMerge w:val="continue"/>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89"/>
              </w:rPr>
              <w:t>Under German law, a stock corporation has a two-tier</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board structure composed of the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w:t>
            </w:r>
            <w:r>
              <w:rPr>
                <w:rFonts w:ascii="Arial" w:cs="Arial" w:eastAsia="Arial" w:hAnsi="Arial"/>
                <w:sz w:val="11"/>
                <w:szCs w:val="11"/>
                <w:i w:val="1"/>
                <w:iCs w:val="1"/>
                <w:color w:val="auto"/>
                <w:w w:val="91"/>
              </w:rPr>
              <w:t>Vorstand</w:t>
            </w:r>
            <w:r>
              <w:rPr>
                <w:rFonts w:ascii="Arial" w:cs="Arial" w:eastAsia="Arial" w:hAnsi="Arial"/>
                <w:sz w:val="11"/>
                <w:szCs w:val="11"/>
                <w:color w:val="auto"/>
                <w:w w:val="91"/>
              </w:rPr>
              <w:t>) and the supervisory board (</w:t>
            </w:r>
            <w:r>
              <w:rPr>
                <w:rFonts w:ascii="Arial" w:cs="Arial" w:eastAsia="Arial" w:hAnsi="Arial"/>
                <w:sz w:val="11"/>
                <w:szCs w:val="11"/>
                <w:i w:val="1"/>
                <w:iCs w:val="1"/>
                <w:color w:val="auto"/>
                <w:w w:val="91"/>
              </w:rPr>
              <w:t>Aufsichtsrat</w:t>
            </w:r>
            <w:r>
              <w:rPr>
                <w:rFonts w:ascii="Arial" w:cs="Arial" w:eastAsia="Arial" w:hAnsi="Arial"/>
                <w:sz w:val="11"/>
                <w:szCs w:val="11"/>
                <w:color w:val="auto"/>
                <w:w w:val="91"/>
              </w:rPr>
              <w:t>).</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is responsible for running the</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company’s day-to-day business and affairs and</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representing the company in dealings with third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parties.</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 supervisory board has a control and supervisory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function. The supervisory board does not actively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manage the company but certain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actions require the approval of the supervisory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79"/>
        <w:spacing w:after="0" w:line="328" w:lineRule="auto"/>
        <w:rPr>
          <w:sz w:val="20"/>
          <w:szCs w:val="20"/>
          <w:color w:val="auto"/>
        </w:rPr>
      </w:pPr>
      <w:r>
        <w:rPr>
          <w:rFonts w:ascii="Arial" w:cs="Arial" w:eastAsia="Arial" w:hAnsi="Arial"/>
          <w:sz w:val="9"/>
          <w:szCs w:val="9"/>
          <w:color w:val="auto"/>
        </w:rPr>
        <w:t>Under Delaware law, a corporation has a unitary board structure and it is the responsibility of the board of directors to appoint and oversee the management of the corporation on behalf of and in the best interests of the shareholders of the corporation.</w:t>
      </w:r>
    </w:p>
    <w:p>
      <w:pPr>
        <w:spacing w:after="0" w:line="123" w:lineRule="exact"/>
        <w:rPr>
          <w:sz w:val="20"/>
          <w:szCs w:val="20"/>
          <w:color w:val="auto"/>
        </w:rPr>
      </w:pPr>
    </w:p>
    <w:p>
      <w:pPr>
        <w:ind w:right="1119"/>
        <w:spacing w:after="0" w:line="265" w:lineRule="auto"/>
        <w:rPr>
          <w:sz w:val="20"/>
          <w:szCs w:val="20"/>
          <w:color w:val="auto"/>
        </w:rPr>
      </w:pPr>
      <w:r>
        <w:rPr>
          <w:rFonts w:ascii="Arial" w:cs="Arial" w:eastAsia="Arial" w:hAnsi="Arial"/>
          <w:sz w:val="11"/>
          <w:szCs w:val="11"/>
          <w:color w:val="auto"/>
        </w:rPr>
        <w:t>Management is responsible for running the corporation and overseeing its day-to-day operations.</w:t>
      </w:r>
    </w:p>
    <w:p>
      <w:pPr>
        <w:spacing w:after="0" w:line="567"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Number of Board Members / Directors</w:t>
      </w:r>
      <w:r>
        <w:rPr>
          <w:sz w:val="20"/>
          <w:szCs w:val="20"/>
          <w:color w:val="auto"/>
        </w:rPr>
        <w:tab/>
      </w:r>
      <w:r>
        <w:rPr>
          <w:rFonts w:ascii="Arial" w:cs="Arial" w:eastAsia="Arial" w:hAnsi="Arial"/>
          <w:sz w:val="9"/>
          <w:szCs w:val="9"/>
          <w:color w:val="auto"/>
        </w:rPr>
        <w:t>Under German law, the management board of a stock</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corporation must have at least one member, and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members shall be determined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manner provided in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association.</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supervisory board of a stock corporation must</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at least three but—depending on the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capital—no more than 21 members, whereby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supervisory board members must be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divisible by three if this is necessary for the fulfilment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of</w:t>
      </w:r>
    </w:p>
    <w:p>
      <w:pPr>
        <w:spacing w:after="0" w:line="20" w:lineRule="exact"/>
        <w:rPr>
          <w:sz w:val="20"/>
          <w:szCs w:val="20"/>
          <w:color w:val="auto"/>
        </w:rPr>
      </w:pPr>
      <w:r>
        <w:rPr>
          <w:sz w:val="20"/>
          <w:szCs w:val="20"/>
          <w:color w:val="auto"/>
        </w:rPr>
        <w:br w:type="column"/>
      </w:r>
    </w:p>
    <w:p>
      <w:pPr>
        <w:ind w:right="879"/>
        <w:spacing w:after="0" w:line="259" w:lineRule="auto"/>
        <w:rPr>
          <w:sz w:val="20"/>
          <w:szCs w:val="20"/>
          <w:color w:val="auto"/>
        </w:rPr>
      </w:pPr>
      <w:r>
        <w:rPr>
          <w:rFonts w:ascii="Arial" w:cs="Arial" w:eastAsia="Arial" w:hAnsi="Arial"/>
          <w:sz w:val="11"/>
          <w:szCs w:val="11"/>
          <w:color w:val="auto"/>
        </w:rPr>
        <w:t>Under Delaware law, a corporation must have at least one director and the number of directors shall be fixed by or in the manner provided in the bylaws, unless the certificate of incorporation otherwise fixes the number of directors.</w:t>
      </w:r>
    </w:p>
    <w:p>
      <w:pPr>
        <w:spacing w:after="0" w:line="932"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5560"/>
        <w:spacing w:after="0"/>
        <w:rPr>
          <w:sz w:val="20"/>
          <w:szCs w:val="20"/>
          <w:color w:val="auto"/>
        </w:rPr>
      </w:pPr>
      <w:r>
        <w:rPr>
          <w:rFonts w:ascii="Arial" w:cs="Arial" w:eastAsia="Arial" w:hAnsi="Arial"/>
          <w:sz w:val="10"/>
          <w:szCs w:val="10"/>
          <w:color w:val="auto"/>
        </w:rPr>
        <w:t>131</w:t>
      </w:r>
    </w:p>
    <w:p>
      <w:pPr>
        <w:sectPr>
          <w:pgSz w:w="11900" w:h="16838" w:orient="portrait"/>
          <w:cols w:equalWidth="0" w:num="1">
            <w:col w:w="10159"/>
          </w:cols>
          <w:pgMar w:left="300" w:top="354" w:right="1440" w:bottom="1440" w:gutter="0" w:footer="0" w:header="0"/>
          <w:type w:val="continuous"/>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employee co-determination requirements. The articles</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of association of the company must specify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has more than three members.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members are either appointed by</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shareholders’ meeting or determined by one 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more individual shareholders based on a delegation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 for such shareholders provided for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articles of association.</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Depending on the number of employees of the</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 the supervisory board may be required to</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include employee representatives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provisions of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applies to companies that have at least 500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Germany, or the German Co-Determination Act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that have at least 2,000 employees in Germany. Such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rules result in different appointment rules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members: In companies which are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subject to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two-thirds of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while one-third are representatives of the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companies which are subject to the German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Co-Determination Act, half of the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 and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other half are representatives of the employees. 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event of a tie, the Chairperson has the tie-breaking</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vote. The employee representatives in the supervisory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are elected by the employees following certain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 set forth in applicable law.</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 supervisory board of German stock</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corporations that are both listed and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German Co-Determination Act must be composed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at least 30% women or men, depending on which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less represented group.</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10159"/>
          </w:cols>
          <w:pgMar w:left="300" w:top="354" w:right="1440" w:bottom="1440" w:gutter="0" w:footer="0" w:header="0"/>
        </w:sectPr>
      </w:pPr>
    </w:p>
    <w:bookmarkStart w:id="143" w:name="page144"/>
    <w:bookmarkEnd w:id="1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142"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Appointment and Removal of Board Members /</w:t>
      </w:r>
      <w:r>
        <w:rPr>
          <w:sz w:val="20"/>
          <w:szCs w:val="20"/>
          <w:color w:val="auto"/>
        </w:rPr>
        <w:tab/>
      </w:r>
      <w:r>
        <w:rPr>
          <w:rFonts w:ascii="Arial" w:cs="Arial" w:eastAsia="Arial" w:hAnsi="Arial"/>
          <w:sz w:val="9"/>
          <w:szCs w:val="9"/>
          <w:color w:val="auto"/>
        </w:rPr>
        <w:t>Members of the management board of a German</w:t>
      </w:r>
    </w:p>
    <w:p>
      <w:pPr>
        <w:spacing w:after="0" w:line="14"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0"/>
          <w:szCs w:val="10"/>
          <w:b w:val="1"/>
          <w:bCs w:val="1"/>
          <w:color w:val="auto"/>
        </w:rPr>
        <w:t>Directors</w:t>
      </w:r>
      <w:r>
        <w:rPr>
          <w:sz w:val="20"/>
          <w:szCs w:val="20"/>
          <w:color w:val="auto"/>
        </w:rPr>
        <w:tab/>
      </w:r>
      <w:r>
        <w:rPr>
          <w:rFonts w:ascii="Arial" w:cs="Arial" w:eastAsia="Arial" w:hAnsi="Arial"/>
          <w:sz w:val="10"/>
          <w:szCs w:val="10"/>
          <w:color w:val="auto"/>
        </w:rPr>
        <w:t>stock corporation are appointed by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for a maximum period of five years.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Reappointment, including repeated reappointment, is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The supervisory board may remove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 of the management board prior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expiration of his or her term only for good cause, such</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 for gross breach of fiduciary duties or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passes a vote of no-confidence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with respect to such member, unless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board deems the no-confidence vote to be clearly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unreasonable. The shareholders themselves are not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entitled to appoint or dismiss the members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9"/>
          <w:szCs w:val="9"/>
          <w:color w:val="auto"/>
        </w:rPr>
        <w:t>Under German law, a member of a supervisory board</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may be elected for a term of up to approximately five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years depending on the date of the annual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shareholders’ meeting at which such member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elected, which is the standard term of office.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Reelection, including repeated reelection,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Prior to the expiration of his or her term,</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supervisory board members who have been appointed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the shareholders’ meeting may be removed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resolution of the general meeting requiring a three-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quarter majority of the votes cast, unless otherwise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provided by the company’s articles of association.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members who are delegated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 or the company’s employees may be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revoked and the resulting vacancy filled at the sole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discretion of such shareholder or the employees.</w:t>
      </w:r>
    </w:p>
    <w:p>
      <w:pPr>
        <w:spacing w:after="0" w:line="168"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Vacancies on the Boards</w:t>
      </w:r>
      <w:r>
        <w:rPr>
          <w:sz w:val="20"/>
          <w:szCs w:val="20"/>
          <w:color w:val="auto"/>
        </w:rPr>
        <w:tab/>
      </w:r>
      <w:r>
        <w:rPr>
          <w:rFonts w:ascii="Arial" w:cs="Arial" w:eastAsia="Arial" w:hAnsi="Arial"/>
          <w:sz w:val="9"/>
          <w:szCs w:val="9"/>
          <w:color w:val="auto"/>
        </w:rPr>
        <w:t>Under German law, vacant positions on the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9"/>
          <w:szCs w:val="9"/>
          <w:color w:val="auto"/>
        </w:rPr>
        <w:t>management board are filled by the supervisory board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in accordance with the general rules of appointment,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which provide that vacancies are filled by the simple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majority of supervisory board votes cast, unless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otherwise provided by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association. In case of emergencies, a vacant position</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on the management</w:t>
      </w:r>
    </w:p>
    <w:p>
      <w:pPr>
        <w:spacing w:after="0" w:line="23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 w:right="839"/>
        <w:spacing w:after="0" w:line="284" w:lineRule="auto"/>
        <w:rPr>
          <w:sz w:val="20"/>
          <w:szCs w:val="20"/>
          <w:color w:val="auto"/>
        </w:rPr>
      </w:pPr>
      <w:r>
        <w:rPr>
          <w:rFonts w:ascii="Arial" w:cs="Arial" w:eastAsia="Arial" w:hAnsi="Arial"/>
          <w:sz w:val="10"/>
          <w:szCs w:val="10"/>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 w:right="859"/>
        <w:spacing w:after="0" w:line="313" w:lineRule="auto"/>
        <w:rPr>
          <w:sz w:val="20"/>
          <w:szCs w:val="20"/>
          <w:color w:val="auto"/>
        </w:rPr>
      </w:pPr>
      <w:r>
        <w:rPr>
          <w:rFonts w:ascii="Arial" w:cs="Arial" w:eastAsia="Arial" w:hAnsi="Arial"/>
          <w:sz w:val="9"/>
          <w:szCs w:val="9"/>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w:t>
      </w:r>
    </w:p>
    <w:p>
      <w:pPr>
        <w:spacing w:after="0" w:line="1" w:lineRule="exact"/>
        <w:rPr>
          <w:sz w:val="20"/>
          <w:szCs w:val="20"/>
          <w:color w:val="auto"/>
        </w:rPr>
      </w:pPr>
    </w:p>
    <w:p>
      <w:pPr>
        <w:jc w:val="both"/>
        <w:ind w:left="8" w:right="899" w:hanging="8"/>
        <w:spacing w:after="0" w:line="264" w:lineRule="auto"/>
        <w:tabs>
          <w:tab w:leader="none" w:pos="167"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the certificate of incorporation directs that a particular class of stock is to elect such director, in which case a majority</w:t>
      </w:r>
    </w:p>
    <w:p>
      <w:pPr>
        <w:sectPr>
          <w:pgSz w:w="11900" w:h="16838" w:orient="portrait"/>
          <w:cols w:equalWidth="0" w:num="2">
            <w:col w:w="7040" w:space="152"/>
            <w:col w:w="2967"/>
          </w:cols>
          <w:pgMar w:left="300" w:top="354" w:right="1440" w:bottom="1440" w:gutter="0" w:footer="0" w:header="0"/>
          <w:type w:val="continuous"/>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left="472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9"/>
          <w:szCs w:val="9"/>
          <w:color w:val="auto"/>
        </w:rPr>
        <w:t>board may be filled by an individual appointed by the</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court.</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the number of supervisory board members falls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9"/>
          <w:szCs w:val="9"/>
          <w:color w:val="auto"/>
        </w:rPr>
        <w:t>below the number of members required for a quorum,</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minimum number of members required by law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articles of association, upon application to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court having jurisdiction by the management board, a</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member of the supervisory board or a shareholder to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competent court, the vacant position 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may be filled with an individual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appointed by the court.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19"/>
        <w:spacing w:after="0" w:line="265" w:lineRule="auto"/>
        <w:rPr>
          <w:sz w:val="20"/>
          <w:szCs w:val="20"/>
          <w:color w:val="auto"/>
        </w:rPr>
      </w:pPr>
      <w:r>
        <w:rPr>
          <w:rFonts w:ascii="Arial" w:cs="Arial" w:eastAsia="Arial" w:hAnsi="Arial"/>
          <w:sz w:val="11"/>
          <w:szCs w:val="11"/>
          <w:color w:val="auto"/>
        </w:rPr>
        <w:t>of the other directors elected by such class, or a sole remaining director elected by such class, will fill such vacancy.</w:t>
      </w:r>
    </w:p>
    <w:p>
      <w:pPr>
        <w:spacing w:after="0" w:line="1376" w:lineRule="exact"/>
        <w:rPr>
          <w:sz w:val="20"/>
          <w:szCs w:val="20"/>
          <w:color w:val="auto"/>
        </w:rPr>
      </w:pPr>
    </w:p>
    <w:p>
      <w:pPr>
        <w:sectPr>
          <w:pgSz w:w="11900" w:h="16838" w:orient="portrait"/>
          <w:cols w:equalWidth="0" w:num="2">
            <w:col w:w="7020" w:space="18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Annual Shareholders’ Meeting</w:t>
      </w:r>
      <w:r>
        <w:rPr>
          <w:sz w:val="20"/>
          <w:szCs w:val="20"/>
          <w:color w:val="auto"/>
        </w:rPr>
        <w:tab/>
      </w:r>
      <w:r>
        <w:rPr>
          <w:rFonts w:ascii="Arial" w:cs="Arial" w:eastAsia="Arial" w:hAnsi="Arial"/>
          <w:sz w:val="9"/>
          <w:szCs w:val="9"/>
          <w:color w:val="auto"/>
        </w:rPr>
        <w:t>Under German law, a stock corporation must hold an</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annual shareholders’ meeting within eight months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end of its financial year. Unless otherwise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provided for in the articles of association,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shall be held at the company’s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seat or, if applicable, at the venue where its shares are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listed.</w:t>
      </w:r>
    </w:p>
    <w:p>
      <w:pPr>
        <w:spacing w:after="0" w:line="147"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Calling of Shareholders’ Meetings</w:t>
      </w:r>
      <w:r>
        <w:rPr>
          <w:sz w:val="20"/>
          <w:szCs w:val="20"/>
          <w:color w:val="auto"/>
        </w:rPr>
        <w:tab/>
      </w:r>
      <w:r>
        <w:rPr>
          <w:rFonts w:ascii="Arial" w:cs="Arial" w:eastAsia="Arial" w:hAnsi="Arial"/>
          <w:sz w:val="9"/>
          <w:szCs w:val="9"/>
          <w:color w:val="auto"/>
        </w:rPr>
        <w:t>Under German law, extraordinary shareholders’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meetings, in addition to the annual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meetings, may be called by the management board or,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calling a meeting is required in the best interest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company, the supervisory board.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holding shares representing at least 5% of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share capital may request that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convenes an extraordinary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If the management board does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not convene a shareholders’ meeting upon such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request, the shareholders may petition the German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court having jurisdiction for authorization to convene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shareholders’ meeting.</w:t>
      </w:r>
    </w:p>
    <w:p>
      <w:pPr>
        <w:spacing w:after="0" w:line="20" w:lineRule="exact"/>
        <w:rPr>
          <w:sz w:val="20"/>
          <w:szCs w:val="20"/>
          <w:color w:val="auto"/>
        </w:rPr>
      </w:pPr>
      <w:r>
        <w:rPr>
          <w:sz w:val="20"/>
          <w:szCs w:val="20"/>
          <w:color w:val="auto"/>
        </w:rPr>
        <w:br w:type="column"/>
      </w:r>
    </w:p>
    <w:p>
      <w:pPr>
        <w:ind w:right="859"/>
        <w:spacing w:after="0" w:line="259" w:lineRule="auto"/>
        <w:rPr>
          <w:sz w:val="20"/>
          <w:szCs w:val="20"/>
          <w:color w:val="auto"/>
        </w:rPr>
      </w:pPr>
      <w:r>
        <w:rPr>
          <w:rFonts w:ascii="Arial" w:cs="Arial" w:eastAsia="Arial" w:hAnsi="Arial"/>
          <w:sz w:val="11"/>
          <w:szCs w:val="11"/>
          <w:color w:val="auto"/>
        </w:rPr>
        <w:t>Under Delaware law, the annual meeting of shareholders shall be held at such place, on such date and at such time as may be designated from time to time by the board of directors or as provided in the certificate of incorporation or the bylaws.</w:t>
      </w:r>
    </w:p>
    <w:p>
      <w:pPr>
        <w:spacing w:after="0" w:line="270" w:lineRule="exact"/>
        <w:rPr>
          <w:sz w:val="20"/>
          <w:szCs w:val="20"/>
          <w:color w:val="auto"/>
        </w:rPr>
      </w:pPr>
    </w:p>
    <w:p>
      <w:pPr>
        <w:ind w:right="859"/>
        <w:spacing w:after="0" w:line="292" w:lineRule="auto"/>
        <w:rPr>
          <w:sz w:val="20"/>
          <w:szCs w:val="20"/>
          <w:color w:val="auto"/>
        </w:rPr>
      </w:pPr>
      <w:r>
        <w:rPr>
          <w:rFonts w:ascii="Arial" w:cs="Arial" w:eastAsia="Arial" w:hAnsi="Arial"/>
          <w:sz w:val="10"/>
          <w:szCs w:val="10"/>
          <w:color w:val="auto"/>
        </w:rPr>
        <w:t>Under Delaware law, special meetings of the shareholders may be called by the board of directors or by such person or persons as may be authorized by the certificate of incorporation or by the bylaws.</w:t>
      </w:r>
    </w:p>
    <w:p>
      <w:pPr>
        <w:spacing w:after="0" w:line="1195" w:lineRule="exact"/>
        <w:rPr>
          <w:sz w:val="20"/>
          <w:szCs w:val="20"/>
          <w:color w:val="auto"/>
        </w:rPr>
      </w:pPr>
    </w:p>
    <w:p>
      <w:pPr>
        <w:sectPr>
          <w:pgSz w:w="11900" w:h="16838" w:orient="portrait"/>
          <w:cols w:equalWidth="0" w:num="2">
            <w:col w:w="7020" w:space="18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Notice of Shareholders’ Meetings</w:t>
      </w:r>
      <w:r>
        <w:rPr>
          <w:sz w:val="20"/>
          <w:szCs w:val="20"/>
          <w:color w:val="auto"/>
        </w:rPr>
        <w:tab/>
      </w:r>
      <w:r>
        <w:rPr>
          <w:rFonts w:ascii="Arial" w:cs="Arial" w:eastAsia="Arial" w:hAnsi="Arial"/>
          <w:sz w:val="9"/>
          <w:szCs w:val="9"/>
          <w:color w:val="auto"/>
        </w:rPr>
        <w:t>Under German law, unless a longer period is provided</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for in the articles of association, the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must be given at least 30 days’ advance notice of the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Such notice must at least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specify the name of the company, the statutory seat of</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company as well as the location,</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br w:type="column"/>
      </w:r>
    </w:p>
    <w:p>
      <w:pPr>
        <w:ind w:right="859"/>
        <w:spacing w:after="0" w:line="328" w:lineRule="auto"/>
        <w:rPr>
          <w:sz w:val="20"/>
          <w:szCs w:val="20"/>
          <w:color w:val="auto"/>
        </w:rPr>
      </w:pPr>
      <w:r>
        <w:rPr>
          <w:rFonts w:ascii="Arial" w:cs="Arial" w:eastAsia="Arial" w:hAnsi="Arial"/>
          <w:sz w:val="9"/>
          <w:szCs w:val="9"/>
          <w:color w:val="auto"/>
        </w:rPr>
        <w:t>Under Delaware law, unless otherwise provided in the certificate of incorporation or bylaws, written or electronic notice of any meeting of the shareholders must be given to each shareholder entitled to vote at the meeting not less than ten nor more than 60 days before the date of the</w:t>
      </w:r>
    </w:p>
    <w:p>
      <w:pPr>
        <w:sectPr>
          <w:pgSz w:w="11900" w:h="16838" w:orient="portrait"/>
          <w:cols w:equalWidth="0" w:num="2">
            <w:col w:w="7040" w:space="160"/>
            <w:col w:w="2959"/>
          </w:cols>
          <w:pgMar w:left="300" w:top="354" w:right="1440" w:bottom="1440" w:gutter="0" w:footer="0" w:header="0"/>
          <w:type w:val="continuous"/>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rPr>
              <w:t>date and time of the shareholders’ meeting. In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addition, the invitation must contain the agenda items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as well as the management board’s and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supervisory board’s voting proposal for each agenda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item.</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formalities relating to calling and holding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shareholders’ meeting can be waived, provided that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all shareholders eligible to attend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meeting are present or represented at the meeting and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grant their consent.</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Proxy Voting</w:t>
            </w:r>
          </w:p>
        </w:tc>
        <w:tc>
          <w:tcPr>
            <w:tcW w:w="2340" w:type="dxa"/>
            <w:vAlign w:val="bottom"/>
          </w:tcPr>
          <w:p>
            <w:pPr>
              <w:spacing w:after="0"/>
              <w:rPr>
                <w:sz w:val="20"/>
                <w:szCs w:val="20"/>
                <w:color w:val="auto"/>
              </w:rPr>
            </w:pPr>
            <w:r>
              <w:rPr>
                <w:rFonts w:ascii="Arial" w:cs="Arial" w:eastAsia="Arial" w:hAnsi="Arial"/>
                <w:sz w:val="11"/>
                <w:szCs w:val="11"/>
                <w:color w:val="auto"/>
                <w:w w:val="97"/>
              </w:rPr>
              <w:t>Under German law, a shareholder may authorize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another person to attend, speak and vote at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meeting of the company on such</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behalf by proxy.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management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member may issue a proxy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another management board member to represent him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or her at the meeting and vote on his or her behalf.</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supervisory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supervisory board member may participate in a vote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by written vote issued to, and presented at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meeting by, another supervisory board member or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third party entitled to attend the supervisory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meeting.</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59"/>
        <w:spacing w:after="0" w:line="389" w:lineRule="auto"/>
        <w:rPr>
          <w:sz w:val="20"/>
          <w:szCs w:val="20"/>
          <w:color w:val="auto"/>
        </w:rPr>
      </w:pPr>
      <w:r>
        <w:rPr>
          <w:rFonts w:ascii="Arial" w:cs="Arial" w:eastAsia="Arial" w:hAnsi="Arial"/>
          <w:sz w:val="9"/>
          <w:szCs w:val="9"/>
          <w:color w:val="auto"/>
        </w:rPr>
        <w:t>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99"/>
        <w:spacing w:after="0" w:line="290" w:lineRule="auto"/>
        <w:rPr>
          <w:sz w:val="20"/>
          <w:szCs w:val="20"/>
          <w:color w:val="auto"/>
        </w:rPr>
      </w:pPr>
      <w:r>
        <w:rPr>
          <w:rFonts w:ascii="Arial" w:cs="Arial" w:eastAsia="Arial" w:hAnsi="Arial"/>
          <w:sz w:val="10"/>
          <w:szCs w:val="10"/>
          <w:color w:val="auto"/>
        </w:rPr>
        <w:t>Under Delaware law, at any meeting of shareholders, a shareholder may designate another person to act for such shareholder by proxy, but no such proxy shall be voted or acted upon after three years from its date, unless the proxy provides for a longer period.</w:t>
      </w:r>
    </w:p>
    <w:p>
      <w:pPr>
        <w:spacing w:after="0" w:line="138" w:lineRule="exact"/>
        <w:rPr>
          <w:sz w:val="20"/>
          <w:szCs w:val="20"/>
          <w:color w:val="auto"/>
        </w:rPr>
      </w:pPr>
    </w:p>
    <w:p>
      <w:pPr>
        <w:ind w:right="939"/>
        <w:spacing w:after="0" w:line="265" w:lineRule="auto"/>
        <w:rPr>
          <w:sz w:val="20"/>
          <w:szCs w:val="20"/>
          <w:color w:val="auto"/>
        </w:rPr>
      </w:pPr>
      <w:r>
        <w:rPr>
          <w:rFonts w:ascii="Arial" w:cs="Arial" w:eastAsia="Arial" w:hAnsi="Arial"/>
          <w:sz w:val="11"/>
          <w:szCs w:val="11"/>
          <w:color w:val="auto"/>
        </w:rPr>
        <w:t>A director of a Delaware corporation may not issue a proxy representing the director’s voting rights as a director.</w:t>
      </w:r>
    </w:p>
    <w:p>
      <w:pPr>
        <w:spacing w:after="0" w:line="972" w:lineRule="exact"/>
        <w:rPr>
          <w:sz w:val="20"/>
          <w:szCs w:val="20"/>
          <w:color w:val="auto"/>
        </w:rPr>
      </w:pPr>
    </w:p>
    <w:p>
      <w:pPr>
        <w:sectPr>
          <w:pgSz w:w="11900" w:h="16838" w:orient="portrait"/>
          <w:cols w:equalWidth="0" w:num="2">
            <w:col w:w="7040" w:space="16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Preemptive / Subscription Rights</w:t>
      </w:r>
      <w:r>
        <w:rPr>
          <w:sz w:val="20"/>
          <w:szCs w:val="20"/>
          <w:color w:val="auto"/>
        </w:rPr>
        <w:tab/>
      </w:r>
      <w:r>
        <w:rPr>
          <w:rFonts w:ascii="Arial" w:cs="Arial" w:eastAsia="Arial" w:hAnsi="Arial"/>
          <w:sz w:val="9"/>
          <w:szCs w:val="9"/>
          <w:color w:val="auto"/>
        </w:rPr>
        <w:t>Under German law, existing shareholders have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subscription rights with respect to any new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shares or securities convertible into shares issued pro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rata to the nominal value of their respective holdings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 the company, unless (i) shareholders holding shares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representing three-quarters of the registered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 represented in the relevant shareholder vote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resolved upon the full or partial exclusion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subscription rights and (ii) such exclusion is justified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good and objective cause. No separate resolution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on the exclusion of subscription rights is required if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all shareholders waive their statutory subscription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rights.</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br w:type="column"/>
      </w:r>
    </w:p>
    <w:p>
      <w:pPr>
        <w:ind w:right="859"/>
        <w:spacing w:after="0" w:line="290" w:lineRule="auto"/>
        <w:rPr>
          <w:sz w:val="20"/>
          <w:szCs w:val="20"/>
          <w:color w:val="auto"/>
        </w:rPr>
      </w:pPr>
      <w:r>
        <w:rPr>
          <w:rFonts w:ascii="Arial" w:cs="Arial" w:eastAsia="Arial" w:hAnsi="Arial"/>
          <w:sz w:val="10"/>
          <w:szCs w:val="10"/>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040" w:space="160"/>
            <w:col w:w="2959"/>
          </w:cols>
          <w:pgMar w:left="300" w:top="354" w:right="1440" w:bottom="1440" w:gutter="0" w:footer="0" w:header="0"/>
          <w:type w:val="continuous"/>
        </w:sectPr>
      </w:pPr>
    </w:p>
    <w:bookmarkStart w:id="146" w:name="page147"/>
    <w:bookmarkEnd w:id="146"/>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313" w:lineRule="exact"/>
        <w:rPr>
          <w:sz w:val="20"/>
          <w:szCs w:val="20"/>
          <w:color w:val="auto"/>
        </w:rPr>
      </w:pPr>
    </w:p>
    <w:p>
      <w:pPr>
        <w:jc w:val="center"/>
        <w:ind w:left="800"/>
        <w:spacing w:after="0"/>
        <w:rPr>
          <w:sz w:val="20"/>
          <w:szCs w:val="20"/>
          <w:color w:val="auto"/>
        </w:rPr>
      </w:pPr>
      <w:r>
        <w:rPr>
          <w:rFonts w:ascii="Arial" w:cs="Arial" w:eastAsia="Arial" w:hAnsi="Arial"/>
          <w:sz w:val="10"/>
          <w:szCs w:val="10"/>
          <w:b w:val="1"/>
          <w:bCs w:val="1"/>
          <w:color w:val="auto"/>
        </w:rPr>
        <w:t>Authority to Allot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9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-422910</wp:posOffset>
            </wp:positionV>
            <wp:extent cx="72148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149161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spacing w:after="0" w:line="323" w:lineRule="auto"/>
        <w:rPr>
          <w:sz w:val="20"/>
          <w:szCs w:val="20"/>
          <w:color w:val="auto"/>
        </w:rPr>
      </w:pPr>
      <w:r>
        <w:rPr>
          <w:rFonts w:ascii="Arial" w:cs="Arial" w:eastAsia="Arial" w:hAnsi="Arial"/>
          <w:sz w:val="9"/>
          <w:szCs w:val="9"/>
          <w:color w:val="auto"/>
        </w:rPr>
        <w:t>Under German law, the management board may not allot shares, grant rights to subscribe for shares or to convert any security into shares, unless a shareholder resolution has been passed at the company’s shareholders’ meeting granting the management board such authority, subject to the approval of the supervisory board, 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5" w:lineRule="auto"/>
        <w:rPr>
          <w:sz w:val="20"/>
          <w:szCs w:val="20"/>
          <w:color w:val="auto"/>
        </w:rPr>
      </w:pPr>
      <w:r>
        <w:rPr>
          <w:rFonts w:ascii="Arial" w:cs="Arial" w:eastAsia="Arial" w:hAnsi="Arial"/>
          <w:sz w:val="10"/>
          <w:szCs w:val="10"/>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setting a minimum amount of consideration or approving a formula. In the absence of actual fraud in the transaction, the judgment of the directors as to the value of such consideration is conclusive.</w:t>
      </w:r>
    </w:p>
    <w:p>
      <w:pPr>
        <w:spacing w:after="0" w:line="120" w:lineRule="exact"/>
        <w:rPr>
          <w:sz w:val="20"/>
          <w:szCs w:val="20"/>
          <w:color w:val="auto"/>
        </w:rPr>
      </w:pPr>
    </w:p>
    <w:p>
      <w:pPr>
        <w:sectPr>
          <w:pgSz w:w="11900" w:h="16838" w:orient="portrait"/>
          <w:cols w:equalWidth="0" w:num="3">
            <w:col w:w="3980" w:space="720"/>
            <w:col w:w="2300" w:space="20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Voting Rights</w:t>
      </w:r>
      <w:r>
        <w:rPr>
          <w:sz w:val="20"/>
          <w:szCs w:val="20"/>
          <w:color w:val="auto"/>
        </w:rPr>
        <w:tab/>
      </w:r>
      <w:r>
        <w:rPr>
          <w:rFonts w:ascii="Arial" w:cs="Arial" w:eastAsia="Arial" w:hAnsi="Arial"/>
          <w:sz w:val="9"/>
          <w:szCs w:val="9"/>
          <w:color w:val="auto"/>
        </w:rPr>
        <w:t>Under German law, each share, except for statutory</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preferred non-voting shares (</w:t>
      </w:r>
      <w:r>
        <w:rPr>
          <w:rFonts w:ascii="Arial" w:cs="Arial" w:eastAsia="Arial" w:hAnsi="Arial"/>
          <w:sz w:val="10"/>
          <w:szCs w:val="10"/>
          <w:i w:val="1"/>
          <w:iCs w:val="1"/>
          <w:color w:val="auto"/>
        </w:rPr>
        <w:t>nicht stimmberechtigte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i w:val="1"/>
          <w:iCs w:val="1"/>
          <w:color w:val="auto"/>
        </w:rPr>
        <w:t>Vorzugsaktien</w:t>
      </w:r>
      <w:r>
        <w:rPr>
          <w:rFonts w:ascii="Arial" w:cs="Arial" w:eastAsia="Arial" w:hAnsi="Arial"/>
          <w:sz w:val="11"/>
          <w:szCs w:val="11"/>
          <w:color w:val="auto"/>
        </w:rPr>
        <w:t>), entitles its holder to vote 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and to participate with such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number of votes with respect to one share which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correspond to the quota of such share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company’s share capital. While German law does not</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 for a minimum attendance quorum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general meetings,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association may so provide. In general, resolutions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adopted at a shareholders’ meeting may be passed by</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simple majority of votes cast, unless a higher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majority is required by law or under the company’s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articles of association.</w:t>
      </w:r>
    </w:p>
    <w:p>
      <w:pPr>
        <w:spacing w:after="0" w:line="20" w:lineRule="exact"/>
        <w:rPr>
          <w:sz w:val="20"/>
          <w:szCs w:val="20"/>
          <w:color w:val="auto"/>
        </w:rPr>
      </w:pPr>
      <w:r>
        <w:rPr>
          <w:sz w:val="20"/>
          <w:szCs w:val="20"/>
          <w:color w:val="auto"/>
        </w:rPr>
        <w:br w:type="column"/>
      </w:r>
    </w:p>
    <w:p>
      <w:pPr>
        <w:ind w:right="879"/>
        <w:spacing w:after="0" w:line="338" w:lineRule="auto"/>
        <w:rPr>
          <w:sz w:val="20"/>
          <w:szCs w:val="20"/>
          <w:color w:val="auto"/>
        </w:rPr>
      </w:pPr>
      <w:r>
        <w:rPr>
          <w:rFonts w:ascii="Arial" w:cs="Arial" w:eastAsia="Arial" w:hAnsi="Arial"/>
          <w:sz w:val="9"/>
          <w:szCs w:val="9"/>
          <w:color w:val="auto"/>
        </w:rPr>
        <w:t>Delaware law provides that, unless otherwise provided in the certificate of incorporation, each shareholder is entitled to one vote for each share of capital stock held by such shareholder.</w:t>
      </w:r>
    </w:p>
    <w:p>
      <w:pPr>
        <w:spacing w:after="0" w:line="1446" w:lineRule="exact"/>
        <w:rPr>
          <w:sz w:val="20"/>
          <w:szCs w:val="20"/>
          <w:color w:val="auto"/>
        </w:rPr>
      </w:pPr>
    </w:p>
    <w:p>
      <w:pPr>
        <w:sectPr>
          <w:pgSz w:w="11900" w:h="16838" w:orient="portrait"/>
          <w:cols w:equalWidth="0" w:num="2">
            <w:col w:w="7000" w:space="20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Shareholder Vote on Certain Transactions</w:t>
      </w:r>
      <w:r>
        <w:rPr>
          <w:sz w:val="20"/>
          <w:szCs w:val="20"/>
          <w:color w:val="auto"/>
        </w:rPr>
        <w:tab/>
      </w:r>
      <w:r>
        <w:rPr>
          <w:rFonts w:ascii="Arial" w:cs="Arial" w:eastAsia="Arial" w:hAnsi="Arial"/>
          <w:sz w:val="9"/>
          <w:szCs w:val="9"/>
          <w:color w:val="auto"/>
        </w:rPr>
        <w:t>Under German law, certain shareholders’ resolutions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of fundamental importance require a majority of at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least three-quarters of the share capital present or</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represented in the vote. Resolutions of fundamental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importance include, in particular, capital increases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exclusion of subscription rights, capital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decreases, the creation of authorized or conditional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 capital, the dissolution of a company, a merger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into or with another company, split-offs and split-ups,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conclusion of inter-company agreements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Unternehmensverträge</w:t>
      </w:r>
      <w:r>
        <w:rPr>
          <w:rFonts w:ascii="Arial" w:cs="Arial" w:eastAsia="Arial" w:hAnsi="Arial"/>
          <w:sz w:val="10"/>
          <w:szCs w:val="10"/>
          <w:color w:val="auto"/>
        </w:rPr>
        <w:t>), in particular domination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agreements</w:t>
      </w:r>
    </w:p>
    <w:p>
      <w:pPr>
        <w:spacing w:after="0" w:line="30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br w:type="column"/>
      </w:r>
    </w:p>
    <w:p>
      <w:pPr>
        <w:ind w:left="8" w:right="859"/>
        <w:spacing w:after="0" w:line="290" w:lineRule="auto"/>
        <w:rPr>
          <w:sz w:val="20"/>
          <w:szCs w:val="20"/>
          <w:color w:val="auto"/>
        </w:rPr>
      </w:pPr>
      <w:r>
        <w:rPr>
          <w:rFonts w:ascii="Arial" w:cs="Arial" w:eastAsia="Arial" w:hAnsi="Arial"/>
          <w:sz w:val="10"/>
          <w:szCs w:val="10"/>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38" w:lineRule="exact"/>
        <w:rPr>
          <w:sz w:val="20"/>
          <w:szCs w:val="20"/>
          <w:color w:val="auto"/>
        </w:rPr>
      </w:pPr>
    </w:p>
    <w:p>
      <w:pPr>
        <w:ind w:left="148" w:hanging="148"/>
        <w:spacing w:after="0"/>
        <w:tabs>
          <w:tab w:leader="none" w:pos="148"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 approval of the board of directors; and</w:t>
      </w:r>
    </w:p>
    <w:p>
      <w:pPr>
        <w:spacing w:after="0" w:line="182" w:lineRule="exact"/>
        <w:rPr>
          <w:rFonts w:ascii="Arial" w:cs="Arial" w:eastAsia="Arial" w:hAnsi="Arial"/>
          <w:sz w:val="10"/>
          <w:szCs w:val="10"/>
          <w:color w:val="auto"/>
        </w:rPr>
      </w:pPr>
    </w:p>
    <w:p>
      <w:pPr>
        <w:ind w:left="168" w:right="839" w:hanging="168"/>
        <w:spacing w:after="0" w:line="296" w:lineRule="auto"/>
        <w:tabs>
          <w:tab w:leader="none" w:pos="159" w:val="left"/>
        </w:tabs>
        <w:numPr>
          <w:ilvl w:val="0"/>
          <w:numId w:val="60"/>
        </w:numPr>
        <w:rPr>
          <w:rFonts w:ascii="Arial" w:cs="Arial" w:eastAsia="Arial" w:hAnsi="Arial"/>
          <w:sz w:val="10"/>
          <w:szCs w:val="10"/>
          <w:color w:val="auto"/>
        </w:rPr>
      </w:pPr>
      <w:r>
        <w:rPr>
          <w:rFonts w:ascii="Arial" w:cs="Arial" w:eastAsia="Arial" w:hAnsi="Arial"/>
          <w:sz w:val="10"/>
          <w:szCs w:val="10"/>
          <w:color w:val="auto"/>
        </w:rPr>
        <w:t>approval by the vote of the holders of a majority of the outstanding stock or, if the certificate of incorporation provides for more or less than one vote per share, a</w:t>
      </w:r>
    </w:p>
    <w:p>
      <w:pPr>
        <w:sectPr>
          <w:pgSz w:w="11900" w:h="16838" w:orient="portrait"/>
          <w:cols w:equalWidth="0" w:num="2">
            <w:col w:w="7020" w:space="172"/>
            <w:col w:w="2967"/>
          </w:cols>
          <w:pgMar w:left="300" w:top="354" w:right="1440" w:bottom="1440" w:gutter="0" w:footer="0" w:header="0"/>
          <w:type w:val="continuous"/>
        </w:sectPr>
      </w:pPr>
    </w:p>
    <w:bookmarkStart w:id="147" w:name="page148"/>
    <w:bookmarkEnd w:id="1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w:t>
            </w:r>
            <w:r>
              <w:rPr>
                <w:rFonts w:ascii="Arial" w:cs="Arial" w:eastAsia="Arial" w:hAnsi="Arial"/>
                <w:sz w:val="11"/>
                <w:szCs w:val="11"/>
                <w:i w:val="1"/>
                <w:iCs w:val="1"/>
                <w:color w:val="auto"/>
                <w:w w:val="90"/>
              </w:rPr>
              <w:t>Beherrschungsverträge</w:t>
            </w:r>
            <w:r>
              <w:rPr>
                <w:rFonts w:ascii="Arial" w:cs="Arial" w:eastAsia="Arial" w:hAnsi="Arial"/>
                <w:sz w:val="11"/>
                <w:szCs w:val="11"/>
                <w:color w:val="auto"/>
                <w:w w:val="90"/>
              </w:rPr>
              <w:t>) and profit and loss transfer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agreements (</w:t>
            </w:r>
            <w:r>
              <w:rPr>
                <w:rFonts w:ascii="Arial" w:cs="Arial" w:eastAsia="Arial" w:hAnsi="Arial"/>
                <w:sz w:val="11"/>
                <w:szCs w:val="11"/>
                <w:i w:val="1"/>
                <w:iCs w:val="1"/>
                <w:color w:val="auto"/>
                <w:w w:val="96"/>
              </w:rPr>
              <w:t>Ergebnisabführungsverträge</w:t>
            </w:r>
            <w:r>
              <w:rPr>
                <w:rFonts w:ascii="Arial" w:cs="Arial" w:eastAsia="Arial" w:hAnsi="Arial"/>
                <w:sz w:val="11"/>
                <w:szCs w:val="11"/>
                <w:color w:val="auto"/>
                <w:w w:val="96"/>
              </w:rPr>
              <w:t>), and 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change of the legal form of a company.</w:t>
            </w:r>
          </w:p>
        </w:tc>
      </w:tr>
      <w:tr>
        <w:trPr>
          <w:trHeight w:val="278"/>
        </w:trPr>
        <w:tc>
          <w:tcPr>
            <w:tcW w:w="2720" w:type="dxa"/>
            <w:vAlign w:val="bottom"/>
          </w:tcPr>
          <w:p>
            <w:pPr>
              <w:spacing w:after="0"/>
              <w:rPr>
                <w:sz w:val="20"/>
                <w:szCs w:val="20"/>
                <w:color w:val="auto"/>
              </w:rPr>
            </w:pPr>
            <w:r>
              <w:rPr>
                <w:rFonts w:ascii="Arial" w:cs="Arial" w:eastAsia="Arial" w:hAnsi="Arial"/>
                <w:sz w:val="11"/>
                <w:szCs w:val="11"/>
                <w:b w:val="1"/>
                <w:bCs w:val="1"/>
                <w:color w:val="auto"/>
              </w:rPr>
              <w:t>Liability of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9"/>
              </w:rPr>
              <w:t>Under German law, any provision, whether contained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in the company’s articles of association or any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contract or otherwise, that purports to exempt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or supervisory board member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from any liability that would otherwise result from</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any negligence, default, breach of duty or breach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trust in relation to the company is void.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members of both the management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and members of the supervisory board 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liable to the company, and in certain cases to third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parties or shareholders, for any damage caused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them due to a breach of such member’s duty of care.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Apart from insolvency or special circumstances, only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the company has the right to claim damages from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either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The company may waive claims for damages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 negligent management board or supervisory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member only after the expiry of three years and with</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8"/>
              </w:rPr>
              <w:t>the approval of such waiver by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meeting with a simple majority of the votes cast,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unless shareholders who, in the aggregate, hold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one-tenth or more of the company’s share capital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object to the waiver and have their objection formally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recorded in the minutes of the shareholder meeting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 German civil law notary.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Standard of Conduct for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management board members and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supervisory board members must conduct their affairs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with “the care and diligence of a prudent business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person,” or a prudent supervisory board member, as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the case may be, and act, other than in restructuring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proceedings, in the best interests of the company.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scope of the fiduciary duties of management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and supervisory board</w:t>
            </w:r>
          </w:p>
        </w:tc>
      </w:tr>
      <w:tr>
        <w:trPr>
          <w:trHeight w:val="382"/>
        </w:trPr>
        <w:tc>
          <w:tcPr>
            <w:tcW w:w="2720" w:type="dxa"/>
            <w:vAlign w:val="bottom"/>
          </w:tcPr>
          <w:p>
            <w:pPr>
              <w:spacing w:after="0"/>
              <w:rPr>
                <w:sz w:val="24"/>
                <w:szCs w:val="24"/>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137</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31"/>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left="8" w:right="899"/>
        <w:spacing w:after="0" w:line="326" w:lineRule="auto"/>
        <w:rPr>
          <w:sz w:val="20"/>
          <w:szCs w:val="20"/>
          <w:color w:val="auto"/>
        </w:rPr>
      </w:pPr>
      <w:r>
        <w:rPr>
          <w:rFonts w:ascii="Arial" w:cs="Arial" w:eastAsia="Arial" w:hAnsi="Arial"/>
          <w:sz w:val="10"/>
          <w:szCs w:val="10"/>
          <w:color w:val="auto"/>
        </w:rPr>
        <w:t>majority of the votes of the outstanding stock of a corporation entitled to vote on the matter.</w:t>
      </w:r>
    </w:p>
    <w:p>
      <w:pPr>
        <w:spacing w:after="0" w:line="237" w:lineRule="exact"/>
        <w:rPr>
          <w:sz w:val="20"/>
          <w:szCs w:val="20"/>
          <w:color w:val="auto"/>
        </w:rPr>
      </w:pPr>
    </w:p>
    <w:p>
      <w:pPr>
        <w:ind w:left="8" w:right="879"/>
        <w:spacing w:after="0" w:line="289" w:lineRule="auto"/>
        <w:rPr>
          <w:sz w:val="20"/>
          <w:szCs w:val="20"/>
          <w:color w:val="auto"/>
        </w:rPr>
      </w:pPr>
      <w:r>
        <w:rPr>
          <w:rFonts w:ascii="Arial" w:cs="Arial" w:eastAsia="Arial" w:hAnsi="Arial"/>
          <w:sz w:val="10"/>
          <w:szCs w:val="10"/>
          <w:color w:val="auto"/>
        </w:rPr>
        <w:t>Under Delaware law, a corporation’s certificate of incorporation may include a provision eliminating or limiting the personal liability of a director to the corporation and its shareholders for damages arising from a breach of fiduciary duty as a director. However, no provision can limit the liability of a director for:</w:t>
      </w:r>
    </w:p>
    <w:p>
      <w:pPr>
        <w:spacing w:after="0" w:line="138" w:lineRule="exact"/>
        <w:rPr>
          <w:sz w:val="20"/>
          <w:szCs w:val="20"/>
          <w:color w:val="auto"/>
        </w:rPr>
      </w:pPr>
    </w:p>
    <w:p>
      <w:pPr>
        <w:ind w:left="168" w:right="859" w:hanging="168"/>
        <w:spacing w:after="0" w:line="326" w:lineRule="auto"/>
        <w:tabs>
          <w:tab w:leader="none" w:pos="159" w:val="left"/>
        </w:tabs>
        <w:numPr>
          <w:ilvl w:val="0"/>
          <w:numId w:val="61"/>
        </w:numPr>
        <w:rPr>
          <w:rFonts w:ascii="Arial" w:cs="Arial" w:eastAsia="Arial" w:hAnsi="Arial"/>
          <w:sz w:val="10"/>
          <w:szCs w:val="10"/>
          <w:color w:val="auto"/>
        </w:rPr>
      </w:pPr>
      <w:r>
        <w:rPr>
          <w:rFonts w:ascii="Arial" w:cs="Arial" w:eastAsia="Arial" w:hAnsi="Arial"/>
          <w:sz w:val="10"/>
          <w:szCs w:val="10"/>
          <w:color w:val="auto"/>
        </w:rPr>
        <w:t>any breach of the director’s duty of loyalty to the corporation or its shareholders;</w:t>
      </w:r>
    </w:p>
    <w:p>
      <w:pPr>
        <w:spacing w:after="0" w:line="119" w:lineRule="exact"/>
        <w:rPr>
          <w:rFonts w:ascii="Arial" w:cs="Arial" w:eastAsia="Arial" w:hAnsi="Arial"/>
          <w:sz w:val="10"/>
          <w:szCs w:val="10"/>
          <w:color w:val="auto"/>
        </w:rPr>
      </w:pPr>
    </w:p>
    <w:p>
      <w:pPr>
        <w:ind w:left="168" w:right="879" w:hanging="168"/>
        <w:spacing w:after="0" w:line="265" w:lineRule="auto"/>
        <w:tabs>
          <w:tab w:leader="none" w:pos="159" w:val="left"/>
        </w:tabs>
        <w:numPr>
          <w:ilvl w:val="0"/>
          <w:numId w:val="61"/>
        </w:numPr>
        <w:rPr>
          <w:rFonts w:ascii="Arial" w:cs="Arial" w:eastAsia="Arial" w:hAnsi="Arial"/>
          <w:sz w:val="11"/>
          <w:szCs w:val="11"/>
          <w:color w:val="auto"/>
        </w:rPr>
      </w:pPr>
      <w:r>
        <w:rPr>
          <w:rFonts w:ascii="Arial" w:cs="Arial" w:eastAsia="Arial" w:hAnsi="Arial"/>
          <w:sz w:val="11"/>
          <w:szCs w:val="11"/>
          <w:color w:val="auto"/>
        </w:rPr>
        <w:t>acts or omissions not in good faith or that involve intentional misconduct or a knowing violation of law;</w:t>
      </w:r>
    </w:p>
    <w:p>
      <w:pPr>
        <w:spacing w:after="0" w:line="148" w:lineRule="exact"/>
        <w:rPr>
          <w:rFonts w:ascii="Arial" w:cs="Arial" w:eastAsia="Arial" w:hAnsi="Arial"/>
          <w:sz w:val="11"/>
          <w:szCs w:val="11"/>
          <w:color w:val="auto"/>
        </w:rPr>
      </w:pPr>
    </w:p>
    <w:p>
      <w:pPr>
        <w:jc w:val="both"/>
        <w:ind w:left="168" w:right="859" w:hanging="168"/>
        <w:spacing w:after="0" w:line="265" w:lineRule="auto"/>
        <w:tabs>
          <w:tab w:leader="none" w:pos="159" w:val="left"/>
        </w:tabs>
        <w:numPr>
          <w:ilvl w:val="0"/>
          <w:numId w:val="61"/>
        </w:numPr>
        <w:rPr>
          <w:rFonts w:ascii="Arial" w:cs="Arial" w:eastAsia="Arial" w:hAnsi="Arial"/>
          <w:sz w:val="11"/>
          <w:szCs w:val="11"/>
          <w:color w:val="auto"/>
        </w:rPr>
      </w:pPr>
      <w:r>
        <w:rPr>
          <w:rFonts w:ascii="Arial" w:cs="Arial" w:eastAsia="Arial" w:hAnsi="Arial"/>
          <w:sz w:val="11"/>
          <w:szCs w:val="11"/>
          <w:color w:val="auto"/>
        </w:rPr>
        <w:t>intentional or negligent payment of unlawful dividends or stock purchases or redemptions; or</w:t>
      </w:r>
    </w:p>
    <w:p>
      <w:pPr>
        <w:spacing w:after="0" w:line="148" w:lineRule="exact"/>
        <w:rPr>
          <w:rFonts w:ascii="Arial" w:cs="Arial" w:eastAsia="Arial" w:hAnsi="Arial"/>
          <w:sz w:val="11"/>
          <w:szCs w:val="11"/>
          <w:color w:val="auto"/>
        </w:rPr>
      </w:pPr>
    </w:p>
    <w:p>
      <w:pPr>
        <w:ind w:left="168" w:right="1099" w:hanging="168"/>
        <w:spacing w:after="0" w:line="389" w:lineRule="auto"/>
        <w:tabs>
          <w:tab w:leader="none" w:pos="159" w:val="left"/>
        </w:tabs>
        <w:numPr>
          <w:ilvl w:val="0"/>
          <w:numId w:val="61"/>
        </w:numPr>
        <w:rPr>
          <w:rFonts w:ascii="Arial" w:cs="Arial" w:eastAsia="Arial" w:hAnsi="Arial"/>
          <w:sz w:val="9"/>
          <w:szCs w:val="9"/>
          <w:color w:val="auto"/>
        </w:rPr>
      </w:pPr>
      <w:r>
        <w:rPr>
          <w:rFonts w:ascii="Arial" w:cs="Arial" w:eastAsia="Arial" w:hAnsi="Arial"/>
          <w:sz w:val="9"/>
          <w:szCs w:val="9"/>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right="839"/>
        <w:spacing w:after="0" w:line="287" w:lineRule="auto"/>
        <w:rPr>
          <w:sz w:val="20"/>
          <w:szCs w:val="20"/>
          <w:color w:val="auto"/>
        </w:rPr>
      </w:pPr>
      <w:r>
        <w:rPr>
          <w:rFonts w:ascii="Arial" w:cs="Arial" w:eastAsia="Arial" w:hAnsi="Arial"/>
          <w:sz w:val="10"/>
          <w:szCs w:val="10"/>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shareholders.</w:t>
      </w:r>
    </w:p>
    <w:p>
      <w:pPr>
        <w:sectPr>
          <w:pgSz w:w="11900" w:h="16838" w:orient="portrait"/>
          <w:cols w:equalWidth="0" w:num="2">
            <w:col w:w="7040" w:space="152"/>
            <w:col w:w="2967"/>
          </w:cols>
          <w:pgMar w:left="300" w:top="354" w:right="1440" w:bottom="1440" w:gutter="0" w:footer="0" w:header="0"/>
        </w:sectPr>
      </w:pPr>
    </w:p>
    <w:bookmarkStart w:id="148" w:name="page149"/>
    <w:bookmarkEnd w:id="1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6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0"/>
          <w:szCs w:val="10"/>
          <w:color w:val="auto"/>
        </w:rPr>
        <w:t>members is determined by German legislation and</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interpreted by the German courts.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and fiduciary duties of members of the</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management board to the company include, among</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others:</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act in accordance with the law, the company’s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articles of association and the rules of procedure</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for the management board, if any;</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report to the supervisory board on a regular</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basis as well as on certain important occasions;</w:t>
      </w:r>
    </w:p>
    <w:p>
      <w:pPr>
        <w:spacing w:after="0" w:line="18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exercise reasonable care, skill and diligence;</w:t>
      </w:r>
    </w:p>
    <w:p>
      <w:pPr>
        <w:spacing w:after="0" w:line="182"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maintain a proper accounting system;</w:t>
      </w:r>
    </w:p>
    <w:p>
      <w:pPr>
        <w:spacing w:after="0" w:line="17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not compete, directly or indirectly, with the</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company without permission by the supervisory</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board; and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if the company is insolvent, to ensure that no</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further transactions are entered into on behalf of</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company.</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Members of the supervisory board owe substantially</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same statutory and fiduciary duties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company as members of the management board.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their duties include:</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9"/>
          <w:szCs w:val="9"/>
          <w:color w:val="auto"/>
        </w:rPr>
        <w:t>•</w:t>
        <w:tab/>
        <w:t>to effectively supervise the company’s affairs and</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management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evaluate and issue a resolution on certain</w:t>
      </w:r>
    </w:p>
    <w:p>
      <w:pPr>
        <w:spacing w:after="0" w:line="10" w:lineRule="exact"/>
        <w:rPr>
          <w:sz w:val="20"/>
          <w:szCs w:val="20"/>
          <w:color w:val="auto"/>
        </w:rPr>
      </w:pPr>
    </w:p>
    <w:p>
      <w:pPr>
        <w:ind w:left="4860"/>
        <w:spacing w:after="0"/>
        <w:rPr>
          <w:sz w:val="20"/>
          <w:szCs w:val="20"/>
          <w:color w:val="auto"/>
        </w:rPr>
      </w:pPr>
      <w:r>
        <w:rPr>
          <w:rFonts w:ascii="Arial" w:cs="Arial" w:eastAsia="Arial" w:hAnsi="Arial"/>
          <w:sz w:val="9"/>
          <w:szCs w:val="9"/>
          <w:color w:val="auto"/>
        </w:rPr>
        <w:t>transactions which may only be carried out by the</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management board with the consent of the</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supervisory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approve the company’s financial statements;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6" w:lineRule="auto"/>
        <w:rPr>
          <w:sz w:val="20"/>
          <w:szCs w:val="20"/>
          <w:color w:val="auto"/>
        </w:rPr>
      </w:pPr>
      <w:r>
        <w:rPr>
          <w:rFonts w:ascii="Arial" w:cs="Arial" w:eastAsia="Arial" w:hAnsi="Arial"/>
          <w:sz w:val="10"/>
          <w:szCs w:val="10"/>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spacing w:after="0" w:line="304" w:lineRule="exact"/>
        <w:rPr>
          <w:sz w:val="20"/>
          <w:szCs w:val="20"/>
          <w:color w:val="auto"/>
        </w:rPr>
      </w:pPr>
    </w:p>
    <w:p>
      <w:pPr>
        <w:ind w:right="879"/>
        <w:spacing w:after="0" w:line="284" w:lineRule="auto"/>
        <w:rPr>
          <w:sz w:val="20"/>
          <w:szCs w:val="20"/>
          <w:color w:val="auto"/>
        </w:rPr>
      </w:pPr>
      <w:r>
        <w:rPr>
          <w:rFonts w:ascii="Arial" w:cs="Arial" w:eastAsia="Arial" w:hAnsi="Arial"/>
          <w:sz w:val="10"/>
          <w:szCs w:val="10"/>
          <w:color w:val="auto"/>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44" w:lineRule="exact"/>
        <w:rPr>
          <w:sz w:val="20"/>
          <w:szCs w:val="20"/>
          <w:color w:val="auto"/>
        </w:rPr>
      </w:pPr>
    </w:p>
    <w:p>
      <w:pPr>
        <w:ind w:right="859"/>
        <w:spacing w:after="0" w:line="328" w:lineRule="auto"/>
        <w:rPr>
          <w:sz w:val="20"/>
          <w:szCs w:val="20"/>
          <w:color w:val="auto"/>
        </w:rPr>
      </w:pPr>
      <w:r>
        <w:rPr>
          <w:rFonts w:ascii="Arial" w:cs="Arial" w:eastAsia="Arial" w:hAnsi="Arial"/>
          <w:sz w:val="9"/>
          <w:szCs w:val="9"/>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7020" w:space="180"/>
            <w:col w:w="2959"/>
          </w:cols>
          <w:pgMar w:left="300" w:top="354" w:right="1440" w:bottom="1440" w:gutter="0" w:footer="0" w:header="0"/>
        </w:sectPr>
      </w:pPr>
    </w:p>
    <w:bookmarkStart w:id="149" w:name="page150"/>
    <w:bookmarkEnd w:id="1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  to appoint the management board members and to</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6"/>
              </w:rPr>
              <w:t>represent the company in transactions between the</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7"/>
              </w:rPr>
              <w:t>company and members of the management board;</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and</w:t>
            </w:r>
          </w:p>
        </w:tc>
      </w:tr>
      <w:tr>
        <w:trPr>
          <w:trHeight w:val="458"/>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  to approve service contracts between individual</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members of the management board and the</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company.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Shareholder Suits</w:t>
            </w:r>
          </w:p>
        </w:tc>
        <w:tc>
          <w:tcPr>
            <w:tcW w:w="2340" w:type="dxa"/>
            <w:vAlign w:val="bottom"/>
          </w:tcPr>
          <w:p>
            <w:pPr>
              <w:spacing w:after="0"/>
              <w:rPr>
                <w:sz w:val="20"/>
                <w:szCs w:val="20"/>
                <w:color w:val="auto"/>
              </w:rPr>
            </w:pPr>
            <w:r>
              <w:rPr>
                <w:rFonts w:ascii="Arial" w:cs="Arial" w:eastAsia="Arial" w:hAnsi="Arial"/>
                <w:sz w:val="11"/>
                <w:szCs w:val="11"/>
                <w:color w:val="auto"/>
                <w:w w:val="93"/>
              </w:rPr>
              <w:t>Under German law, generally, the company, rather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than its shareholders, is the proper claimant in an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action with respect to a wrong committed against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company or an irregularity in the company’s internal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management or supervision. Accordingly, such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may only be raised by the company represented by its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management board, or, in the case of a wrong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committed by a member of the management board,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supervisory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Additionally, pursuant to German case law,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supervisory board is generally obliged to pursue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company’s claims against the management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unless in exceptional circumstances it is in the best</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interest of the company not to pursue such claims.</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or, if a claim is made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 member of the management board, the supervisory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is obliged to pursue the company’s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against the relevant individuals if so resolved by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shareholders’ meeting with a simple majority of votes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cast. By way of the admissibility procedure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6"/>
              </w:rPr>
              <w:t>(</w:t>
            </w:r>
            <w:r>
              <w:rPr>
                <w:rFonts w:ascii="Arial" w:cs="Arial" w:eastAsia="Arial" w:hAnsi="Arial"/>
                <w:sz w:val="11"/>
                <w:szCs w:val="11"/>
                <w:i w:val="1"/>
                <w:iCs w:val="1"/>
                <w:color w:val="auto"/>
                <w:w w:val="86"/>
              </w:rPr>
              <w:t>Klagezulassungsverfahren</w:t>
            </w:r>
            <w:r>
              <w:rPr>
                <w:rFonts w:ascii="Arial" w:cs="Arial" w:eastAsia="Arial" w:hAnsi="Arial"/>
                <w:sz w:val="11"/>
                <w:szCs w:val="11"/>
                <w:color w:val="auto"/>
                <w:w w:val="86"/>
              </w:rPr>
              <w:t>), shareholders can request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that a representative pursues the claim on behalf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company.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If the company is unable to fulfill its obligations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vis-à-vis third parties, the company’s creditors may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pursue the company’s damage claims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the management board for certain</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wrongdoings.</w:t>
            </w:r>
          </w:p>
        </w:tc>
      </w:tr>
      <w:tr>
        <w:trPr>
          <w:trHeight w:val="256"/>
        </w:trPr>
        <w:tc>
          <w:tcPr>
            <w:tcW w:w="2720" w:type="dxa"/>
            <w:vAlign w:val="bottom"/>
          </w:tcPr>
          <w:p>
            <w:pPr>
              <w:spacing w:after="0"/>
              <w:rPr>
                <w:sz w:val="22"/>
                <w:szCs w:val="22"/>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139</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right="859"/>
        <w:spacing w:after="0" w:line="296" w:lineRule="auto"/>
        <w:rPr>
          <w:sz w:val="20"/>
          <w:szCs w:val="20"/>
          <w:color w:val="auto"/>
        </w:rPr>
      </w:pPr>
      <w:r>
        <w:rPr>
          <w:rFonts w:ascii="Arial" w:cs="Arial" w:eastAsia="Arial" w:hAnsi="Arial"/>
          <w:sz w:val="10"/>
          <w:szCs w:val="10"/>
          <w:color w:val="auto"/>
        </w:rPr>
        <w:t>Under Delaware law, a shareholder may initiate a derivative action to enforce a right of a corporation if the corporation fails to enforce the right itself. The complaint must:</w:t>
      </w:r>
    </w:p>
    <w:p>
      <w:pPr>
        <w:spacing w:after="0" w:line="135" w:lineRule="exact"/>
        <w:rPr>
          <w:sz w:val="20"/>
          <w:szCs w:val="20"/>
          <w:color w:val="auto"/>
        </w:rPr>
      </w:pPr>
    </w:p>
    <w:p>
      <w:pPr>
        <w:ind w:left="168" w:right="919" w:hanging="168"/>
        <w:spacing w:after="0" w:line="292" w:lineRule="auto"/>
        <w:tabs>
          <w:tab w:leader="none" w:pos="159" w:val="left"/>
        </w:tabs>
        <w:numPr>
          <w:ilvl w:val="0"/>
          <w:numId w:val="62"/>
        </w:numPr>
        <w:rPr>
          <w:rFonts w:ascii="Arial" w:cs="Arial" w:eastAsia="Arial" w:hAnsi="Arial"/>
          <w:sz w:val="10"/>
          <w:szCs w:val="10"/>
          <w:color w:val="auto"/>
        </w:rPr>
      </w:pPr>
      <w:r>
        <w:rPr>
          <w:rFonts w:ascii="Arial" w:cs="Arial" w:eastAsia="Arial" w:hAnsi="Arial"/>
          <w:sz w:val="10"/>
          <w:szCs w:val="10"/>
          <w:color w:val="auto"/>
        </w:rPr>
        <w:t>state that the plaintiff was a shareholder at the time of the transaction with respect to which the plaintiff complains or that the plaintiff’s shares thereafter devolved on the plaintiff by operation of law; and</w:t>
      </w:r>
    </w:p>
    <w:p>
      <w:pPr>
        <w:spacing w:after="0" w:line="137" w:lineRule="exact"/>
        <w:rPr>
          <w:rFonts w:ascii="Arial" w:cs="Arial" w:eastAsia="Arial" w:hAnsi="Arial"/>
          <w:sz w:val="10"/>
          <w:szCs w:val="10"/>
          <w:color w:val="auto"/>
        </w:rPr>
      </w:pPr>
    </w:p>
    <w:p>
      <w:pPr>
        <w:ind w:left="168" w:right="919" w:hanging="168"/>
        <w:spacing w:after="0" w:line="290" w:lineRule="auto"/>
        <w:tabs>
          <w:tab w:leader="none" w:pos="159" w:val="left"/>
        </w:tabs>
        <w:numPr>
          <w:ilvl w:val="0"/>
          <w:numId w:val="62"/>
        </w:numPr>
        <w:rPr>
          <w:rFonts w:ascii="Arial" w:cs="Arial" w:eastAsia="Arial" w:hAnsi="Arial"/>
          <w:sz w:val="10"/>
          <w:szCs w:val="10"/>
          <w:color w:val="auto"/>
        </w:rPr>
      </w:pPr>
      <w:r>
        <w:rPr>
          <w:rFonts w:ascii="Arial" w:cs="Arial" w:eastAsia="Arial" w:hAnsi="Arial"/>
          <w:sz w:val="10"/>
          <w:szCs w:val="10"/>
          <w:color w:val="auto"/>
        </w:rPr>
        <w:t>(i) allege with particularity the efforts made by the plaintiff to obtain the action the plaintiff desires from the directors and the reasons for the plaintiff’s failure to obtain the action or (ii) state the reasons for not making the effort.</w:t>
      </w:r>
    </w:p>
    <w:p>
      <w:pPr>
        <w:spacing w:after="0" w:line="138" w:lineRule="exact"/>
        <w:rPr>
          <w:sz w:val="20"/>
          <w:szCs w:val="20"/>
          <w:color w:val="auto"/>
        </w:rPr>
      </w:pPr>
    </w:p>
    <w:p>
      <w:pPr>
        <w:ind w:left="8" w:right="899"/>
        <w:spacing w:after="0" w:line="292" w:lineRule="auto"/>
        <w:rPr>
          <w:sz w:val="20"/>
          <w:szCs w:val="20"/>
          <w:color w:val="auto"/>
        </w:rPr>
      </w:pPr>
      <w:r>
        <w:rPr>
          <w:rFonts w:ascii="Arial" w:cs="Arial" w:eastAsia="Arial" w:hAnsi="Arial"/>
          <w:sz w:val="10"/>
          <w:szCs w:val="10"/>
          <w:color w:val="auto"/>
        </w:rPr>
        <w:t>Additionally, the plaintiff must remain a shareholder through the duration of the derivative suit. The action will not be dismissed or compromised without the approval of the Delaware Court of Chancery.</w:t>
      </w:r>
    </w:p>
    <w:p>
      <w:pPr>
        <w:sectPr>
          <w:pgSz w:w="11900" w:h="16838" w:orient="portrait"/>
          <w:cols w:equalWidth="0" w:num="2">
            <w:col w:w="7040" w:space="152"/>
            <w:col w:w="2967"/>
          </w:cols>
          <w:pgMar w:left="300" w:top="354" w:right="1440" w:bottom="1440" w:gutter="0" w:footer="0" w:header="0"/>
        </w:sectPr>
      </w:pPr>
    </w:p>
    <w:bookmarkStart w:id="150" w:name="page151"/>
    <w:bookmarkEnd w:id="1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Under certain circumstances, shareholders can bring</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damage claims of the company against members of its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on the company’s behalf. In order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to bring such a claim, the claimant alone or together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other shareholders needs to hold shares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representing at least 1% or a participation of €100,000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the company’s share capital. Additionally,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claimant must have its claim approved in special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w:t>
      </w: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140</w:t>
      </w:r>
    </w:p>
    <w:p>
      <w:pPr>
        <w:sectPr>
          <w:pgSz w:w="11900" w:h="16838" w:orient="portrait"/>
          <w:cols w:equalWidth="0" w:num="1">
            <w:col w:w="10159"/>
          </w:cols>
          <w:pgMar w:left="300" w:top="354" w:right="1440" w:bottom="1440" w:gutter="0" w:footer="0" w:header="0"/>
        </w:sectPr>
      </w:pPr>
    </w:p>
    <w:bookmarkStart w:id="151" w:name="page152"/>
    <w:bookmarkEnd w:id="1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DESCRIPTION OF AMERICAN DEPOSITARY SHARES</w:t>
      </w:r>
    </w:p>
    <w:p>
      <w:pPr>
        <w:spacing w:after="0" w:line="154" w:lineRule="exact"/>
        <w:rPr>
          <w:sz w:val="20"/>
          <w:szCs w:val="20"/>
          <w:color w:val="auto"/>
        </w:rPr>
      </w:pPr>
    </w:p>
    <w:p>
      <w:pPr>
        <w:ind w:left="2480" w:right="1059" w:firstLine="144"/>
        <w:spacing w:after="0" w:line="258" w:lineRule="auto"/>
        <w:rPr>
          <w:sz w:val="20"/>
          <w:szCs w:val="20"/>
          <w:color w:val="auto"/>
        </w:rPr>
      </w:pPr>
      <w:r>
        <w:rPr>
          <w:rFonts w:ascii="Arial" w:cs="Arial" w:eastAsia="Arial" w:hAnsi="Arial"/>
          <w:sz w:val="12"/>
          <w:szCs w:val="12"/>
          <w:color w:val="auto"/>
        </w:rPr>
        <w:t>, as depositary, will register and deliver American Depositary Shares, also referred to as ADSs. Every ADSs will represent ordinary share (or a right to receive ordinary share) deposited with , as custodian for the depositary in Germany. Each</w:t>
      </w:r>
    </w:p>
    <w:p>
      <w:pPr>
        <w:ind w:left="1980" w:right="839"/>
        <w:spacing w:after="0" w:line="300" w:lineRule="auto"/>
        <w:rPr>
          <w:sz w:val="20"/>
          <w:szCs w:val="20"/>
          <w:color w:val="auto"/>
        </w:rPr>
      </w:pPr>
      <w:r>
        <w:rPr>
          <w:rFonts w:ascii="Arial" w:cs="Arial" w:eastAsia="Arial" w:hAnsi="Arial"/>
          <w:sz w:val="10"/>
          <w:szCs w:val="10"/>
          <w:color w:val="auto"/>
        </w:rPr>
        <w:t>ADS will also represent any other securities, cash or other property which may be held by the depositary in respect of or in lieu of ordinary shares deposited with the depositary or the custodian pursuant to the terms of a deposit agreement. The deposited shares together with any other such securities, cash or other property held by the depositary are referred to as the deposited securities. The depositary’s office at which the ADSs will be administered</w:t>
      </w:r>
    </w:p>
    <w:p>
      <w:pPr>
        <w:spacing w:after="0" w:line="1" w:lineRule="exact"/>
        <w:rPr>
          <w:sz w:val="20"/>
          <w:szCs w:val="20"/>
          <w:color w:val="auto"/>
        </w:rPr>
      </w:pPr>
    </w:p>
    <w:p>
      <w:pPr>
        <w:ind w:left="1980"/>
        <w:spacing w:after="0"/>
        <w:tabs>
          <w:tab w:leader="none" w:pos="4700" w:val="left"/>
        </w:tabs>
        <w:rPr>
          <w:sz w:val="20"/>
          <w:szCs w:val="20"/>
          <w:color w:val="auto"/>
        </w:rPr>
      </w:pPr>
      <w:r>
        <w:rPr>
          <w:rFonts w:ascii="Arial" w:cs="Arial" w:eastAsia="Arial" w:hAnsi="Arial"/>
          <w:sz w:val="12"/>
          <w:szCs w:val="12"/>
          <w:color w:val="auto"/>
        </w:rPr>
        <w:t>and its principal executive office are located at</w:t>
      </w:r>
      <w:r>
        <w:rPr>
          <w:sz w:val="20"/>
          <w:szCs w:val="20"/>
          <w:color w:val="auto"/>
        </w:rPr>
        <w:tab/>
      </w:r>
      <w:r>
        <w:rPr>
          <w:rFonts w:ascii="Arial" w:cs="Arial" w:eastAsia="Arial" w:hAnsi="Arial"/>
          <w:sz w:val="12"/>
          <w:szCs w:val="12"/>
          <w:color w:val="auto"/>
        </w:rPr>
        <w:t>.</w:t>
      </w:r>
    </w:p>
    <w:p>
      <w:pPr>
        <w:spacing w:after="0" w:line="141"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Registered holders of uncertificated ADSs will receive statements from the depositary confirming their holdings.</w:t>
      </w:r>
    </w:p>
    <w:p>
      <w:pPr>
        <w:spacing w:after="0" w:line="150"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As an ADS holder, we will not treat you as one of our shareholders and you will not have shareholder rights. German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1" w:lineRule="exact"/>
        <w:rPr>
          <w:sz w:val="20"/>
          <w:szCs w:val="20"/>
          <w:color w:val="auto"/>
        </w:rPr>
      </w:pPr>
    </w:p>
    <w:p>
      <w:pPr>
        <w:jc w:val="both"/>
        <w:ind w:left="1980" w:right="1199" w:firstLine="294"/>
        <w:spacing w:after="0" w:line="263" w:lineRule="auto"/>
        <w:rPr>
          <w:sz w:val="20"/>
          <w:szCs w:val="20"/>
          <w:color w:val="auto"/>
        </w:rPr>
      </w:pPr>
      <w:r>
        <w:rPr>
          <w:rFonts w:ascii="Arial" w:cs="Arial" w:eastAsia="Arial" w:hAnsi="Arial"/>
          <w:sz w:val="12"/>
          <w:szCs w:val="12"/>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Dividends and Other Distributions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will you receive dividends and other distributions on the shares?</w:t>
      </w:r>
    </w:p>
    <w:p>
      <w:pPr>
        <w:spacing w:after="0" w:line="150" w:lineRule="exact"/>
        <w:rPr>
          <w:sz w:val="20"/>
          <w:szCs w:val="20"/>
          <w:color w:val="auto"/>
        </w:rPr>
      </w:pPr>
    </w:p>
    <w:p>
      <w:pPr>
        <w:jc w:val="both"/>
        <w:ind w:left="1980" w:right="959" w:firstLine="294"/>
        <w:spacing w:after="0" w:line="263" w:lineRule="auto"/>
        <w:rPr>
          <w:sz w:val="20"/>
          <w:szCs w:val="20"/>
          <w:color w:val="auto"/>
        </w:rPr>
      </w:pPr>
      <w:r>
        <w:rPr>
          <w:rFonts w:ascii="Arial" w:cs="Arial" w:eastAsia="Arial" w:hAnsi="Arial"/>
          <w:sz w:val="12"/>
          <w:szCs w:val="12"/>
          <w:color w:val="auto"/>
        </w:rPr>
        <w:t>The depositary has agreed to pay or distribute to ADS holders the cash dividends and other distributions it or the custodian receives in respect of ordinary shares or other deposited securities, upon payment or deduction of its fees and expenses. You will receive these distributions in proportion to the number of shares your ADSs represent.</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b w:val="1"/>
          <w:bCs w:val="1"/>
          <w:i w:val="1"/>
          <w:iCs w:val="1"/>
          <w:color w:val="auto"/>
        </w:rPr>
        <w:t>Cash</w:t>
      </w:r>
      <w:r>
        <w:rPr>
          <w:rFonts w:ascii="Arial" w:cs="Arial" w:eastAsia="Arial" w:hAnsi="Arial"/>
          <w:sz w:val="12"/>
          <w:szCs w:val="12"/>
          <w:color w:val="auto"/>
        </w:rPr>
        <w:t>. The depositary will convert any cash dividend or other cash distribution we pay in respect of our ordinary shares into U.S. dollars, if it can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28"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Before making a distribution, any withholding taxes, or other governmental charges that must be paid will be deducted. See “Taxation.” The depositary will distribute only whole U.S. dollars and cents and will round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141</w:t>
      </w:r>
    </w:p>
    <w:p>
      <w:pPr>
        <w:sectPr>
          <w:pgSz w:w="11900" w:h="16838" w:orient="portrait"/>
          <w:cols w:equalWidth="0" w:num="1">
            <w:col w:w="10159"/>
          </w:cols>
          <w:pgMar w:left="300" w:top="354" w:right="1440" w:bottom="1440" w:gutter="0" w:footer="0" w:header="0"/>
        </w:sectPr>
      </w:pPr>
    </w:p>
    <w:bookmarkStart w:id="152" w:name="page153"/>
    <w:bookmarkEnd w:id="1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fractional cents to the nearest whole cent. If the exchange rates fluctuate during a time when the depositary cannot convert the foreign currency, you may lose some of the value of the distribution.</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b w:val="1"/>
          <w:bCs w:val="1"/>
          <w:i w:val="1"/>
          <w:iCs w:val="1"/>
          <w:color w:val="auto"/>
        </w:rPr>
        <w:t>Shares</w:t>
      </w:r>
      <w:r>
        <w:rPr>
          <w:rFonts w:ascii="Arial" w:cs="Arial" w:eastAsia="Arial" w:hAnsi="Arial"/>
          <w:sz w:val="11"/>
          <w:szCs w:val="11"/>
          <w:color w:val="auto"/>
        </w:rPr>
        <w:t>. The depositary may distribute additional ADSs representing any ordinary shares we distribute as a dividend or free distribution.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representing the distributed ordinary shares, the outstanding ADSs will also represent the new shares. The depositary may sell a portion of the distributed ordinary shares (or ADSs representing those shares) sufficient to pay its fees and expenses in connection with that distribution.</w:t>
      </w:r>
    </w:p>
    <w:p>
      <w:pPr>
        <w:spacing w:after="0" w:line="11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Rights to purchase additional shares</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If we offer holders of our securities any rights to subscribe for additional shares or any other rights,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do so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upon exercise of rights to all or certain ADS holders, and the securities distributed may be subject to restrictions on transfer. We cannot assure you that you will be given the opportunity to exercise rights on the same terms and conditions as the holders of our ordinary shares or be able to exercise such rights at all.</w:t>
      </w:r>
    </w:p>
    <w:p>
      <w:pPr>
        <w:spacing w:after="0" w:line="119"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b w:val="1"/>
          <w:bCs w:val="1"/>
          <w:i w:val="1"/>
          <w:iCs w:val="1"/>
          <w:color w:val="auto"/>
        </w:rPr>
        <w:t>Other distributions</w:t>
      </w:r>
      <w:r>
        <w:rPr>
          <w:rFonts w:ascii="Arial" w:cs="Arial" w:eastAsia="Arial" w:hAnsi="Arial"/>
          <w:sz w:val="11"/>
          <w:szCs w:val="11"/>
          <w:color w:val="auto"/>
        </w:rPr>
        <w:t>. The depositary will send to ADS holders anything else we distribute in respect of deposited securities by any means it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believes to be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15"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in respect of our shares or any value for them if it is illegal or impractical for us to make them available to you.</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Deposit, Withdrawal and Cancellation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are ADSs issued?</w:t>
      </w:r>
    </w:p>
    <w:p>
      <w:pPr>
        <w:spacing w:after="0" w:line="150"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142</w:t>
      </w:r>
    </w:p>
    <w:p>
      <w:pPr>
        <w:sectPr>
          <w:pgSz w:w="11900" w:h="16838" w:orient="portrait"/>
          <w:cols w:equalWidth="0" w:num="1">
            <w:col w:w="10159"/>
          </w:cols>
          <w:pgMar w:left="300" w:top="354" w:right="1440" w:bottom="1440" w:gutter="0" w:footer="0" w:header="0"/>
        </w:sectPr>
      </w:pPr>
    </w:p>
    <w:bookmarkStart w:id="153" w:name="page154"/>
    <w:bookmarkEnd w:id="1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can ADS holders withdraw the deposited securities?</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interchange between certificated ADSs and uncertificated ADSs?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Voting Rights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you vote?</w:t>
      </w:r>
    </w:p>
    <w:p>
      <w:pPr>
        <w:spacing w:after="0" w:line="150"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15"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Except by instructing the depositary as described above, you will not be able to exercise voting rights unless you surrender your ADSs and withdraw the ordinary shares. However, you may not know about the shareholders’ meeting enough in advance to withdraw the ordinary shares. In any event, the depositary will not exercise any discretion in voting deposited securities and it will only vote or attempt to vote as instructed.</w:t>
      </w:r>
    </w:p>
    <w:p>
      <w:pPr>
        <w:spacing w:after="0" w:line="10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This means that you may not be able to exercise voting rights and there may be nothing you can do if your ordinary shares are not voted as you requested.</w:t>
      </w:r>
    </w:p>
    <w:p>
      <w:pPr>
        <w:spacing w:after="0" w:line="124"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40 days in advance of the shareholders’ meeting date.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143</w:t>
      </w:r>
    </w:p>
    <w:p>
      <w:pPr>
        <w:sectPr>
          <w:pgSz w:w="11900" w:h="16838" w:orient="portrait"/>
          <w:cols w:equalWidth="0" w:num="1">
            <w:col w:w="10159"/>
          </w:cols>
          <w:pgMar w:left="300" w:top="354" w:right="1440" w:bottom="1440" w:gutter="0" w:footer="0" w:header="0"/>
        </w:sectPr>
      </w:pPr>
    </w:p>
    <w:bookmarkStart w:id="154" w:name="page155"/>
    <w:bookmarkEnd w:id="1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Fees and Expenses</w:t>
      </w:r>
    </w:p>
    <w:p>
      <w:pPr>
        <w:spacing w:after="0" w:line="160" w:lineRule="exact"/>
        <w:rPr>
          <w:sz w:val="20"/>
          <w:szCs w:val="20"/>
          <w:color w:val="auto"/>
        </w:rPr>
      </w:pPr>
    </w:p>
    <w:p>
      <w:pPr>
        <w:ind w:left="3120"/>
        <w:spacing w:after="0"/>
        <w:rPr>
          <w:sz w:val="20"/>
          <w:szCs w:val="20"/>
          <w:color w:val="auto"/>
        </w:rPr>
      </w:pPr>
      <w:r>
        <w:rPr>
          <w:rFonts w:ascii="Arial" w:cs="Arial" w:eastAsia="Arial" w:hAnsi="Arial"/>
          <w:sz w:val="10"/>
          <w:szCs w:val="10"/>
          <w:b w:val="1"/>
          <w:bCs w:val="1"/>
          <w:color w:val="auto"/>
        </w:rPr>
        <w:t>Persons Depositing or Withdrawing</w:t>
      </w:r>
    </w:p>
    <w:p>
      <w:pPr>
        <w:ind w:left="3140"/>
        <w:spacing w:after="0" w:line="236" w:lineRule="auto"/>
        <w:rPr>
          <w:sz w:val="20"/>
          <w:szCs w:val="20"/>
          <w:color w:val="auto"/>
        </w:rPr>
      </w:pPr>
      <w:r>
        <w:rPr>
          <w:rFonts w:ascii="Arial" w:cs="Arial" w:eastAsia="Arial" w:hAnsi="Arial"/>
          <w:sz w:val="10"/>
          <w:szCs w:val="10"/>
          <w:b w:val="1"/>
          <w:bCs w:val="1"/>
          <w:color w:val="auto"/>
        </w:rPr>
        <w:t>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0</wp:posOffset>
            </wp:positionV>
            <wp:extent cx="238315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8315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w:t>
      </w:r>
    </w:p>
    <w:p>
      <w:pPr>
        <w:spacing w:after="0" w:line="153" w:lineRule="exact"/>
        <w:rPr>
          <w:sz w:val="20"/>
          <w:szCs w:val="20"/>
          <w:color w:val="auto"/>
        </w:rPr>
      </w:pPr>
    </w:p>
    <w:p>
      <w:pPr>
        <w:ind w:left="1980"/>
        <w:spacing w:after="0" w:line="326" w:lineRule="auto"/>
        <w:rPr>
          <w:sz w:val="20"/>
          <w:szCs w:val="20"/>
          <w:color w:val="auto"/>
        </w:rPr>
      </w:pPr>
      <w:r>
        <w:rPr>
          <w:rFonts w:ascii="Arial" w:cs="Arial" w:eastAsia="Arial" w:hAnsi="Arial"/>
          <w:sz w:val="10"/>
          <w:szCs w:val="10"/>
          <w:color w:val="auto"/>
        </w:rPr>
        <w:t>A fee equivalent to the fee that would be payable if securities distributed to you had been shares and the shares had been deposited for issuance of ADSs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 per calendar year</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Registration or transfer fees</w:t>
      </w:r>
    </w:p>
    <w:p>
      <w:pPr>
        <w:spacing w:after="0" w:line="28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Expenses of the depositary</w:t>
      </w:r>
    </w:p>
    <w:p>
      <w:pPr>
        <w:spacing w:after="0" w:line="200" w:lineRule="exact"/>
        <w:rPr>
          <w:sz w:val="20"/>
          <w:szCs w:val="20"/>
          <w:color w:val="auto"/>
        </w:rPr>
      </w:pPr>
    </w:p>
    <w:p>
      <w:pPr>
        <w:spacing w:after="0" w:line="367" w:lineRule="exact"/>
        <w:rPr>
          <w:sz w:val="20"/>
          <w:szCs w:val="20"/>
          <w:color w:val="auto"/>
        </w:rPr>
      </w:pPr>
    </w:p>
    <w:p>
      <w:pPr>
        <w:ind w:left="1980"/>
        <w:spacing w:after="0" w:line="265" w:lineRule="auto"/>
        <w:rPr>
          <w:sz w:val="20"/>
          <w:szCs w:val="20"/>
          <w:color w:val="auto"/>
        </w:rPr>
      </w:pPr>
      <w:r>
        <w:rPr>
          <w:rFonts w:ascii="Arial" w:cs="Arial" w:eastAsia="Arial" w:hAnsi="Arial"/>
          <w:sz w:val="11"/>
          <w:szCs w:val="11"/>
          <w:color w:val="auto"/>
        </w:rPr>
        <w:t>Taxes and other governmental charges the depositary or the custodian must pay in respect of any ADSs or shares underlying ADSs, such as stock transfer taxes, stamp duty or withholding taxes</w:t>
      </w:r>
    </w:p>
    <w:p>
      <w:pPr>
        <w:spacing w:after="0" w:line="130" w:lineRule="exact"/>
        <w:rPr>
          <w:sz w:val="20"/>
          <w:szCs w:val="20"/>
          <w:color w:val="auto"/>
        </w:rPr>
      </w:pPr>
    </w:p>
    <w:p>
      <w:pPr>
        <w:ind w:left="1980" w:right="200"/>
        <w:spacing w:after="0" w:line="274" w:lineRule="auto"/>
        <w:rPr>
          <w:sz w:val="20"/>
          <w:szCs w:val="20"/>
          <w:color w:val="auto"/>
        </w:rPr>
      </w:pPr>
      <w:r>
        <w:rPr>
          <w:rFonts w:ascii="Arial" w:cs="Arial" w:eastAsia="Arial" w:hAnsi="Arial"/>
          <w:sz w:val="11"/>
          <w:szCs w:val="11"/>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19"/>
        <w:spacing w:after="0"/>
        <w:rPr>
          <w:sz w:val="20"/>
          <w:szCs w:val="20"/>
          <w:color w:val="auto"/>
        </w:rPr>
      </w:pPr>
      <w:r>
        <w:rPr>
          <w:rFonts w:ascii="Arial" w:cs="Arial" w:eastAsia="Arial" w:hAnsi="Arial"/>
          <w:sz w:val="10"/>
          <w:szCs w:val="10"/>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218884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88845" cy="5715"/>
                    </a:xfrm>
                    <a:prstGeom prst="rect">
                      <a:avLst/>
                    </a:prstGeom>
                    <a:noFill/>
                  </pic:spPr>
                </pic:pic>
              </a:graphicData>
            </a:graphic>
          </wp:anchor>
        </w:drawing>
      </w:r>
    </w:p>
    <w:p>
      <w:pPr>
        <w:ind w:right="839"/>
        <w:spacing w:after="0" w:line="274" w:lineRule="auto"/>
        <w:rPr>
          <w:sz w:val="20"/>
          <w:szCs w:val="20"/>
          <w:color w:val="auto"/>
        </w:rPr>
      </w:pPr>
      <w:r>
        <w:rPr>
          <w:rFonts w:ascii="Arial" w:cs="Arial" w:eastAsia="Arial" w:hAnsi="Arial"/>
          <w:sz w:val="11"/>
          <w:szCs w:val="11"/>
          <w:color w:val="auto"/>
        </w:rPr>
        <w:t>Issuance of ADSs, including issuances resulting from a distribution of shares or rights or other property</w:t>
      </w:r>
    </w:p>
    <w:p>
      <w:pPr>
        <w:spacing w:after="0" w:line="125" w:lineRule="exact"/>
        <w:rPr>
          <w:sz w:val="20"/>
          <w:szCs w:val="20"/>
          <w:color w:val="auto"/>
        </w:rPr>
      </w:pPr>
    </w:p>
    <w:p>
      <w:pPr>
        <w:ind w:right="979"/>
        <w:spacing w:after="0" w:line="274" w:lineRule="auto"/>
        <w:rPr>
          <w:sz w:val="20"/>
          <w:szCs w:val="20"/>
          <w:color w:val="auto"/>
        </w:rPr>
      </w:pPr>
      <w:r>
        <w:rPr>
          <w:rFonts w:ascii="Arial" w:cs="Arial" w:eastAsia="Arial" w:hAnsi="Arial"/>
          <w:sz w:val="11"/>
          <w:szCs w:val="11"/>
          <w:color w:val="auto"/>
        </w:rPr>
        <w:t>Cancellation of ADSs for the purpose of withdrawal, including if the deposit agreement terminates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Any cash distribution to ADS holders</w:t>
      </w:r>
    </w:p>
    <w:p>
      <w:pPr>
        <w:spacing w:after="0" w:line="153" w:lineRule="exact"/>
        <w:rPr>
          <w:sz w:val="20"/>
          <w:szCs w:val="20"/>
          <w:color w:val="auto"/>
        </w:rPr>
      </w:pPr>
    </w:p>
    <w:p>
      <w:pPr>
        <w:ind w:right="1239"/>
        <w:spacing w:after="0" w:line="389" w:lineRule="auto"/>
        <w:rPr>
          <w:sz w:val="20"/>
          <w:szCs w:val="20"/>
          <w:color w:val="auto"/>
        </w:rPr>
      </w:pPr>
      <w:r>
        <w:rPr>
          <w:rFonts w:ascii="Arial" w:cs="Arial" w:eastAsia="Arial" w:hAnsi="Arial"/>
          <w:sz w:val="9"/>
          <w:szCs w:val="9"/>
          <w:color w:val="auto"/>
        </w:rPr>
        <w:t>Distribution of securities distributed to holders of deposited securities (including rights) that are distributed by the depositary to ADS holders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Depositary services</w:t>
      </w:r>
    </w:p>
    <w:p>
      <w:pPr>
        <w:spacing w:after="0" w:line="153" w:lineRule="exact"/>
        <w:rPr>
          <w:sz w:val="20"/>
          <w:szCs w:val="20"/>
          <w:color w:val="auto"/>
        </w:rPr>
      </w:pPr>
    </w:p>
    <w:p>
      <w:pPr>
        <w:ind w:right="899"/>
        <w:spacing w:after="0" w:line="326" w:lineRule="auto"/>
        <w:rPr>
          <w:sz w:val="20"/>
          <w:szCs w:val="20"/>
          <w:color w:val="auto"/>
        </w:rPr>
      </w:pPr>
      <w:r>
        <w:rPr>
          <w:rFonts w:ascii="Arial" w:cs="Arial" w:eastAsia="Arial" w:hAnsi="Arial"/>
          <w:sz w:val="10"/>
          <w:szCs w:val="10"/>
          <w:color w:val="auto"/>
        </w:rPr>
        <w:t>Transfer and registration of shares on our share register to or from the name of the depositary or its agent when you deposit or withdraw shares</w:t>
      </w:r>
    </w:p>
    <w:p>
      <w:pPr>
        <w:spacing w:after="0" w:line="102" w:lineRule="exact"/>
        <w:rPr>
          <w:sz w:val="20"/>
          <w:szCs w:val="20"/>
          <w:color w:val="auto"/>
        </w:rPr>
      </w:pPr>
    </w:p>
    <w:p>
      <w:pPr>
        <w:ind w:right="1059"/>
        <w:spacing w:after="0" w:line="274" w:lineRule="auto"/>
        <w:rPr>
          <w:sz w:val="20"/>
          <w:szCs w:val="20"/>
          <w:color w:val="auto"/>
        </w:rPr>
      </w:pPr>
      <w:r>
        <w:rPr>
          <w:rFonts w:ascii="Arial" w:cs="Arial" w:eastAsia="Arial" w:hAnsi="Arial"/>
          <w:sz w:val="11"/>
          <w:szCs w:val="11"/>
          <w:color w:val="auto"/>
        </w:rPr>
        <w:t>Cable and facsimile transmissions (when expressly provided in the deposit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Converting foreign currency to U.S. dollars</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284" w:lineRule="exact"/>
        <w:rPr>
          <w:sz w:val="20"/>
          <w:szCs w:val="20"/>
          <w:color w:val="auto"/>
        </w:rPr>
      </w:pPr>
    </w:p>
    <w:p>
      <w:pPr>
        <w:sectPr>
          <w:pgSz w:w="11900" w:h="16838" w:orient="portrait"/>
          <w:cols w:equalWidth="0" w:num="2">
            <w:col w:w="5600" w:space="260"/>
            <w:col w:w="4299"/>
          </w:cols>
          <w:pgMar w:left="300" w:top="354" w:right="1440" w:bottom="1440" w:gutter="0" w:footer="0" w:header="0"/>
        </w:sectPr>
      </w:pPr>
    </w:p>
    <w:p>
      <w:pPr>
        <w:ind w:left="1980" w:right="899" w:firstLine="294"/>
        <w:spacing w:after="0" w:line="254" w:lineRule="auto"/>
        <w:rPr>
          <w:sz w:val="20"/>
          <w:szCs w:val="20"/>
          <w:color w:val="auto"/>
        </w:rPr>
      </w:pPr>
      <w:r>
        <w:rPr>
          <w:rFonts w:ascii="Arial" w:cs="Arial" w:eastAsia="Arial" w:hAnsi="Arial"/>
          <w:sz w:val="12"/>
          <w:szCs w:val="12"/>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3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11"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The depositary may convert currency itself or through any of its affiliates and, in those cases, acts as principal for its own account and not as agent, advisor, broker or fiduciary on behalf of any other person and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144</w:t>
      </w:r>
    </w:p>
    <w:p>
      <w:pPr>
        <w:sectPr>
          <w:pgSz w:w="11900" w:h="16838" w:orient="portrait"/>
          <w:cols w:equalWidth="0" w:num="1">
            <w:col w:w="10159"/>
          </w:cols>
          <w:pgMar w:left="300" w:top="354" w:right="1440" w:bottom="1440" w:gutter="0" w:footer="0" w:header="0"/>
          <w:type w:val="continuous"/>
        </w:sectPr>
      </w:pPr>
    </w:p>
    <w:bookmarkStart w:id="155" w:name="page156"/>
    <w:bookmarkEnd w:id="1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Payment of Taxes</w:t>
      </w:r>
    </w:p>
    <w:p>
      <w:pPr>
        <w:spacing w:after="0" w:line="154"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You will be responsible for any taxes or other governmental charges payable in respect of your ADSs or in respect of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6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Tender and Exchange Offers; Redemption, Replacement or Cancellation of Deposited Securities</w:t>
      </w:r>
    </w:p>
    <w:p>
      <w:pPr>
        <w:spacing w:after="0" w:line="154" w:lineRule="exact"/>
        <w:rPr>
          <w:sz w:val="20"/>
          <w:szCs w:val="20"/>
          <w:color w:val="auto"/>
        </w:rPr>
      </w:pPr>
    </w:p>
    <w:p>
      <w:pPr>
        <w:ind w:left="1980" w:right="1459" w:firstLine="294"/>
        <w:spacing w:after="0" w:line="276" w:lineRule="auto"/>
        <w:rPr>
          <w:sz w:val="20"/>
          <w:szCs w:val="20"/>
          <w:color w:val="auto"/>
        </w:rPr>
      </w:pPr>
      <w:r>
        <w:rPr>
          <w:rFonts w:ascii="Arial" w:cs="Arial" w:eastAsia="Arial" w:hAnsi="Arial"/>
          <w:sz w:val="12"/>
          <w:szCs w:val="12"/>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1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22" w:lineRule="exact"/>
        <w:rPr>
          <w:sz w:val="20"/>
          <w:szCs w:val="20"/>
          <w:color w:val="auto"/>
        </w:rPr>
      </w:pPr>
    </w:p>
    <w:p>
      <w:pPr>
        <w:ind w:left="1980" w:right="899" w:firstLine="294"/>
        <w:spacing w:after="0" w:line="320" w:lineRule="auto"/>
        <w:rPr>
          <w:sz w:val="20"/>
          <w:szCs w:val="20"/>
          <w:color w:val="auto"/>
        </w:rPr>
      </w:pPr>
      <w:r>
        <w:rPr>
          <w:rFonts w:ascii="Arial" w:cs="Arial" w:eastAsia="Arial" w:hAnsi="Arial"/>
          <w:sz w:val="10"/>
          <w:szCs w:val="10"/>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97"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22"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Amendment and Termination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amended?</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We may agree with the depositary to amend the deposit agreement and the ADRs without your consent for any reason. If an amendment adds or increases fees or charges, except for taxes and other governmental charges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145</w:t>
      </w:r>
    </w:p>
    <w:p>
      <w:pPr>
        <w:sectPr>
          <w:pgSz w:w="11900" w:h="16838" w:orient="portrait"/>
          <w:cols w:equalWidth="0" w:num="1">
            <w:col w:w="10159"/>
          </w:cols>
          <w:pgMar w:left="300" w:top="354" w:right="1440" w:bottom="1440" w:gutter="0" w:footer="0" w:header="0"/>
        </w:sectPr>
      </w:pPr>
    </w:p>
    <w:bookmarkStart w:id="156" w:name="page157"/>
    <w:bookmarkEnd w:id="1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terminated?</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depositary will initiate termination of the deposit agreement if we instruct it to do so. The depositary may initiate termination of the deposit agreement if</w:t>
      </w:r>
    </w:p>
    <w:p>
      <w:pPr>
        <w:spacing w:after="0" w:line="133" w:lineRule="exact"/>
        <w:rPr>
          <w:sz w:val="20"/>
          <w:szCs w:val="20"/>
          <w:color w:val="auto"/>
        </w:rPr>
      </w:pPr>
    </w:p>
    <w:p>
      <w:pPr>
        <w:ind w:left="2620" w:right="1159" w:hanging="288"/>
        <w:spacing w:after="0" w:line="276" w:lineRule="auto"/>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60 days have passed since the depositary told us it wants to resign but a successor depositary has not been appointed and accepted its appointment;</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we delist the ADSs from an exchange on which they were listed and do not list the ADSs on another exchange;</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we appear to be insolvent or enter insolvency proceedings;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all or substantially all the value of the deposited securities has been distributed either in cash or in the form of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3"/>
        </w:numPr>
        <w:rPr>
          <w:rFonts w:ascii="Arial" w:cs="Arial" w:eastAsia="Arial" w:hAnsi="Arial"/>
          <w:sz w:val="11"/>
          <w:szCs w:val="11"/>
          <w:color w:val="auto"/>
        </w:rPr>
      </w:pPr>
      <w:r>
        <w:rPr>
          <w:rFonts w:ascii="Arial" w:cs="Arial" w:eastAsia="Arial" w:hAnsi="Arial"/>
          <w:sz w:val="11"/>
          <w:szCs w:val="11"/>
          <w:color w:val="auto"/>
        </w:rPr>
        <w:t>there are no deposited securities underlying the ADSs or the underlying deposited securities have become apparently worthless; or</w:t>
      </w:r>
    </w:p>
    <w:p>
      <w:pPr>
        <w:spacing w:after="0" w:line="179" w:lineRule="exact"/>
        <w:rPr>
          <w:rFonts w:ascii="Arial" w:cs="Arial" w:eastAsia="Arial" w:hAnsi="Arial"/>
          <w:sz w:val="11"/>
          <w:szCs w:val="11"/>
          <w:color w:val="auto"/>
        </w:rPr>
      </w:pPr>
    </w:p>
    <w:p>
      <w:pPr>
        <w:ind w:left="2620" w:hanging="288"/>
        <w:spacing w:after="0"/>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there has been a replacement of deposited securities.</w:t>
      </w:r>
    </w:p>
    <w:p>
      <w:pPr>
        <w:spacing w:after="0" w:line="15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11"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Limitations on Obligations and Liability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Limits on our Obligations and the Obligations of the Depositary; Limits on Liability to Holders of ADSs</w:t>
      </w:r>
    </w:p>
    <w:p>
      <w:pPr>
        <w:spacing w:after="0" w:line="15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deposit agreement expressly limits our obligations and the obligations of the depositary. It also limits our liability and the liability of the depositary. We and the depositary:</w:t>
      </w:r>
    </w:p>
    <w:p>
      <w:pPr>
        <w:spacing w:after="0" w:line="133" w:lineRule="exact"/>
        <w:rPr>
          <w:sz w:val="20"/>
          <w:szCs w:val="20"/>
          <w:color w:val="auto"/>
        </w:rPr>
      </w:pPr>
    </w:p>
    <w:p>
      <w:pPr>
        <w:ind w:left="2620" w:right="879" w:hanging="288"/>
        <w:spacing w:after="0" w:line="276" w:lineRule="auto"/>
        <w:tabs>
          <w:tab w:leader="none" w:pos="26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are only obligated to take the actions specifically set forth in the deposit agreement without negligence or bad faith, and the depositary will not be a fiduciary or have any fiduciary duty to holders of ADSs;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146</w:t>
      </w:r>
    </w:p>
    <w:p>
      <w:pPr>
        <w:sectPr>
          <w:pgSz w:w="11900" w:h="16838" w:orient="portrait"/>
          <w:cols w:equalWidth="0" w:num="1">
            <w:col w:w="10159"/>
          </w:cols>
          <w:pgMar w:left="300" w:top="354" w:right="1440" w:bottom="1440" w:gutter="0" w:footer="0" w:header="0"/>
        </w:sectPr>
      </w:pPr>
    </w:p>
    <w:bookmarkStart w:id="157" w:name="page158"/>
    <w:bookmarkEnd w:id="1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19" w:hanging="288"/>
        <w:spacing w:after="0" w:line="276"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are not liable if we are or it is prevented or delayed by law or by events or circumstances beyond our or its control from performing our or its obligations under the deposit agreement;</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are not liable if we exercise or it exercises discretion permitted under the deposit agreement;</w:t>
      </w:r>
    </w:p>
    <w:p>
      <w:pPr>
        <w:spacing w:after="0" w:line="168" w:lineRule="exact"/>
        <w:rPr>
          <w:rFonts w:ascii="Arial" w:cs="Arial" w:eastAsia="Arial" w:hAnsi="Arial"/>
          <w:sz w:val="12"/>
          <w:szCs w:val="12"/>
          <w:color w:val="auto"/>
        </w:rPr>
      </w:pPr>
    </w:p>
    <w:p>
      <w:pPr>
        <w:ind w:left="2620" w:right="1099" w:hanging="288"/>
        <w:spacing w:after="0" w:line="263"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have no obligation to become involved in a lawsuit or other proceeding related to the ADSs or the deposit agreement on your behalf or on behalf of any other person;</w:t>
      </w:r>
    </w:p>
    <w:p>
      <w:pPr>
        <w:spacing w:after="0" w:line="132"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may rely upon any documents we believe or it believes in good faith to be genuine and to have been signed or presented by the proper person; and</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are not liable for the acts or omissions of any securities depository, clearing agency or settlement system.</w:t>
      </w:r>
    </w:p>
    <w:p>
      <w:pPr>
        <w:spacing w:after="0" w:line="150"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In addition, the depositary has no duty to make any determination or provide any information as to our tax status, or any liability for any tax consequences that may be incurred by ADS holders as a result of owning or holding ADSs or for the inability or failure of an ADS holder to obtain the benefit of a foreign tax credit, reduced rate of withholding or refund of amounts withheld in respect of tax or any other tax benefit.</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the deposit agreement, we and the depositary agree to indemnify each other under certain circumstances.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Requirements for Depositary Actions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Before the depositary will deliver or register a transfer of ADSs, make a distribution in respect of ADSs, or permit withdrawal of ordinary shares, the depositary may require:</w:t>
      </w:r>
    </w:p>
    <w:p>
      <w:pPr>
        <w:spacing w:after="0" w:line="133" w:lineRule="exact"/>
        <w:rPr>
          <w:sz w:val="20"/>
          <w:szCs w:val="20"/>
          <w:color w:val="auto"/>
        </w:rPr>
      </w:pPr>
    </w:p>
    <w:p>
      <w:pPr>
        <w:ind w:left="2620" w:right="109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payment of stock transfer or other taxes or other governmental charges and transfer or registration fees charged by third parties for the transfer of any shares or other deposited securities;</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satisfactory proof of the identity and genuineness of any signature or other information it deems necessary; and</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compliance with regulations it may establish, from time to time, consistent with the deposit agreement, including presentation of transfer documents.</w:t>
      </w:r>
    </w:p>
    <w:p>
      <w:pPr>
        <w:spacing w:after="0" w:line="115"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The depositary may refuse to deliver ADSs or register transfers of ADSs when the transfer books of the depositary or our transfer books are closed or at any time if the depositary or we think it advisable to do so.</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Your Right to Receive the Shares Underlying your ADSs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ADS holders have the right to cancel their ADSs and withdraw the underlying ordinary shares at any time except:</w:t>
      </w:r>
    </w:p>
    <w:p>
      <w:pPr>
        <w:spacing w:after="0" w:line="168" w:lineRule="exact"/>
        <w:rPr>
          <w:sz w:val="20"/>
          <w:szCs w:val="20"/>
          <w:color w:val="auto"/>
        </w:rPr>
      </w:pPr>
    </w:p>
    <w:p>
      <w:pPr>
        <w:ind w:left="2620" w:right="919" w:hanging="288"/>
        <w:spacing w:after="0" w:line="379" w:lineRule="auto"/>
        <w:tabs>
          <w:tab w:leader="none" w:pos="2620" w:val="left"/>
        </w:tabs>
        <w:numPr>
          <w:ilvl w:val="0"/>
          <w:numId w:val="67"/>
        </w:numPr>
        <w:rPr>
          <w:rFonts w:ascii="Arial" w:cs="Arial" w:eastAsia="Arial" w:hAnsi="Arial"/>
          <w:sz w:val="10"/>
          <w:szCs w:val="10"/>
          <w:color w:val="auto"/>
        </w:rPr>
      </w:pPr>
      <w:r>
        <w:rPr>
          <w:rFonts w:ascii="Arial" w:cs="Arial" w:eastAsia="Arial" w:hAnsi="Arial"/>
          <w:sz w:val="10"/>
          <w:szCs w:val="10"/>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147</w:t>
      </w:r>
    </w:p>
    <w:p>
      <w:pPr>
        <w:sectPr>
          <w:pgSz w:w="11900" w:h="16838" w:orient="portrait"/>
          <w:cols w:equalWidth="0" w:num="1">
            <w:col w:w="10159"/>
          </w:cols>
          <w:pgMar w:left="300" w:top="354" w:right="1440" w:bottom="1440" w:gutter="0" w:footer="0" w:header="0"/>
        </w:sectPr>
      </w:pPr>
    </w:p>
    <w:bookmarkStart w:id="158" w:name="page159"/>
    <w:bookmarkEnd w:id="1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when you owe money to pay fees, taxes and similar charges; or</w:t>
      </w:r>
    </w:p>
    <w:p>
      <w:pPr>
        <w:spacing w:after="0" w:line="168"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when it is necessary to prohibit withdrawals in order to comply with any laws or governmental regulations that apply to ADSs or to the withdrawal of shares or other deposited securities.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right of withdrawal may not be limited by any other provision of the deposit agreement.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Direct Registration System</w:t>
      </w:r>
    </w:p>
    <w:p>
      <w:pPr>
        <w:spacing w:after="0" w:line="154"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In the deposit agreement, all parties to the deposit agreement acknowledge that the Direct Registration System (“DRS”) and Profile Modification System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 Communications; Inspection of Register of Holders of ADSs</w:t>
      </w:r>
    </w:p>
    <w:p>
      <w:pPr>
        <w:spacing w:after="0" w:line="154"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Jury Trial Waiver</w:t>
      </w:r>
    </w:p>
    <w:p>
      <w:pPr>
        <w:spacing w:after="0" w:line="154"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The deposit agreement provides that, to the extent permitted by law, ADS holders waive the right to a jury trial of any claim they may have against us or the depositary arising out of or relating to the ADSs or the deposit agreement. We believe the deposit agreement’s jury trial waiver is enforceable; however, if an ADS holder were to seek a jury trial of any claim they may have against us or the depositary arising out of or relating to the ADSs or the deposit agreement and we or the depositary oppose such a jury trial demand based on the waiver, the court would determine whether the waiver was enforceable in the facts and circumstances of that case in accordance with applicable case law. However, you will not, by agreeing to the terms of the deposit agreement, be deemed to have waived our or the depositary’s compliance with U.S. federal securities laws and the rules and regulations promulgated thereunder.</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148</w:t>
      </w:r>
    </w:p>
    <w:p>
      <w:pPr>
        <w:sectPr>
          <w:pgSz w:w="11900" w:h="16838" w:orient="portrait"/>
          <w:cols w:equalWidth="0" w:num="1">
            <w:col w:w="10159"/>
          </w:cols>
          <w:pgMar w:left="300" w:top="354" w:right="1440" w:bottom="1440" w:gutter="0" w:footer="0" w:header="0"/>
        </w:sectPr>
      </w:pPr>
    </w:p>
    <w:bookmarkStart w:id="159" w:name="page160"/>
    <w:bookmarkEnd w:id="1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SHARES AND ADSs ELIGIBLE FOR FUTURE SALE</w:t>
      </w:r>
    </w:p>
    <w:p>
      <w:pPr>
        <w:spacing w:after="0" w:line="154" w:lineRule="exact"/>
        <w:rPr>
          <w:sz w:val="20"/>
          <w:szCs w:val="20"/>
          <w:color w:val="auto"/>
        </w:rPr>
      </w:pPr>
    </w:p>
    <w:p>
      <w:pPr>
        <w:ind w:left="1980" w:right="919" w:firstLine="294"/>
        <w:spacing w:after="0" w:line="258" w:lineRule="auto"/>
        <w:rPr>
          <w:sz w:val="20"/>
          <w:szCs w:val="20"/>
          <w:color w:val="auto"/>
        </w:rPr>
      </w:pPr>
      <w:r>
        <w:rPr>
          <w:rFonts w:ascii="Arial" w:cs="Arial" w:eastAsia="Arial" w:hAnsi="Arial"/>
          <w:sz w:val="12"/>
          <w:szCs w:val="12"/>
          <w:color w:val="auto"/>
        </w:rPr>
        <w:t>Upon completion of this offering, we will have ADSs outstanding, representing approximately % of our outstanding ordinary shares or, if the underwriters exercise in full their option to buy additional ADSs, ADSs outstanding representing approximately % of our</w:t>
      </w:r>
    </w:p>
    <w:p>
      <w:pPr>
        <w:jc w:val="both"/>
        <w:ind w:left="1980" w:right="1099"/>
        <w:spacing w:after="0" w:line="255" w:lineRule="auto"/>
        <w:rPr>
          <w:sz w:val="20"/>
          <w:szCs w:val="20"/>
          <w:color w:val="auto"/>
        </w:rPr>
      </w:pPr>
      <w:r>
        <w:rPr>
          <w:rFonts w:ascii="Arial" w:cs="Arial" w:eastAsia="Arial" w:hAnsi="Arial"/>
          <w:sz w:val="12"/>
          <w:szCs w:val="12"/>
          <w:color w:val="auto"/>
        </w:rPr>
        <w:t>outstanding ordinary shares. All of the ADSs sold in this offering will be freely transferable by persons other than by our “affiliates,” as that term is defined in Rule 144 under the Securities Act, without restriction or further registration under the Securities Act. Sales of substantial amounts of our ordinary shares or ADSs in the public market could adversely affect prevailing market prices of our ADSs.</w:t>
      </w:r>
    </w:p>
    <w:p>
      <w:pPr>
        <w:spacing w:after="0" w:line="127"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Prior to this offering, there has been no public market for our ordinary shares in the United States or our ADSs, and although we intend to apply to</w:t>
      </w:r>
    </w:p>
    <w:p>
      <w:pPr>
        <w:spacing w:after="0" w:line="3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list the ADSs on the , we cannot assure you that a regular trading market for the ADSs will develop. We do not intend to list our ordinary shares on a trading market in the United States and therefore do not expect that a trading market in the United States will develop for our ordinary shares not represented by the ADSs.</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Lock-Up Agreements</w:t>
      </w:r>
    </w:p>
    <w:p>
      <w:pPr>
        <w:spacing w:after="0" w:line="154" w:lineRule="exact"/>
        <w:rPr>
          <w:sz w:val="20"/>
          <w:szCs w:val="20"/>
          <w:color w:val="auto"/>
        </w:rPr>
      </w:pPr>
    </w:p>
    <w:p>
      <w:pPr>
        <w:ind w:left="1980" w:right="979" w:firstLine="294"/>
        <w:spacing w:after="0" w:line="283" w:lineRule="auto"/>
        <w:rPr>
          <w:sz w:val="20"/>
          <w:szCs w:val="20"/>
          <w:color w:val="auto"/>
        </w:rPr>
      </w:pPr>
      <w:r>
        <w:rPr>
          <w:rFonts w:ascii="Arial" w:cs="Arial" w:eastAsia="Arial" w:hAnsi="Arial"/>
          <w:sz w:val="11"/>
          <w:szCs w:val="11"/>
          <w:color w:val="auto"/>
        </w:rPr>
        <w:t>We have agreed to certain restrictions on our ability to sell additional ADSs or ordinary shares for a period of 180 days after the date of this prospectus. In addition, certain members of our management board and supervisory board and certain of our existing shareholders have entered into lockup agreements with the underwriters. We and they have agreed not to directly or indirectly offer for sale, sell, contract to sell, grant any option for the sale of, or otherwise issue or dispose of, any ADSs, ordinary shares or securities convertible into or exchangeable or exercisable for any ADSs or ordinary shares, without the prior written consent of Credit Suisse and Jefferies. The agreements provide exceptions for, among other things, sales to underwriters pursuant to the underwriting agreement. For more information, see “Underwriting.”</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144</w:t>
      </w:r>
    </w:p>
    <w:p>
      <w:pPr>
        <w:spacing w:after="0" w:line="154" w:lineRule="exact"/>
        <w:rPr>
          <w:sz w:val="20"/>
          <w:szCs w:val="20"/>
          <w:color w:val="auto"/>
        </w:rPr>
      </w:pPr>
    </w:p>
    <w:p>
      <w:pPr>
        <w:ind w:left="1980" w:right="979" w:firstLine="294"/>
        <w:spacing w:after="0" w:line="309" w:lineRule="auto"/>
        <w:rPr>
          <w:sz w:val="20"/>
          <w:szCs w:val="20"/>
          <w:color w:val="auto"/>
        </w:rPr>
      </w:pPr>
      <w:r>
        <w:rPr>
          <w:rFonts w:ascii="Arial" w:cs="Arial" w:eastAsia="Arial" w:hAnsi="Arial"/>
          <w:sz w:val="10"/>
          <w:szCs w:val="10"/>
          <w:color w:val="auto"/>
        </w:rPr>
        <w:t>In general, under Rule 144 under the Securities Act as in effect on the date of this prospectus, a person who has beneficially owned our ordinary shares, in the form of ADSs or otherwise, that are restricted securities for at least six months would be entitled to sell such securities, provided that</w:t>
      </w:r>
    </w:p>
    <w:p>
      <w:pPr>
        <w:spacing w:after="0" w:line="1" w:lineRule="exact"/>
        <w:rPr>
          <w:sz w:val="20"/>
          <w:szCs w:val="20"/>
          <w:color w:val="auto"/>
        </w:rPr>
      </w:pPr>
    </w:p>
    <w:p>
      <w:pPr>
        <w:jc w:val="both"/>
        <w:ind w:left="1980" w:right="939" w:hanging="8"/>
        <w:spacing w:after="0" w:line="281" w:lineRule="auto"/>
        <w:tabs>
          <w:tab w:leader="none" w:pos="2123" w:val="left"/>
        </w:tabs>
        <w:numPr>
          <w:ilvl w:val="0"/>
          <w:numId w:val="69"/>
        </w:numPr>
        <w:rPr>
          <w:rFonts w:ascii="Arial" w:cs="Arial" w:eastAsia="Arial" w:hAnsi="Arial"/>
          <w:sz w:val="11"/>
          <w:szCs w:val="11"/>
          <w:color w:val="auto"/>
        </w:rPr>
      </w:pPr>
      <w:r>
        <w:rPr>
          <w:rFonts w:ascii="Arial" w:cs="Arial" w:eastAsia="Arial" w:hAnsi="Arial"/>
          <w:sz w:val="11"/>
          <w:szCs w:val="11"/>
          <w:color w:val="auto"/>
        </w:rPr>
        <w:t>such person is not deemed to have been one of our affiliates at the time of, or at any time during the 90 days preceding, a sale and (ii) we are subject to the Exchange Act periodic reporting requirements for at least 90 days before the sale. In addition, under Rule 144, any person who is not an affiliate of ours and has not been an affiliate of ours at the time of, or at any time during the 90 days preceding, a sale and has held their ordinary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15" w:lineRule="exact"/>
        <w:rPr>
          <w:sz w:val="20"/>
          <w:szCs w:val="20"/>
          <w:color w:val="auto"/>
        </w:rPr>
      </w:pPr>
    </w:p>
    <w:p>
      <w:pPr>
        <w:ind w:left="1980" w:right="999" w:firstLine="294"/>
        <w:spacing w:after="0" w:line="340" w:lineRule="auto"/>
        <w:rPr>
          <w:sz w:val="20"/>
          <w:szCs w:val="20"/>
          <w:color w:val="auto"/>
        </w:rPr>
      </w:pPr>
      <w:r>
        <w:rPr>
          <w:rFonts w:ascii="Arial" w:cs="Arial" w:eastAsia="Arial" w:hAnsi="Arial"/>
          <w:sz w:val="10"/>
          <w:szCs w:val="10"/>
          <w:color w:val="auto"/>
        </w:rPr>
        <w:t>Persons who have beneficially owned our ordinary shares, in the form of ADSs or otherwise, that are restricted securities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5" w:lineRule="exact"/>
        <w:rPr>
          <w:sz w:val="20"/>
          <w:szCs w:val="20"/>
          <w:color w:val="auto"/>
        </w:rPr>
      </w:pPr>
    </w:p>
    <w:p>
      <w:pPr>
        <w:ind w:left="2620" w:right="1699" w:hanging="288"/>
        <w:spacing w:after="0" w:line="276" w:lineRule="auto"/>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1% of the number of ordinary shares then outstanding, in the form of ADSs or otherwise, which will equal approximately ordinary shares immediately after the completion of this offering; and</w:t>
      </w:r>
    </w:p>
    <w:p>
      <w:pPr>
        <w:sectPr>
          <w:pgSz w:w="11900" w:h="16838" w:orient="portrait"/>
          <w:cols w:equalWidth="0" w:num="1">
            <w:col w:w="10159"/>
          </w:cols>
          <w:pgMar w:left="300" w:top="354" w:right="1440" w:bottom="1440" w:gutter="0" w:footer="0" w:header="0"/>
        </w:sectPr>
      </w:pPr>
    </w:p>
    <w:p>
      <w:pPr>
        <w:spacing w:after="0" w:line="133" w:lineRule="exact"/>
        <w:rPr>
          <w:sz w:val="20"/>
          <w:szCs w:val="20"/>
          <w:color w:val="auto"/>
        </w:rPr>
      </w:pPr>
    </w:p>
    <w:p>
      <w:pPr>
        <w:ind w:left="23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average weekly trading volume of the ADSs on with respect to the sale;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0"/>
          <w:szCs w:val="10"/>
          <w:color w:val="auto"/>
        </w:rPr>
        <w:t>during the four calendar weeks preceding the filing of a notice on Form 144</w:t>
      </w:r>
    </w:p>
    <w:p>
      <w:pPr>
        <w:spacing w:after="0" w:line="272" w:lineRule="exact"/>
        <w:rPr>
          <w:sz w:val="20"/>
          <w:szCs w:val="20"/>
          <w:color w:val="auto"/>
        </w:rPr>
      </w:pPr>
    </w:p>
    <w:p>
      <w:pPr>
        <w:sectPr>
          <w:pgSz w:w="11900" w:h="16838" w:orient="portrait"/>
          <w:cols w:equalWidth="0" w:num="3">
            <w:col w:w="2380" w:space="240"/>
            <w:col w:w="2460" w:space="540"/>
            <w:col w:w="4539"/>
          </w:cols>
          <w:pgMar w:left="300" w:top="354" w:right="1440" w:bottom="1440" w:gutter="0" w:footer="0" w:header="0"/>
          <w:type w:val="continuous"/>
        </w:sectPr>
      </w:pPr>
    </w:p>
    <w:p>
      <w:pPr>
        <w:ind w:left="5560"/>
        <w:spacing w:after="0"/>
        <w:rPr>
          <w:sz w:val="20"/>
          <w:szCs w:val="20"/>
          <w:color w:val="auto"/>
        </w:rPr>
      </w:pPr>
      <w:r>
        <w:rPr>
          <w:rFonts w:ascii="Arial" w:cs="Arial" w:eastAsia="Arial" w:hAnsi="Arial"/>
          <w:sz w:val="10"/>
          <w:szCs w:val="10"/>
          <w:color w:val="auto"/>
        </w:rPr>
        <w:t>149</w:t>
      </w:r>
    </w:p>
    <w:p>
      <w:pPr>
        <w:sectPr>
          <w:pgSz w:w="11900" w:h="16838" w:orient="portrait"/>
          <w:cols w:equalWidth="0" w:num="1">
            <w:col w:w="10159"/>
          </w:cols>
          <w:pgMar w:left="300" w:top="354" w:right="1440" w:bottom="1440" w:gutter="0" w:footer="0" w:header="0"/>
          <w:type w:val="continuous"/>
        </w:sectPr>
      </w:pPr>
    </w:p>
    <w:bookmarkStart w:id="160" w:name="page161"/>
    <w:bookmarkEnd w:id="1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provided, in each case, that we are subject to the Exchange Act periodic reporting requirements for at least 90 days before the sale.</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Sales of restricted ordinary shares, in the form of ADSs or otherwise, under Rule 144 held by our affiliates are also subject to requirements regarding the manner of sale, notice and the availability of current public information about us. Rule 144 also requires that affiliates relying on Rule 144 to sell ordinary shares, in the form of ADSs or otherwise, that are not restricted securities must nonetheless comply with the same restrictions applicable to restricted shares, other than the holding period requirement. In addition, in each case, these ordinary shares would remain subject to lock-up arrangements and would only become eligible for sale when the lock-up period expires.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S</w:t>
      </w:r>
    </w:p>
    <w:p>
      <w:pPr>
        <w:spacing w:after="0" w:line="154"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Regulation S under the Securities Act provides that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including our ADSs, may be sold outside the United States without registration in the United States being required.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701</w:t>
      </w:r>
    </w:p>
    <w:p>
      <w:pPr>
        <w:spacing w:after="0" w:line="154"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Under Rule 701 under the Securities Act, ordinary shares acquired upon the exercise of options or pursuant to other rights granted under a written compensatory stock or option plan or other written agreement in compliance with Rule 701 may be resold, by:</w:t>
      </w:r>
    </w:p>
    <w:p>
      <w:pPr>
        <w:spacing w:after="0" w:line="133" w:lineRule="exact"/>
        <w:rPr>
          <w:sz w:val="20"/>
          <w:szCs w:val="20"/>
          <w:color w:val="auto"/>
        </w:rPr>
      </w:pPr>
    </w:p>
    <w:p>
      <w:pPr>
        <w:ind w:left="2620" w:right="959" w:hanging="288"/>
        <w:spacing w:after="0" w:line="276"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persons other than affiliates, beginning 90 days after the effective date of the registration statement of which this prospectus forms a part, subject only to the manner-of-sale provisions of Rule 144; and</w:t>
      </w:r>
    </w:p>
    <w:p>
      <w:pPr>
        <w:spacing w:after="0" w:line="132" w:lineRule="exact"/>
        <w:rPr>
          <w:rFonts w:ascii="Arial" w:cs="Arial" w:eastAsia="Arial" w:hAnsi="Arial"/>
          <w:sz w:val="12"/>
          <w:szCs w:val="12"/>
          <w:color w:val="auto"/>
        </w:rPr>
      </w:pPr>
    </w:p>
    <w:p>
      <w:pPr>
        <w:ind w:left="2620" w:right="959" w:hanging="288"/>
        <w:spacing w:after="0" w:line="263"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our affiliates, beginning 90 days after the effective date of the registration statement of which this prospectus forms a part, subject to the manner-of-sale and volume limitations, current public information and filing requirements of Rule 144, in each case, without compliance with the six-month holding period requirement of Rule 144.</w:t>
      </w:r>
    </w:p>
    <w:p>
      <w:pPr>
        <w:spacing w:after="0" w:line="122"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but subject to the other Rule 144 restrictions described above.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S-8 Registration Statement</w:t>
      </w:r>
    </w:p>
    <w:p>
      <w:pPr>
        <w:spacing w:after="0" w:line="154"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Following the completion of this offering, we intend to file one or more registration statements on Form S-8 under the Securities Act to register our ordinary shares issuable under our stock option programs. The registration statement on Form S-8 will become effective automatically upon filing.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described in “Underwriting.”</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150</w:t>
      </w:r>
    </w:p>
    <w:p>
      <w:pPr>
        <w:sectPr>
          <w:pgSz w:w="11900" w:h="16838" w:orient="portrait"/>
          <w:cols w:equalWidth="0" w:num="1">
            <w:col w:w="10159"/>
          </w:cols>
          <w:pgMar w:left="300" w:top="354" w:right="1440" w:bottom="1440" w:gutter="0" w:footer="0" w:header="0"/>
        </w:sectPr>
      </w:pPr>
    </w:p>
    <w:bookmarkStart w:id="161" w:name="page162"/>
    <w:bookmarkEnd w:id="1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EXCHANGE CONTROLS AND LIMITATIONS AFFECTING SHAREHOLDERS</w:t>
      </w:r>
    </w:p>
    <w:p>
      <w:pPr>
        <w:spacing w:after="0" w:line="154"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There are currently no legal restrictions in Germany on international capital movements and foreign exchange transactions, except in limited embargo circumstances (</w:t>
      </w:r>
      <w:r>
        <w:rPr>
          <w:rFonts w:ascii="Arial" w:cs="Arial" w:eastAsia="Arial" w:hAnsi="Arial"/>
          <w:sz w:val="12"/>
          <w:szCs w:val="12"/>
          <w:i w:val="1"/>
          <w:iCs w:val="1"/>
          <w:color w:val="auto"/>
        </w:rPr>
        <w:t>Teilembargo</w:t>
      </w:r>
      <w:r>
        <w:rPr>
          <w:rFonts w:ascii="Arial" w:cs="Arial" w:eastAsia="Arial" w:hAnsi="Arial"/>
          <w:sz w:val="12"/>
          <w:szCs w:val="12"/>
          <w:color w:val="auto"/>
        </w:rPr>
        <w:t>) relating to certain areas, entities or persons as a result of applicable resolutions adopted by the United Nations and the European Union. Restrictions currently exist with respect to, among others, Belarus, Burundi, Central African Republic, Congo, Guinea, Guinea-Bissau, Iran, Iraq, Lebanon, Libya, Mali, Myanmar, Nicaragua, North Korea, Somalia, South Sudan, Sudan, Syria, Tunisia, Ukraine, Venezuela, Yemen and Zimbabwe.</w:t>
      </w:r>
    </w:p>
    <w:p>
      <w:pPr>
        <w:spacing w:after="0" w:line="128"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For statistical purposes, there are, however, limited notification requirements regarding transactions involving cross-border monetary transfers. With some exceptions, every corporation or individual residing in Germany must report to the German Central Bank (</w:t>
      </w:r>
      <w:r>
        <w:rPr>
          <w:rFonts w:ascii="Arial" w:cs="Arial" w:eastAsia="Arial" w:hAnsi="Arial"/>
          <w:sz w:val="11"/>
          <w:szCs w:val="11"/>
          <w:i w:val="1"/>
          <w:iCs w:val="1"/>
          <w:color w:val="auto"/>
        </w:rPr>
        <w:t>Deutsche Bundesbank</w:t>
      </w:r>
      <w:r>
        <w:rPr>
          <w:rFonts w:ascii="Arial" w:cs="Arial" w:eastAsia="Arial" w:hAnsi="Arial"/>
          <w:sz w:val="11"/>
          <w:szCs w:val="11"/>
          <w:color w:val="auto"/>
        </w:rPr>
        <w:t>)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151</w:t>
      </w:r>
    </w:p>
    <w:p>
      <w:pPr>
        <w:sectPr>
          <w:pgSz w:w="11900" w:h="16838" w:orient="portrait"/>
          <w:cols w:equalWidth="0" w:num="1">
            <w:col w:w="10159"/>
          </w:cols>
          <w:pgMar w:left="300" w:top="354" w:right="1440" w:bottom="1440" w:gutter="0" w:footer="0" w:header="0"/>
        </w:sectPr>
      </w:pPr>
    </w:p>
    <w:bookmarkStart w:id="162" w:name="page163"/>
    <w:bookmarkEnd w:id="1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TAXATION</w:t>
      </w:r>
    </w:p>
    <w:p>
      <w:pPr>
        <w:spacing w:after="0" w:line="15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i w:val="1"/>
          <w:iCs w:val="1"/>
          <w:color w:val="auto"/>
        </w:rPr>
        <w:t>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Taxation</w:t>
      </w:r>
    </w:p>
    <w:p>
      <w:pPr>
        <w:spacing w:after="0" w:line="15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The following discussion describes the material German tax consequences of acquiring, owning and disposing of ADSs. With the exception of the subsection “German Taxation of ADSs—Taxation of Holders Tax Resident in Germany” below, which provides an overview of dividend taxation of holders that are tax resident in Germany, this discussion applies only to U.S. treaty beneficiaries (defined below) that acquire ADSs in the offering.</w:t>
      </w:r>
    </w:p>
    <w:p>
      <w:pPr>
        <w:spacing w:after="0" w:line="105"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This discussion is based on German tax laws, including, but not limited to, circulars issued by German tax authorities, which are not binding on the German courts, and the Treaty (as defined below). It is based upon tax laws in effect as of the date of this prospectus. These laws are subject to change, possibly on a retroactive basis. There is no assurance that German tax authorities will not challenge one or more of the tax consequences described in this discussion.</w:t>
      </w:r>
    </w:p>
    <w:p>
      <w:pPr>
        <w:spacing w:after="0" w:line="124"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22"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22"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Prospective holders of ADSs should consult their own tax advisors regarding the German tax consequences of the purchase, ownership and disposition of ADSs in light of their particular circumstances, including the effect of any state, local, or other foreign or domestic laws or changes in tax law or interpretation.</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Taxation of ADSs</w:t>
      </w:r>
    </w:p>
    <w:p>
      <w:pPr>
        <w:spacing w:after="0" w:line="150"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This subsection “German Taxation of ADSs” is the opinion of Sullivan &amp; Cromwell LLP insofar as it relates to legal conclusions with respect to matters of applicable German tax law as in effect on the effective date of the Registration Statement of which this prospectus forms a part.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General German Tax Treatment of ADSs</w:t>
      </w:r>
    </w:p>
    <w:p>
      <w:pPr>
        <w:spacing w:after="0" w:line="150" w:lineRule="exact"/>
        <w:rPr>
          <w:sz w:val="20"/>
          <w:szCs w:val="20"/>
          <w:color w:val="auto"/>
        </w:rPr>
      </w:pPr>
    </w:p>
    <w:p>
      <w:pPr>
        <w:ind w:left="1980" w:right="1019" w:firstLine="294"/>
        <w:spacing w:after="0" w:line="309" w:lineRule="auto"/>
        <w:rPr>
          <w:sz w:val="20"/>
          <w:szCs w:val="20"/>
          <w:color w:val="auto"/>
        </w:rPr>
      </w:pPr>
      <w:r>
        <w:rPr>
          <w:rFonts w:ascii="Arial" w:cs="Arial" w:eastAsia="Arial" w:hAnsi="Arial"/>
          <w:sz w:val="10"/>
          <w:szCs w:val="10"/>
          <w:color w:val="auto"/>
        </w:rPr>
        <w:t>As of the date hereof, no published German tax court decisions exist as to all aspects of the German tax treatment of ADRs or ADSs. However, based on the circular issued by the German Federal Ministry of Finance (</w:t>
      </w:r>
      <w:r>
        <w:rPr>
          <w:rFonts w:ascii="Arial" w:cs="Arial" w:eastAsia="Arial" w:hAnsi="Arial"/>
          <w:sz w:val="10"/>
          <w:szCs w:val="10"/>
          <w:i w:val="1"/>
          <w:iCs w:val="1"/>
          <w:color w:val="auto"/>
        </w:rPr>
        <w:t>Bundesfinanzministerium</w:t>
      </w:r>
      <w:r>
        <w:rPr>
          <w:rFonts w:ascii="Arial" w:cs="Arial" w:eastAsia="Arial" w:hAnsi="Arial"/>
          <w:sz w:val="10"/>
          <w:szCs w:val="10"/>
          <w:color w:val="auto"/>
        </w:rPr>
        <w:t>) dated May 24, 2013, reference number IV</w:t>
      </w:r>
    </w:p>
    <w:p>
      <w:pPr>
        <w:spacing w:after="0" w:line="1" w:lineRule="exact"/>
        <w:rPr>
          <w:sz w:val="20"/>
          <w:szCs w:val="20"/>
          <w:color w:val="auto"/>
        </w:rPr>
      </w:pPr>
    </w:p>
    <w:p>
      <w:pPr>
        <w:jc w:val="both"/>
        <w:ind w:left="1980" w:right="999"/>
        <w:spacing w:after="0" w:line="253" w:lineRule="auto"/>
        <w:rPr>
          <w:sz w:val="20"/>
          <w:szCs w:val="20"/>
          <w:color w:val="auto"/>
        </w:rPr>
      </w:pPr>
      <w:r>
        <w:rPr>
          <w:rFonts w:ascii="Arial" w:cs="Arial" w:eastAsia="Arial" w:hAnsi="Arial"/>
          <w:sz w:val="12"/>
          <w:szCs w:val="12"/>
          <w:color w:val="auto"/>
        </w:rPr>
        <w:t>C 1-S2204/12/10003, as amended by the circular dated December 18, 2018, reference number IV C 1-S2204/12, jointly the “ADR Tax Circular,” for German tax purposes, the ADSs should represent a beneficial ownership interest in the underlying shares of the company and qualify as ADRs for the purpose of the ADR Tax Circular. If the ADSs qualify as ADRs under the ADR Tax Circular, dividends will accordingly be attributable to holders of ADSs for tax purposes, and not to the</w:t>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152</w:t>
      </w:r>
    </w:p>
    <w:p>
      <w:pPr>
        <w:sectPr>
          <w:pgSz w:w="11900" w:h="16838" w:orient="portrait"/>
          <w:cols w:equalWidth="0" w:num="1">
            <w:col w:w="10159"/>
          </w:cols>
          <w:pgMar w:left="300" w:top="354" w:right="1440" w:bottom="1440" w:gutter="0" w:footer="0" w:header="0"/>
        </w:sectPr>
      </w:pPr>
    </w:p>
    <w:bookmarkStart w:id="163" w:name="page164"/>
    <w:bookmarkEnd w:id="1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81" w:lineRule="auto"/>
        <w:rPr>
          <w:sz w:val="20"/>
          <w:szCs w:val="20"/>
          <w:color w:val="auto"/>
        </w:rPr>
      </w:pPr>
      <w:r>
        <w:rPr>
          <w:rFonts w:ascii="Arial" w:cs="Arial" w:eastAsia="Arial" w:hAnsi="Arial"/>
          <w:sz w:val="11"/>
          <w:szCs w:val="11"/>
          <w:color w:val="auto"/>
        </w:rPr>
        <w:t>legal owner of the ordinary shares (</w:t>
      </w:r>
      <w:r>
        <w:rPr>
          <w:rFonts w:ascii="Arial" w:cs="Arial" w:eastAsia="Arial" w:hAnsi="Arial"/>
          <w:sz w:val="11"/>
          <w:szCs w:val="11"/>
          <w:i w:val="1"/>
          <w:iCs w:val="1"/>
          <w:color w:val="auto"/>
        </w:rPr>
        <w:t>i.e.</w:t>
      </w:r>
      <w:r>
        <w:rPr>
          <w:rFonts w:ascii="Arial" w:cs="Arial" w:eastAsia="Arial" w:hAnsi="Arial"/>
          <w:sz w:val="11"/>
          <w:szCs w:val="11"/>
          <w:color w:val="auto"/>
        </w:rPr>
        <w:t>, the financial institution on behalf of which the ordinary shares are stored at a domestic depository for the ADS holders). Furthermore, holders of ADSs will be treated as beneficial owners of the capital of the company with respect to capital gains (see below in section “—General Rules for the Taxation of Non-German Tax Resident Holders of ADSs—German Taxation of Capital Gains of the U.S. Treaty Beneficiaries of the ADSs”).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Taxation of Non-German Resident U.S. Holders</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2"/>
          <w:szCs w:val="12"/>
          <w:i w:val="1"/>
          <w:iCs w:val="1"/>
          <w:color w:val="auto"/>
        </w:rPr>
        <w:t>Abkommen zwischen der Bundesrepublik</w:t>
      </w:r>
      <w:r>
        <w:rPr>
          <w:rFonts w:ascii="Arial" w:cs="Arial" w:eastAsia="Arial" w:hAnsi="Arial"/>
          <w:sz w:val="12"/>
          <w:szCs w:val="12"/>
          <w:color w:val="auto"/>
        </w:rPr>
        <w:t xml:space="preserve"> </w:t>
      </w:r>
      <w:r>
        <w:rPr>
          <w:rFonts w:ascii="Arial" w:cs="Arial" w:eastAsia="Arial" w:hAnsi="Arial"/>
          <w:sz w:val="12"/>
          <w:szCs w:val="12"/>
          <w:i w:val="1"/>
          <w:iCs w:val="1"/>
          <w:color w:val="auto"/>
        </w:rPr>
        <w:t>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2"/>
          <w:szCs w:val="12"/>
          <w:color w:val="auto"/>
        </w:rPr>
        <w:t>) as</w:t>
      </w:r>
      <w:r>
        <w:rPr>
          <w:rFonts w:ascii="Arial" w:cs="Arial" w:eastAsia="Arial" w:hAnsi="Arial"/>
          <w:sz w:val="12"/>
          <w:szCs w:val="12"/>
          <w:i w:val="1"/>
          <w:iCs w:val="1"/>
          <w:color w:val="auto"/>
        </w:rPr>
        <w:t xml:space="preserve"> </w:t>
      </w:r>
      <w:r>
        <w:rPr>
          <w:rFonts w:ascii="Arial" w:cs="Arial" w:eastAsia="Arial" w:hAnsi="Arial"/>
          <w:sz w:val="12"/>
          <w:szCs w:val="12"/>
          <w:color w:val="auto"/>
        </w:rPr>
        <w:t>published in the German Federal Law Gazette 2008 vol. II pp. 611/851 (hereinafter referred to as the “Treaty”) who is fully eligible for benefits under the Treaty.</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A holder will be a U.S. treaty beneficiary entitled to full Treaty benefits in respect of the ADSs if it is, inter alia:</w:t>
      </w:r>
    </w:p>
    <w:p>
      <w:pPr>
        <w:spacing w:after="0" w:line="168" w:lineRule="exact"/>
        <w:rPr>
          <w:sz w:val="20"/>
          <w:szCs w:val="20"/>
          <w:color w:val="auto"/>
        </w:rPr>
      </w:pPr>
    </w:p>
    <w:p>
      <w:pPr>
        <w:ind w:left="2620" w:hanging="288"/>
        <w:spacing w:after="0"/>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beneficial owner of the ADSs (and the dividends paid with respect thereto);</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 U.S. holder (as defined below);</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not also a resident of Germany for German tax purposes; and</w:t>
      </w:r>
    </w:p>
    <w:p>
      <w:pPr>
        <w:spacing w:after="0" w:line="168"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not subject to the limitation on benefits restrictions (i.e., anti-treaty shopping article of the Treaty or German domestic rules) that applies in limited circumstances.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rules apply to pension funds and certain other tax-exempt investors.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u w:val="single" w:color="auto"/>
          <w:color w:val="auto"/>
        </w:rPr>
        <w:t>General Rules for the Taxation of Non-German Tax Resident Holders of ADSs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Non-German resident holders of ADSs are subject to German taxation with respect to certain German source income (</w:t>
      </w:r>
      <w:r>
        <w:rPr>
          <w:rFonts w:ascii="Arial" w:cs="Arial" w:eastAsia="Arial" w:hAnsi="Arial"/>
          <w:sz w:val="12"/>
          <w:szCs w:val="12"/>
          <w:i w:val="1"/>
          <w:iCs w:val="1"/>
          <w:color w:val="auto"/>
        </w:rPr>
        <w:t>beschränkte Steuerpflicht</w:t>
      </w:r>
      <w:r>
        <w:rPr>
          <w:rFonts w:ascii="Arial" w:cs="Arial" w:eastAsia="Arial" w:hAnsi="Arial"/>
          <w:sz w:val="12"/>
          <w:szCs w:val="12"/>
          <w:color w:val="auto"/>
        </w:rPr>
        <w:t>). According to the ADR Tax Circular, income from the shares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Arial" w:cs="Arial" w:eastAsia="Arial" w:hAnsi="Arial"/>
          <w:sz w:val="12"/>
          <w:szCs w:val="12"/>
          <w:i w:val="1"/>
          <w:iCs w:val="1"/>
          <w:color w:val="auto"/>
        </w:rPr>
        <w:t>Einlagenrückgewähr</w:t>
      </w:r>
      <w:r>
        <w:rPr>
          <w:rFonts w:ascii="Arial" w:cs="Arial" w:eastAsia="Arial" w:hAnsi="Arial"/>
          <w:sz w:val="12"/>
          <w:szCs w:val="12"/>
          <w:color w:val="auto"/>
        </w:rPr>
        <w:t>) for tax purposes is considered as reduction of the acquisition costs of the respective shares rather than as dividend payment (subject to proper tax declaration by the company in accordance with German tax law).</w:t>
      </w:r>
    </w:p>
    <w:p>
      <w:pPr>
        <w:spacing w:after="0" w:line="128"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The full amount of a dividend distributed by the company to a non-German resident holder is subject as a matter of principal to (final) German withholding tax at an aggregate rate of 26.375% (25% income tax plus 5.5% solidarity surcharge thereon). In addition to that, dividends may be subject to church tax (</w:t>
      </w:r>
      <w:r>
        <w:rPr>
          <w:rFonts w:ascii="Arial" w:cs="Arial" w:eastAsia="Arial" w:hAnsi="Arial"/>
          <w:sz w:val="11"/>
          <w:szCs w:val="11"/>
          <w:i w:val="1"/>
          <w:iCs w:val="1"/>
          <w:color w:val="auto"/>
        </w:rPr>
        <w:t>Kirchensteuer</w:t>
      </w:r>
      <w:r>
        <w:rPr>
          <w:rFonts w:ascii="Arial" w:cs="Arial" w:eastAsia="Arial" w:hAnsi="Arial"/>
          <w:sz w:val="11"/>
          <w:szCs w:val="11"/>
          <w:color w:val="auto"/>
        </w:rPr>
        <w:t>) if applicable. The relevant dividend is deemed to be received for German tax purposes at the payout date as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153</w:t>
      </w:r>
    </w:p>
    <w:p>
      <w:pPr>
        <w:sectPr>
          <w:pgSz w:w="11900" w:h="16838" w:orient="portrait"/>
          <w:cols w:equalWidth="0" w:num="1">
            <w:col w:w="10159"/>
          </w:cols>
          <w:pgMar w:left="300" w:top="354" w:right="1440" w:bottom="1440" w:gutter="0" w:footer="0" w:header="0"/>
        </w:sectPr>
      </w:pPr>
    </w:p>
    <w:bookmarkStart w:id="164" w:name="page165"/>
    <w:bookmarkEnd w:id="1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spacing w:after="0" w:line="122" w:lineRule="exact"/>
        <w:rPr>
          <w:sz w:val="20"/>
          <w:szCs w:val="20"/>
          <w:color w:val="auto"/>
        </w:rPr>
      </w:pPr>
    </w:p>
    <w:p>
      <w:pPr>
        <w:jc w:val="both"/>
        <w:ind w:left="1980" w:right="859" w:firstLine="294"/>
        <w:spacing w:after="0" w:line="259" w:lineRule="auto"/>
        <w:rPr>
          <w:sz w:val="20"/>
          <w:szCs w:val="20"/>
          <w:color w:val="auto"/>
        </w:rPr>
      </w:pPr>
      <w:r>
        <w:rPr>
          <w:rFonts w:ascii="Arial" w:cs="Arial" w:eastAsia="Arial" w:hAnsi="Arial"/>
          <w:sz w:val="12"/>
          <w:szCs w:val="12"/>
          <w:color w:val="auto"/>
        </w:rPr>
        <w:t>The solidarity surcharge (</w:t>
      </w:r>
      <w:r>
        <w:rPr>
          <w:rFonts w:ascii="Arial" w:cs="Arial" w:eastAsia="Arial" w:hAnsi="Arial"/>
          <w:sz w:val="12"/>
          <w:szCs w:val="12"/>
          <w:i w:val="1"/>
          <w:iCs w:val="1"/>
          <w:color w:val="auto"/>
        </w:rPr>
        <w:t>Solidaritätszuschlag</w:t>
      </w:r>
      <w:r>
        <w:rPr>
          <w:rFonts w:ascii="Arial" w:cs="Arial" w:eastAsia="Arial" w:hAnsi="Arial"/>
          <w:sz w:val="12"/>
          <w:szCs w:val="12"/>
          <w:color w:val="auto"/>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Shareholders are advised to monitor additional future developments.</w:t>
      </w:r>
    </w:p>
    <w:p>
      <w:pPr>
        <w:spacing w:after="0" w:line="124" w:lineRule="exact"/>
        <w:rPr>
          <w:sz w:val="20"/>
          <w:szCs w:val="20"/>
          <w:color w:val="auto"/>
        </w:rPr>
      </w:pPr>
    </w:p>
    <w:p>
      <w:pPr>
        <w:ind w:left="1980" w:right="959" w:firstLine="294"/>
        <w:spacing w:after="0" w:line="306" w:lineRule="auto"/>
        <w:rPr>
          <w:sz w:val="20"/>
          <w:szCs w:val="20"/>
          <w:color w:val="auto"/>
        </w:rPr>
      </w:pPr>
      <w:r>
        <w:rPr>
          <w:rFonts w:ascii="Arial" w:cs="Arial" w:eastAsia="Arial" w:hAnsi="Arial"/>
          <w:sz w:val="10"/>
          <w:szCs w:val="10"/>
          <w:color w:val="auto"/>
        </w:rPr>
        <w:t>German withholding tax on capital income (</w:t>
      </w:r>
      <w:r>
        <w:rPr>
          <w:rFonts w:ascii="Arial" w:cs="Arial" w:eastAsia="Arial" w:hAnsi="Arial"/>
          <w:sz w:val="10"/>
          <w:szCs w:val="10"/>
          <w:i w:val="1"/>
          <w:iCs w:val="1"/>
          <w:color w:val="auto"/>
        </w:rPr>
        <w:t>Kapitalertragsteuer</w:t>
      </w:r>
      <w:r>
        <w:rPr>
          <w:rFonts w:ascii="Arial" w:cs="Arial" w:eastAsia="Arial" w:hAnsi="Arial"/>
          <w:sz w:val="10"/>
          <w:szCs w:val="10"/>
          <w:color w:val="auto"/>
        </w:rPr>
        <w:t>) is withheld and remitted to the competent German tax authorities by (i) the German dividend disbursing agent (</w:t>
      </w:r>
      <w:r>
        <w:rPr>
          <w:rFonts w:ascii="Arial" w:cs="Arial" w:eastAsia="Arial" w:hAnsi="Arial"/>
          <w:sz w:val="10"/>
          <w:szCs w:val="10"/>
          <w:i w:val="1"/>
          <w:iCs w:val="1"/>
          <w:color w:val="auto"/>
        </w:rPr>
        <w:t>i.e.</w:t>
      </w:r>
      <w:r>
        <w:rPr>
          <w:rFonts w:ascii="Arial" w:cs="Arial" w:eastAsia="Arial" w:hAnsi="Arial"/>
          <w:sz w:val="10"/>
          <w:szCs w:val="10"/>
          <w:color w:val="auto"/>
        </w:rPr>
        <w:t>, a German credit institution, financial services institution (each including the German branch of a foreign enterprise), German securities trading enterprise or German securities trading bank (each as defined in the German Banking Act (</w:t>
      </w:r>
      <w:r>
        <w:rPr>
          <w:rFonts w:ascii="Arial" w:cs="Arial" w:eastAsia="Arial" w:hAnsi="Arial"/>
          <w:sz w:val="10"/>
          <w:szCs w:val="10"/>
          <w:i w:val="1"/>
          <w:iCs w:val="1"/>
          <w:color w:val="auto"/>
        </w:rPr>
        <w:t>Kreditwesengesetz</w:t>
      </w:r>
      <w:r>
        <w:rPr>
          <w:rFonts w:ascii="Arial" w:cs="Arial" w:eastAsia="Arial" w:hAnsi="Arial"/>
          <w:sz w:val="10"/>
          <w:szCs w:val="10"/>
          <w:color w:val="auto"/>
        </w:rPr>
        <w:t>)))</w:t>
      </w:r>
    </w:p>
    <w:p>
      <w:pPr>
        <w:spacing w:after="0" w:line="1" w:lineRule="exact"/>
        <w:rPr>
          <w:sz w:val="20"/>
          <w:szCs w:val="20"/>
          <w:color w:val="auto"/>
        </w:rPr>
      </w:pPr>
    </w:p>
    <w:p>
      <w:pPr>
        <w:ind w:left="1980" w:right="899"/>
        <w:spacing w:after="0" w:line="300" w:lineRule="auto"/>
        <w:rPr>
          <w:sz w:val="20"/>
          <w:szCs w:val="20"/>
          <w:color w:val="auto"/>
        </w:rPr>
      </w:pPr>
      <w:r>
        <w:rPr>
          <w:rFonts w:ascii="Arial" w:cs="Arial" w:eastAsia="Arial" w:hAnsi="Arial"/>
          <w:sz w:val="10"/>
          <w:szCs w:val="10"/>
          <w:color w:val="auto"/>
        </w:rPr>
        <w:t>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w:t>
      </w:r>
    </w:p>
    <w:p>
      <w:pPr>
        <w:spacing w:after="0" w:line="1" w:lineRule="exact"/>
        <w:rPr>
          <w:sz w:val="20"/>
          <w:szCs w:val="20"/>
          <w:color w:val="auto"/>
        </w:rPr>
      </w:pPr>
    </w:p>
    <w:p>
      <w:pPr>
        <w:ind w:left="1980" w:right="979" w:hanging="8"/>
        <w:spacing w:after="0" w:line="289" w:lineRule="auto"/>
        <w:tabs>
          <w:tab w:leader="none" w:pos="2157" w:val="left"/>
        </w:tabs>
        <w:numPr>
          <w:ilvl w:val="0"/>
          <w:numId w:val="73"/>
        </w:numPr>
        <w:rPr>
          <w:rFonts w:ascii="Arial" w:cs="Arial" w:eastAsia="Arial" w:hAnsi="Arial"/>
          <w:sz w:val="11"/>
          <w:szCs w:val="11"/>
          <w:color w:val="auto"/>
        </w:rPr>
      </w:pPr>
      <w:r>
        <w:rPr>
          <w:rFonts w:ascii="Arial" w:cs="Arial" w:eastAsia="Arial" w:hAnsi="Arial"/>
          <w:sz w:val="11"/>
          <w:szCs w:val="11"/>
          <w:color w:val="auto"/>
        </w:rPr>
        <w:t>the central securities depository (</w:t>
      </w:r>
      <w:r>
        <w:rPr>
          <w:rFonts w:ascii="Arial" w:cs="Arial" w:eastAsia="Arial" w:hAnsi="Arial"/>
          <w:sz w:val="11"/>
          <w:szCs w:val="11"/>
          <w:i w:val="1"/>
          <w:iCs w:val="1"/>
          <w:color w:val="auto"/>
        </w:rPr>
        <w:t>Wertpapiersammelbank</w:t>
      </w:r>
      <w:r>
        <w:rPr>
          <w:rFonts w:ascii="Arial" w:cs="Arial" w:eastAsia="Arial" w:hAnsi="Arial"/>
          <w:sz w:val="11"/>
          <w:szCs w:val="11"/>
          <w:color w:val="auto"/>
        </w:rPr>
        <w:t>) in terms of the German Depositary Act (</w:t>
      </w:r>
      <w:r>
        <w:rPr>
          <w:rFonts w:ascii="Arial" w:cs="Arial" w:eastAsia="Arial" w:hAnsi="Arial"/>
          <w:sz w:val="11"/>
          <w:szCs w:val="11"/>
          <w:i w:val="1"/>
          <w:iCs w:val="1"/>
          <w:color w:val="auto"/>
        </w:rPr>
        <w:t>Depotgesetz</w:t>
      </w:r>
      <w:r>
        <w:rPr>
          <w:rFonts w:ascii="Arial" w:cs="Arial" w:eastAsia="Arial" w:hAnsi="Arial"/>
          <w:sz w:val="11"/>
          <w:szCs w:val="11"/>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10"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(circular by the German Federal Ministry of Finance, dated December 18, 2018, reference number IV C 1-S 2204/12/10003)).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such a refund is subject to the German anti-avoidance treaty shopping rule (as described below in section “—Withholding Tax Refund for U.S. Treaty Beneficiaries”).</w:t>
      </w:r>
    </w:p>
    <w:p>
      <w:pPr>
        <w:spacing w:after="0" w:line="116"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A reduced permitted German withholding tax rate of 5% would apply according to the Treaty provisions, if the U.S. treaty beneficiary is a corporation and holds directly at least 10% of the voting shares of the dividend paying company.</w:t>
      </w:r>
    </w:p>
    <w:p>
      <w:pPr>
        <w:spacing w:after="0" w:line="115"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b w:val="1"/>
          <w:bCs w:val="1"/>
          <w:i w:val="1"/>
          <w:iCs w:val="1"/>
          <w:color w:val="auto"/>
        </w:rPr>
        <w:t xml:space="preserve">German Taxation of Capital Gains of U.S. Treaty Beneficiaries of the ADSs. </w:t>
      </w:r>
      <w:r>
        <w:rPr>
          <w:rFonts w:ascii="Arial" w:cs="Arial" w:eastAsia="Arial" w:hAnsi="Arial"/>
          <w:sz w:val="11"/>
          <w:szCs w:val="11"/>
          <w:color w:val="auto"/>
        </w:rPr>
        <w:t>Capital gains from the disposition of ADSs realized by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 ADSs without consideration, the previous owner’s holding period and quota would be taken into account when calculating the above holding period and the participation threshold.</w:t>
      </w:r>
    </w:p>
    <w:p>
      <w:pPr>
        <w:spacing w:after="0" w:line="113"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However, U.S. treaty beneficiaries are eligible for treaty benefits under the Treaty (as described above in the section “—Taxation of Non-German Resident U.S. Holders”). Pursuant to the Treaty, U.S. treaty beneficiaries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154</w:t>
      </w:r>
    </w:p>
    <w:p>
      <w:pPr>
        <w:sectPr>
          <w:pgSz w:w="11900" w:h="16838" w:orient="portrait"/>
          <w:cols w:equalWidth="0" w:num="1">
            <w:col w:w="10159"/>
          </w:cols>
          <w:pgMar w:left="300" w:top="354" w:right="1440" w:bottom="1440" w:gutter="0" w:footer="0" w:header="0"/>
        </w:sectPr>
      </w:pPr>
    </w:p>
    <w:bookmarkStart w:id="165" w:name="page166"/>
    <w:bookmarkEnd w:id="1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are not subject to German tax with any capital gain derived from the sale of the ADSs, even under the circumstances described in the preceding paragraph and therefore will not be taxed on capital gains from the disposition of the ADSs.</w:t>
      </w:r>
    </w:p>
    <w:p>
      <w:pPr>
        <w:spacing w:after="0" w:line="11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including a German branch of a foreign enterprise, or a German securities trading enterprise or a German securities trading bank (each as defined in the German Banking Act (</w:t>
      </w:r>
      <w:r>
        <w:rPr>
          <w:rFonts w:ascii="Arial" w:cs="Arial" w:eastAsia="Arial" w:hAnsi="Arial"/>
          <w:sz w:val="11"/>
          <w:szCs w:val="11"/>
          <w:i w:val="1"/>
          <w:iCs w:val="1"/>
          <w:color w:val="auto"/>
        </w:rPr>
        <w:t>Kreditwesengesetz</w:t>
      </w:r>
      <w:r>
        <w:rPr>
          <w:rFonts w:ascii="Arial" w:cs="Arial" w:eastAsia="Arial" w:hAnsi="Arial"/>
          <w:sz w:val="11"/>
          <w:szCs w:val="11"/>
          <w:color w:val="auto"/>
        </w:rPr>
        <w:t>))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dated January 18, 2016, reference number IV C 1-S2252/08/10004:017 (published in the German Federal Tax Gazette 2016 vol. I pp. 85), as amended from time to time,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that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w:t>
      </w:r>
    </w:p>
    <w:p>
      <w:pPr>
        <w:spacing w:after="0" w:line="121" w:lineRule="exact"/>
        <w:rPr>
          <w:sz w:val="20"/>
          <w:szCs w:val="20"/>
          <w:color w:val="auto"/>
        </w:rPr>
      </w:pPr>
    </w:p>
    <w:p>
      <w:pPr>
        <w:ind w:left="1980" w:right="879" w:firstLine="294"/>
        <w:spacing w:after="0" w:line="303" w:lineRule="auto"/>
        <w:rPr>
          <w:sz w:val="20"/>
          <w:szCs w:val="20"/>
          <w:color w:val="auto"/>
        </w:rPr>
      </w:pPr>
      <w:r>
        <w:rPr>
          <w:rFonts w:ascii="Arial" w:cs="Arial" w:eastAsia="Arial" w:hAnsi="Arial"/>
          <w:sz w:val="10"/>
          <w:szCs w:val="10"/>
          <w:b w:val="1"/>
          <w:bCs w:val="1"/>
          <w:i w:val="1"/>
          <w:iCs w:val="1"/>
          <w:color w:val="auto"/>
        </w:rPr>
        <w:t xml:space="preserve">Withholding Tax Refund for U.S. Treaty Beneficiaries. </w:t>
      </w:r>
      <w:r>
        <w:rPr>
          <w:rFonts w:ascii="Arial" w:cs="Arial" w:eastAsia="Arial" w:hAnsi="Arial"/>
          <w:sz w:val="10"/>
          <w:szCs w:val="10"/>
          <w:color w:val="auto"/>
        </w:rPr>
        <w:t>U.S. treaty beneficiaries are generally eligible for treaty benefits under the Treaty (as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described above in Section “—Taxation of Non-German Resident U.S. Holders”). Accordingly, U.S. treaty beneficiaries are entitled to claim a refund of the portion of the otherwise applicable 26.375% German withholding tax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w:t>
      </w:r>
    </w:p>
    <w:p>
      <w:pPr>
        <w:spacing w:after="0" w:line="1" w:lineRule="exact"/>
        <w:rPr>
          <w:sz w:val="20"/>
          <w:szCs w:val="20"/>
          <w:color w:val="auto"/>
        </w:rPr>
      </w:pPr>
    </w:p>
    <w:p>
      <w:pPr>
        <w:ind w:left="1980" w:right="859" w:hanging="8"/>
        <w:spacing w:after="0" w:line="251" w:lineRule="auto"/>
        <w:tabs>
          <w:tab w:leader="none" w:pos="2123" w:val="left"/>
        </w:tabs>
        <w:numPr>
          <w:ilvl w:val="0"/>
          <w:numId w:val="74"/>
        </w:numPr>
        <w:rPr>
          <w:rFonts w:ascii="Arial" w:cs="Arial" w:eastAsia="Arial" w:hAnsi="Arial"/>
          <w:sz w:val="12"/>
          <w:szCs w:val="12"/>
          <w:color w:val="auto"/>
        </w:rPr>
      </w:pPr>
      <w:r>
        <w:rPr>
          <w:rFonts w:ascii="Arial" w:cs="Arial" w:eastAsia="Arial" w:hAnsi="Arial"/>
          <w:sz w:val="12"/>
          <w:szCs w:val="12"/>
          <w:color w:val="auto"/>
        </w:rPr>
        <w:t>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2"/>
          <w:szCs w:val="12"/>
          <w:i w:val="1"/>
          <w:iCs w:val="1"/>
          <w:color w:val="auto"/>
        </w:rPr>
        <w:t>Zufluss</w:t>
      </w:r>
      <w:r>
        <w:rPr>
          <w:rFonts w:ascii="Arial" w:cs="Arial" w:eastAsia="Arial" w:hAnsi="Arial"/>
          <w:sz w:val="12"/>
          <w:szCs w:val="12"/>
          <w:color w:val="auto"/>
        </w:rPr>
        <w:t>) of the dividends. In addition to the aforementioned restrictions, in particular, pursuant to a decree published by the German Federal Ministry of Finance dated July 17, 2017 (</w:t>
      </w:r>
      <w:r>
        <w:rPr>
          <w:rFonts w:ascii="Arial" w:cs="Arial" w:eastAsia="Arial" w:hAnsi="Arial"/>
          <w:sz w:val="12"/>
          <w:szCs w:val="12"/>
          <w:i w:val="1"/>
          <w:iCs w:val="1"/>
          <w:color w:val="auto"/>
        </w:rPr>
        <w:t>BMF,</w:t>
      </w:r>
      <w:r>
        <w:rPr>
          <w:rFonts w:ascii="Arial" w:cs="Arial" w:eastAsia="Arial" w:hAnsi="Arial"/>
          <w:sz w:val="12"/>
          <w:szCs w:val="12"/>
          <w:color w:val="auto"/>
        </w:rPr>
        <w:t xml:space="preserve"> </w:t>
      </w:r>
      <w:r>
        <w:rPr>
          <w:rFonts w:ascii="Arial" w:cs="Arial" w:eastAsia="Arial" w:hAnsi="Arial"/>
          <w:sz w:val="12"/>
          <w:szCs w:val="12"/>
          <w:i w:val="1"/>
          <w:iCs w:val="1"/>
          <w:color w:val="auto"/>
        </w:rPr>
        <w:t>Schreiben vom 17.7.2017 – IV C 1 – S 2252/15/10030:05, DOK 2017/0614356</w:t>
      </w:r>
      <w:r>
        <w:rPr>
          <w:rFonts w:ascii="Arial" w:cs="Arial" w:eastAsia="Arial" w:hAnsi="Arial"/>
          <w:sz w:val="12"/>
          <w:szCs w:val="12"/>
          <w:color w:val="auto"/>
        </w:rPr>
        <w:t>), as amended, the withholding tax credit may also be denied as an anti-abuse measure.</w:t>
      </w:r>
    </w:p>
    <w:p>
      <w:pPr>
        <w:spacing w:after="0" w:line="132" w:lineRule="exact"/>
        <w:rPr>
          <w:sz w:val="20"/>
          <w:szCs w:val="20"/>
          <w:color w:val="auto"/>
        </w:rPr>
      </w:pPr>
    </w:p>
    <w:p>
      <w:pPr>
        <w:ind w:left="1980" w:right="1119" w:firstLine="294"/>
        <w:spacing w:after="0" w:line="263" w:lineRule="auto"/>
        <w:rPr>
          <w:sz w:val="20"/>
          <w:szCs w:val="20"/>
          <w:color w:val="auto"/>
        </w:rPr>
      </w:pPr>
      <w:r>
        <w:rPr>
          <w:rFonts w:ascii="Arial" w:cs="Arial" w:eastAsia="Arial" w:hAnsi="Arial"/>
          <w:sz w:val="12"/>
          <w:szCs w:val="12"/>
          <w:color w:val="auto"/>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155</w:t>
      </w:r>
    </w:p>
    <w:p>
      <w:pPr>
        <w:sectPr>
          <w:pgSz w:w="11900" w:h="16838" w:orient="portrait"/>
          <w:cols w:equalWidth="0" w:num="1">
            <w:col w:w="10159"/>
          </w:cols>
          <w:pgMar w:left="300" w:top="354" w:right="1440" w:bottom="1440" w:gutter="0" w:footer="0" w:header="0"/>
        </w:sectPr>
      </w:pPr>
    </w:p>
    <w:bookmarkStart w:id="166" w:name="page167"/>
    <w:bookmarkEnd w:id="1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Einkommensteuergesetz</w:t>
      </w:r>
      <w:r>
        <w:rPr>
          <w:rFonts w:ascii="Arial" w:cs="Arial" w:eastAsia="Arial" w:hAnsi="Arial"/>
          <w:sz w:val="11"/>
          <w:szCs w:val="11"/>
          <w:color w:val="auto"/>
        </w:rPr>
        <w:t>), as amended in June 2021. Pursuant to the recent amendment, a foreign company shall – irrespective of any double taxation treaties – not be entitled to relief from capital gains tax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which does not fall under the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w:t>
      </w:r>
    </w:p>
    <w:p>
      <w:pPr>
        <w:spacing w:after="0" w:line="117"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Due to the legal structure of the ADSs, only limited guidance of the German tax authorities exists on the practical application of this procedure with respect to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Taxation of Holders Tax Resident in Germany</w:t>
      </w:r>
    </w:p>
    <w:p>
      <w:pPr>
        <w:spacing w:after="0" w:line="150"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color w:val="auto"/>
        </w:rPr>
        <w:t>This subsection provides an overview of general taxation principles applicable to the holders of ADSs who are tax resident in Germany. A holder is a German tax resident if, in case of an individual, he or she maintains a residence (</w:t>
      </w:r>
      <w:r>
        <w:rPr>
          <w:rFonts w:ascii="Arial" w:cs="Arial" w:eastAsia="Arial" w:hAnsi="Arial"/>
          <w:sz w:val="11"/>
          <w:szCs w:val="11"/>
          <w:i w:val="1"/>
          <w:iCs w:val="1"/>
          <w:color w:val="auto"/>
        </w:rPr>
        <w:t>Wohnsitz</w:t>
      </w:r>
      <w:r>
        <w:rPr>
          <w:rFonts w:ascii="Arial" w:cs="Arial" w:eastAsia="Arial" w:hAnsi="Arial"/>
          <w:sz w:val="11"/>
          <w:szCs w:val="11"/>
          <w:color w:val="auto"/>
        </w:rPr>
        <w:t>) or his or her habitual abode (</w:t>
      </w:r>
      <w:r>
        <w:rPr>
          <w:rFonts w:ascii="Arial" w:cs="Arial" w:eastAsia="Arial" w:hAnsi="Arial"/>
          <w:sz w:val="11"/>
          <w:szCs w:val="11"/>
          <w:i w:val="1"/>
          <w:iCs w:val="1"/>
          <w:color w:val="auto"/>
        </w:rPr>
        <w:t>gewöhnlicher Aufenthalt</w:t>
      </w:r>
      <w:r>
        <w:rPr>
          <w:rFonts w:ascii="Arial" w:cs="Arial" w:eastAsia="Arial" w:hAnsi="Arial"/>
          <w:sz w:val="11"/>
          <w:szCs w:val="11"/>
          <w:color w:val="auto"/>
        </w:rPr>
        <w:t>) in Germany or if, in case of a corporation, it has its place of central management (</w:t>
      </w:r>
      <w:r>
        <w:rPr>
          <w:rFonts w:ascii="Arial" w:cs="Arial" w:eastAsia="Arial" w:hAnsi="Arial"/>
          <w:sz w:val="11"/>
          <w:szCs w:val="11"/>
          <w:i w:val="1"/>
          <w:iCs w:val="1"/>
          <w:color w:val="auto"/>
        </w:rPr>
        <w:t>Geschäftsleitung</w:t>
      </w:r>
      <w:r>
        <w:rPr>
          <w:rFonts w:ascii="Arial" w:cs="Arial" w:eastAsia="Arial" w:hAnsi="Arial"/>
          <w:sz w:val="11"/>
          <w:szCs w:val="11"/>
          <w:color w:val="auto"/>
        </w:rPr>
        <w:t>) or a statutory seat (</w:t>
      </w:r>
      <w:r>
        <w:rPr>
          <w:rFonts w:ascii="Arial" w:cs="Arial" w:eastAsia="Arial" w:hAnsi="Arial"/>
          <w:sz w:val="11"/>
          <w:szCs w:val="11"/>
          <w:i w:val="1"/>
          <w:iCs w:val="1"/>
          <w:color w:val="auto"/>
        </w:rPr>
        <w:t>Sitz</w:t>
      </w:r>
      <w:r>
        <w:rPr>
          <w:rFonts w:ascii="Arial" w:cs="Arial" w:eastAsia="Arial" w:hAnsi="Arial"/>
          <w:sz w:val="11"/>
          <w:szCs w:val="11"/>
          <w:color w:val="auto"/>
        </w:rPr>
        <w:t>) in Germany.</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German dividend and capital gains taxation rules applicable to German tax residents require a distinction between ADSs held as private assets (</w:t>
      </w:r>
      <w:r>
        <w:rPr>
          <w:rFonts w:ascii="Arial" w:cs="Arial" w:eastAsia="Arial" w:hAnsi="Arial"/>
          <w:sz w:val="12"/>
          <w:szCs w:val="12"/>
          <w:i w:val="1"/>
          <w:iCs w:val="1"/>
          <w:color w:val="auto"/>
        </w:rPr>
        <w:t>Privatvermögen</w:t>
      </w:r>
      <w:r>
        <w:rPr>
          <w:rFonts w:ascii="Arial" w:cs="Arial" w:eastAsia="Arial" w:hAnsi="Arial"/>
          <w:sz w:val="12"/>
          <w:szCs w:val="12"/>
          <w:color w:val="auto"/>
        </w:rPr>
        <w:t>) and ADSs held as business assets (</w:t>
      </w:r>
      <w:r>
        <w:rPr>
          <w:rFonts w:ascii="Arial" w:cs="Arial" w:eastAsia="Arial" w:hAnsi="Arial"/>
          <w:sz w:val="12"/>
          <w:szCs w:val="12"/>
          <w:i w:val="1"/>
          <w:iCs w:val="1"/>
          <w:color w:val="auto"/>
        </w:rPr>
        <w:t>Betriebsvermögen</w:t>
      </w:r>
      <w:r>
        <w:rPr>
          <w:rFonts w:ascii="Arial" w:cs="Arial" w:eastAsia="Arial" w:hAnsi="Arial"/>
          <w:sz w:val="12"/>
          <w:szCs w:val="12"/>
          <w:color w:val="auto"/>
        </w:rPr>
        <w:t>).</w:t>
      </w:r>
    </w:p>
    <w:p>
      <w:pPr>
        <w:spacing w:after="0" w:line="115"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b w:val="1"/>
          <w:bCs w:val="1"/>
          <w:i w:val="1"/>
          <w:iCs w:val="1"/>
          <w:color w:val="auto"/>
        </w:rPr>
        <w:t>ADSs held as Private Assets (Privatvermögen)</w:t>
      </w:r>
      <w:r>
        <w:rPr>
          <w:rFonts w:ascii="Arial" w:cs="Arial" w:eastAsia="Arial" w:hAnsi="Arial"/>
          <w:sz w:val="11"/>
          <w:szCs w:val="11"/>
          <w:color w:val="auto"/>
        </w:rPr>
        <w:t>. If ADSs are held as private assets by a German tax resident individual, dividends and capital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gains are taxed as capital income (</w:t>
      </w:r>
      <w:r>
        <w:rPr>
          <w:rFonts w:ascii="Arial" w:cs="Arial" w:eastAsia="Arial" w:hAnsi="Arial"/>
          <w:sz w:val="11"/>
          <w:szCs w:val="11"/>
          <w:i w:val="1"/>
          <w:iCs w:val="1"/>
          <w:color w:val="auto"/>
        </w:rPr>
        <w:t>Einkünfte aus Kapitalvermögen</w:t>
      </w:r>
      <w:r>
        <w:rPr>
          <w:rFonts w:ascii="Arial" w:cs="Arial" w:eastAsia="Arial" w:hAnsi="Arial"/>
          <w:sz w:val="11"/>
          <w:szCs w:val="11"/>
          <w:color w:val="auto"/>
        </w:rPr>
        <w:t>) and are principally subject to 25% German flat rate income tax on capital income (</w:t>
      </w:r>
      <w:r>
        <w:rPr>
          <w:rFonts w:ascii="Arial" w:cs="Arial" w:eastAsia="Arial" w:hAnsi="Arial"/>
          <w:sz w:val="11"/>
          <w:szCs w:val="11"/>
          <w:i w:val="1"/>
          <w:iCs w:val="1"/>
          <w:color w:val="auto"/>
        </w:rPr>
        <w:t>Abgeltungsteuer</w:t>
      </w:r>
      <w:r>
        <w:rPr>
          <w:rFonts w:ascii="Arial" w:cs="Arial" w:eastAsia="Arial" w:hAnsi="Arial"/>
          <w:sz w:val="11"/>
          <w:szCs w:val="11"/>
          <w:color w:val="auto"/>
        </w:rPr>
        <w:t>) (plus a 5.5%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thereon, resulting in an aggregate rate of 26.375% and plus church tax (</w:t>
      </w:r>
      <w:r>
        <w:rPr>
          <w:rFonts w:ascii="Arial" w:cs="Arial" w:eastAsia="Arial" w:hAnsi="Arial"/>
          <w:sz w:val="11"/>
          <w:szCs w:val="11"/>
          <w:i w:val="1"/>
          <w:iCs w:val="1"/>
          <w:color w:val="auto"/>
        </w:rPr>
        <w:t>Kirchensteuer</w:t>
      </w:r>
      <w:r>
        <w:rPr>
          <w:rFonts w:ascii="Arial" w:cs="Arial" w:eastAsia="Arial" w:hAnsi="Arial"/>
          <w:sz w:val="11"/>
          <w:szCs w:val="11"/>
          <w:color w:val="auto"/>
        </w:rPr>
        <w:t>), if applicable), which is generally levied in the form of withholding tax on capital income (</w:t>
      </w:r>
      <w:r>
        <w:rPr>
          <w:rFonts w:ascii="Arial" w:cs="Arial" w:eastAsia="Arial" w:hAnsi="Arial"/>
          <w:sz w:val="11"/>
          <w:szCs w:val="11"/>
          <w:i w:val="1"/>
          <w:iCs w:val="1"/>
          <w:color w:val="auto"/>
        </w:rPr>
        <w:t>Kapitalertragsteuer</w:t>
      </w:r>
      <w:r>
        <w:rPr>
          <w:rFonts w:ascii="Arial" w:cs="Arial" w:eastAsia="Arial" w:hAnsi="Arial"/>
          <w:sz w:val="11"/>
          <w:szCs w:val="11"/>
          <w:color w:val="auto"/>
        </w:rPr>
        <w:t>).</w:t>
      </w:r>
    </w:p>
    <w:p>
      <w:pPr>
        <w:spacing w:after="0" w:line="111" w:lineRule="exact"/>
        <w:rPr>
          <w:sz w:val="20"/>
          <w:szCs w:val="20"/>
          <w:color w:val="auto"/>
        </w:rPr>
      </w:pPr>
    </w:p>
    <w:p>
      <w:pPr>
        <w:ind w:left="1980" w:right="959" w:firstLine="294"/>
        <w:spacing w:after="0" w:line="254" w:lineRule="auto"/>
        <w:rPr>
          <w:sz w:val="20"/>
          <w:szCs w:val="20"/>
          <w:color w:val="auto"/>
        </w:rPr>
      </w:pPr>
      <w:r>
        <w:rPr>
          <w:rFonts w:ascii="Arial" w:cs="Arial" w:eastAsia="Arial" w:hAnsi="Arial"/>
          <w:sz w:val="12"/>
          <w:szCs w:val="12"/>
          <w:color w:val="auto"/>
        </w:rPr>
        <w:t>The holder is taxed on gross capital income (including dividends or gains with respect to ADSs), less the annual saver’s tax-free allowance (</w:t>
      </w:r>
      <w:r>
        <w:rPr>
          <w:rFonts w:ascii="Arial" w:cs="Arial" w:eastAsia="Arial" w:hAnsi="Arial"/>
          <w:sz w:val="12"/>
          <w:szCs w:val="12"/>
          <w:i w:val="1"/>
          <w:iCs w:val="1"/>
          <w:color w:val="auto"/>
        </w:rPr>
        <w:t>Sparer-Pauschbetrag</w:t>
      </w:r>
      <w:r>
        <w:rPr>
          <w:rFonts w:ascii="Arial" w:cs="Arial" w:eastAsia="Arial" w:hAnsi="Arial"/>
          <w:sz w:val="12"/>
          <w:szCs w:val="12"/>
          <w:color w:val="auto"/>
        </w:rPr>
        <w:t>) of currently €801 for an individual or €1,602 for married couples and registered civil unions (</w:t>
      </w:r>
      <w:r>
        <w:rPr>
          <w:rFonts w:ascii="Arial" w:cs="Arial" w:eastAsia="Arial" w:hAnsi="Arial"/>
          <w:sz w:val="12"/>
          <w:szCs w:val="12"/>
          <w:i w:val="1"/>
          <w:iCs w:val="1"/>
          <w:color w:val="auto"/>
        </w:rPr>
        <w:t>eingetragene</w:t>
      </w:r>
      <w:r>
        <w:rPr>
          <w:rFonts w:ascii="Arial" w:cs="Arial" w:eastAsia="Arial" w:hAnsi="Arial"/>
          <w:sz w:val="12"/>
          <w:szCs w:val="12"/>
          <w:color w:val="auto"/>
        </w:rPr>
        <w:t xml:space="preserve"> </w:t>
      </w:r>
      <w:r>
        <w:rPr>
          <w:rFonts w:ascii="Arial" w:cs="Arial" w:eastAsia="Arial" w:hAnsi="Arial"/>
          <w:sz w:val="12"/>
          <w:szCs w:val="12"/>
          <w:i w:val="1"/>
          <w:iCs w:val="1"/>
          <w:color w:val="auto"/>
        </w:rPr>
        <w:t>Lebenspartnerschaften</w:t>
      </w:r>
      <w:r>
        <w:rPr>
          <w:rFonts w:ascii="Arial" w:cs="Arial" w:eastAsia="Arial" w:hAnsi="Arial"/>
          <w:sz w:val="12"/>
          <w:szCs w:val="12"/>
          <w:color w:val="auto"/>
        </w:rPr>
        <w:t>) filing jointly. The deduction of actual expenses relating to the capital income (including dividends or gains with respect to</w:t>
      </w:r>
      <w:r>
        <w:rPr>
          <w:rFonts w:ascii="Arial" w:cs="Arial" w:eastAsia="Arial" w:hAnsi="Arial"/>
          <w:sz w:val="12"/>
          <w:szCs w:val="12"/>
          <w:i w:val="1"/>
          <w:iCs w:val="1"/>
          <w:color w:val="auto"/>
        </w:rPr>
        <w:t xml:space="preserve"> </w:t>
      </w:r>
      <w:r>
        <w:rPr>
          <w:rFonts w:ascii="Arial" w:cs="Arial" w:eastAsia="Arial" w:hAnsi="Arial"/>
          <w:sz w:val="12"/>
          <w:szCs w:val="12"/>
          <w:color w:val="auto"/>
        </w:rPr>
        <w:t>ADSs)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spacing w:after="0" w:line="130"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Losses resulting from the disposal of ADSs can only be offset with capital gains from the disposition of shares of corporations (</w:t>
      </w:r>
      <w:r>
        <w:rPr>
          <w:rFonts w:ascii="Arial" w:cs="Arial" w:eastAsia="Arial" w:hAnsi="Arial"/>
          <w:sz w:val="11"/>
          <w:szCs w:val="11"/>
          <w:i w:val="1"/>
          <w:iCs w:val="1"/>
          <w:color w:val="auto"/>
        </w:rPr>
        <w:t>Aktien</w:t>
      </w:r>
      <w:r>
        <w:rPr>
          <w:rFonts w:ascii="Arial" w:cs="Arial" w:eastAsia="Arial" w:hAnsi="Arial"/>
          <w:sz w:val="11"/>
          <w:szCs w:val="11"/>
          <w:color w:val="auto"/>
        </w:rPr>
        <w:t>) and other ADSs treated similar to shares. However, the Federal Fiscal Court (</w:t>
      </w:r>
      <w:r>
        <w:rPr>
          <w:rFonts w:ascii="Arial" w:cs="Arial" w:eastAsia="Arial" w:hAnsi="Arial"/>
          <w:sz w:val="11"/>
          <w:szCs w:val="11"/>
          <w:i w:val="1"/>
          <w:iCs w:val="1"/>
          <w:color w:val="auto"/>
        </w:rPr>
        <w:t>Bundesfinanzhof</w:t>
      </w:r>
      <w:r>
        <w:rPr>
          <w:rFonts w:ascii="Arial" w:cs="Arial" w:eastAsia="Arial" w:hAnsi="Arial"/>
          <w:sz w:val="11"/>
          <w:szCs w:val="11"/>
          <w:color w:val="auto"/>
        </w:rPr>
        <w:t>) recently decided that the limitation on the offset possibilities constitutes a violation of the equal protection clause under the German constitution and submitted the legal question to the Federal Constitutional Court (</w:t>
      </w:r>
      <w:r>
        <w:rPr>
          <w:rFonts w:ascii="Arial" w:cs="Arial" w:eastAsia="Arial" w:hAnsi="Arial"/>
          <w:sz w:val="11"/>
          <w:szCs w:val="11"/>
          <w:i w:val="1"/>
          <w:iCs w:val="1"/>
          <w:color w:val="auto"/>
        </w:rPr>
        <w:t>Bundesverfassungsgericht</w:t>
      </w:r>
      <w:r>
        <w:rPr>
          <w:rFonts w:ascii="Arial" w:cs="Arial" w:eastAsia="Arial" w:hAnsi="Arial"/>
          <w:sz w:val="11"/>
          <w:szCs w:val="11"/>
          <w:color w:val="auto"/>
        </w:rPr>
        <w:t>) for decision on its constitutionality; the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156</w:t>
      </w:r>
    </w:p>
    <w:p>
      <w:pPr>
        <w:sectPr>
          <w:pgSz w:w="11900" w:h="16838" w:orient="portrait"/>
          <w:cols w:equalWidth="0" w:num="1">
            <w:col w:w="10159"/>
          </w:cols>
          <w:pgMar w:left="300" w:top="354" w:right="1440" w:bottom="1440" w:gutter="0" w:footer="0" w:header="0"/>
        </w:sectPr>
      </w:pPr>
    </w:p>
    <w:bookmarkStart w:id="167" w:name="page168"/>
    <w:bookmarkEnd w:id="1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resulting from the disposition are taxable at the holder’s personal progressive income tax rate (plus 5.5% solidarity surcharge and church tax, if applicable, thereon). Correspondingly, only 60% of any capital losses and disposal costs are tax deductible.</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b w:val="1"/>
          <w:bCs w:val="1"/>
          <w:i w:val="1"/>
          <w:iCs w:val="1"/>
          <w:color w:val="auto"/>
        </w:rPr>
        <w:t>ADSs held as Business Assets (Betriebsvermögen)</w:t>
      </w:r>
      <w:r>
        <w:rPr>
          <w:rFonts w:ascii="Arial" w:cs="Arial" w:eastAsia="Arial" w:hAnsi="Arial"/>
          <w:sz w:val="11"/>
          <w:szCs w:val="11"/>
          <w:color w:val="auto"/>
        </w:rPr>
        <w:t>. In case the ADSs are held as business assets, the actual taxation depends on the legal form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holder (i.e., whether the holder is a corporation or an individual). Irrespective of the legal form of the holder, dividends are generally subject to the aggregate withholding tax rate of 26.375%, unless the holder of the ADSs is an investment fund (</w:t>
      </w:r>
      <w:r>
        <w:rPr>
          <w:rFonts w:ascii="Arial" w:cs="Arial" w:eastAsia="Arial" w:hAnsi="Arial"/>
          <w:sz w:val="11"/>
          <w:szCs w:val="11"/>
          <w:i w:val="1"/>
          <w:iCs w:val="1"/>
          <w:color w:val="auto"/>
        </w:rPr>
        <w:t>Investmentfonds</w:t>
      </w:r>
      <w:r>
        <w:rPr>
          <w:rFonts w:ascii="Arial" w:cs="Arial" w:eastAsia="Arial" w:hAnsi="Arial"/>
          <w:sz w:val="11"/>
          <w:szCs w:val="11"/>
          <w:color w:val="auto"/>
        </w:rPr>
        <w:t>) subject to German investment taxation. The tax actually withheld is credited against the respective holder’s final (corporate or personal)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17, 2017 (</w:t>
      </w:r>
      <w:r>
        <w:rPr>
          <w:rFonts w:ascii="Arial" w:cs="Arial" w:eastAsia="Arial" w:hAnsi="Arial"/>
          <w:sz w:val="11"/>
          <w:szCs w:val="11"/>
          <w:i w:val="1"/>
          <w:iCs w:val="1"/>
          <w:color w:val="auto"/>
        </w:rPr>
        <w:t>BMF, Schreiben vom 17.7.2017 – IV C 1 – S 2252/15/10030:05, DOK 2017/0614356</w:t>
      </w:r>
      <w:r>
        <w:rPr>
          <w:rFonts w:ascii="Arial" w:cs="Arial" w:eastAsia="Arial" w:hAnsi="Arial"/>
          <w:sz w:val="11"/>
          <w:szCs w:val="11"/>
          <w:color w:val="auto"/>
        </w:rPr>
        <w:t>), as amended, the withholding tax credit may also be denied as an anti-abuse measure.</w:t>
      </w:r>
    </w:p>
    <w:p>
      <w:pPr>
        <w:spacing w:after="0" w:line="116"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To the extent the amount withheld exceeds the (corporate or personal) income tax liability, the withholding tax will be refunded, provided that certain requirements are met.</w:t>
      </w:r>
    </w:p>
    <w:p>
      <w:pPr>
        <w:spacing w:after="0" w:line="115"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 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Arial" w:cs="Arial" w:eastAsia="Arial" w:hAnsi="Arial"/>
          <w:sz w:val="11"/>
          <w:szCs w:val="11"/>
          <w:i w:val="1"/>
          <w:iCs w:val="1"/>
          <w:color w:val="auto"/>
        </w:rPr>
        <w:t>Gewerbesteuer</w:t>
      </w:r>
      <w:r>
        <w:rPr>
          <w:rFonts w:ascii="Arial" w:cs="Arial" w:eastAsia="Arial" w:hAnsi="Arial"/>
          <w:sz w:val="11"/>
          <w:szCs w:val="11"/>
          <w:color w:val="auto"/>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 income and trade tax purposes except if certain requirements are met. This concerns in particular expenses which are related to the disposition of ADSs.</w:t>
      </w:r>
    </w:p>
    <w:p>
      <w:pPr>
        <w:spacing w:after="0" w:line="115"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With regard to individuals holding ADSs as business assets, 60% of dividends and capital gains are taxed at the personal progressive income tax rate of the holder of ADSs (plus 5.5% solidarity surcharge and church tax, if applicable, thereon). Correspondingly, only 60% of business expenses related to the respective income are principally deductible for income tax purposes. Furthermore, trade tax may apply, provided the ADSs are held as assets of a German trade or business (</w:t>
      </w:r>
      <w:r>
        <w:rPr>
          <w:rFonts w:ascii="Arial" w:cs="Arial" w:eastAsia="Arial" w:hAnsi="Arial"/>
          <w:sz w:val="12"/>
          <w:szCs w:val="12"/>
          <w:i w:val="1"/>
          <w:iCs w:val="1"/>
          <w:color w:val="auto"/>
        </w:rPr>
        <w:t>Gewerbebetrieb</w:t>
      </w:r>
      <w:r>
        <w:rPr>
          <w:rFonts w:ascii="Arial" w:cs="Arial" w:eastAsia="Arial" w:hAnsi="Arial"/>
          <w:sz w:val="12"/>
          <w:szCs w:val="12"/>
          <w:color w:val="auto"/>
        </w:rPr>
        <w:t>) of the holder, but the resulting trade tax might be credited against the income tax liability of the holder pursuant to a lump sum procedure.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157</w:t>
      </w:r>
    </w:p>
    <w:p>
      <w:pPr>
        <w:sectPr>
          <w:pgSz w:w="11900" w:h="16838" w:orient="portrait"/>
          <w:cols w:equalWidth="0" w:num="1">
            <w:col w:w="10159"/>
          </w:cols>
          <w:pgMar w:left="300" w:top="354" w:right="1440" w:bottom="1440" w:gutter="0" w:footer="0" w:header="0"/>
        </w:sectPr>
      </w:pPr>
    </w:p>
    <w:bookmarkStart w:id="168" w:name="page169"/>
    <w:bookmarkEnd w:id="1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taxation rules apply to German tax resident credit institutions (</w:t>
      </w:r>
      <w:r>
        <w:rPr>
          <w:rFonts w:ascii="Arial" w:cs="Arial" w:eastAsia="Arial" w:hAnsi="Arial"/>
          <w:sz w:val="12"/>
          <w:szCs w:val="12"/>
          <w:i w:val="1"/>
          <w:iCs w:val="1"/>
          <w:color w:val="auto"/>
        </w:rPr>
        <w:t>Kreditinstitute</w:t>
      </w:r>
      <w:r>
        <w:rPr>
          <w:rFonts w:ascii="Arial" w:cs="Arial" w:eastAsia="Arial" w:hAnsi="Arial"/>
          <w:sz w:val="12"/>
          <w:szCs w:val="12"/>
          <w:color w:val="auto"/>
        </w:rPr>
        <w:t>), financial services institutions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Finanzdienstleistungsinstitute</w:t>
      </w:r>
      <w:r>
        <w:rPr>
          <w:rFonts w:ascii="Arial" w:cs="Arial" w:eastAsia="Arial" w:hAnsi="Arial"/>
          <w:sz w:val="12"/>
          <w:szCs w:val="12"/>
          <w:color w:val="auto"/>
        </w:rPr>
        <w:t>), financial enterprises (</w:t>
      </w:r>
      <w:r>
        <w:rPr>
          <w:rFonts w:ascii="Arial" w:cs="Arial" w:eastAsia="Arial" w:hAnsi="Arial"/>
          <w:sz w:val="12"/>
          <w:szCs w:val="12"/>
          <w:i w:val="1"/>
          <w:iCs w:val="1"/>
          <w:color w:val="auto"/>
        </w:rPr>
        <w:t>Finanzunternehmen</w:t>
      </w:r>
      <w:r>
        <w:rPr>
          <w:rFonts w:ascii="Arial" w:cs="Arial" w:eastAsia="Arial" w:hAnsi="Arial"/>
          <w:sz w:val="12"/>
          <w:szCs w:val="12"/>
          <w:color w:val="auto"/>
        </w:rPr>
        <w:t>), life insurance and health insurance companies (</w:t>
      </w:r>
      <w:r>
        <w:rPr>
          <w:rFonts w:ascii="Arial" w:cs="Arial" w:eastAsia="Arial" w:hAnsi="Arial"/>
          <w:sz w:val="12"/>
          <w:szCs w:val="12"/>
          <w:i w:val="1"/>
          <w:iCs w:val="1"/>
          <w:color w:val="auto"/>
        </w:rPr>
        <w:t>Lebens- und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Krankenversicherungsunternehmen</w:t>
      </w:r>
      <w:r>
        <w:rPr>
          <w:rFonts w:ascii="Arial" w:cs="Arial" w:eastAsia="Arial" w:hAnsi="Arial"/>
          <w:sz w:val="12"/>
          <w:szCs w:val="12"/>
          <w:color w:val="auto"/>
        </w:rPr>
        <w:t>), pension funds (</w:t>
      </w:r>
      <w:r>
        <w:rPr>
          <w:rFonts w:ascii="Arial" w:cs="Arial" w:eastAsia="Arial" w:hAnsi="Arial"/>
          <w:sz w:val="12"/>
          <w:szCs w:val="12"/>
          <w:i w:val="1"/>
          <w:iCs w:val="1"/>
          <w:color w:val="auto"/>
        </w:rPr>
        <w:t>Pensionsfonds</w:t>
      </w:r>
      <w:r>
        <w:rPr>
          <w:rFonts w:ascii="Arial" w:cs="Arial" w:eastAsia="Arial" w:hAnsi="Arial"/>
          <w:sz w:val="12"/>
          <w:szCs w:val="12"/>
          <w:color w:val="auto"/>
        </w:rPr>
        <w:t>) and investment funds (</w:t>
      </w:r>
      <w:r>
        <w:rPr>
          <w:rFonts w:ascii="Arial" w:cs="Arial" w:eastAsia="Arial" w:hAnsi="Arial"/>
          <w:sz w:val="12"/>
          <w:szCs w:val="12"/>
          <w:i w:val="1"/>
          <w:iCs w:val="1"/>
          <w:color w:val="auto"/>
        </w:rPr>
        <w:t>Investmentfonds</w:t>
      </w:r>
      <w:r>
        <w:rPr>
          <w:rFonts w:ascii="Arial" w:cs="Arial" w:eastAsia="Arial" w:hAnsi="Arial"/>
          <w:sz w:val="12"/>
          <w:szCs w:val="12"/>
          <w:color w:val="auto"/>
        </w:rPr>
        <w:t>).</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German Inheritance and Gift Tax (Erbschaft- und Schenkungsteuer)</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Generally, a transfer of ADSs by a holder at death or by way of gift will be subject to German gift or inheritance tax, respectively,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or ordinary shares are part of the business property of a permanent establishment or a fixed base in Germany; or (iii) the ADSs or ordinary shares subject to such transfer form part of a portfolio that represents 10% or more of the registered share capital of the company and has been held, directly or indirectly, by the decedent or donor.</w:t>
      </w:r>
    </w:p>
    <w:p>
      <w:pPr>
        <w:spacing w:after="0" w:line="128"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 xml:space="preserve">However, the right of Germany to impose gift or inheritance tax on a non-resident shareholder may be limited by an applicable estate tax treaty. In the case of a U.S. resident holder, a transfer of ADSs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Arial" w:cs="Arial" w:eastAsia="Arial" w:hAnsi="Arial"/>
          <w:sz w:val="11"/>
          <w:szCs w:val="11"/>
          <w:i w:val="1"/>
          <w:iCs w:val="1"/>
          <w:color w:val="auto"/>
        </w:rPr>
        <w:t>Abkommen zwischen der Bundesrepublik</w:t>
      </w:r>
      <w:r>
        <w:rPr>
          <w:rFonts w:ascii="Arial" w:cs="Arial" w:eastAsia="Arial" w:hAnsi="Arial"/>
          <w:sz w:val="11"/>
          <w:szCs w:val="11"/>
          <w:color w:val="auto"/>
        </w:rPr>
        <w:t xml:space="preserve"> </w:t>
      </w:r>
      <w:r>
        <w:rPr>
          <w:rFonts w:ascii="Arial" w:cs="Arial" w:eastAsia="Arial" w:hAnsi="Arial"/>
          <w:sz w:val="11"/>
          <w:szCs w:val="11"/>
          <w:i w:val="1"/>
          <w:iCs w:val="1"/>
          <w:color w:val="auto"/>
        </w:rPr>
        <w:t>Deutschland und den Vereinigten Staaten von Amerika zur Vermeidung der Doppelbesteuerung auf dem Gebiet der Nachlass-, Erbschaft- und Schenkungssteuern</w:t>
      </w:r>
      <w:r>
        <w:rPr>
          <w:rFonts w:ascii="Arial" w:cs="Arial" w:eastAsia="Arial" w:hAnsi="Arial"/>
          <w:sz w:val="11"/>
          <w:szCs w:val="11"/>
          <w:color w:val="auto"/>
        </w:rPr>
        <w:t>) as published on December 21, 2000 (the “Estate Tax Treaty”) provided the decedent or donor, or the heir, donee or other transferee</w:t>
      </w:r>
      <w:r>
        <w:rPr>
          <w:rFonts w:ascii="Arial" w:cs="Arial" w:eastAsia="Arial" w:hAnsi="Arial"/>
          <w:sz w:val="11"/>
          <w:szCs w:val="11"/>
          <w:i w:val="1"/>
          <w:iCs w:val="1"/>
          <w:color w:val="auto"/>
        </w:rPr>
        <w:t xml:space="preserve"> </w:t>
      </w:r>
      <w:r>
        <w:rPr>
          <w:rFonts w:ascii="Arial" w:cs="Arial" w:eastAsia="Arial" w:hAnsi="Arial"/>
          <w:sz w:val="11"/>
          <w:szCs w:val="11"/>
          <w:color w:val="auto"/>
        </w:rPr>
        <w:t>was not domiciled in Germany for purposes of the Estate Tax Treaty 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German Taxes</w:t>
      </w:r>
    </w:p>
    <w:p>
      <w:pPr>
        <w:spacing w:after="0" w:line="150" w:lineRule="exact"/>
        <w:rPr>
          <w:sz w:val="20"/>
          <w:szCs w:val="20"/>
          <w:color w:val="auto"/>
        </w:rPr>
      </w:pPr>
    </w:p>
    <w:p>
      <w:pPr>
        <w:ind w:left="1980" w:right="1019" w:firstLine="294"/>
        <w:spacing w:after="0" w:line="298" w:lineRule="auto"/>
        <w:rPr>
          <w:sz w:val="20"/>
          <w:szCs w:val="20"/>
          <w:color w:val="auto"/>
        </w:rPr>
      </w:pPr>
      <w:r>
        <w:rPr>
          <w:rFonts w:ascii="Arial" w:cs="Arial" w:eastAsia="Arial" w:hAnsi="Arial"/>
          <w:sz w:val="11"/>
          <w:szCs w:val="11"/>
          <w:color w:val="auto"/>
        </w:rPr>
        <w:t>There are currently no German net worth, transfer, stamp or other similar taxes that would apply to a U.S. holder on the acquisition, ownership, sale or other disposition of the ADSs. Certain member states of the European Union are considering introducing a financial transaction tax (</w:t>
      </w:r>
      <w:r>
        <w:rPr>
          <w:rFonts w:ascii="Arial" w:cs="Arial" w:eastAsia="Arial" w:hAnsi="Arial"/>
          <w:sz w:val="11"/>
          <w:szCs w:val="11"/>
          <w:i w:val="1"/>
          <w:iCs w:val="1"/>
          <w:color w:val="auto"/>
        </w:rPr>
        <w:t>Finanztransaktionssteuer</w:t>
      </w:r>
      <w:r>
        <w:rPr>
          <w:rFonts w:ascii="Arial" w:cs="Arial" w:eastAsia="Arial" w:hAnsi="Arial"/>
          <w:sz w:val="11"/>
          <w:szCs w:val="11"/>
          <w:color w:val="auto"/>
        </w:rPr>
        <w:t>) which, if and when introduced, may also be applicable on sales and/or transfer of ADS.</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Information and Reporting Requirements</w:t>
      </w:r>
    </w:p>
    <w:p>
      <w:pPr>
        <w:spacing w:after="0" w:line="150"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The Organization for Economic Co-Operation and Development released the Common Reporting Standard (“CRS”) designed to create a global standard for the automatic exchange of financial account information, similar to the information to be reported under FATCA.</w:t>
      </w:r>
    </w:p>
    <w:p>
      <w:pPr>
        <w:spacing w:after="0" w:line="92"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Under the CRS and legislation enacted in Germany to implement the CRS, generally certain information needs to be disclosed about investors in the shares, the ultimate beneficial owners and/or controllers, and their investment in and returns from the shares.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All prospective investors should consult with their own tax advisors regarding the tax consequences of their investment in the ADSs.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158</w:t>
      </w:r>
    </w:p>
    <w:p>
      <w:pPr>
        <w:sectPr>
          <w:pgSz w:w="11900" w:h="16838" w:orient="portrait"/>
          <w:cols w:equalWidth="0" w:num="1">
            <w:col w:w="10159"/>
          </w:cols>
          <w:pgMar w:left="300" w:top="354" w:right="1440" w:bottom="1440" w:gutter="0" w:footer="0" w:header="0"/>
        </w:sectPr>
      </w:pPr>
    </w:p>
    <w:bookmarkStart w:id="169" w:name="page170"/>
    <w:bookmarkEnd w:id="1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U.S. Taxation</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This section describes United States federal income tax considerations generally applicable to owning ADSs. It applies to you only if you acquire your ADSs in this offering and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spacing w:after="0" w:line="146" w:lineRule="exact"/>
        <w:rPr>
          <w:sz w:val="20"/>
          <w:szCs w:val="20"/>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broker or dealer in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trader in securities that elects to use a mark-to-market method of accounting for securities holdings,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tax-exempt organization or governmental organization,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tax-qualified retirement plan,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bank, insurance company or other financial institution,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real estate investment trust or regulated investment company,</w:t>
      </w:r>
    </w:p>
    <w:p>
      <w:pPr>
        <w:spacing w:after="0" w:line="168"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person that actually or constructively owns 10% or more of the combined voting power of our voting stock or of the total value of our stock,</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person that holds ADSs as part of a straddle or a hedging or conversion transaction,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person that purchases or sells ADSs as part of a wash sale for tax purposes,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U.S. holder (as defined below) whose functional currency is not the U.S. dollar,</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U.S. expatriate or former citizen or long-term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corporation that accumulates earnings to avoid U.S. federal income tax,</w:t>
      </w:r>
    </w:p>
    <w:p>
      <w:pPr>
        <w:spacing w:after="0" w:line="168"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an S corporation, partnership or other entity or arrangement treated as a partnership for U.S. federal income tax purposes (and investors therein), or</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person deemed to sell ADSs under the constructive sale provisions of the Code (as defined below).</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1"/>
          <w:szCs w:val="11"/>
          <w:i w:val="1"/>
          <w:iCs w:val="1"/>
          <w:color w:val="auto"/>
        </w:rPr>
        <w:t>Abkommen zwischen der Bundesrepublik Deutschland und den Vereinigten Staaten von Amerika</w:t>
      </w:r>
      <w:r>
        <w:rPr>
          <w:rFonts w:ascii="Arial" w:cs="Arial" w:eastAsia="Arial" w:hAnsi="Arial"/>
          <w:sz w:val="11"/>
          <w:szCs w:val="11"/>
          <w:color w:val="auto"/>
        </w:rPr>
        <w:t xml:space="preserve"> </w:t>
      </w:r>
      <w:r>
        <w:rPr>
          <w:rFonts w:ascii="Arial" w:cs="Arial" w:eastAsia="Arial" w:hAnsi="Arial"/>
          <w:sz w:val="11"/>
          <w:szCs w:val="11"/>
          <w:i w:val="1"/>
          <w:iCs w:val="1"/>
          <w:color w:val="auto"/>
        </w:rPr>
        <w:t>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1"/>
          <w:szCs w:val="11"/>
          <w:color w:val="auto"/>
        </w:rPr>
        <w:t>) as published in the German Federal Law Gazette 2008 vol. II pp.</w:t>
      </w:r>
      <w:r>
        <w:rPr>
          <w:rFonts w:ascii="Arial" w:cs="Arial" w:eastAsia="Arial" w:hAnsi="Arial"/>
          <w:sz w:val="11"/>
          <w:szCs w:val="11"/>
          <w:i w:val="1"/>
          <w:iCs w:val="1"/>
          <w:color w:val="auto"/>
        </w:rPr>
        <w:t xml:space="preserve"> </w:t>
      </w:r>
      <w:r>
        <w:rPr>
          <w:rFonts w:ascii="Arial" w:cs="Arial" w:eastAsia="Arial" w:hAnsi="Arial"/>
          <w:sz w:val="11"/>
          <w:szCs w:val="11"/>
          <w:color w:val="auto"/>
        </w:rPr>
        <w:t>611/851 (the “Treaty”). These laws are subject to change, possibly on a retroactive basis. In addition, this section is based in part upon the assumption that each obligation in the deposit agreement and any related agreement will be performed in accordance with its terms.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159</w:t>
      </w:r>
    </w:p>
    <w:p>
      <w:pPr>
        <w:sectPr>
          <w:pgSz w:w="11900" w:h="16838" w:orient="portrait"/>
          <w:cols w:equalWidth="0" w:num="1">
            <w:col w:w="10159"/>
          </w:cols>
          <w:pgMar w:left="300" w:top="354" w:right="1440"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You are a “U.S. holder” if you are a beneficial owner of ADSs and you are, for United States federal income tax purposes:</w:t>
      </w:r>
    </w:p>
    <w:p>
      <w:pPr>
        <w:spacing w:after="0" w:line="168" w:lineRule="exact"/>
        <w:rPr>
          <w:sz w:val="20"/>
          <w:szCs w:val="20"/>
          <w:color w:val="auto"/>
        </w:rPr>
      </w:pPr>
    </w:p>
    <w:p>
      <w:pPr>
        <w:ind w:left="2620" w:hanging="288"/>
        <w:spacing w:after="0"/>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 citizen or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 domestic corporation,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an estate whose income is subject to United States federal income tax regardless of its source, or</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 trust if a United States court can exercise primary supervision over the trust’s administration and one or more United States persons are authorized to control all substantial decisions of the trust.</w:t>
      </w:r>
    </w:p>
    <w:p>
      <w:pPr>
        <w:spacing w:after="0" w:line="115"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A “non-U.S. holder” is a beneficial owner of ADSs that is not a United States person and is not a partnership for United States federal income tax purposes.</w:t>
      </w:r>
    </w:p>
    <w:p>
      <w:pPr>
        <w:spacing w:after="0" w:line="115"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In general, and taking into account the foregoing assumptions,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83820</wp:posOffset>
            </wp:positionV>
            <wp:extent cx="4669155" cy="1943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669155" cy="194310"/>
                    </a:xfrm>
                    <a:prstGeom prst="rect">
                      <a:avLst/>
                    </a:prstGeom>
                    <a:noFill/>
                  </pic:spPr>
                </pic:pic>
              </a:graphicData>
            </a:graphic>
          </wp:anchor>
        </w:drawing>
      </w:r>
    </w:p>
    <w:p>
      <w:pPr>
        <w:spacing w:after="0" w:line="112" w:lineRule="exact"/>
        <w:rPr>
          <w:sz w:val="20"/>
          <w:szCs w:val="20"/>
          <w:color w:val="auto"/>
        </w:rPr>
      </w:pPr>
    </w:p>
    <w:p>
      <w:pPr>
        <w:ind w:left="2080" w:right="879" w:firstLine="240"/>
        <w:spacing w:after="0" w:line="276" w:lineRule="auto"/>
        <w:rPr>
          <w:sz w:val="20"/>
          <w:szCs w:val="20"/>
          <w:color w:val="auto"/>
        </w:rPr>
      </w:pPr>
      <w:r>
        <w:rPr>
          <w:rFonts w:ascii="Arial" w:cs="Arial" w:eastAsia="Arial" w:hAnsi="Arial"/>
          <w:sz w:val="12"/>
          <w:szCs w:val="12"/>
          <w:i w:val="1"/>
          <w:iCs w:val="1"/>
          <w:color w:val="auto"/>
        </w:rPr>
        <w:t>You should consult your own tax advisor regarding the United States federal, state and local tax consequences of owning and disposing of shares and ADSs in your particular circumstances.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Except as described below under “—U.S. Holders—PFIC Rules,” this discussion assumes that we are not, and will not become, a PFIC for United States federal income tax purposes.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discussion in this section applies only to U.S. holders of ADSs. Non-U.S. holders of ADSs should consult the discussion under “—Non-U.S.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Holders” below.</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39" w:firstLine="294"/>
        <w:spacing w:after="0" w:line="303" w:lineRule="auto"/>
        <w:rPr>
          <w:sz w:val="20"/>
          <w:szCs w:val="20"/>
          <w:color w:val="auto"/>
        </w:rPr>
      </w:pPr>
      <w:r>
        <w:rPr>
          <w:rFonts w:ascii="Arial" w:cs="Arial" w:eastAsia="Arial" w:hAnsi="Arial"/>
          <w:sz w:val="10"/>
          <w:szCs w:val="10"/>
          <w:color w:val="auto"/>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will be listed</w:t>
      </w:r>
    </w:p>
    <w:p>
      <w:pPr>
        <w:spacing w:after="0" w:line="2" w:lineRule="exact"/>
        <w:rPr>
          <w:sz w:val="20"/>
          <w:szCs w:val="20"/>
          <w:color w:val="auto"/>
        </w:rPr>
      </w:pPr>
    </w:p>
    <w:p>
      <w:pPr>
        <w:ind w:left="1980"/>
        <w:spacing w:after="0"/>
        <w:tabs>
          <w:tab w:leader="none" w:pos="2620" w:val="left"/>
        </w:tabs>
        <w:rPr>
          <w:sz w:val="20"/>
          <w:szCs w:val="20"/>
          <w:color w:val="auto"/>
        </w:rPr>
      </w:pPr>
      <w:r>
        <w:rPr>
          <w:rFonts w:ascii="Arial" w:cs="Arial" w:eastAsia="Arial" w:hAnsi="Arial"/>
          <w:sz w:val="12"/>
          <w:szCs w:val="12"/>
          <w:color w:val="auto"/>
        </w:rPr>
        <w:t>on</w:t>
      </w:r>
      <w:r>
        <w:rPr>
          <w:sz w:val="20"/>
          <w:szCs w:val="20"/>
          <w:color w:val="auto"/>
        </w:rPr>
        <w:tab/>
      </w:r>
      <w:r>
        <w:rPr>
          <w:rFonts w:ascii="Arial" w:cs="Arial" w:eastAsia="Arial" w:hAnsi="Arial"/>
          <w:sz w:val="12"/>
          <w:szCs w:val="12"/>
          <w:color w:val="auto"/>
        </w:rPr>
        <w:t>and we therefore expect that dividends we pay with respect to the ADSs will be qualified dividend income.</w:t>
      </w:r>
    </w:p>
    <w:p>
      <w:pPr>
        <w:spacing w:after="0" w:line="141"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You must include any German tax withheld from the dividend payment in this gross amount even though you do not in fact receive it. The dividend is taxable to you when you receive the dividend, actually 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160</w:t>
      </w:r>
    </w:p>
    <w:p>
      <w:pPr>
        <w:sectPr>
          <w:pgSz w:w="11900" w:h="16838" w:orient="portrait"/>
          <w:cols w:equalWidth="0" w:num="1">
            <w:col w:w="10159"/>
          </w:cols>
          <w:pgMar w:left="300" w:top="354" w:right="1440" w:bottom="1440" w:gutter="0" w:footer="0" w:header="0"/>
        </w:sectPr>
      </w:pPr>
    </w:p>
    <w:bookmarkStart w:id="171" w:name="page172"/>
    <w:bookmarkEnd w:id="1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or the depositary on your behalf converts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spacing w:after="0" w:line="119" w:lineRule="exact"/>
        <w:rPr>
          <w:sz w:val="20"/>
          <w:szCs w:val="20"/>
          <w:color w:val="auto"/>
        </w:rPr>
      </w:pPr>
    </w:p>
    <w:p>
      <w:pPr>
        <w:ind w:left="1980" w:right="939" w:firstLine="294"/>
        <w:spacing w:after="0" w:line="316" w:lineRule="auto"/>
        <w:rPr>
          <w:sz w:val="20"/>
          <w:szCs w:val="20"/>
          <w:color w:val="auto"/>
        </w:rPr>
      </w:pPr>
      <w:r>
        <w:rPr>
          <w:rFonts w:ascii="Arial" w:cs="Arial" w:eastAsia="Arial" w:hAnsi="Arial"/>
          <w:sz w:val="10"/>
          <w:szCs w:val="10"/>
          <w:color w:val="auto"/>
        </w:rPr>
        <w:t>As discussed above under “Description of the American Depositary Shares—Fees and Expenses,”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spacing w:after="0" w:line="10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Subject to certain limitations, the German tax withheld in accordance with the Treaty and paid over to Germany will be creditable or deductible against your United States federal income tax liability.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w:t>
      </w:r>
    </w:p>
    <w:p>
      <w:pPr>
        <w:spacing w:after="0" w:line="115"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 or Disposition of ADSs</w:t>
      </w:r>
    </w:p>
    <w:p>
      <w:pPr>
        <w:spacing w:after="0" w:line="150"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161</w:t>
      </w:r>
    </w:p>
    <w:p>
      <w:pPr>
        <w:sectPr>
          <w:pgSz w:w="11900" w:h="16838" w:orient="portrait"/>
          <w:cols w:equalWidth="0" w:num="1">
            <w:col w:w="10159"/>
          </w:cols>
          <w:pgMar w:left="300" w:top="354" w:right="1440" w:bottom="1440" w:gutter="0" w:footer="0" w:header="0"/>
        </w:sectPr>
      </w:pPr>
    </w:p>
    <w:bookmarkStart w:id="172" w:name="page173"/>
    <w:bookmarkEnd w:id="1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Depositary Fees</w:t>
      </w:r>
    </w:p>
    <w:p>
      <w:pPr>
        <w:spacing w:after="0" w:line="150"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As discussed above “Description of the American Depositary Shares—Fees and Expenses,”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spacing w:after="0" w:line="8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PFIC Rules</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our ADSs and ordinary shares. Accordingly, we could become a PFIC in the future if there is a substantial decline in the value of our ADSs and ordinary shares.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general, we will be a PFIC with respect to you if for any taxable year in which you held our ADSs:</w:t>
      </w:r>
    </w:p>
    <w:p>
      <w:pPr>
        <w:spacing w:after="0" w:line="168" w:lineRule="exact"/>
        <w:rPr>
          <w:sz w:val="20"/>
          <w:szCs w:val="20"/>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at least 75% of our gross income for the taxable year is passive income, or</w:t>
      </w:r>
    </w:p>
    <w:p>
      <w:pPr>
        <w:spacing w:after="0" w:line="168"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at least 50% of the value, determined on the basis of a quarterly average, of our assets is attributable to assets that produce or are held for the production of passive income.</w:t>
      </w:r>
    </w:p>
    <w:p>
      <w:pPr>
        <w:spacing w:after="0" w:line="115" w:lineRule="exact"/>
        <w:rPr>
          <w:sz w:val="20"/>
          <w:szCs w:val="20"/>
          <w:color w:val="auto"/>
        </w:rPr>
      </w:pPr>
    </w:p>
    <w:p>
      <w:pPr>
        <w:ind w:left="1980" w:right="939" w:firstLine="294"/>
        <w:spacing w:after="0" w:line="326" w:lineRule="auto"/>
        <w:rPr>
          <w:sz w:val="20"/>
          <w:szCs w:val="20"/>
          <w:color w:val="auto"/>
        </w:rPr>
      </w:pPr>
      <w:r>
        <w:rPr>
          <w:rFonts w:ascii="Arial" w:cs="Arial" w:eastAsia="Arial" w:hAnsi="Arial"/>
          <w:sz w:val="10"/>
          <w:szCs w:val="10"/>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9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If we are treated as a PFIC, and you did not make a mark-to-market election, as described below, you will generally be subject to special rules with respect to:</w:t>
      </w:r>
    </w:p>
    <w:p>
      <w:pPr>
        <w:spacing w:after="0" w:line="133" w:lineRule="exact"/>
        <w:rPr>
          <w:sz w:val="20"/>
          <w:szCs w:val="20"/>
          <w:color w:val="auto"/>
        </w:rPr>
      </w:pPr>
    </w:p>
    <w:p>
      <w:pPr>
        <w:ind w:left="2620" w:hanging="288"/>
        <w:spacing w:after="0"/>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any gain you realize on the sale or other disposition of your ADSs and</w:t>
      </w:r>
    </w:p>
    <w:p>
      <w:pPr>
        <w:spacing w:after="0" w:line="168" w:lineRule="exact"/>
        <w:rPr>
          <w:rFonts w:ascii="Arial" w:cs="Arial" w:eastAsia="Arial" w:hAnsi="Arial"/>
          <w:sz w:val="12"/>
          <w:szCs w:val="12"/>
          <w:color w:val="auto"/>
        </w:rPr>
      </w:pPr>
    </w:p>
    <w:p>
      <w:pPr>
        <w:ind w:left="2620" w:right="879" w:hanging="288"/>
        <w:spacing w:after="0" w:line="259" w:lineRule="auto"/>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any excess distribution that we make to you (generally, any distributions to you during a single taxable year, other than the taxable year in which your holding period in the ADSs begins, that are greater than 125% of the average annual distributions received by you in respect of the ADSs during the three preceding taxable years or, if shorter, your holding period for the ADSs that preceded the taxable year in which you receive the distribution).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Under these rules:</w:t>
      </w:r>
    </w:p>
    <w:p>
      <w:pPr>
        <w:spacing w:after="0" w:line="168" w:lineRule="exact"/>
        <w:rPr>
          <w:sz w:val="20"/>
          <w:szCs w:val="20"/>
          <w:color w:val="auto"/>
        </w:rPr>
      </w:pPr>
    </w:p>
    <w:p>
      <w:pPr>
        <w:ind w:left="2620" w:hanging="288"/>
        <w:spacing w:after="0"/>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gain or excess distribution will be allocated ratably over your holding period for the ADSs,</w:t>
      </w:r>
    </w:p>
    <w:p>
      <w:pPr>
        <w:spacing w:after="0" w:line="168"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amount allocated to the taxable year in which you realized the gain or excess distribution or to prior years before the first year in which we were a PFIC with respect to you will be taxed as ordinary income,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162</w:t>
      </w:r>
    </w:p>
    <w:p>
      <w:pPr>
        <w:sectPr>
          <w:pgSz w:w="11900" w:h="16838" w:orient="portrait"/>
          <w:cols w:equalWidth="0" w:num="1">
            <w:col w:w="10159"/>
          </w:cols>
          <w:pgMar w:left="300" w:top="354" w:right="1440" w:bottom="1440" w:gutter="0" w:footer="0" w:header="0"/>
        </w:sectPr>
      </w:pPr>
    </w:p>
    <w:bookmarkStart w:id="173" w:name="page174"/>
    <w:bookmarkEnd w:id="1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amount allocated to each other prior year will be taxed at the highest tax rate in effect for that year, and</w:t>
      </w:r>
    </w:p>
    <w:p>
      <w:pPr>
        <w:spacing w:after="0" w:line="168" w:lineRule="exact"/>
        <w:rPr>
          <w:rFonts w:ascii="Arial" w:cs="Arial" w:eastAsia="Arial" w:hAnsi="Arial"/>
          <w:sz w:val="12"/>
          <w:szCs w:val="12"/>
          <w:color w:val="auto"/>
        </w:rPr>
      </w:pPr>
    </w:p>
    <w:p>
      <w:pPr>
        <w:ind w:left="2260" w:right="1239" w:firstLine="72"/>
        <w:spacing w:after="0" w:line="546" w:lineRule="auto"/>
        <w:tabs>
          <w:tab w:leader="none" w:pos="2614" w:val="left"/>
        </w:tabs>
        <w:numPr>
          <w:ilvl w:val="0"/>
          <w:numId w:val="80"/>
        </w:numPr>
        <w:rPr>
          <w:rFonts w:ascii="Arial" w:cs="Arial" w:eastAsia="Arial" w:hAnsi="Arial"/>
          <w:sz w:val="11"/>
          <w:szCs w:val="11"/>
          <w:color w:val="auto"/>
        </w:rPr>
      </w:pPr>
      <w:r>
        <w:rPr>
          <w:rFonts w:ascii="Arial" w:cs="Arial" w:eastAsia="Arial" w:hAnsi="Arial"/>
          <w:sz w:val="11"/>
          <w:szCs w:val="11"/>
          <w:color w:val="auto"/>
        </w:rPr>
        <w:t>the interest charge generally applicable to underpayments of tax will be imposed in respect of the tax attributable to each such year. Special rules apply for calculating the amount of the foreign tax credit with respect to excess distributions by a PFIC.</w:t>
      </w:r>
    </w:p>
    <w:p>
      <w:pPr>
        <w:ind w:left="1980" w:right="839" w:firstLine="294"/>
        <w:spacing w:after="0" w:line="279" w:lineRule="auto"/>
        <w:rPr>
          <w:sz w:val="20"/>
          <w:szCs w:val="20"/>
          <w:color w:val="auto"/>
        </w:rPr>
      </w:pPr>
      <w:r>
        <w:rPr>
          <w:rFonts w:ascii="Arial" w:cs="Arial" w:eastAsia="Arial" w:hAnsi="Arial"/>
          <w:sz w:val="11"/>
          <w:szCs w:val="11"/>
          <w:color w:val="auto"/>
        </w:rPr>
        <w:t>If we are a PFIC in a taxable year and our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spacing w:after="0" w:line="117"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Unless you are eligible to make and make a mark-to-market election or “purging election” with respect to your ADSs, such ADSs will generally be treated as stock in a PFIC if we were a PFIC at any time during your holding period in your ADSs, even if we are not currently a PFIC.</w:t>
      </w:r>
    </w:p>
    <w:p>
      <w:pPr>
        <w:spacing w:after="0" w:line="92" w:lineRule="exact"/>
        <w:rPr>
          <w:sz w:val="20"/>
          <w:szCs w:val="20"/>
          <w:color w:val="auto"/>
        </w:rPr>
      </w:pPr>
    </w:p>
    <w:p>
      <w:pPr>
        <w:ind w:left="1980" w:right="939" w:firstLine="294"/>
        <w:spacing w:after="0" w:line="320" w:lineRule="auto"/>
        <w:rPr>
          <w:sz w:val="20"/>
          <w:szCs w:val="20"/>
          <w:color w:val="auto"/>
        </w:rPr>
      </w:pPr>
      <w:r>
        <w:rPr>
          <w:rFonts w:ascii="Arial" w:cs="Arial" w:eastAsia="Arial" w:hAnsi="Arial"/>
          <w:sz w:val="10"/>
          <w:szCs w:val="10"/>
          <w:color w:val="auto"/>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97"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you own ADSs during any year that we are a PFIC with respect to you, you may be required to file Internal Revenue Service (“IRS”) Form</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8621.</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Shareholder Reporting</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U.S. Holders are urged to contact their tax advisors regarding the application of this filing requirement to their ownership of ADSs.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163</w:t>
      </w:r>
    </w:p>
    <w:p>
      <w:pPr>
        <w:sectPr>
          <w:pgSz w:w="11900" w:h="16838" w:orient="portrait"/>
          <w:cols w:equalWidth="0" w:num="1">
            <w:col w:w="10159"/>
          </w:cols>
          <w:pgMar w:left="300" w:top="354" w:right="1440" w:bottom="1440" w:gutter="0" w:footer="0" w:header="0"/>
        </w:sectPr>
      </w:pPr>
    </w:p>
    <w:bookmarkStart w:id="174" w:name="page175"/>
    <w:bookmarkEnd w:id="1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If you are a non-U.S. holder, dividends paid to you in respect of ADSs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Capital Gains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If you are a non-U.S. holder, you will not be subject to United States federal income tax on gain recognized on the sale or other disposition of your</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unless:</w:t>
      </w:r>
    </w:p>
    <w:p>
      <w:pPr>
        <w:spacing w:after="0" w:line="159" w:lineRule="exact"/>
        <w:rPr>
          <w:sz w:val="20"/>
          <w:szCs w:val="20"/>
          <w:color w:val="auto"/>
        </w:rPr>
      </w:pPr>
    </w:p>
    <w:p>
      <w:pPr>
        <w:jc w:val="both"/>
        <w:ind w:left="2620" w:right="879" w:hanging="288"/>
        <w:spacing w:after="0" w:line="263" w:lineRule="auto"/>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you are an individual, you are present in the United States for 183 or more days in the taxable year of the sale and certain other conditions exist.</w:t>
      </w:r>
    </w:p>
    <w:p>
      <w:pPr>
        <w:spacing w:after="0" w:line="115"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Backup Withholding and Information Reporting</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If you are a noncorporate U.S. holder, information reporting requirements, on IRS Form 1099, generally will apply to dividend payments or other taxable distributions made to you within the United States, and the payment of proceeds to you from the sale of ADSs effected at a United States office of a broker.</w:t>
      </w:r>
    </w:p>
    <w:p>
      <w:pPr>
        <w:spacing w:after="0" w:line="122"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Additionally, backup withholding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spacing w:after="0" w:line="122"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ADSs effected at a United States office of a broker, as long as either (i) the payor or broker does not have actual knowledge or reason to know that you are a United States person and you have furnished a valid IRS Form W-8 or other documentation upon which the payor or broker may rely to treat the payments as made to a non-United States person, or (ii) you otherwise establish an exemption.</w:t>
      </w:r>
    </w:p>
    <w:p>
      <w:pPr>
        <w:spacing w:after="0" w:line="113" w:lineRule="exact"/>
        <w:rPr>
          <w:sz w:val="20"/>
          <w:szCs w:val="20"/>
          <w:color w:val="auto"/>
        </w:rPr>
      </w:pPr>
    </w:p>
    <w:p>
      <w:pPr>
        <w:ind w:left="1980" w:right="1039" w:firstLine="294"/>
        <w:spacing w:after="0" w:line="263" w:lineRule="auto"/>
        <w:rPr>
          <w:sz w:val="20"/>
          <w:szCs w:val="20"/>
          <w:color w:val="auto"/>
        </w:rPr>
      </w:pPr>
      <w:r>
        <w:rPr>
          <w:rFonts w:ascii="Arial" w:cs="Arial" w:eastAsia="Arial" w:hAnsi="Arial"/>
          <w:sz w:val="12"/>
          <w:szCs w:val="12"/>
          <w:color w:val="auto"/>
        </w:rPr>
        <w:t>Payment of the proceeds from the sale of ADSs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164</w:t>
      </w:r>
    </w:p>
    <w:p>
      <w:pPr>
        <w:sectPr>
          <w:pgSz w:w="11900" w:h="16838" w:orient="portrait"/>
          <w:cols w:equalWidth="0" w:num="1">
            <w:col w:w="10159"/>
          </w:cols>
          <w:pgMar w:left="300" w:top="354" w:right="1440" w:bottom="1440" w:gutter="0" w:footer="0" w:header="0"/>
        </w:sectPr>
      </w:pPr>
    </w:p>
    <w:bookmarkStart w:id="175" w:name="page176"/>
    <w:bookmarkEnd w:id="1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15"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You generally may obtain a refund of any amounts withheld under the backup withholding rules that exceed your income tax liability by filing a refund claim with the IRS.</w:t>
      </w:r>
    </w:p>
    <w:p>
      <w:pPr>
        <w:spacing w:after="0" w:line="111" w:lineRule="exact"/>
        <w:rPr>
          <w:sz w:val="20"/>
          <w:szCs w:val="20"/>
          <w:color w:val="auto"/>
        </w:rPr>
      </w:pPr>
    </w:p>
    <w:p>
      <w:pPr>
        <w:jc w:val="center"/>
        <w:ind w:left="2280"/>
        <w:spacing w:after="0" w:line="266" w:lineRule="auto"/>
        <w:rPr>
          <w:sz w:val="20"/>
          <w:szCs w:val="20"/>
          <w:color w:val="auto"/>
        </w:rPr>
      </w:pPr>
      <w:r>
        <w:rPr>
          <w:rFonts w:ascii="Arial" w:cs="Arial" w:eastAsia="Arial" w:hAnsi="Arial"/>
          <w:sz w:val="12"/>
          <w:szCs w:val="12"/>
          <w:b w:val="1"/>
          <w:bCs w:val="1"/>
          <w:color w:val="auto"/>
        </w:rPr>
        <w:t>THE DISCUSSION ABOVE IS A GENERAL SUMMARY. IT DOES NOT COVER ALL TAX MATTERS THAT MAY BE IMPORTANT TO YOU. EACH PROSPECTIVE PURCHASER SHOULD CONSULT ITS OWN TAX ADVISOR ABOUT THE TAX CONSEQUENCES OF AN INVESTMENT IN SHARES UNDER THE INVESTOR’S OWN CIRCUMSTANCES.</w:t>
      </w:r>
    </w:p>
    <w:p>
      <w:pPr>
        <w:spacing w:after="0" w:line="7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165</w:t>
      </w:r>
    </w:p>
    <w:p>
      <w:pPr>
        <w:sectPr>
          <w:pgSz w:w="11900" w:h="16838" w:orient="portrait"/>
          <w:cols w:equalWidth="0" w:num="1">
            <w:col w:w="10159"/>
          </w:cols>
          <w:pgMar w:left="300" w:top="354" w:right="1440" w:bottom="1440" w:gutter="0" w:footer="0" w:header="0"/>
        </w:sectPr>
      </w:pPr>
    </w:p>
    <w:bookmarkStart w:id="176" w:name="page177"/>
    <w:bookmarkEnd w:id="1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UNDERWRITING</w:t>
      </w:r>
    </w:p>
    <w:p>
      <w:pPr>
        <w:spacing w:after="0" w:line="154" w:lineRule="exact"/>
        <w:rPr>
          <w:sz w:val="20"/>
          <w:szCs w:val="20"/>
          <w:color w:val="auto"/>
        </w:rPr>
      </w:pPr>
    </w:p>
    <w:p>
      <w:pPr>
        <w:ind w:left="2260"/>
        <w:spacing w:after="0"/>
        <w:tabs>
          <w:tab w:leader="none" w:pos="7160" w:val="left"/>
        </w:tabs>
        <w:rPr>
          <w:sz w:val="20"/>
          <w:szCs w:val="20"/>
          <w:color w:val="auto"/>
        </w:rPr>
      </w:pPr>
      <w:r>
        <w:rPr>
          <w:rFonts w:ascii="Arial" w:cs="Arial" w:eastAsia="Arial" w:hAnsi="Arial"/>
          <w:sz w:val="12"/>
          <w:szCs w:val="12"/>
          <w:color w:val="auto"/>
        </w:rPr>
        <w:t>Under the terms and subject to the conditions contained in an underwriting agreement dated</w:t>
      </w:r>
      <w:r>
        <w:rPr>
          <w:sz w:val="20"/>
          <w:szCs w:val="20"/>
          <w:color w:val="auto"/>
        </w:rPr>
        <w:tab/>
      </w:r>
      <w:r>
        <w:rPr>
          <w:rFonts w:ascii="Arial" w:cs="Arial" w:eastAsia="Arial" w:hAnsi="Arial"/>
          <w:sz w:val="10"/>
          <w:szCs w:val="10"/>
          <w:color w:val="auto"/>
        </w:rPr>
        <w:t>, 2021, we have agreed to sell to the</w:t>
      </w:r>
    </w:p>
    <w:p>
      <w:pPr>
        <w:spacing w:after="0" w:line="15" w:lineRule="exact"/>
        <w:rPr>
          <w:sz w:val="20"/>
          <w:szCs w:val="20"/>
          <w:color w:val="auto"/>
        </w:rPr>
      </w:pPr>
    </w:p>
    <w:p>
      <w:pPr>
        <w:ind w:left="1980" w:right="1119"/>
        <w:spacing w:after="0" w:line="260" w:lineRule="auto"/>
        <w:rPr>
          <w:sz w:val="20"/>
          <w:szCs w:val="20"/>
          <w:color w:val="auto"/>
        </w:rPr>
      </w:pPr>
      <w:r>
        <w:rPr>
          <w:rFonts w:ascii="Arial" w:cs="Arial" w:eastAsia="Arial" w:hAnsi="Arial"/>
          <w:sz w:val="12"/>
          <w:szCs w:val="12"/>
          <w:color w:val="auto"/>
        </w:rPr>
        <w:t>underwriters named below, for whom Credit Suisse Securities (USA) LLC and Jefferies LLC are acting as representatives, the following respective numbers of ADSs:</w:t>
      </w:r>
    </w:p>
    <w:p>
      <w:pPr>
        <w:spacing w:after="0" w:line="12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Underwriters</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Number of</w:t>
            </w:r>
          </w:p>
        </w:tc>
        <w:tc>
          <w:tcPr>
            <w:tcW w:w="0" w:type="dxa"/>
            <w:vAlign w:val="bottom"/>
          </w:tcPr>
          <w:p>
            <w:pPr>
              <w:spacing w:after="0"/>
              <w:rPr>
                <w:sz w:val="1"/>
                <w:szCs w:val="1"/>
                <w:color w:val="auto"/>
              </w:rPr>
            </w:pPr>
          </w:p>
        </w:tc>
      </w:tr>
      <w:tr>
        <w:trPr>
          <w:trHeight w:val="104"/>
        </w:trPr>
        <w:tc>
          <w:tcPr>
            <w:tcW w:w="6740" w:type="dxa"/>
            <w:vAlign w:val="bottom"/>
            <w:gridSpan w:val="2"/>
            <w:vMerge w:val="continue"/>
          </w:tcPr>
          <w:p>
            <w:pPr>
              <w:spacing w:after="0"/>
              <w:rPr>
                <w:sz w:val="9"/>
                <w:szCs w:val="9"/>
                <w:color w:val="auto"/>
              </w:rPr>
            </w:pPr>
          </w:p>
        </w:tc>
        <w:tc>
          <w:tcPr>
            <w:tcW w:w="60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9"/>
              </w:rPr>
              <w:t>ADSs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74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Credit Suisse Securities (USA) LLC</w:t>
            </w: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Jefferies LLC</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William Blair &amp; Company, L.L.C</w:t>
            </w: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40" w:type="dxa"/>
            <w:vAlign w:val="bottom"/>
            <w:gridSpan w:val="2"/>
          </w:tcPr>
          <w:p>
            <w:pPr>
              <w:spacing w:after="0"/>
              <w:rPr>
                <w:sz w:val="20"/>
                <w:szCs w:val="20"/>
                <w:color w:val="auto"/>
              </w:rPr>
            </w:pPr>
            <w:r>
              <w:rPr>
                <w:rFonts w:ascii="Arial" w:cs="Arial" w:eastAsia="Arial" w:hAnsi="Arial"/>
                <w:sz w:val="12"/>
                <w:szCs w:val="12"/>
                <w:color w:val="auto"/>
              </w:rPr>
              <w:t>Canaccord Genuity LLC</w:t>
            </w: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7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underwriting agreement provides that the underwriters are obligated to purchase all the ADSs in this offering if any are purchased, other than those ADSs covered by the underwriters’ option to purchase additional ADSs described below. The underwriting agreement also provides that, if an underwriter defaults, the purchase commitments of non-defaulting underwriters may be increased or the offering may be terminated.</w:t>
      </w:r>
    </w:p>
    <w:p>
      <w:pPr>
        <w:spacing w:after="0" w:line="105"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We have granted to the underwriters a 30-day option to purchase on a pro rata basis up to additional ADSs from us at the initial public offering price less the underwriting discounts and commissions. This option may be exercised only to cover any over-allotments of ADSs.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underwriters propose to offer the ADSs initially at the public offering price on the cover page of this prospectus and to selling group members</w:t>
      </w:r>
    </w:p>
    <w:p>
      <w:pPr>
        <w:spacing w:after="0" w:line="26" w:lineRule="exact"/>
        <w:rPr>
          <w:sz w:val="20"/>
          <w:szCs w:val="20"/>
          <w:color w:val="auto"/>
        </w:rPr>
      </w:pPr>
    </w:p>
    <w:p>
      <w:pPr>
        <w:ind w:left="1980" w:right="979"/>
        <w:spacing w:after="0" w:line="260" w:lineRule="auto"/>
        <w:rPr>
          <w:sz w:val="20"/>
          <w:szCs w:val="20"/>
          <w:color w:val="auto"/>
        </w:rPr>
      </w:pPr>
      <w:r>
        <w:rPr>
          <w:rFonts w:ascii="Arial" w:cs="Arial" w:eastAsia="Arial" w:hAnsi="Arial"/>
          <w:sz w:val="12"/>
          <w:szCs w:val="12"/>
          <w:color w:val="auto"/>
        </w:rPr>
        <w:t>at that price less a selling concession of up to $ per ADS. After the initial public offering, the representatives may change the public offering price and selling concession.</w:t>
      </w:r>
    </w:p>
    <w:p>
      <w:pPr>
        <w:spacing w:after="0" w:line="124" w:lineRule="exact"/>
        <w:rPr>
          <w:sz w:val="20"/>
          <w:szCs w:val="20"/>
          <w:color w:val="auto"/>
        </w:rPr>
      </w:pPr>
    </w:p>
    <w:p>
      <w:pPr>
        <w:jc w:val="both"/>
        <w:ind w:left="1980" w:right="979" w:firstLine="294"/>
        <w:spacing w:after="0" w:line="277" w:lineRule="auto"/>
        <w:rPr>
          <w:sz w:val="20"/>
          <w:szCs w:val="20"/>
          <w:color w:val="auto"/>
        </w:rPr>
      </w:pPr>
      <w:r>
        <w:rPr>
          <w:rFonts w:ascii="Arial" w:cs="Arial" w:eastAsia="Arial" w:hAnsi="Arial"/>
          <w:sz w:val="11"/>
          <w:szCs w:val="11"/>
          <w:color w:val="auto"/>
        </w:rPr>
        <w:t>For reasons of German law, will initially subscribe for all of the new ordinary shares represented by the ADSs on behalf of the underwriters, at an issue price of € per share. This issue price will be credited against the amount due from the underwriters at closing. If the underwriters exercise their option to purchase additional ADSs, will initially subscribe for all of the new ordinary shares representing such additional ADSs on behalf of the underwriters, at an issue price of € per share. This issue price will be credited against the amount due from</w:t>
      </w:r>
    </w:p>
    <w:p>
      <w:pPr>
        <w:spacing w:after="0" w:line="1" w:lineRule="exact"/>
        <w:rPr>
          <w:sz w:val="20"/>
          <w:szCs w:val="20"/>
          <w:color w:val="auto"/>
        </w:rPr>
      </w:pPr>
    </w:p>
    <w:p>
      <w:pPr>
        <w:ind w:left="1980" w:right="939"/>
        <w:spacing w:after="0" w:line="260" w:lineRule="auto"/>
        <w:rPr>
          <w:sz w:val="20"/>
          <w:szCs w:val="20"/>
          <w:color w:val="auto"/>
        </w:rPr>
      </w:pPr>
      <w:r>
        <w:rPr>
          <w:rFonts w:ascii="Arial" w:cs="Arial" w:eastAsia="Arial" w:hAnsi="Arial"/>
          <w:sz w:val="12"/>
          <w:szCs w:val="12"/>
          <w:color w:val="auto"/>
        </w:rPr>
        <w:t>the underwriters at the closing of such optional purchase. The offering of the ADSs by the underwriters is subject to receipt and acceptance and subject to the underwriters’ right to reject any order in whole or in part.</w:t>
      </w:r>
    </w:p>
    <w:p>
      <w:pPr>
        <w:spacing w:after="0" w:line="124" w:lineRule="exact"/>
        <w:rPr>
          <w:sz w:val="20"/>
          <w:szCs w:val="20"/>
          <w:color w:val="auto"/>
        </w:rPr>
      </w:pPr>
    </w:p>
    <w:p>
      <w:pPr>
        <w:ind w:left="1980" w:right="939" w:firstLine="294"/>
        <w:spacing w:after="0" w:line="309" w:lineRule="auto"/>
        <w:rPr>
          <w:sz w:val="20"/>
          <w:szCs w:val="20"/>
          <w:color w:val="auto"/>
        </w:rPr>
      </w:pPr>
      <w:r>
        <w:rPr>
          <w:rFonts w:ascii="Arial" w:cs="Arial" w:eastAsia="Arial" w:hAnsi="Arial"/>
          <w:sz w:val="10"/>
          <w:szCs w:val="10"/>
          <w:color w:val="auto"/>
        </w:rPr>
        <w:t>The following table summarizes the price per ADS and total public offering price, underwriting discounts and commissions, and proceeds before expenses to us. These amounts are shown assuming both no exercise and full exercise of the underwriters’ option to purchase up to an additional</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ADSs.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Total</w:t>
            </w:r>
          </w:p>
        </w:tc>
      </w:tr>
      <w:tr>
        <w:trPr>
          <w:trHeight w:val="88"/>
        </w:trPr>
        <w:tc>
          <w:tcPr>
            <w:tcW w:w="5280" w:type="dxa"/>
            <w:vAlign w:val="bottom"/>
            <w:tcBorders>
              <w:bottom w:val="single" w:sz="8" w:color="CCEEFF"/>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66"/>
              <w:spacing w:after="0" w:line="88" w:lineRule="exact"/>
              <w:rPr>
                <w:sz w:val="20"/>
                <w:szCs w:val="20"/>
                <w:color w:val="auto"/>
              </w:rPr>
            </w:pPr>
            <w:r>
              <w:rPr>
                <w:rFonts w:ascii="Arial" w:cs="Arial" w:eastAsia="Arial" w:hAnsi="Arial"/>
                <w:sz w:val="10"/>
                <w:szCs w:val="10"/>
                <w:b w:val="1"/>
                <w:bCs w:val="1"/>
                <w:color w:val="auto"/>
              </w:rPr>
              <w:t>Per ADS</w:t>
            </w:r>
          </w:p>
        </w:tc>
        <w:tc>
          <w:tcPr>
            <w:tcW w:w="1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5"/>
              </w:rPr>
              <w:t>Non Exercise</w:t>
            </w:r>
          </w:p>
        </w:tc>
        <w:tc>
          <w:tcPr>
            <w:tcW w:w="2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CCEEFF"/>
            </w:tcBorders>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7"/>
              </w:rPr>
              <w:t>Full Exercise</w:t>
            </w:r>
          </w:p>
        </w:tc>
        <w:tc>
          <w:tcPr>
            <w:tcW w:w="40" w:type="dxa"/>
            <w:vAlign w:val="bottom"/>
            <w:tcBorders>
              <w:bottom w:val="single" w:sz="8" w:color="CCEEFF"/>
            </w:tcBorders>
          </w:tcPr>
          <w:p>
            <w:pPr>
              <w:spacing w:after="0"/>
              <w:rPr>
                <w:sz w:val="7"/>
                <w:szCs w:val="7"/>
                <w:color w:val="auto"/>
              </w:rPr>
            </w:pPr>
          </w:p>
        </w:tc>
      </w:tr>
      <w:tr>
        <w:trPr>
          <w:trHeight w:val="124"/>
        </w:trPr>
        <w:tc>
          <w:tcPr>
            <w:tcW w:w="528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0"/>
                <w:szCs w:val="10"/>
                <w:color w:val="auto"/>
              </w:rPr>
            </w:pPr>
          </w:p>
        </w:tc>
      </w:tr>
      <w:tr>
        <w:trPr>
          <w:trHeight w:val="135"/>
        </w:trPr>
        <w:tc>
          <w:tcPr>
            <w:tcW w:w="5280" w:type="dxa"/>
            <w:vAlign w:val="bottom"/>
          </w:tcPr>
          <w:p>
            <w:pPr>
              <w:spacing w:after="0"/>
              <w:rPr>
                <w:sz w:val="20"/>
                <w:szCs w:val="20"/>
                <w:color w:val="auto"/>
              </w:rPr>
            </w:pPr>
            <w:r>
              <w:rPr>
                <w:rFonts w:ascii="Arial" w:cs="Arial" w:eastAsia="Arial" w:hAnsi="Arial"/>
                <w:sz w:val="11"/>
                <w:szCs w:val="11"/>
                <w:color w:val="auto"/>
              </w:rPr>
              <w:t>Underwriting discounts and commissions to be paid by us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Proceeds, before expenses, to us</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452"/>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472"/>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r>
      <w:tr>
        <w:trPr>
          <w:trHeight w:val="288"/>
        </w:trPr>
        <w:tc>
          <w:tcPr>
            <w:tcW w:w="6540" w:type="dxa"/>
            <w:vAlign w:val="bottom"/>
            <w:gridSpan w:val="4"/>
          </w:tcPr>
          <w:p>
            <w:pPr>
              <w:ind w:left="280"/>
              <w:spacing w:after="0"/>
              <w:rPr>
                <w:sz w:val="20"/>
                <w:szCs w:val="20"/>
                <w:color w:val="auto"/>
              </w:rPr>
            </w:pPr>
            <w:r>
              <w:rPr>
                <w:rFonts w:ascii="Arial" w:cs="Arial" w:eastAsia="Arial" w:hAnsi="Arial"/>
                <w:sz w:val="12"/>
                <w:szCs w:val="12"/>
                <w:color w:val="auto"/>
                <w:w w:val="95"/>
              </w:rPr>
              <w:t>The estimated offering expenses payable by us, exclusive of underwriting discounts and commissions, are approximately $</w:t>
            </w:r>
          </w:p>
        </w:tc>
        <w:tc>
          <w:tcPr>
            <w:tcW w:w="2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color w:val="auto"/>
              </w:rPr>
              <w:t>. We have</w:t>
            </w:r>
          </w:p>
        </w:tc>
      </w:tr>
    </w:tbl>
    <w:p>
      <w:pPr>
        <w:ind w:left="1980"/>
        <w:spacing w:after="0"/>
        <w:rPr>
          <w:sz w:val="20"/>
          <w:szCs w:val="20"/>
          <w:color w:val="auto"/>
        </w:rPr>
      </w:pPr>
      <w:r>
        <w:rPr>
          <w:rFonts w:ascii="Arial" w:cs="Arial" w:eastAsia="Arial" w:hAnsi="Arial"/>
          <w:sz w:val="11"/>
          <w:szCs w:val="11"/>
          <w:color w:val="auto"/>
        </w:rPr>
        <w:t>agreed to reimburse the underwriters for expenses related to clearance of this offering with the Financial Industry Regulatory Authority, Inc., or FINRA.</w:t>
      </w:r>
    </w:p>
    <w:p>
      <w:pPr>
        <w:spacing w:after="0" w:line="153"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We have agreed, subject to certain exceptions, that we will not offer, sell, contract to sell, pledge or otherwise dispose of, directly or indirectly, or file with the SEC a registration statement under the Securities Act relating to, any ADSs, our ordinary shares or securities convertible into or exchangeable or exercisable for any ADSs or our ordinary shares, or publicly disclose the intention to make any offer, sale, pledge, disposition or</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166</w:t>
      </w:r>
    </w:p>
    <w:p>
      <w:pPr>
        <w:sectPr>
          <w:pgSz w:w="11900" w:h="16838" w:orient="portrait"/>
          <w:cols w:equalWidth="0" w:num="1">
            <w:col w:w="10159"/>
          </w:cols>
          <w:pgMar w:left="300" w:top="354" w:right="1440" w:bottom="1440" w:gutter="0" w:footer="0" w:header="0"/>
        </w:sectPr>
      </w:pPr>
    </w:p>
    <w:bookmarkStart w:id="177" w:name="page178"/>
    <w:bookmarkEnd w:id="1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filing, without the prior written consent of Credit Suisse Securities (USA) LLC and Jefferies LLC for a period of 180 days after the date of this prospectus, except issuances pursuant to the exercise of employee stock options outstanding on the date hereof.</w:t>
      </w:r>
    </w:p>
    <w:p>
      <w:pPr>
        <w:spacing w:after="0" w:line="115"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The members of our supervisory board and management board and certain existing shareholders have agreed, subject to certain exceptions, that they will not offer, sell, contract to sell, pledge or otherwise dispose of, directly or indirectly, any ADSs, our ordinary shares or securities convertible into or exchangeable or exercisable for any ADSs or our ordinary shares, enter into a transaction that 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or publicly disclose the intention to make any offer, sale, pledge or disposition, or to enter into any such transaction, swap, hedge or other arrangement, without, in each case, the prior written consent of Credit Suisse Securities (USA) LLC and Jefferies LLC for a period of 180 days after the date of this prospectus.</w:t>
      </w:r>
    </w:p>
    <w:p>
      <w:pPr>
        <w:spacing w:after="0" w:line="10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and the underwriters have agreed to indemnify each other and certain controlling persons of the underwriters and us against certain liabilities, including liabilities under the Securities Act, and to contribute to payments that we or the underwriters, as applicable, may be required to make in respect of those liabilities.</w:t>
      </w:r>
    </w:p>
    <w:p>
      <w:pPr>
        <w:sectPr>
          <w:pgSz w:w="11900" w:h="16838" w:orient="portrait"/>
          <w:cols w:equalWidth="0" w:num="1">
            <w:col w:w="10159"/>
          </w:cols>
          <w:pgMar w:left="300" w:top="354" w:right="1440" w:bottom="1440" w:gutter="0" w:footer="0" w:header="0"/>
        </w:sectPr>
      </w:pP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intend to apply to list our ADSs on the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under the symbol “</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0" w:lineRule="exact"/>
        <w:rPr>
          <w:sz w:val="20"/>
          <w:szCs w:val="20"/>
          <w:color w:val="auto"/>
        </w:rPr>
      </w:pPr>
    </w:p>
    <w:p>
      <w:pPr>
        <w:sectPr>
          <w:pgSz w:w="11900" w:h="16838" w:orient="portrait"/>
          <w:cols w:equalWidth="0" w:num="3">
            <w:col w:w="4300" w:space="540"/>
            <w:col w:w="920" w:space="480"/>
            <w:col w:w="3919"/>
          </w:cols>
          <w:pgMar w:left="300" w:top="354" w:right="1440" w:bottom="1440" w:gutter="0" w:footer="0" w:header="0"/>
          <w:type w:val="continuous"/>
        </w:sectPr>
      </w:pPr>
    </w:p>
    <w:p>
      <w:pPr>
        <w:ind w:left="2260"/>
        <w:spacing w:after="0"/>
        <w:rPr>
          <w:sz w:val="20"/>
          <w:szCs w:val="20"/>
          <w:color w:val="auto"/>
        </w:rPr>
      </w:pPr>
      <w:r>
        <w:rPr>
          <w:rFonts w:ascii="Arial" w:cs="Arial" w:eastAsia="Arial" w:hAnsi="Arial"/>
          <w:sz w:val="11"/>
          <w:szCs w:val="11"/>
          <w:color w:val="auto"/>
        </w:rPr>
        <w:t>Prior to this offering, there has been no public market for our ADSs. Our ordinary shares are listed on the Frankfurt Stock Exchange (</w:t>
      </w:r>
      <w:r>
        <w:rPr>
          <w:rFonts w:ascii="Arial" w:cs="Arial" w:eastAsia="Arial" w:hAnsi="Arial"/>
          <w:sz w:val="11"/>
          <w:szCs w:val="11"/>
          <w:i w:val="1"/>
          <w:iCs w:val="1"/>
          <w:color w:val="auto"/>
        </w:rPr>
        <w:t>Frankfurter</w:t>
      </w:r>
    </w:p>
    <w:p>
      <w:pPr>
        <w:spacing w:after="0" w:line="26" w:lineRule="exact"/>
        <w:rPr>
          <w:sz w:val="20"/>
          <w:szCs w:val="20"/>
          <w:color w:val="auto"/>
        </w:rPr>
      </w:pPr>
    </w:p>
    <w:p>
      <w:pPr>
        <w:ind w:left="1980"/>
        <w:spacing w:after="0"/>
        <w:tabs>
          <w:tab w:leader="none" w:pos="4740" w:val="left"/>
        </w:tabs>
        <w:rPr>
          <w:sz w:val="20"/>
          <w:szCs w:val="20"/>
          <w:color w:val="auto"/>
        </w:rPr>
      </w:pPr>
      <w:r>
        <w:rPr>
          <w:rFonts w:ascii="Arial" w:cs="Arial" w:eastAsia="Arial" w:hAnsi="Arial"/>
          <w:sz w:val="12"/>
          <w:szCs w:val="12"/>
          <w:i w:val="1"/>
          <w:iCs w:val="1"/>
          <w:color w:val="auto"/>
        </w:rPr>
        <w:t>Wertpapierbörse</w:t>
      </w:r>
      <w:r>
        <w:rPr>
          <w:rFonts w:ascii="Arial" w:cs="Arial" w:eastAsia="Arial" w:hAnsi="Arial"/>
          <w:sz w:val="12"/>
          <w:szCs w:val="12"/>
          <w:color w:val="auto"/>
        </w:rPr>
        <w:t>) under the symbol “M0Y.” On</w:t>
      </w:r>
      <w:r>
        <w:rPr>
          <w:sz w:val="20"/>
          <w:szCs w:val="20"/>
          <w:color w:val="auto"/>
        </w:rPr>
        <w:tab/>
      </w:r>
      <w:r>
        <w:rPr>
          <w:rFonts w:ascii="Arial" w:cs="Arial" w:eastAsia="Arial" w:hAnsi="Arial"/>
          <w:sz w:val="10"/>
          <w:szCs w:val="10"/>
          <w:color w:val="auto"/>
        </w:rPr>
        <w:t>, 2021, the closing price of our ordinary shares on the Frankfurt Stock Exchange was</w:t>
      </w:r>
    </w:p>
    <w:p>
      <w:pPr>
        <w:spacing w:after="0" w:line="6" w:lineRule="exact"/>
        <w:rPr>
          <w:sz w:val="20"/>
          <w:szCs w:val="20"/>
          <w:color w:val="auto"/>
        </w:rPr>
      </w:pPr>
    </w:p>
    <w:p>
      <w:pPr>
        <w:ind w:left="1980"/>
        <w:spacing w:after="0"/>
        <w:tabs>
          <w:tab w:leader="none" w:pos="2520" w:val="left"/>
          <w:tab w:leader="none" w:pos="40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per ordinary share ($</w:t>
      </w:r>
      <w:r>
        <w:rPr>
          <w:sz w:val="20"/>
          <w:szCs w:val="20"/>
          <w:color w:val="auto"/>
        </w:rPr>
        <w:tab/>
      </w:r>
      <w:r>
        <w:rPr>
          <w:rFonts w:ascii="Arial" w:cs="Arial" w:eastAsia="Arial" w:hAnsi="Arial"/>
          <w:sz w:val="10"/>
          <w:szCs w:val="10"/>
          <w:color w:val="auto"/>
        </w:rPr>
        <w:t>per ordinary share, based on the Euro/U.S. dollar exchange rate published by the European Central Bank on</w:t>
      </w:r>
    </w:p>
    <w:p>
      <w:pPr>
        <w:spacing w:after="0" w:line="6" w:lineRule="exact"/>
        <w:rPr>
          <w:sz w:val="20"/>
          <w:szCs w:val="20"/>
          <w:color w:val="auto"/>
        </w:rPr>
      </w:pPr>
    </w:p>
    <w:p>
      <w:pPr>
        <w:ind w:left="2460"/>
        <w:spacing w:after="0"/>
        <w:tabs>
          <w:tab w:leader="none" w:pos="4300" w:val="left"/>
        </w:tabs>
        <w:rPr>
          <w:sz w:val="20"/>
          <w:szCs w:val="20"/>
          <w:color w:val="auto"/>
        </w:rPr>
      </w:pPr>
      <w:r>
        <w:rPr>
          <w:rFonts w:ascii="Arial" w:cs="Arial" w:eastAsia="Arial" w:hAnsi="Arial"/>
          <w:sz w:val="12"/>
          <w:szCs w:val="12"/>
          <w:color w:val="auto"/>
        </w:rPr>
        <w:t>, 2021, which was €1.00 to $</w:t>
      </w:r>
      <w:r>
        <w:rPr>
          <w:sz w:val="20"/>
          <w:szCs w:val="20"/>
          <w:color w:val="auto"/>
        </w:rPr>
        <w:tab/>
      </w:r>
      <w:r>
        <w:rPr>
          <w:rFonts w:ascii="Arial" w:cs="Arial" w:eastAsia="Arial" w:hAnsi="Arial"/>
          <w:sz w:val="8"/>
          <w:szCs w:val="8"/>
          <w:color w:val="auto"/>
        </w:rPr>
        <w:t>).</w:t>
      </w:r>
    </w:p>
    <w:p>
      <w:pPr>
        <w:spacing w:after="0" w:line="141"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The initial public offering price for our ADSs will be determined based in large part on the closing price of our ordinary shares on the Frankfurt Stock Exchange. Based on the closing price of our ordinary shares on the Frankfurt Stock Exchange on , 2021, based on the Euro/U.S. dollar exchange rate of €1.00 to $ as of , 2021, and an ADS to ordinary share ratio of to , after deducting the estimated underwriting discounts and commissions and estimated offering expenses payable by us, the assumed offer price per ADS would be $ .</w:t>
      </w:r>
    </w:p>
    <w:p>
      <w:pPr>
        <w:sectPr>
          <w:pgSz w:w="11900" w:h="16838" w:orient="portrait"/>
          <w:cols w:equalWidth="0" w:num="1">
            <w:col w:w="10159"/>
          </w:cols>
          <w:pgMar w:left="300" w:top="354" w:right="1440" w:bottom="1440" w:gutter="0" w:footer="0" w:header="0"/>
          <w:type w:val="continuous"/>
        </w:sectPr>
      </w:pPr>
    </w:p>
    <w:p>
      <w:pPr>
        <w:spacing w:after="0" w:line="124"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33" w:lineRule="exact"/>
        <w:rPr>
          <w:sz w:val="20"/>
          <w:szCs w:val="20"/>
          <w:color w:val="auto"/>
        </w:rPr>
      </w:pPr>
    </w:p>
    <w:p>
      <w:pPr>
        <w:ind w:left="2620" w:hanging="288"/>
        <w:spacing w:after="0"/>
        <w:tabs>
          <w:tab w:leader="none" w:pos="2620" w:val="left"/>
        </w:tabs>
        <w:numPr>
          <w:ilvl w:val="0"/>
          <w:numId w:val="82"/>
        </w:numPr>
        <w:rPr>
          <w:rFonts w:ascii="Arial" w:cs="Arial" w:eastAsia="Arial" w:hAnsi="Arial"/>
          <w:sz w:val="10"/>
          <w:szCs w:val="10"/>
          <w:color w:val="auto"/>
        </w:rPr>
      </w:pPr>
      <w:r>
        <w:rPr>
          <w:rFonts w:ascii="Arial" w:cs="Arial" w:eastAsia="Arial" w:hAnsi="Arial"/>
          <w:sz w:val="10"/>
          <w:szCs w:val="10"/>
          <w:color w:val="auto"/>
        </w:rPr>
        <w:t>Stabilizing transactions permit bids to purchase the underlying security so long as the stabilizing bids do not exceed a specified maximum.</w:t>
      </w:r>
    </w:p>
    <w:p>
      <w:pPr>
        <w:spacing w:after="0" w:line="191" w:lineRule="exact"/>
        <w:rPr>
          <w:rFonts w:ascii="Arial" w:cs="Arial" w:eastAsia="Arial" w:hAnsi="Arial"/>
          <w:sz w:val="10"/>
          <w:szCs w:val="10"/>
          <w:color w:val="auto"/>
        </w:rPr>
      </w:pPr>
    </w:p>
    <w:p>
      <w:pPr>
        <w:ind w:left="2620" w:right="879" w:hanging="288"/>
        <w:spacing w:after="0" w:line="255" w:lineRule="auto"/>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Over-allotment involves sales by the underwriters of ADSs in excess of the number of the ADSs the underwriters are obligated to purchase, which creates a syndicate short position. The short position may be either a covered short position or a naked short position. In a covered short position, the number of the ADSs over-allotted by the underwriters is not greater than the number of the ADSs that they may purchase in the over-allotment option. In a naked short position, the number of the ADSs involved is greater than the number of shares in the over-allotment option. The underwriters may close out any covered short position by either exercising their over-allotment option and/or purchasing shares in the open market.</w:t>
      </w:r>
    </w:p>
    <w:p>
      <w:pPr>
        <w:spacing w:after="0" w:line="146"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Syndicate covering transactions involve purchases of ADSs in the open market after the distribution has been completed in order to cover syndicate short positions. In determining the source of ADSs to</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167</w:t>
      </w:r>
    </w:p>
    <w:p>
      <w:pPr>
        <w:sectPr>
          <w:pgSz w:w="11900" w:h="16838" w:orient="portrait"/>
          <w:cols w:equalWidth="0" w:num="1">
            <w:col w:w="10159"/>
          </w:cols>
          <w:pgMar w:left="300" w:top="354" w:right="1440" w:bottom="1440" w:gutter="0" w:footer="0" w:header="0"/>
          <w:type w:val="continuous"/>
        </w:sectPr>
      </w:pPr>
    </w:p>
    <w:bookmarkStart w:id="178" w:name="page179"/>
    <w:bookmarkEnd w:id="1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39"/>
        <w:spacing w:after="0" w:line="285" w:lineRule="auto"/>
        <w:rPr>
          <w:sz w:val="20"/>
          <w:szCs w:val="20"/>
          <w:color w:val="auto"/>
        </w:rPr>
      </w:pPr>
      <w:r>
        <w:rPr>
          <w:rFonts w:ascii="Arial" w:cs="Arial" w:eastAsia="Arial" w:hAnsi="Arial"/>
          <w:sz w:val="11"/>
          <w:szCs w:val="11"/>
          <w:color w:val="auto"/>
        </w:rPr>
        <w:t>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131" w:lineRule="exact"/>
        <w:rPr>
          <w:sz w:val="20"/>
          <w:szCs w:val="20"/>
          <w:color w:val="auto"/>
        </w:rPr>
      </w:pPr>
    </w:p>
    <w:p>
      <w:pPr>
        <w:ind w:left="2620" w:right="1259" w:hanging="288"/>
        <w:spacing w:after="0" w:line="379" w:lineRule="auto"/>
        <w:tabs>
          <w:tab w:leader="none" w:pos="2620" w:val="left"/>
        </w:tabs>
        <w:numPr>
          <w:ilvl w:val="0"/>
          <w:numId w:val="83"/>
        </w:numPr>
        <w:rPr>
          <w:rFonts w:ascii="Arial" w:cs="Arial" w:eastAsia="Arial" w:hAnsi="Arial"/>
          <w:sz w:val="10"/>
          <w:szCs w:val="10"/>
          <w:color w:val="auto"/>
        </w:rPr>
      </w:pPr>
      <w:r>
        <w:rPr>
          <w:rFonts w:ascii="Arial" w:cs="Arial" w:eastAsia="Arial" w:hAnsi="Arial"/>
          <w:sz w:val="10"/>
          <w:szCs w:val="10"/>
          <w:color w:val="auto"/>
        </w:rPr>
        <w:t>Penalty bids permit the representatives to reclaim a selling concession from a syndicate member when ADSs originally sold by the syndicate member are purchased in a stabilizing transaction or a syndicate covering transaction to cover syndicate short positions.</w:t>
      </w:r>
    </w:p>
    <w:p>
      <w:pPr>
        <w:spacing w:after="0" w:line="69" w:lineRule="exact"/>
        <w:rPr>
          <w:sz w:val="20"/>
          <w:szCs w:val="20"/>
          <w:color w:val="auto"/>
        </w:rPr>
      </w:pPr>
    </w:p>
    <w:p>
      <w:pPr>
        <w:ind w:left="1980" w:right="919" w:firstLine="294"/>
        <w:spacing w:after="0" w:line="309" w:lineRule="auto"/>
        <w:rPr>
          <w:sz w:val="20"/>
          <w:szCs w:val="20"/>
          <w:color w:val="auto"/>
        </w:rPr>
      </w:pPr>
      <w:r>
        <w:rPr>
          <w:rFonts w:ascii="Arial" w:cs="Arial" w:eastAsia="Arial" w:hAnsi="Arial"/>
          <w:sz w:val="10"/>
          <w:szCs w:val="10"/>
          <w:color w:val="auto"/>
        </w:rPr>
        <w:t>These stabilizing transactions, syndicate covering transactions and penalty bids may have the effect of raising or maintaining the market price of ADSs or preventing or retarding a decline in the market price of ADSs. As a result the price of ADSs may be higher than the price that might otherwise</w:t>
      </w:r>
    </w:p>
    <w:p>
      <w:pPr>
        <w:spacing w:after="0" w:line="1" w:lineRule="exact"/>
        <w:rPr>
          <w:sz w:val="20"/>
          <w:szCs w:val="20"/>
          <w:color w:val="auto"/>
        </w:rPr>
      </w:pPr>
    </w:p>
    <w:p>
      <w:pPr>
        <w:ind w:left="1980"/>
        <w:spacing w:after="0"/>
        <w:tabs>
          <w:tab w:leader="none" w:pos="5720" w:val="left"/>
        </w:tabs>
        <w:rPr>
          <w:sz w:val="20"/>
          <w:szCs w:val="20"/>
          <w:color w:val="auto"/>
        </w:rPr>
      </w:pPr>
      <w:r>
        <w:rPr>
          <w:rFonts w:ascii="Arial" w:cs="Arial" w:eastAsia="Arial" w:hAnsi="Arial"/>
          <w:sz w:val="12"/>
          <w:szCs w:val="12"/>
          <w:color w:val="auto"/>
        </w:rPr>
        <w:t>exist in the open market. These transactions may be effected on the</w:t>
      </w:r>
      <w:r>
        <w:rPr>
          <w:sz w:val="20"/>
          <w:szCs w:val="20"/>
          <w:color w:val="auto"/>
        </w:rPr>
        <w:tab/>
      </w:r>
      <w:r>
        <w:rPr>
          <w:rFonts w:ascii="Arial" w:cs="Arial" w:eastAsia="Arial" w:hAnsi="Arial"/>
          <w:sz w:val="10"/>
          <w:szCs w:val="10"/>
          <w:color w:val="auto"/>
        </w:rPr>
        <w:t>and, if commenced, may be discontinued at any time.</w:t>
      </w:r>
    </w:p>
    <w:p>
      <w:pPr>
        <w:spacing w:after="0" w:line="141"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A prospectus in electronic format may be made available on websites maintained by one or more underwriters, or selling group members, if any, participating in this offering and one or more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9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1"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respective affiliates may also make investment recommendations and/or publish or express independent research views in respect of such assets, securities or financial instruments and may at any time hold, or recommend to clients that they acquire, long and/or short positions in such assets, securities and instruments.</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address of Credit Suisse Securities (USA) LLC is 11 Madison Avenue, New York, New York 10010, United States of America. The address of Jefferies LLC is 520 Madison Avenue, New York, New York 10022, United States of America.</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Selling Restrictions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168</w:t>
      </w:r>
    </w:p>
    <w:p>
      <w:pPr>
        <w:sectPr>
          <w:pgSz w:w="11900" w:h="16838" w:orient="portrait"/>
          <w:cols w:equalWidth="0" w:num="1">
            <w:col w:w="10159"/>
          </w:cols>
          <w:pgMar w:left="300" w:top="354" w:right="1440" w:bottom="1440" w:gutter="0" w:footer="0" w:header="0"/>
        </w:sectPr>
      </w:pPr>
    </w:p>
    <w:bookmarkStart w:id="179" w:name="page180"/>
    <w:bookmarkEnd w:id="1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European Economic Area</w:t>
      </w:r>
    </w:p>
    <w:p>
      <w:pPr>
        <w:spacing w:after="0" w:line="150"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46" w:lineRule="exact"/>
        <w:rPr>
          <w:sz w:val="20"/>
          <w:szCs w:val="20"/>
          <w:color w:val="auto"/>
        </w:rPr>
      </w:pPr>
    </w:p>
    <w:p>
      <w:pPr>
        <w:ind w:left="2620" w:hanging="360"/>
        <w:spacing w:after="0"/>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Prospectus Regulation;</w:t>
      </w:r>
    </w:p>
    <w:p>
      <w:pPr>
        <w:spacing w:after="0" w:line="168"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Prospectus Regulation), subject to obtaining the prior consent of the representatives of the underwriters named above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Prospectus Regulation;</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provided that no such offer of ADSs shall require the Company or any underwriters to publish a prospectus pursuant to Article 3 of the Prospectus Regulation or supplement a prospectus pursuant to Article 23 of the Prospectus Regulation. Neither we nor the representatives of the underwriters named above has authorized, nor do they authorize, the making of any offer of ADSs in circumstances in which an obligation arises for us or the underwriters to publish a prospectus for such offer pursuant to Article 3 of the Prospectus Regulation or supplement a prospectus pursuant to Article 23 of the Prospectus Regulation.</w:t>
      </w:r>
    </w:p>
    <w:p>
      <w:pPr>
        <w:spacing w:after="0" w:line="128"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Each person in a Relevant State who initially acquires any ADSs or to whom any offer is made will be deemed to have represented, acknowledged and agreed to and with the Company and the representatives of the underwriters named above that it is a qualified investor within the meaning of Article 2(e) of the Prospectus Regulation.</w:t>
      </w:r>
    </w:p>
    <w:p>
      <w:pPr>
        <w:spacing w:after="0" w:line="122"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In the case of any ADSs being offered to a financial intermediary as that term is used in Article 1(4)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of the underwriters named above has been obtained to each such proposed offer or resale.</w:t>
      </w:r>
    </w:p>
    <w:p>
      <w:pPr>
        <w:spacing w:after="0" w:line="113"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For the purposes of this selling restriction,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above selling restriction is in addition to any other selling restrictions set out below.</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169</w:t>
      </w:r>
    </w:p>
    <w:p>
      <w:pPr>
        <w:sectPr>
          <w:pgSz w:w="11900" w:h="16838" w:orient="portrait"/>
          <w:cols w:equalWidth="0" w:num="1">
            <w:col w:w="10159"/>
          </w:cols>
          <w:pgMar w:left="300" w:top="354" w:right="1440" w:bottom="1440" w:gutter="0" w:footer="0" w:header="0"/>
        </w:sectPr>
      </w:pPr>
    </w:p>
    <w:bookmarkStart w:id="180" w:name="page181"/>
    <w:bookmarkEnd w:id="1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United Kingdom</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An offer to the public of any ADSs may not be made in the United Kingdom, except that an offer to the public in the United Kingdom of 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may be made at any time under the following exemptions under the UK Prospectus Regulation:</w:t>
      </w:r>
    </w:p>
    <w:p>
      <w:pPr>
        <w:spacing w:after="0" w:line="159" w:lineRule="exact"/>
        <w:rPr>
          <w:sz w:val="20"/>
          <w:szCs w:val="20"/>
          <w:color w:val="auto"/>
        </w:rPr>
      </w:pPr>
    </w:p>
    <w:p>
      <w:pPr>
        <w:ind w:left="2620" w:hanging="360"/>
        <w:spacing w:after="0"/>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UK Prospectus Regulation;</w:t>
      </w:r>
    </w:p>
    <w:p>
      <w:pPr>
        <w:spacing w:after="0" w:line="168" w:lineRule="exact"/>
        <w:rPr>
          <w:rFonts w:ascii="Arial" w:cs="Arial" w:eastAsia="Arial" w:hAnsi="Arial"/>
          <w:sz w:val="12"/>
          <w:szCs w:val="12"/>
          <w:color w:val="auto"/>
        </w:rPr>
      </w:pPr>
    </w:p>
    <w:p>
      <w:pPr>
        <w:ind w:left="2620" w:right="1099" w:hanging="360"/>
        <w:spacing w:after="0" w:line="276" w:lineRule="auto"/>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UK Prospectus Regulation), subject to obtaining the prior consent of the representatives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in any other circumstances falling within section 86 of the Financial Services and Markets Act 2000 (as amended, “FSMA”);</w:t>
      </w:r>
    </w:p>
    <w:p>
      <w:pPr>
        <w:spacing w:after="0" w:line="150"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provided that no such offer of ADSs shall result in a requirement for the Company or any underwriters to publish a prospectus pursuant to section 85 of the FSMA or a supplemental prospectus pursuant to Article 23 of the UK Prospectus Regulation. Neither we nor the representatives of the underwriters named above have authorized, nor do they authorize, the making of any offer of ADSs in circumstances in which an obligation arises for us or the underwriters to publish a prospectus for such offering pursuant to section 85 of the FSMA or supplement a prospectus pursuant to Article 23 of the UK Prospectus Regulation.</w:t>
      </w:r>
    </w:p>
    <w:p>
      <w:pPr>
        <w:spacing w:after="0" w:line="128"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Each person who initially acquires any ADSs or to whom any offer is made will be deemed to have represented, acknowledged and agreed to and with the Company and the representatives that it is a qualified investor within the meaning of Article 2 of the UK Prospectus Regulation.</w:t>
      </w:r>
    </w:p>
    <w:p>
      <w:pPr>
        <w:spacing w:after="0" w:line="9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In the case of any ADSs being offered to a financial intermediary as that term is used in Article 1(4) of the UK Prospectus Regulation, each financial intermediary will also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the United Kingdom to qualified investors within the meaning of the UK Prospectus Regulation or in circumstances in which the prior consent of the representatives has been obtained to each such proposed offer or resale.</w:t>
      </w:r>
    </w:p>
    <w:p>
      <w:pPr>
        <w:spacing w:after="0" w:line="128"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For the purposes of this selling restriction, the expression an “offer to the public” in relation to any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Canada</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ADSs may be sold only to purchasers purchasing, or deemed to be purchasing, as principal that are accredited investors, as defined in</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National Instrument 45-106 Prospectus Exemptions or subsection 73.3(1) of the Securities Act (Ontario), and are permitted clients, as defined in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National Instrument 31-103 Registration</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170</w:t>
      </w:r>
    </w:p>
    <w:p>
      <w:pPr>
        <w:sectPr>
          <w:pgSz w:w="11900" w:h="16838" w:orient="portrait"/>
          <w:cols w:equalWidth="0" w:num="1">
            <w:col w:w="10159"/>
          </w:cols>
          <w:pgMar w:left="300" w:top="354" w:right="1440" w:bottom="1440" w:gutter="0" w:footer="0" w:header="0"/>
        </w:sectPr>
      </w:pPr>
    </w:p>
    <w:bookmarkStart w:id="181" w:name="page182"/>
    <w:bookmarkEnd w:id="1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Requirements, Exemptions and Ongoing Registrant Obligations. Any resale of the ADSs must be made in accordance with an exemption from, or in a transaction not subject to, the prospectus requirements of applicable securities laws.</w:t>
      </w:r>
    </w:p>
    <w:p>
      <w:pPr>
        <w:spacing w:after="0" w:line="115"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Switzerland</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13"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Neither this document nor any other offering or marketing material relating to the offering, the Company or the ADSs has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Hong Kong</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Singapore</w:t>
      </w:r>
    </w:p>
    <w:p>
      <w:pPr>
        <w:spacing w:after="0" w:line="15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the ADSs were not offered or sold or caused to be made the subject of an invitation for subscription or purchase and will not be offered or sold or caused to be made the subject of an invitation for subscription or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171</w:t>
      </w:r>
    </w:p>
    <w:p>
      <w:pPr>
        <w:sectPr>
          <w:pgSz w:w="11900" w:h="16838" w:orient="portrait"/>
          <w:cols w:equalWidth="0" w:num="1">
            <w:col w:w="10159"/>
          </w:cols>
          <w:pgMar w:left="300" w:top="354" w:right="1440" w:bottom="1440" w:gutter="0" w:footer="0" w:header="0"/>
        </w:sectPr>
      </w:pPr>
    </w:p>
    <w:bookmarkStart w:id="182" w:name="page183"/>
    <w:bookmarkEnd w:id="1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09" w:lineRule="auto"/>
        <w:rPr>
          <w:sz w:val="20"/>
          <w:szCs w:val="20"/>
          <w:color w:val="auto"/>
        </w:rPr>
      </w:pPr>
      <w:r>
        <w:rPr>
          <w:rFonts w:ascii="Arial" w:cs="Arial" w:eastAsia="Arial" w:hAnsi="Arial"/>
          <w:sz w:val="10"/>
          <w:szCs w:val="10"/>
          <w:color w:val="auto"/>
        </w:rPr>
        <w:t>purchase, and this prospectus or any other document or material in connection with the offer or sale, or invitation for subscription or purchase, of the ADSs, has not been circulated or distributed, nor will it be circulated or distributed, whether directly or indirectly, to any person in Singapore other than</w:t>
      </w:r>
    </w:p>
    <w:p>
      <w:pPr>
        <w:spacing w:after="0" w:line="1" w:lineRule="exact"/>
        <w:rPr>
          <w:sz w:val="20"/>
          <w:szCs w:val="20"/>
          <w:color w:val="auto"/>
        </w:rPr>
      </w:pPr>
    </w:p>
    <w:p>
      <w:pPr>
        <w:jc w:val="both"/>
        <w:ind w:left="1980" w:right="839" w:hanging="8"/>
        <w:spacing w:after="0" w:line="284" w:lineRule="auto"/>
        <w:tabs>
          <w:tab w:leader="none" w:pos="2123" w:val="left"/>
        </w:tabs>
        <w:numPr>
          <w:ilvl w:val="0"/>
          <w:numId w:val="86"/>
        </w:numPr>
        <w:rPr>
          <w:rFonts w:ascii="Arial" w:cs="Arial" w:eastAsia="Arial" w:hAnsi="Arial"/>
          <w:sz w:val="11"/>
          <w:szCs w:val="11"/>
          <w:color w:val="auto"/>
        </w:rPr>
      </w:pPr>
      <w:r>
        <w:rPr>
          <w:rFonts w:ascii="Arial" w:cs="Arial" w:eastAsia="Arial" w:hAnsi="Arial"/>
          <w:sz w:val="11"/>
          <w:szCs w:val="11"/>
          <w:color w:val="auto"/>
        </w:rPr>
        <w:t>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1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Where the ADSs are subscribed or purchased under Section 275 of the SFA by a relevant person who is:</w:t>
      </w:r>
    </w:p>
    <w:p>
      <w:pPr>
        <w:spacing w:after="0" w:line="168" w:lineRule="exact"/>
        <w:rPr>
          <w:sz w:val="20"/>
          <w:szCs w:val="20"/>
          <w:color w:val="auto"/>
        </w:rPr>
      </w:pPr>
    </w:p>
    <w:p>
      <w:pPr>
        <w:ind w:left="2620" w:right="919" w:hanging="360"/>
        <w:spacing w:after="0" w:line="323" w:lineRule="auto"/>
        <w:tabs>
          <w:tab w:leader="none" w:pos="2620" w:val="left"/>
        </w:tabs>
        <w:numPr>
          <w:ilvl w:val="0"/>
          <w:numId w:val="87"/>
        </w:numPr>
        <w:rPr>
          <w:rFonts w:ascii="Arial" w:cs="Arial" w:eastAsia="Arial" w:hAnsi="Arial"/>
          <w:sz w:val="11"/>
          <w:szCs w:val="11"/>
          <w:color w:val="auto"/>
        </w:rPr>
      </w:pPr>
      <w:r>
        <w:rPr>
          <w:rFonts w:ascii="Arial" w:cs="Arial" w:eastAsia="Arial" w:hAnsi="Arial"/>
          <w:sz w:val="11"/>
          <w:szCs w:val="11"/>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9" w:lineRule="exact"/>
        <w:rPr>
          <w:rFonts w:ascii="Arial" w:cs="Arial" w:eastAsia="Arial" w:hAnsi="Arial"/>
          <w:sz w:val="11"/>
          <w:szCs w:val="11"/>
          <w:color w:val="auto"/>
        </w:rPr>
      </w:pPr>
    </w:p>
    <w:p>
      <w:pPr>
        <w:ind w:left="2620" w:right="1059" w:hanging="360"/>
        <w:spacing w:after="0" w:line="276" w:lineRule="auto"/>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a trust (where the trustee is not an accredited investor) whose sole purpose is to hold investments and each beneficiary of the trust is an individual who is an accredited investor,</w:t>
      </w:r>
    </w:p>
    <w:p>
      <w:pPr>
        <w:spacing w:after="0" w:line="115"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ADSs pursuant to an offer made under Section 275 of the SFA except:</w:t>
      </w:r>
    </w:p>
    <w:p>
      <w:pPr>
        <w:spacing w:after="0" w:line="122" w:lineRule="exact"/>
        <w:rPr>
          <w:sz w:val="20"/>
          <w:szCs w:val="20"/>
          <w:color w:val="auto"/>
        </w:rPr>
      </w:pPr>
    </w:p>
    <w:p>
      <w:pPr>
        <w:ind w:left="1980" w:right="899" w:firstLine="286"/>
        <w:spacing w:after="0" w:line="276" w:lineRule="auto"/>
        <w:tabs>
          <w:tab w:leader="none" w:pos="2417" w:val="left"/>
        </w:tabs>
        <w:numPr>
          <w:ilvl w:val="0"/>
          <w:numId w:val="88"/>
        </w:numPr>
        <w:rPr>
          <w:rFonts w:ascii="Arial" w:cs="Arial" w:eastAsia="Arial" w:hAnsi="Arial"/>
          <w:sz w:val="12"/>
          <w:szCs w:val="12"/>
          <w:color w:val="auto"/>
        </w:rPr>
      </w:pPr>
      <w:r>
        <w:rPr>
          <w:rFonts w:ascii="Arial" w:cs="Arial" w:eastAsia="Arial" w:hAnsi="Arial"/>
          <w:sz w:val="12"/>
          <w:szCs w:val="12"/>
          <w:color w:val="auto"/>
        </w:rPr>
        <w:t>to an institutional investor or to a relevant person, or to any person arising from an offer referred to in Section 275(1A) or Section 276(4)(i)(B) of the SFA;</w:t>
      </w:r>
    </w:p>
    <w:p>
      <w:pPr>
        <w:spacing w:after="0" w:line="114" w:lineRule="exact"/>
        <w:rPr>
          <w:rFonts w:ascii="Arial" w:cs="Arial" w:eastAsia="Arial" w:hAnsi="Arial"/>
          <w:sz w:val="12"/>
          <w:szCs w:val="12"/>
          <w:color w:val="auto"/>
        </w:rPr>
      </w:pPr>
    </w:p>
    <w:p>
      <w:pPr>
        <w:ind w:left="2440" w:hanging="174"/>
        <w:spacing w:after="0"/>
        <w:tabs>
          <w:tab w:leader="none" w:pos="24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where no consideration is or will be given for the transfer;</w:t>
      </w:r>
    </w:p>
    <w:p>
      <w:pPr>
        <w:spacing w:after="0" w:line="150" w:lineRule="exact"/>
        <w:rPr>
          <w:rFonts w:ascii="Arial" w:cs="Arial" w:eastAsia="Arial" w:hAnsi="Arial"/>
          <w:sz w:val="12"/>
          <w:szCs w:val="12"/>
          <w:color w:val="auto"/>
        </w:rPr>
      </w:pPr>
    </w:p>
    <w:p>
      <w:pPr>
        <w:ind w:left="2480" w:hanging="214"/>
        <w:spacing w:after="0"/>
        <w:tabs>
          <w:tab w:leader="none" w:pos="24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where the transfer is by operation of law;</w:t>
      </w:r>
    </w:p>
    <w:p>
      <w:pPr>
        <w:spacing w:after="0" w:line="150" w:lineRule="exact"/>
        <w:rPr>
          <w:rFonts w:ascii="Arial" w:cs="Arial" w:eastAsia="Arial" w:hAnsi="Arial"/>
          <w:sz w:val="12"/>
          <w:szCs w:val="12"/>
          <w:color w:val="auto"/>
        </w:rPr>
      </w:pPr>
    </w:p>
    <w:p>
      <w:pPr>
        <w:ind w:left="2460" w:hanging="194"/>
        <w:spacing w:after="0"/>
        <w:tabs>
          <w:tab w:leader="none" w:pos="24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as specified in Section 276(7) of the SFA; or</w:t>
      </w:r>
    </w:p>
    <w:p>
      <w:pPr>
        <w:spacing w:after="0" w:line="150" w:lineRule="exact"/>
        <w:rPr>
          <w:rFonts w:ascii="Arial" w:cs="Arial" w:eastAsia="Arial" w:hAnsi="Arial"/>
          <w:sz w:val="12"/>
          <w:szCs w:val="12"/>
          <w:color w:val="auto"/>
        </w:rPr>
      </w:pPr>
    </w:p>
    <w:p>
      <w:pPr>
        <w:ind w:left="1980" w:right="1119" w:firstLine="286"/>
        <w:spacing w:after="0" w:line="276" w:lineRule="auto"/>
        <w:tabs>
          <w:tab w:leader="none" w:pos="2443" w:val="left"/>
        </w:tabs>
        <w:numPr>
          <w:ilvl w:val="0"/>
          <w:numId w:val="88"/>
        </w:numPr>
        <w:rPr>
          <w:rFonts w:ascii="Arial" w:cs="Arial" w:eastAsia="Arial" w:hAnsi="Arial"/>
          <w:sz w:val="12"/>
          <w:szCs w:val="12"/>
          <w:color w:val="auto"/>
        </w:rPr>
      </w:pPr>
      <w:r>
        <w:rPr>
          <w:rFonts w:ascii="Arial" w:cs="Arial" w:eastAsia="Arial" w:hAnsi="Arial"/>
          <w:sz w:val="12"/>
          <w:szCs w:val="12"/>
          <w:color w:val="auto"/>
        </w:rPr>
        <w:t>as specified in Regulation 37A of the Securities and Futures (Offers of Investment) (Securities and Securities based Derivatives Contract) Regulations 2018.</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Australia</w:t>
      </w:r>
    </w:p>
    <w:p>
      <w:pPr>
        <w:spacing w:after="0" w:line="150"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11"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172</w:t>
      </w:r>
    </w:p>
    <w:p>
      <w:pPr>
        <w:sectPr>
          <w:pgSz w:w="11900" w:h="16838" w:orient="portrait"/>
          <w:cols w:equalWidth="0" w:num="1">
            <w:col w:w="10159"/>
          </w:cols>
          <w:pgMar w:left="300" w:top="354" w:right="1440" w:bottom="1440" w:gutter="0" w:footer="0" w:header="0"/>
        </w:sectPr>
      </w:pPr>
    </w:p>
    <w:bookmarkStart w:id="183" w:name="page184"/>
    <w:bookmarkEnd w:id="1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People’s Republic of China</w:t>
      </w:r>
    </w:p>
    <w:p>
      <w:pPr>
        <w:spacing w:after="0" w:line="150" w:lineRule="exact"/>
        <w:rPr>
          <w:sz w:val="20"/>
          <w:szCs w:val="20"/>
          <w:color w:val="auto"/>
        </w:rPr>
      </w:pPr>
    </w:p>
    <w:p>
      <w:pPr>
        <w:ind w:left="1980" w:right="1059" w:firstLine="294"/>
        <w:spacing w:after="0" w:line="323" w:lineRule="auto"/>
        <w:rPr>
          <w:sz w:val="20"/>
          <w:szCs w:val="20"/>
          <w:color w:val="auto"/>
        </w:rPr>
      </w:pPr>
      <w:r>
        <w:rPr>
          <w:rFonts w:ascii="Arial" w:cs="Arial" w:eastAsia="Arial" w:hAnsi="Arial"/>
          <w:sz w:val="11"/>
          <w:szCs w:val="11"/>
          <w:color w:val="auto"/>
        </w:rPr>
        <w:t>This document does not constitute a public offer of ADSs, whether by sale or subscription, in the People’s Republic of China, or the PRC. The ADSs are not being offered or sold directly or indirectly in the PRC to, or for the benefit of, legal or natural persons of the PRC.</w:t>
      </w:r>
    </w:p>
    <w:p>
      <w:pPr>
        <w:spacing w:after="0" w:line="9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Further, no legal or natural persons of the PRC may directly or indirectly purchase any of the ADSs or any beneficial interest therein without obtaining all prior PRC governmental approvals that are required, whether statutorily or otherwise. Persons who come into possession of this prospectus are required by us and our representatives to observe these restrictions.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Dubai International Financial Centre</w:t>
      </w:r>
    </w:p>
    <w:p>
      <w:pPr>
        <w:spacing w:after="0" w:line="150"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Japan</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173</w:t>
      </w:r>
    </w:p>
    <w:p>
      <w:pPr>
        <w:sectPr>
          <w:pgSz w:w="11900" w:h="16838" w:orient="portrait"/>
          <w:cols w:equalWidth="0" w:num="1">
            <w:col w:w="10159"/>
          </w:cols>
          <w:pgMar w:left="300" w:top="354" w:right="1440" w:bottom="1440" w:gutter="0" w:footer="0" w:header="0"/>
        </w:sectPr>
      </w:pPr>
    </w:p>
    <w:bookmarkStart w:id="184" w:name="page185"/>
    <w:bookmarkEnd w:id="1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EXPENSES OF THE OFFERING</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Set forth below is an itemization of the total expenses, excluding underwriting discounts and commissions, that we expect to incur in connection</w:t>
      </w:r>
    </w:p>
    <w:p>
      <w:pPr>
        <w:spacing w:after="0" w:line="26" w:lineRule="exact"/>
        <w:rPr>
          <w:sz w:val="20"/>
          <w:szCs w:val="20"/>
          <w:color w:val="auto"/>
        </w:rPr>
      </w:pPr>
    </w:p>
    <w:p>
      <w:pPr>
        <w:ind w:left="1980" w:right="999"/>
        <w:spacing w:after="0" w:line="260" w:lineRule="auto"/>
        <w:rPr>
          <w:sz w:val="20"/>
          <w:szCs w:val="20"/>
          <w:color w:val="auto"/>
        </w:rPr>
      </w:pPr>
      <w:r>
        <w:rPr>
          <w:rFonts w:ascii="Arial" w:cs="Arial" w:eastAsia="Arial" w:hAnsi="Arial"/>
          <w:sz w:val="12"/>
          <w:szCs w:val="12"/>
          <w:color w:val="auto"/>
        </w:rPr>
        <w:t>with the offer and sale of our ADSs. With the exception of the Securities and Exchange Commission registration fee, the listing fee and the FINRA filing fee, all of these amounts are estimates.</w:t>
      </w: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6"/>
              </w:rPr>
              <w:t>Expenses</w:t>
            </w:r>
          </w:p>
        </w:tc>
        <w:tc>
          <w:tcPr>
            <w:tcW w:w="6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r>
      <w:tr>
        <w:trPr>
          <w:trHeight w:val="113"/>
        </w:trPr>
        <w:tc>
          <w:tcPr>
            <w:tcW w:w="66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 Securities and Exchange Commission registration fee</w:t>
            </w:r>
          </w:p>
        </w:tc>
        <w:tc>
          <w:tcPr>
            <w:tcW w:w="10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FINRA filing fee</w:t>
            </w:r>
          </w:p>
        </w:tc>
        <w:tc>
          <w:tcPr>
            <w:tcW w:w="100" w:type="dxa"/>
            <w:vAlign w:val="bottom"/>
          </w:tcPr>
          <w:p>
            <w:pPr>
              <w:spacing w:after="0"/>
              <w:rPr>
                <w:sz w:val="11"/>
                <w:szCs w:val="11"/>
                <w:color w:val="auto"/>
              </w:rPr>
            </w:pPr>
          </w:p>
        </w:tc>
        <w:tc>
          <w:tcPr>
            <w:tcW w:w="580" w:type="dxa"/>
            <w:vAlign w:val="bottom"/>
            <w:gridSpan w:val="2"/>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listing fee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Legal fees and expenses</w:t>
            </w:r>
          </w:p>
        </w:tc>
        <w:tc>
          <w:tcPr>
            <w:tcW w:w="100" w:type="dxa"/>
            <w:vAlign w:val="bottom"/>
          </w:tcPr>
          <w:p>
            <w:pPr>
              <w:spacing w:after="0"/>
              <w:rPr>
                <w:sz w:val="11"/>
                <w:szCs w:val="11"/>
                <w:color w:val="auto"/>
              </w:rPr>
            </w:pPr>
          </w:p>
        </w:tc>
        <w:tc>
          <w:tcPr>
            <w:tcW w:w="580" w:type="dxa"/>
            <w:vAlign w:val="bottom"/>
            <w:gridSpan w:val="2"/>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Accounting fees and expenses</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Corporate advisory fees and expenses</w:t>
            </w:r>
          </w:p>
        </w:tc>
        <w:tc>
          <w:tcPr>
            <w:tcW w:w="100" w:type="dxa"/>
            <w:vAlign w:val="bottom"/>
          </w:tcPr>
          <w:p>
            <w:pPr>
              <w:spacing w:after="0"/>
              <w:rPr>
                <w:sz w:val="11"/>
                <w:szCs w:val="11"/>
                <w:color w:val="auto"/>
              </w:rPr>
            </w:pPr>
          </w:p>
        </w:tc>
        <w:tc>
          <w:tcPr>
            <w:tcW w:w="580" w:type="dxa"/>
            <w:vAlign w:val="bottom"/>
            <w:gridSpan w:val="2"/>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Printing fee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Other fees and expenses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r>
      <w:tr>
        <w:trPr>
          <w:trHeight w:val="142"/>
        </w:trPr>
        <w:tc>
          <w:tcPr>
            <w:tcW w:w="66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89"/>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hanging="288"/>
        <w:spacing w:after="0"/>
        <w:tabs>
          <w:tab w:leader="none" w:pos="2260" w:val="left"/>
        </w:tabs>
        <w:numPr>
          <w:ilvl w:val="0"/>
          <w:numId w:val="89"/>
        </w:numPr>
        <w:rPr>
          <w:rFonts w:ascii="Arial" w:cs="Arial" w:eastAsia="Arial" w:hAnsi="Arial"/>
          <w:sz w:val="10"/>
          <w:szCs w:val="10"/>
          <w:color w:val="auto"/>
        </w:rPr>
      </w:pPr>
      <w:r>
        <w:rPr>
          <w:rFonts w:ascii="Arial" w:cs="Arial" w:eastAsia="Arial" w:hAnsi="Arial"/>
          <w:sz w:val="10"/>
          <w:szCs w:val="10"/>
          <w:color w:val="auto"/>
        </w:rPr>
        <w:t>To be provided by amendment.</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174</w:t>
      </w:r>
    </w:p>
    <w:p>
      <w:pPr>
        <w:sectPr>
          <w:pgSz w:w="11900" w:h="16838" w:orient="portrait"/>
          <w:cols w:equalWidth="0" w:num="1">
            <w:col w:w="10159"/>
          </w:cols>
          <w:pgMar w:left="300" w:top="354" w:right="1440" w:bottom="1440" w:gutter="0" w:footer="0" w:header="0"/>
        </w:sectPr>
      </w:pPr>
    </w:p>
    <w:bookmarkStart w:id="185" w:name="page186"/>
    <w:bookmarkEnd w:id="1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validity of the shares and the ADSs with respect to German and U.S. federal law and New York state law in connection with this offering will be passed upon for us by Sullivan &amp; Cromwell LLP, our German and U.S. counsel. Certain legal matters with respect to U.S. federal law and New York state law in connection with this offering will be passed upon for the underwriters by Cravath, Swaine &amp; Moore LLP, U.S. counsel for the underwriters. Certain legal matters with respect to German law in connection with this offering will be passed upon for the underwriters by Hengeler Mueller Partnerschaft von Rechtsanwälten mbB, German counsel for the underwriters.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175</w:t>
      </w:r>
    </w:p>
    <w:p>
      <w:pPr>
        <w:sectPr>
          <w:pgSz w:w="11900" w:h="16838" w:orient="portrait"/>
          <w:cols w:equalWidth="0" w:num="1">
            <w:col w:w="10159"/>
          </w:cols>
          <w:pgMar w:left="300" w:top="354" w:right="1440" w:bottom="1440" w:gutter="0" w:footer="0" w:header="0"/>
        </w:sectPr>
      </w:pPr>
    </w:p>
    <w:bookmarkStart w:id="186" w:name="page187"/>
    <w:bookmarkEnd w:id="1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consolidated financial statements of Mynaric AG as of December 31, 2020 and 2019, and for each of the years in the two-year period ended December 31, 2020, have been included herein in reliance upon the report of KPMG AG Wirtschaftsprüfungsgesellschaft (“KPMG”), independent registered public accounting firm, appearing elsewhere herein, and upon the authority of said firm as experts in accounting and auditing.</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176</w:t>
      </w:r>
    </w:p>
    <w:p>
      <w:pPr>
        <w:sectPr>
          <w:pgSz w:w="11900" w:h="16838" w:orient="portrait"/>
          <w:cols w:equalWidth="0" w:num="1">
            <w:col w:w="10159"/>
          </w:cols>
          <w:pgMar w:left="300" w:top="354" w:right="1440" w:bottom="1440" w:gutter="0" w:footer="0" w:header="0"/>
        </w:sectPr>
      </w:pPr>
    </w:p>
    <w:bookmarkStart w:id="187" w:name="page188"/>
    <w:bookmarkEnd w:id="1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ENFORCEMENT OF CIVIL LIABILITIES</w:t>
      </w:r>
    </w:p>
    <w:p>
      <w:pPr>
        <w:spacing w:after="0" w:line="154" w:lineRule="exact"/>
        <w:rPr>
          <w:sz w:val="20"/>
          <w:szCs w:val="20"/>
          <w:color w:val="auto"/>
        </w:rPr>
      </w:pPr>
    </w:p>
    <w:p>
      <w:pPr>
        <w:ind w:left="1980" w:right="839" w:firstLine="294"/>
        <w:spacing w:after="0" w:line="306" w:lineRule="auto"/>
        <w:rPr>
          <w:sz w:val="20"/>
          <w:szCs w:val="20"/>
          <w:color w:val="auto"/>
        </w:rPr>
      </w:pPr>
      <w:r>
        <w:rPr>
          <w:rFonts w:ascii="Arial" w:cs="Arial" w:eastAsia="Arial" w:hAnsi="Arial"/>
          <w:sz w:val="10"/>
          <w:szCs w:val="10"/>
          <w:color w:val="auto"/>
        </w:rPr>
        <w:t>We are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organized under the laws of the Federal Republic of Germany. Our registered office and most of our assets are located outside of the United States. In addition, two out of three members of our management board, four out of five members of our supervisory board and the experts named herein are residents of Germany or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 Awards of punitive damages in actions brought in the United States or elsewhere are generally not enforceable in Germany. In addition, actions brought in a German court against us or the members of our management board and supervisory board,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With very narrow exceptions,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the members of our management board, supervisory board, or senior management and the experts named in this prospectus. In addition, even if a judgment against our company, members of our management board, supervisory board, our senior management or the experts named in this prospectus based on the civil liability provisions of the U.S. federal securities laws is obtained, a U.S. investor may not be able to enforce it in U.S. or German courts.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177</w:t>
      </w:r>
    </w:p>
    <w:p>
      <w:pPr>
        <w:sectPr>
          <w:pgSz w:w="11900" w:h="16838" w:orient="portrait"/>
          <w:cols w:equalWidth="0" w:num="1">
            <w:col w:w="10159"/>
          </w:cols>
          <w:pgMar w:left="300" w:top="354" w:right="1440" w:bottom="1440" w:gutter="0" w:footer="0" w:header="0"/>
        </w:sectPr>
      </w:pPr>
    </w:p>
    <w:bookmarkStart w:id="188" w:name="page189"/>
    <w:bookmarkEnd w:id="1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28"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Upon completion of this offering, we will become subject to the informational reporting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24"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As a foreign private issuer, we are exempt under the Exchange Act from, among other things, the rules prescribing the furnishing and content of proxy statements, and our executive officers, management board members, supervisory board members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2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will send the depositary a copy of all notices of shareholders’ meetings and other reports, communications and information that are made generally available to shareholders. The depositary has agreed to mail to all shareholders a notice containing the information (or a summary of the information) contained in any notice of a meeting of our shareholders received by the depositary and will make available to all shareholders such notices and all such other reports and communications received by the depositary.</w:t>
      </w:r>
    </w:p>
    <w:p>
      <w:pPr>
        <w:spacing w:after="0" w:line="124"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Our SEC filings, including the registration statement on Form F-1, are also available to you on the SEC’s website at http://www.sec.gov.</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178</w:t>
      </w:r>
    </w:p>
    <w:p>
      <w:pPr>
        <w:sectPr>
          <w:pgSz w:w="11900" w:h="16838" w:orient="portrait"/>
          <w:cols w:equalWidth="0" w:num="1">
            <w:col w:w="10159"/>
          </w:cols>
          <w:pgMar w:left="300" w:top="354" w:right="1440" w:bottom="1440" w:gutter="0" w:footer="0" w:header="0"/>
        </w:sectPr>
      </w:pPr>
    </w:p>
    <w:bookmarkStart w:id="189" w:name="page190"/>
    <w:bookmarkEnd w:id="1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INDEX TO FINANCIAL STATEMENTS</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1"/>
              </w:rPr>
              <w:t>Page</w:t>
            </w:r>
          </w:p>
        </w:tc>
      </w:tr>
      <w:tr>
        <w:trPr>
          <w:trHeight w:val="124"/>
        </w:trPr>
        <w:tc>
          <w:tcPr>
            <w:tcW w:w="7020" w:type="dxa"/>
            <w:vAlign w:val="bottom"/>
            <w:tcBorders>
              <w:top w:val="single" w:sz="8" w:color="CCEEFF"/>
            </w:tcBorders>
            <w:gridSpan w:val="11"/>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Unaudited Consolidated Interim Financial Statements of Mynaric AG</w:t>
            </w:r>
          </w:p>
        </w:tc>
        <w:tc>
          <w:tcPr>
            <w:tcW w:w="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4"/>
        </w:trPr>
        <w:tc>
          <w:tcPr>
            <w:tcW w:w="7020" w:type="dxa"/>
            <w:vAlign w:val="bottom"/>
            <w:gridSpan w:val="11"/>
          </w:tcPr>
          <w:p>
            <w:pPr>
              <w:spacing w:after="0" w:line="117" w:lineRule="exact"/>
              <w:rPr>
                <w:rFonts w:ascii="Arial" w:cs="Arial" w:eastAsia="Arial" w:hAnsi="Arial"/>
                <w:sz w:val="12"/>
                <w:szCs w:val="12"/>
                <w:color w:val="0000EE"/>
              </w:rPr>
            </w:pPr>
            <w:hyperlink w:anchor="page191">
              <w:r>
                <w:rPr>
                  <w:rFonts w:ascii="Arial" w:cs="Arial" w:eastAsia="Arial" w:hAnsi="Arial"/>
                  <w:sz w:val="12"/>
                  <w:szCs w:val="12"/>
                  <w:color w:val="0000EE"/>
                </w:rPr>
                <w:t>Condensed Consolidated Statements of Profit or Loss and Other Comprehensive Income</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w:t>
            </w:r>
          </w:p>
        </w:tc>
      </w:tr>
      <w:tr>
        <w:trPr>
          <w:trHeight w:val="124"/>
        </w:trPr>
        <w:tc>
          <w:tcPr>
            <w:tcW w:w="2780" w:type="dxa"/>
            <w:vAlign w:val="bottom"/>
            <w:tcBorders>
              <w:top w:val="single" w:sz="8" w:color="0000EE"/>
              <w:bottom w:val="single" w:sz="8" w:color="0000EE"/>
            </w:tcBorders>
            <w:gridSpan w:val="6"/>
            <w:shd w:val="clear" w:color="auto" w:fill="CCEEFF"/>
          </w:tcPr>
          <w:p>
            <w:pPr>
              <w:spacing w:after="0" w:line="117" w:lineRule="exact"/>
              <w:rPr>
                <w:rFonts w:ascii="Arial" w:cs="Arial" w:eastAsia="Arial" w:hAnsi="Arial"/>
                <w:sz w:val="12"/>
                <w:szCs w:val="12"/>
                <w:color w:val="0000EE"/>
                <w:w w:val="89"/>
              </w:rPr>
            </w:pPr>
            <w:hyperlink w:anchor="page192">
              <w:r>
                <w:rPr>
                  <w:rFonts w:ascii="Arial" w:cs="Arial" w:eastAsia="Arial" w:hAnsi="Arial"/>
                  <w:sz w:val="12"/>
                  <w:szCs w:val="12"/>
                  <w:color w:val="0000EE"/>
                  <w:w w:val="89"/>
                </w:rPr>
                <w:t>Condensed Consolidated Statements of Financial Position</w:t>
              </w:r>
            </w:hyperlink>
          </w:p>
        </w:tc>
        <w:tc>
          <w:tcPr>
            <w:tcW w:w="1460" w:type="dxa"/>
            <w:vAlign w:val="bottom"/>
            <w:tcBorders>
              <w:top w:val="single" w:sz="8" w:color="0000EE"/>
              <w:bottom w:val="single" w:sz="8" w:color="CCEEFF"/>
            </w:tcBorders>
            <w:gridSpan w:val="4"/>
            <w:shd w:val="clear" w:color="auto" w:fill="CCEEFF"/>
          </w:tcPr>
          <w:p>
            <w:pPr>
              <w:spacing w:after="0"/>
              <w:rPr>
                <w:sz w:val="10"/>
                <w:szCs w:val="10"/>
                <w:color w:val="auto"/>
              </w:rPr>
            </w:pPr>
          </w:p>
        </w:tc>
        <w:tc>
          <w:tcPr>
            <w:tcW w:w="27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F-3</w:t>
            </w:r>
          </w:p>
        </w:tc>
      </w:tr>
      <w:tr>
        <w:trPr>
          <w:trHeight w:val="124"/>
        </w:trPr>
        <w:tc>
          <w:tcPr>
            <w:tcW w:w="2800" w:type="dxa"/>
            <w:vAlign w:val="bottom"/>
            <w:tcBorders>
              <w:bottom w:val="single" w:sz="8" w:color="0000EE"/>
            </w:tcBorders>
            <w:gridSpan w:val="7"/>
          </w:tcPr>
          <w:p>
            <w:pPr>
              <w:spacing w:after="0" w:line="117" w:lineRule="exact"/>
              <w:rPr>
                <w:rFonts w:ascii="Arial" w:cs="Arial" w:eastAsia="Arial" w:hAnsi="Arial"/>
                <w:sz w:val="12"/>
                <w:szCs w:val="12"/>
                <w:color w:val="0000EE"/>
                <w:w w:val="88"/>
              </w:rPr>
            </w:pPr>
            <w:hyperlink w:anchor="page193">
              <w:r>
                <w:rPr>
                  <w:rFonts w:ascii="Arial" w:cs="Arial" w:eastAsia="Arial" w:hAnsi="Arial"/>
                  <w:sz w:val="12"/>
                  <w:szCs w:val="12"/>
                  <w:color w:val="0000EE"/>
                  <w:w w:val="88"/>
                </w:rPr>
                <w:t>Condensed Consolidated Statements of Changes in Equity</w:t>
              </w:r>
            </w:hyperlink>
          </w:p>
        </w:tc>
        <w:tc>
          <w:tcPr>
            <w:tcW w:w="4220" w:type="dxa"/>
            <w:vAlign w:val="bottom"/>
            <w:gridSpan w:val="4"/>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F-4</w:t>
            </w:r>
          </w:p>
        </w:tc>
      </w:tr>
      <w:tr>
        <w:trPr>
          <w:trHeight w:val="117"/>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194">
              <w:r>
                <w:rPr>
                  <w:rFonts w:ascii="Arial" w:cs="Arial" w:eastAsia="Arial" w:hAnsi="Arial"/>
                  <w:sz w:val="12"/>
                  <w:szCs w:val="12"/>
                  <w:color w:val="0000EE"/>
                </w:rPr>
                <w:t>Condensed Consolidated Statements of Cash Flows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F-5</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195">
              <w:r>
                <w:rPr>
                  <w:rFonts w:ascii="Arial" w:cs="Arial" w:eastAsia="Arial" w:hAnsi="Arial"/>
                  <w:sz w:val="12"/>
                  <w:szCs w:val="12"/>
                  <w:color w:val="0000EE"/>
                </w:rPr>
                <w:t>Notes to the Condensed Consolidated Interim Financial Statements</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F-6</w:t>
            </w:r>
          </w:p>
        </w:tc>
      </w:tr>
      <w:tr>
        <w:trPr>
          <w:trHeight w:val="151"/>
        </w:trPr>
        <w:tc>
          <w:tcPr>
            <w:tcW w:w="14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7020" w:type="dxa"/>
            <w:vAlign w:val="bottom"/>
            <w:gridSpan w:val="11"/>
            <w:shd w:val="clear" w:color="auto" w:fill="CCEEFF"/>
          </w:tcPr>
          <w:p>
            <w:pPr>
              <w:spacing w:after="0"/>
              <w:rPr>
                <w:sz w:val="20"/>
                <w:szCs w:val="20"/>
                <w:color w:val="auto"/>
              </w:rPr>
            </w:pPr>
            <w:r>
              <w:rPr>
                <w:rFonts w:ascii="Arial" w:cs="Arial" w:eastAsia="Arial" w:hAnsi="Arial"/>
                <w:sz w:val="12"/>
                <w:szCs w:val="12"/>
                <w:b w:val="1"/>
                <w:bCs w:val="1"/>
                <w:color w:val="auto"/>
              </w:rPr>
              <w:t>Audited Consolidated Financial Statements of Mynaric AG</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207">
              <w:r>
                <w:rPr>
                  <w:rFonts w:ascii="Arial" w:cs="Arial" w:eastAsia="Arial" w:hAnsi="Arial"/>
                  <w:sz w:val="12"/>
                  <w:szCs w:val="12"/>
                  <w:color w:val="0000EE"/>
                </w:rPr>
                <w:t>Independent Auditor’s Report</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F-18</w:t>
            </w:r>
          </w:p>
        </w:tc>
      </w:tr>
      <w:tr>
        <w:trPr>
          <w:trHeight w:val="27"/>
        </w:trPr>
        <w:tc>
          <w:tcPr>
            <w:tcW w:w="142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3680" w:type="dxa"/>
            <w:vAlign w:val="bottom"/>
            <w:tcBorders>
              <w:bottom w:val="single" w:sz="8" w:color="0000EE"/>
            </w:tcBorders>
            <w:gridSpan w:val="9"/>
            <w:shd w:val="clear" w:color="auto" w:fill="CCEEFF"/>
          </w:tcPr>
          <w:p>
            <w:pPr>
              <w:spacing w:after="0" w:line="117" w:lineRule="exact"/>
              <w:rPr>
                <w:rFonts w:ascii="Arial" w:cs="Arial" w:eastAsia="Arial" w:hAnsi="Arial"/>
                <w:sz w:val="12"/>
                <w:szCs w:val="12"/>
                <w:color w:val="0000EE"/>
                <w:w w:val="89"/>
              </w:rPr>
            </w:pPr>
            <w:hyperlink w:anchor="page208">
              <w:r>
                <w:rPr>
                  <w:rFonts w:ascii="Arial" w:cs="Arial" w:eastAsia="Arial" w:hAnsi="Arial"/>
                  <w:sz w:val="12"/>
                  <w:szCs w:val="12"/>
                  <w:color w:val="0000EE"/>
                  <w:w w:val="89"/>
                </w:rPr>
                <w:t>Consolidated Statements of Profit or Loss and Other Comprehensive Income</w:t>
              </w:r>
            </w:hyperlink>
          </w:p>
        </w:tc>
        <w:tc>
          <w:tcPr>
            <w:tcW w:w="3340" w:type="dxa"/>
            <w:vAlign w:val="bottom"/>
            <w:tcBorders>
              <w:bottom w:val="single" w:sz="8" w:color="CCEEFF"/>
            </w:tcBorders>
            <w:gridSpan w:val="2"/>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F-19</w:t>
            </w:r>
          </w:p>
        </w:tc>
      </w:tr>
      <w:tr>
        <w:trPr>
          <w:trHeight w:val="124"/>
        </w:trPr>
        <w:tc>
          <w:tcPr>
            <w:tcW w:w="2220" w:type="dxa"/>
            <w:vAlign w:val="bottom"/>
            <w:tcBorders>
              <w:bottom w:val="single" w:sz="8" w:color="0000EE"/>
            </w:tcBorders>
            <w:gridSpan w:val="3"/>
          </w:tcPr>
          <w:p>
            <w:pPr>
              <w:spacing w:after="0" w:line="117" w:lineRule="exact"/>
              <w:rPr>
                <w:rFonts w:ascii="Arial" w:cs="Arial" w:eastAsia="Arial" w:hAnsi="Arial"/>
                <w:sz w:val="12"/>
                <w:szCs w:val="12"/>
                <w:color w:val="0000EE"/>
                <w:w w:val="89"/>
              </w:rPr>
            </w:pPr>
            <w:hyperlink w:anchor="page209">
              <w:r>
                <w:rPr>
                  <w:rFonts w:ascii="Arial" w:cs="Arial" w:eastAsia="Arial" w:hAnsi="Arial"/>
                  <w:sz w:val="12"/>
                  <w:szCs w:val="12"/>
                  <w:color w:val="0000EE"/>
                  <w:w w:val="89"/>
                </w:rPr>
                <w:t>Consolidated Statements of Financial Position</w:t>
              </w:r>
            </w:hyperlink>
          </w:p>
        </w:tc>
        <w:tc>
          <w:tcPr>
            <w:tcW w:w="4800" w:type="dxa"/>
            <w:vAlign w:val="bottom"/>
            <w:gridSpan w:val="8"/>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F-20</w:t>
            </w: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10">
              <w:r>
                <w:rPr>
                  <w:rFonts w:ascii="Arial" w:cs="Arial" w:eastAsia="Arial" w:hAnsi="Arial"/>
                  <w:sz w:val="12"/>
                  <w:szCs w:val="12"/>
                  <w:color w:val="0000EE"/>
                </w:rPr>
                <w:t>Consolidated Statements of Changes in Equity</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F-21</w:t>
            </w:r>
          </w:p>
        </w:tc>
      </w:tr>
      <w:tr>
        <w:trPr>
          <w:trHeight w:val="117"/>
        </w:trPr>
        <w:tc>
          <w:tcPr>
            <w:tcW w:w="2220" w:type="dxa"/>
            <w:vAlign w:val="bottom"/>
            <w:tcBorders>
              <w:top w:val="single" w:sz="8" w:color="0000EE"/>
            </w:tcBorders>
            <w:gridSpan w:val="3"/>
          </w:tcPr>
          <w:p>
            <w:pPr>
              <w:spacing w:after="0" w:line="117" w:lineRule="exact"/>
              <w:rPr>
                <w:rFonts w:ascii="Arial" w:cs="Arial" w:eastAsia="Arial" w:hAnsi="Arial"/>
                <w:sz w:val="12"/>
                <w:szCs w:val="12"/>
                <w:color w:val="0000EE"/>
              </w:rPr>
            </w:pPr>
            <w:hyperlink w:anchor="page211">
              <w:r>
                <w:rPr>
                  <w:rFonts w:ascii="Arial" w:cs="Arial" w:eastAsia="Arial" w:hAnsi="Arial"/>
                  <w:sz w:val="12"/>
                  <w:szCs w:val="12"/>
                  <w:color w:val="0000EE"/>
                </w:rPr>
                <w:t>Consolidated Statements of Cash Flows</w:t>
              </w:r>
            </w:hyperlink>
          </w:p>
        </w:tc>
        <w:tc>
          <w:tcPr>
            <w:tcW w:w="4800" w:type="dxa"/>
            <w:vAlign w:val="bottom"/>
            <w:tcBorders>
              <w:top w:val="single" w:sz="8" w:color="CCEEFF"/>
            </w:tcBorders>
            <w:gridSpan w:val="8"/>
          </w:tcPr>
          <w:p>
            <w:pPr>
              <w:spacing w:after="0"/>
              <w:rPr>
                <w:sz w:val="10"/>
                <w:szCs w:val="10"/>
                <w:color w:val="auto"/>
              </w:rPr>
            </w:pPr>
          </w:p>
        </w:tc>
        <w:tc>
          <w:tcPr>
            <w:tcW w:w="320" w:type="dxa"/>
            <w:vAlign w:val="bottom"/>
            <w:tcBorders>
              <w:top w:val="single" w:sz="8" w:color="CCEEFF"/>
            </w:tcBorders>
            <w:gridSpan w:val="2"/>
          </w:tcPr>
          <w:p>
            <w:pPr>
              <w:jc w:val="right"/>
              <w:ind w:right="40"/>
              <w:spacing w:after="0" w:line="117" w:lineRule="exact"/>
              <w:rPr>
                <w:sz w:val="20"/>
                <w:szCs w:val="20"/>
                <w:color w:val="auto"/>
              </w:rPr>
            </w:pPr>
            <w:r>
              <w:rPr>
                <w:rFonts w:ascii="Arial" w:cs="Arial" w:eastAsia="Arial" w:hAnsi="Arial"/>
                <w:sz w:val="12"/>
                <w:szCs w:val="12"/>
                <w:color w:val="auto"/>
              </w:rPr>
              <w:t>F-22</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12">
              <w:r>
                <w:rPr>
                  <w:rFonts w:ascii="Arial" w:cs="Arial" w:eastAsia="Arial" w:hAnsi="Arial"/>
                  <w:sz w:val="12"/>
                  <w:szCs w:val="12"/>
                  <w:color w:val="0000EE"/>
                </w:rPr>
                <w:t>Notes to the Consolidated Financial Statements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F-23</w:t>
            </w:r>
          </w:p>
        </w:tc>
      </w:tr>
      <w:tr>
        <w:trPr>
          <w:trHeight w:val="243"/>
        </w:trPr>
        <w:tc>
          <w:tcPr>
            <w:tcW w:w="14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800" w:type="dxa"/>
            <w:vAlign w:val="bottom"/>
            <w:tcBorders>
              <w:top w:val="single" w:sz="8" w:color="CCEEFF"/>
            </w:tcBorders>
            <w:gridSpan w:val="3"/>
          </w:tcPr>
          <w:p>
            <w:pPr>
              <w:ind w:left="360"/>
              <w:spacing w:after="0"/>
              <w:rPr>
                <w:sz w:val="20"/>
                <w:szCs w:val="20"/>
                <w:color w:val="auto"/>
              </w:rPr>
            </w:pPr>
            <w:r>
              <w:rPr>
                <w:rFonts w:ascii="Arial" w:cs="Arial" w:eastAsia="Arial" w:hAnsi="Arial"/>
                <w:sz w:val="12"/>
                <w:szCs w:val="12"/>
                <w:color w:val="auto"/>
              </w:rPr>
              <w:t>F-1</w:t>
            </w: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190" w:name="page191"/>
    <w:bookmarkEnd w:id="1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12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1,349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Cost of materials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(4,431)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(2,522)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Personnel expenses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(10,812)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(7,603)</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(1,916)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expenses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(4,160)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(2,147)</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988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2,471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(16,240)</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(7,274)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Interest and similar 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170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163</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0"/>
              <w:spacing w:after="0"/>
              <w:rPr>
                <w:sz w:val="20"/>
                <w:szCs w:val="20"/>
                <w:color w:val="auto"/>
              </w:rPr>
            </w:pPr>
            <w:r>
              <w:rPr>
                <w:rFonts w:ascii="Arial" w:cs="Arial" w:eastAsia="Arial" w:hAnsi="Arial"/>
                <w:sz w:val="11"/>
                <w:szCs w:val="11"/>
                <w:color w:val="auto"/>
              </w:rPr>
              <w:t>Income tax expense</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Consolidated loss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(138)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(138)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22</w:t>
            </w:r>
          </w:p>
        </w:tc>
        <w:tc>
          <w:tcPr>
            <w:tcW w:w="0" w:type="dxa"/>
            <w:vAlign w:val="bottom"/>
          </w:tcPr>
          <w:p>
            <w:pPr>
              <w:spacing w:after="0"/>
              <w:rPr>
                <w:sz w:val="1"/>
                <w:szCs w:val="1"/>
                <w:color w:val="auto"/>
              </w:rPr>
            </w:pPr>
          </w:p>
        </w:tc>
      </w:tr>
      <w:tr>
        <w:trPr>
          <w:trHeight w:val="129"/>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 for the year after tax</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(138)</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comprehensive income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(16,215)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(7,271)</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Basic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Basic loss per share in EUR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loss per share in EUR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10159"/>
          </w:cols>
          <w:pgMar w:left="300" w:top="354" w:right="1440" w:bottom="1440" w:gutter="0" w:footer="0" w:header="0"/>
        </w:sectPr>
      </w:pPr>
    </w:p>
    <w:bookmarkStart w:id="191" w:name="page192"/>
    <w:bookmarkEnd w:id="1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June 30, 2021 and December 31,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19,845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17,884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13.</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7,848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7,942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12,729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10,075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401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359</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40,823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36,260</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9,071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5,230</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14.</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3,749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1,338</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18,444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31,264</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86,576</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4,093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3,995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113,869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108,189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314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(63,367)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(47,290)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54,771</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194</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6,654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6,800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6,848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983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1,281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1,156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6,512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5,128</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1,166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1,196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526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411</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10,468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17,316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15,868</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86,576</w:t>
            </w:r>
          </w:p>
        </w:tc>
      </w:tr>
    </w:tbl>
    <w:p>
      <w:pPr>
        <w:spacing w:after="0" w:line="9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F-3</w:t>
      </w:r>
    </w:p>
    <w:p>
      <w:pPr>
        <w:sectPr>
          <w:pgSz w:w="11900" w:h="16838" w:orient="portrait"/>
          <w:cols w:equalWidth="0" w:num="1">
            <w:col w:w="10159"/>
          </w:cols>
          <w:pgMar w:left="300" w:top="354" w:right="1440" w:bottom="1440" w:gutter="0" w:footer="0" w:header="0"/>
        </w:sectPr>
      </w:pPr>
    </w:p>
    <w:bookmarkStart w:id="192" w:name="page193"/>
    <w:bookmarkEnd w:id="1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20" w:type="dxa"/>
            <w:vAlign w:val="bottom"/>
          </w:tcPr>
          <w:p>
            <w:pPr>
              <w:spacing w:after="0"/>
              <w:rPr>
                <w:sz w:val="8"/>
                <w:szCs w:val="8"/>
                <w:color w:val="auto"/>
              </w:rPr>
            </w:pPr>
          </w:p>
        </w:tc>
        <w:tc>
          <w:tcPr>
            <w:tcW w:w="4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4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20" w:type="dxa"/>
            <w:vAlign w:val="bottom"/>
          </w:tcPr>
          <w:p>
            <w:pPr>
              <w:spacing w:after="0"/>
              <w:rPr>
                <w:sz w:val="9"/>
                <w:szCs w:val="9"/>
                <w:color w:val="auto"/>
              </w:rPr>
            </w:pPr>
          </w:p>
        </w:tc>
        <w:tc>
          <w:tcPr>
            <w:tcW w:w="4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8"/>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January 1, 2020</w:t>
            </w: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w w:val="94"/>
              </w:rPr>
              <w:t>2,904</w:t>
            </w:r>
          </w:p>
        </w:tc>
        <w:tc>
          <w:tcPr>
            <w:tcW w:w="16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12,053</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12,343</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(716)</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(716)</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926</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926</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(7,293)</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(7,293)</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22</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29"/>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June 30, 2020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3,194</w:t>
            </w:r>
          </w:p>
        </w:tc>
        <w:tc>
          <w:tcPr>
            <w:tcW w:w="16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58,672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20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(34,813)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27,022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3,995</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2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98</w:t>
            </w: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5,402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7"/>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(16,077)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(16,077)</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(138)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June 30,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4,093</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113,869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176</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(63,367)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54,771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0159"/>
          </w:cols>
          <w:pgMar w:left="300" w:top="354" w:right="1440" w:bottom="1440" w:gutter="0" w:footer="0" w:header="0"/>
        </w:sectPr>
      </w:pPr>
    </w:p>
    <w:bookmarkStart w:id="193" w:name="page194"/>
    <w:bookmarkEnd w:id="1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(16,077)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(7,293)</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Adjustments for:</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1,920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814</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Gain from disposals of fixed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30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926</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Inventories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(3,839)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(2,954)</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562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(2,449)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(1,080)</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Trade and other payables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1,464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1,168</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79</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64</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(18,220)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(7,854)</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Acquisition of intangible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(2,505)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(4,748)</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(3,467)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(1,630)</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(5,972)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(6,378)</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issue of share capital</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11,627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Payments of lease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(504)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Interests received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Interests paid</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other financial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778</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(588)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4"/>
              </w:rPr>
              <w:t>12,022</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(24,780)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(2,210)</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 at January 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43,198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35"/>
        </w:trPr>
        <w:tc>
          <w:tcPr>
            <w:tcW w:w="6380" w:type="dxa"/>
            <w:vAlign w:val="bottom"/>
            <w:gridSpan w:val="3"/>
          </w:tcPr>
          <w:p>
            <w:pPr>
              <w:spacing w:after="0"/>
              <w:rPr>
                <w:sz w:val="20"/>
                <w:szCs w:val="20"/>
                <w:color w:val="auto"/>
              </w:rPr>
            </w:pPr>
            <w:r>
              <w:rPr>
                <w:rFonts w:ascii="Arial" w:cs="Arial" w:eastAsia="Arial" w:hAnsi="Arial"/>
                <w:sz w:val="11"/>
                <w:szCs w:val="11"/>
                <w:color w:val="auto"/>
              </w:rPr>
              <w:t>Effects of movements in exchange rates on cash held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and cash equivalents at June 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18,444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6,700</w:t>
            </w: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0159"/>
          </w:cols>
          <w:pgMar w:left="300" w:top="354" w:right="1440" w:bottom="1440" w:gutter="0" w:footer="0" w:header="0"/>
        </w:sectPr>
      </w:pPr>
    </w:p>
    <w:bookmarkStart w:id="194" w:name="page195"/>
    <w:bookmarkEnd w:id="1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CONDENSED CONSOLIDATED INTERIM FINANCIAL STATEMENTS</w:t>
      </w:r>
    </w:p>
    <w:p>
      <w:pPr>
        <w:spacing w:after="0" w:line="150"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AS OF JUNE 30, 2021 AND FOR THE SIX MONTHS ENDED JUNE 30, 2021 AND 2020</w:t>
      </w:r>
    </w:p>
    <w:p>
      <w:pPr>
        <w:spacing w:after="0" w:line="168" w:lineRule="exact"/>
        <w:rPr>
          <w:sz w:val="20"/>
          <w:szCs w:val="20"/>
          <w:color w:val="auto"/>
        </w:rPr>
      </w:pPr>
    </w:p>
    <w:p>
      <w:pPr>
        <w:ind w:left="2260" w:hanging="288"/>
        <w:spacing w:after="0"/>
        <w:tabs>
          <w:tab w:leader="none" w:pos="2260" w:val="left"/>
        </w:tabs>
        <w:numPr>
          <w:ilvl w:val="0"/>
          <w:numId w:val="90"/>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 has three operating subsidiaries as of June 30,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unaudited interim consolidated financial statements of Mynaric were authorized for issue by the Management Board on September 24, 2021.</w:t>
      </w:r>
    </w:p>
    <w:p>
      <w:pPr>
        <w:spacing w:after="0" w:line="257" w:lineRule="exact"/>
        <w:rPr>
          <w:sz w:val="20"/>
          <w:szCs w:val="20"/>
          <w:color w:val="auto"/>
        </w:rPr>
      </w:pPr>
    </w:p>
    <w:p>
      <w:pPr>
        <w:ind w:left="2260" w:hanging="288"/>
        <w:spacing w:after="0"/>
        <w:tabs>
          <w:tab w:leader="none" w:pos="2260" w:val="left"/>
        </w:tabs>
        <w:numPr>
          <w:ilvl w:val="0"/>
          <w:numId w:val="91"/>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939"/>
        <w:spacing w:after="0" w:line="280" w:lineRule="auto"/>
        <w:rPr>
          <w:sz w:val="20"/>
          <w:szCs w:val="20"/>
          <w:color w:val="auto"/>
        </w:rPr>
      </w:pPr>
      <w:r>
        <w:rPr>
          <w:rFonts w:ascii="Arial" w:cs="Arial" w:eastAsia="Arial" w:hAnsi="Arial"/>
          <w:sz w:val="11"/>
          <w:szCs w:val="11"/>
          <w:color w:val="auto"/>
        </w:rPr>
        <w:t>These interim condensed consolidated financial statements as of June 30, 2021 and for the six months ended June 30, 2021 and 2020 were prepared in accordance with International Accounting Standard 34 ‘Interim Financial Reporting’, as issued by the International Accounting Standards Board (“IASB”). The interim condensed consolidated financial statements should be read in conjunction with the annual consolidated financial statements for fiscal 2020, which have been prepared in accordance with International Financial Reporting Standards (“IFRS”) as issued by the IASB, taking into account the recommendations of the International Financial Reporting Standards Interpretations Committee (“IFRIC”). They do not include all of the information required for a complete set of annual financial statements prepared in accordance with IFRS. However, selected explanatory notes are included to explain events and transactions that are significant to an understanding of the changes in the Group´s financial position and results of operations since the last annual financial statements.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interim condensed consolidated financial statements are prepared under the assumption that the business will continue as a going concern.</w:t>
      </w:r>
    </w:p>
    <w:p>
      <w:pPr>
        <w:spacing w:after="0" w:line="257" w:lineRule="exact"/>
        <w:rPr>
          <w:sz w:val="20"/>
          <w:szCs w:val="20"/>
          <w:color w:val="auto"/>
        </w:rPr>
      </w:pPr>
    </w:p>
    <w:p>
      <w:pPr>
        <w:ind w:left="2260" w:hanging="288"/>
        <w:spacing w:after="0"/>
        <w:tabs>
          <w:tab w:leader="none" w:pos="2260"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color w:val="auto"/>
        </w:rPr>
        <w:t>Impacts to the consolidated financial statements due to Covid-19 pandemic</w:t>
      </w:r>
    </w:p>
    <w:p>
      <w:pPr>
        <w:spacing w:after="0" w:line="154"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223" w:lineRule="exact"/>
        <w:rPr>
          <w:sz w:val="20"/>
          <w:szCs w:val="20"/>
          <w:color w:val="auto"/>
        </w:rPr>
      </w:pPr>
    </w:p>
    <w:p>
      <w:pPr>
        <w:ind w:left="2260" w:hanging="288"/>
        <w:spacing w:after="0"/>
        <w:tabs>
          <w:tab w:leader="none" w:pos="2260" w:val="left"/>
        </w:tabs>
        <w:numPr>
          <w:ilvl w:val="0"/>
          <w:numId w:val="93"/>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54"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consolidation and accounting policies applied by Mynaric Group in these interim condensed consolidated financial statements are the same as those applied by Mynaric Group in its consolidated financial statements for fiscal 2020, except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0159"/>
          </w:cols>
          <w:pgMar w:left="300" w:top="354" w:right="1440" w:bottom="1440" w:gutter="0" w:footer="0" w:header="0"/>
        </w:sectPr>
      </w:pPr>
    </w:p>
    <w:bookmarkStart w:id="195" w:name="page196"/>
    <w:bookmarkEnd w:id="1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In accordance with IAS 34 (Interim Financial Reporting) income tax expense for the condensed consolidated interim financial statements is calculated on the basis of the average annual tax rate that is expected for the entire fiscal year. The effective tax rate is 0% for the six months ended June 30, 2020 and 0% for the six months ended June 30,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main reason for the change of the average annual tax rate is expected loss for the year.</w:t>
      </w:r>
    </w:p>
    <w:p>
      <w:pPr>
        <w:spacing w:after="0" w:line="245" w:lineRule="exact"/>
        <w:rPr>
          <w:sz w:val="20"/>
          <w:szCs w:val="20"/>
          <w:color w:val="auto"/>
        </w:rPr>
      </w:pPr>
    </w:p>
    <w:p>
      <w:pPr>
        <w:ind w:left="2260" w:hanging="288"/>
        <w:spacing w:after="0"/>
        <w:tabs>
          <w:tab w:leader="none" w:pos="2260"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In preparing the interim condensed consolidated financial statements, the significant judgments made by management in applying Mynaric Group’s accounting policies and the key sources of estimation uncertainty were the same as those that applied to the consolidated financial statements for fiscal 2020.</w:t>
      </w:r>
    </w:p>
    <w:p>
      <w:pPr>
        <w:spacing w:after="0" w:line="217" w:lineRule="exact"/>
        <w:rPr>
          <w:sz w:val="20"/>
          <w:szCs w:val="20"/>
          <w:color w:val="auto"/>
        </w:rPr>
      </w:pPr>
    </w:p>
    <w:p>
      <w:pPr>
        <w:ind w:left="2260" w:hanging="288"/>
        <w:spacing w:after="0"/>
        <w:tabs>
          <w:tab w:leader="none" w:pos="2260" w:val="left"/>
        </w:tabs>
        <w:numPr>
          <w:ilvl w:val="0"/>
          <w:numId w:val="95"/>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Air segment includes the Company’s HAWK AIR terminals. The Space segment includes the Company’s CONDOR terminals.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0159"/>
          </w:cols>
          <w:pgMar w:left="300" w:top="354" w:right="1440" w:bottom="1440" w:gutter="0" w:footer="0" w:header="0"/>
        </w:sectPr>
      </w:pPr>
    </w:p>
    <w:bookmarkStart w:id="196" w:name="page197"/>
    <w:bookmarkEnd w:id="1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5"/>
              </w:rPr>
              <w:t>Six months ended June 30, 2021</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gridSpan w:val="2"/>
          </w:tcPr>
          <w:p>
            <w:pPr>
              <w:jc w:val="center"/>
              <w:ind w:right="26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200" w:type="dxa"/>
            <w:vAlign w:val="bottom"/>
            <w:gridSpan w:val="2"/>
            <w:vMerge w:val="continue"/>
          </w:tcPr>
          <w:p>
            <w:pPr>
              <w:spacing w:after="0"/>
              <w:rPr>
                <w:sz w:val="10"/>
                <w:szCs w:val="10"/>
                <w:color w:val="auto"/>
              </w:rPr>
            </w:pPr>
          </w:p>
        </w:tc>
        <w:tc>
          <w:tcPr>
            <w:tcW w:w="360" w:type="dxa"/>
            <w:vAlign w:val="bottom"/>
            <w:gridSpan w:val="2"/>
          </w:tcPr>
          <w:p>
            <w:pPr>
              <w:jc w:val="right"/>
              <w:ind w:right="140"/>
              <w:spacing w:after="0" w:line="105" w:lineRule="exact"/>
              <w:rPr>
                <w:sz w:val="20"/>
                <w:szCs w:val="20"/>
                <w:color w:val="auto"/>
              </w:rPr>
            </w:pPr>
            <w:r>
              <w:rPr>
                <w:rFonts w:ascii="Arial" w:cs="Arial" w:eastAsia="Arial" w:hAnsi="Arial"/>
                <w:sz w:val="10"/>
                <w:szCs w:val="10"/>
                <w:b w:val="1"/>
                <w:bCs w:val="1"/>
                <w:color w:val="auto"/>
              </w:rPr>
              <w:t>Air</w:t>
            </w:r>
          </w:p>
        </w:tc>
        <w:tc>
          <w:tcPr>
            <w:tcW w:w="160" w:type="dxa"/>
            <w:vAlign w:val="bottom"/>
          </w:tcPr>
          <w:p>
            <w:pPr>
              <w:spacing w:after="0"/>
              <w:rPr>
                <w:sz w:val="10"/>
                <w:szCs w:val="10"/>
                <w:color w:val="auto"/>
              </w:rPr>
            </w:pPr>
          </w:p>
        </w:tc>
        <w:tc>
          <w:tcPr>
            <w:tcW w:w="56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4"/>
              </w:rPr>
              <w:t>Space</w:t>
            </w:r>
          </w:p>
        </w:tc>
        <w:tc>
          <w:tcPr>
            <w:tcW w:w="64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87"/>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6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2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(3,352)</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(4,431)</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Personnel expenses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(7,901)</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(52)</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(10,812)</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(1,434)</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(1,916)</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expenses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(3,236)</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(391)</w:t>
            </w:r>
            <w:r>
              <w:rPr>
                <w:rFonts w:ascii="Arial" w:cs="Arial" w:eastAsia="Arial" w:hAnsi="Arial"/>
                <w:sz w:val="15"/>
                <w:szCs w:val="15"/>
                <w:color w:val="auto"/>
                <w:vertAlign w:val="superscript"/>
              </w:rPr>
              <w:t>2</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(4,160)</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568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988</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2,471</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2,471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(11,288)</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(16,240)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Interest and similar expenses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163</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r>
        <w:trPr>
          <w:trHeight w:val="140"/>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5"/>
              </w:rPr>
              <w:t>Six months ended June 30, 2020</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5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gridSpan w:val="2"/>
          </w:tcPr>
          <w:p>
            <w:pPr>
              <w:jc w:val="center"/>
              <w:ind w:right="26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200" w:type="dxa"/>
            <w:vAlign w:val="bottom"/>
            <w:gridSpan w:val="2"/>
            <w:vMerge w:val="continue"/>
          </w:tcPr>
          <w:p>
            <w:pPr>
              <w:spacing w:after="0"/>
              <w:rPr>
                <w:sz w:val="10"/>
                <w:szCs w:val="10"/>
                <w:color w:val="auto"/>
              </w:rPr>
            </w:pPr>
          </w:p>
        </w:tc>
        <w:tc>
          <w:tcPr>
            <w:tcW w:w="360" w:type="dxa"/>
            <w:vAlign w:val="bottom"/>
            <w:gridSpan w:val="2"/>
          </w:tcPr>
          <w:p>
            <w:pPr>
              <w:jc w:val="right"/>
              <w:ind w:right="140"/>
              <w:spacing w:after="0" w:line="105" w:lineRule="exact"/>
              <w:rPr>
                <w:sz w:val="20"/>
                <w:szCs w:val="20"/>
                <w:color w:val="auto"/>
              </w:rPr>
            </w:pPr>
            <w:r>
              <w:rPr>
                <w:rFonts w:ascii="Arial" w:cs="Arial" w:eastAsia="Arial" w:hAnsi="Arial"/>
                <w:sz w:val="10"/>
                <w:szCs w:val="10"/>
                <w:b w:val="1"/>
                <w:bCs w:val="1"/>
                <w:color w:val="auto"/>
              </w:rPr>
              <w:t>Air</w:t>
            </w:r>
          </w:p>
        </w:tc>
        <w:tc>
          <w:tcPr>
            <w:tcW w:w="160" w:type="dxa"/>
            <w:vAlign w:val="bottom"/>
          </w:tcPr>
          <w:p>
            <w:pPr>
              <w:spacing w:after="0"/>
              <w:rPr>
                <w:sz w:val="10"/>
                <w:szCs w:val="10"/>
                <w:color w:val="auto"/>
              </w:rPr>
            </w:pPr>
          </w:p>
        </w:tc>
        <w:tc>
          <w:tcPr>
            <w:tcW w:w="56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4"/>
              </w:rPr>
              <w:t>Space</w:t>
            </w:r>
          </w:p>
        </w:tc>
        <w:tc>
          <w:tcPr>
            <w:tcW w:w="64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87"/>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6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2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89</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141</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(696)</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(1,826)</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(2,522)</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Personnel expenses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(2,763)</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(4,840)</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(7,603)</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(384)</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(430)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expenses</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(627)</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(1,409)</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(111)</w:t>
            </w:r>
            <w:r>
              <w:rPr>
                <w:rFonts w:ascii="Arial" w:cs="Arial" w:eastAsia="Arial" w:hAnsi="Arial"/>
                <w:sz w:val="15"/>
                <w:szCs w:val="15"/>
                <w:color w:val="auto"/>
                <w:vertAlign w:val="superscript"/>
              </w:rPr>
              <w:t>2</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(2,147)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1,422</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3,330</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(2,219)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(4,944)</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(111)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(7,274)</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140"/>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An amount of €1,240 thousand (six months ended June 30, 2020: €90 thousand), corresponding to a share of 92% (previous period: 100%) of total revenue, was attributable to one customer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2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102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60" w:type="dxa"/>
            <w:vAlign w:val="bottom"/>
            <w:vMerge w:val="restart"/>
          </w:tcPr>
          <w:p>
            <w:pPr>
              <w:spacing w:after="0"/>
              <w:rPr>
                <w:sz w:val="6"/>
                <w:szCs w:val="6"/>
                <w:color w:val="auto"/>
              </w:rPr>
            </w:pPr>
          </w:p>
        </w:tc>
        <w:tc>
          <w:tcPr>
            <w:tcW w:w="64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60" w:type="dxa"/>
            <w:vAlign w:val="bottom"/>
            <w:vMerge w:val="continue"/>
          </w:tcPr>
          <w:p>
            <w:pPr>
              <w:spacing w:after="0"/>
              <w:rPr>
                <w:sz w:val="10"/>
                <w:szCs w:val="10"/>
                <w:color w:val="auto"/>
              </w:rPr>
            </w:pPr>
          </w:p>
        </w:tc>
        <w:tc>
          <w:tcPr>
            <w:tcW w:w="340" w:type="dxa"/>
            <w:vAlign w:val="bottom"/>
          </w:tcPr>
          <w:p>
            <w:pPr>
              <w:jc w:val="right"/>
              <w:ind w:right="30"/>
              <w:spacing w:after="0" w:line="105" w:lineRule="exact"/>
              <w:rPr>
                <w:sz w:val="20"/>
                <w:szCs w:val="20"/>
                <w:color w:val="auto"/>
              </w:rPr>
            </w:pPr>
            <w:r>
              <w:rPr>
                <w:rFonts w:ascii="Arial" w:cs="Arial" w:eastAsia="Arial" w:hAnsi="Arial"/>
                <w:sz w:val="10"/>
                <w:szCs w:val="10"/>
                <w:b w:val="1"/>
                <w:bCs w:val="1"/>
                <w:color w:val="auto"/>
              </w:rPr>
              <w:t>2021</w:t>
            </w:r>
          </w:p>
        </w:tc>
        <w:tc>
          <w:tcPr>
            <w:tcW w:w="300" w:type="dxa"/>
            <w:vAlign w:val="bottom"/>
          </w:tcPr>
          <w:p>
            <w:pPr>
              <w:spacing w:after="0"/>
              <w:rPr>
                <w:sz w:val="10"/>
                <w:szCs w:val="10"/>
                <w:color w:val="auto"/>
              </w:rPr>
            </w:pPr>
          </w:p>
        </w:tc>
        <w:tc>
          <w:tcPr>
            <w:tcW w:w="340" w:type="dxa"/>
            <w:vAlign w:val="bottom"/>
          </w:tcPr>
          <w:p>
            <w:pPr>
              <w:jc w:val="right"/>
              <w:ind w:right="10"/>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USA</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2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6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1,349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With respect to the information on geographical regions, non-current assets are allocated to the location of the respective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66675</wp:posOffset>
            </wp:positionV>
            <wp:extent cx="51435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0" w:lineRule="exact"/>
        <w:rPr>
          <w:sz w:val="20"/>
          <w:szCs w:val="20"/>
          <w:color w:val="auto"/>
        </w:rPr>
      </w:pPr>
    </w:p>
    <w:p>
      <w:pPr>
        <w:ind w:left="2260" w:hanging="288"/>
        <w:spacing w:after="0"/>
        <w:tabs>
          <w:tab w:leader="none" w:pos="2260" w:val="left"/>
        </w:tabs>
        <w:numPr>
          <w:ilvl w:val="0"/>
          <w:numId w:val="96"/>
        </w:numPr>
        <w:rPr>
          <w:rFonts w:ascii="Arial" w:cs="Arial" w:eastAsia="Arial" w:hAnsi="Arial"/>
          <w:sz w:val="8"/>
          <w:szCs w:val="8"/>
          <w:color w:val="auto"/>
        </w:rPr>
      </w:pPr>
      <w:r>
        <w:rPr>
          <w:rFonts w:ascii="Arial" w:cs="Arial" w:eastAsia="Arial" w:hAnsi="Arial"/>
          <w:sz w:val="10"/>
          <w:szCs w:val="10"/>
          <w:color w:val="auto"/>
        </w:rPr>
        <w:t>Including expenses for IPO-bonus to the board of management and selected employees.</w:t>
      </w:r>
    </w:p>
    <w:p>
      <w:pPr>
        <w:ind w:left="2260" w:hanging="288"/>
        <w:spacing w:after="0" w:line="236" w:lineRule="auto"/>
        <w:tabs>
          <w:tab w:leader="none" w:pos="2260" w:val="left"/>
        </w:tabs>
        <w:numPr>
          <w:ilvl w:val="0"/>
          <w:numId w:val="97"/>
        </w:numPr>
        <w:rPr>
          <w:rFonts w:ascii="Arial" w:cs="Arial" w:eastAsia="Arial" w:hAnsi="Arial"/>
          <w:sz w:val="8"/>
          <w:szCs w:val="8"/>
          <w:color w:val="auto"/>
        </w:rPr>
      </w:pPr>
      <w:r>
        <w:rPr>
          <w:rFonts w:ascii="Arial" w:cs="Arial" w:eastAsia="Arial" w:hAnsi="Arial"/>
          <w:sz w:val="10"/>
          <w:szCs w:val="10"/>
          <w:color w:val="auto"/>
        </w:rPr>
        <w:t>Including expenses for preparation of the financial statements and for audit of the financial statements as well as Supervisory Board remuneration.</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0159"/>
          </w:cols>
          <w:pgMar w:left="300" w:top="354" w:right="1440" w:bottom="1440" w:gutter="0" w:footer="0" w:header="0"/>
        </w:sectPr>
      </w:pPr>
    </w:p>
    <w:bookmarkStart w:id="197" w:name="page198"/>
    <w:bookmarkEnd w:id="1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assets can be broken down by country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640" w:type="dxa"/>
            <w:vAlign w:val="bottom"/>
            <w:vMerge w:val="restart"/>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0"/>
                <w:szCs w:val="10"/>
                <w:b w:val="1"/>
                <w:bCs w:val="1"/>
                <w:color w:val="auto"/>
              </w:rPr>
              <w:t>June 30,</w:t>
            </w:r>
          </w:p>
        </w:tc>
        <w:tc>
          <w:tcPr>
            <w:tcW w:w="5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December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640" w:type="dxa"/>
            <w:vAlign w:val="bottom"/>
            <w:vMerge w:val="continue"/>
          </w:tcPr>
          <w:p>
            <w:pPr>
              <w:spacing w:after="0"/>
              <w:rPr>
                <w:sz w:val="10"/>
                <w:szCs w:val="10"/>
                <w:color w:val="auto"/>
              </w:rPr>
            </w:pPr>
          </w:p>
        </w:tc>
        <w:tc>
          <w:tcPr>
            <w:tcW w:w="340" w:type="dxa"/>
            <w:vAlign w:val="bottom"/>
          </w:tcPr>
          <w:p>
            <w:pPr>
              <w:jc w:val="right"/>
              <w:ind w:right="27"/>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540" w:type="dxa"/>
            <w:vAlign w:val="bottom"/>
          </w:tcPr>
          <w:p>
            <w:pPr>
              <w:jc w:val="right"/>
              <w:ind w:right="127"/>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10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w w:val="94"/>
              </w:rPr>
              <w:t>19,845</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17,884</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11,831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9,849</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6,436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6,886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38,112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34,619</w:t>
            </w:r>
          </w:p>
        </w:tc>
        <w:tc>
          <w:tcPr>
            <w:tcW w:w="0" w:type="dxa"/>
            <w:vAlign w:val="bottom"/>
          </w:tcPr>
          <w:p>
            <w:pPr>
              <w:spacing w:after="0"/>
              <w:rPr>
                <w:sz w:val="1"/>
                <w:szCs w:val="1"/>
                <w:color w:val="auto"/>
              </w:rPr>
            </w:pPr>
          </w:p>
        </w:tc>
      </w:tr>
      <w:tr>
        <w:trPr>
          <w:trHeight w:val="205"/>
        </w:trPr>
        <w:tc>
          <w:tcPr>
            <w:tcW w:w="610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Intangible assets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899</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Right-of-use assets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1,411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1,056</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USA, total</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2,310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1,282</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w w:val="94"/>
              </w:rPr>
              <w:t>40,422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35,901</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AIR and CONDOR terminals. Services mainly consist of the provision of development and training services relating to the laser terminals manufactured by Mynaric.</w:t>
      </w:r>
    </w:p>
    <w:p>
      <w:pPr>
        <w:spacing w:after="0" w:line="217" w:lineRule="exact"/>
        <w:rPr>
          <w:sz w:val="20"/>
          <w:szCs w:val="20"/>
          <w:color w:val="auto"/>
        </w:rPr>
      </w:pPr>
    </w:p>
    <w:p>
      <w:pPr>
        <w:ind w:left="2620" w:hanging="360"/>
        <w:spacing w:after="0"/>
        <w:tabs>
          <w:tab w:leader="none" w:pos="262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color w:val="auto"/>
        </w:rPr>
        <w:t>Disaggregation of revenue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40" w:type="dxa"/>
            <w:vAlign w:val="bottom"/>
            <w:vMerge w:val="restart"/>
          </w:tcPr>
          <w:p>
            <w:pPr>
              <w:spacing w:after="0"/>
              <w:rPr>
                <w:sz w:val="6"/>
                <w:szCs w:val="6"/>
                <w:color w:val="auto"/>
              </w:rPr>
            </w:pPr>
          </w:p>
        </w:tc>
        <w:tc>
          <w:tcPr>
            <w:tcW w:w="660" w:type="dxa"/>
            <w:vAlign w:val="bottom"/>
            <w:tcBorders>
              <w:top w:val="single" w:sz="8" w:color="auto"/>
            </w:tcBorders>
            <w:gridSpan w:val="2"/>
          </w:tcPr>
          <w:p>
            <w:pPr>
              <w:spacing w:after="0" w:line="74" w:lineRule="exact"/>
              <w:rPr>
                <w:sz w:val="20"/>
                <w:szCs w:val="20"/>
                <w:color w:val="auto"/>
              </w:rPr>
            </w:pPr>
            <w:r>
              <w:rPr>
                <w:rFonts w:ascii="Arial" w:cs="Arial" w:eastAsia="Arial" w:hAnsi="Arial"/>
                <w:sz w:val="8"/>
                <w:szCs w:val="8"/>
                <w:b w:val="1"/>
                <w:bCs w:val="1"/>
                <w:color w:val="auto"/>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40" w:type="dxa"/>
            <w:vAlign w:val="bottom"/>
            <w:vMerge w:val="continue"/>
          </w:tcPr>
          <w:p>
            <w:pPr>
              <w:spacing w:after="0"/>
              <w:rPr>
                <w:sz w:val="10"/>
                <w:szCs w:val="10"/>
                <w:color w:val="auto"/>
              </w:rPr>
            </w:pPr>
          </w:p>
        </w:tc>
        <w:tc>
          <w:tcPr>
            <w:tcW w:w="340" w:type="dxa"/>
            <w:vAlign w:val="bottom"/>
          </w:tcPr>
          <w:p>
            <w:pPr>
              <w:jc w:val="right"/>
              <w:ind w:right="27"/>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6"/>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3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Deliveries</w:t>
            </w: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433</w:t>
            </w:r>
          </w:p>
        </w:tc>
        <w:tc>
          <w:tcPr>
            <w:tcW w:w="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300" w:type="dxa"/>
            <w:vAlign w:val="bottom"/>
            <w:gridSpan w:val="2"/>
          </w:tcPr>
          <w:p>
            <w:pPr>
              <w:spacing w:after="0"/>
              <w:rPr>
                <w:sz w:val="20"/>
                <w:szCs w:val="20"/>
                <w:color w:val="auto"/>
              </w:rPr>
            </w:pPr>
            <w:r>
              <w:rPr>
                <w:rFonts w:ascii="Arial" w:cs="Arial" w:eastAsia="Arial" w:hAnsi="Arial"/>
                <w:sz w:val="12"/>
                <w:szCs w:val="12"/>
                <w:color w:val="auto"/>
              </w:rPr>
              <w:t>Services</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color w:val="auto"/>
              </w:rPr>
              <w:t>916</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4"/>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1,349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90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Contract balances</w:t>
      </w:r>
    </w:p>
    <w:p>
      <w:pPr>
        <w:spacing w:after="0" w:line="82"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contract liabilities in the amount of €1,166 thousand (December 31, 2020: €1.195 thousand) consist of payments in advance made by customers of Mynaric presented in accordance with IFRS 15. An amount of €915 thousand recognized in contract liabilities at the beginning of the period has been recognized as revenue in the six months ended June 30, 2021.</w:t>
      </w:r>
    </w:p>
    <w:p>
      <w:pPr>
        <w:spacing w:after="0" w:line="55" w:lineRule="exact"/>
        <w:rPr>
          <w:sz w:val="20"/>
          <w:szCs w:val="20"/>
          <w:color w:val="auto"/>
        </w:rPr>
      </w:pPr>
    </w:p>
    <w:p>
      <w:pPr>
        <w:ind w:left="2260" w:hanging="288"/>
        <w:spacing w:after="0"/>
        <w:tabs>
          <w:tab w:leader="none" w:pos="2260"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During the six months ended June 30, 2021 Mynaric granted 20,350 stocks options to selected employees under the 2019 Stock option plan. The conditions remain the same as described in the financial statements as of December 31, 2020.</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0159"/>
          </w:cols>
          <w:pgMar w:left="300" w:top="354" w:right="1440" w:bottom="1440" w:gutter="0" w:footer="0" w:header="0"/>
        </w:sectPr>
      </w:pPr>
    </w:p>
    <w:bookmarkStart w:id="198" w:name="page199"/>
    <w:bookmarkEnd w:id="1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 Stock Option Plan</w:t>
      </w:r>
    </w:p>
    <w:p>
      <w:pPr>
        <w:spacing w:after="0" w:line="150"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During the six months ended June 30, 2021, Mynaric granted 100,000 stock options to the management board under a new 2021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3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2021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939"/>
        <w:spacing w:after="0" w:line="379" w:lineRule="auto"/>
        <w:rPr>
          <w:sz w:val="20"/>
          <w:szCs w:val="20"/>
          <w:color w:val="auto"/>
        </w:rPr>
      </w:pPr>
      <w:r>
        <w:rPr>
          <w:rFonts w:ascii="Arial" w:cs="Arial" w:eastAsia="Arial" w:hAnsi="Arial"/>
          <w:sz w:val="10"/>
          <w:szCs w:val="10"/>
          <w:color w:val="auto"/>
        </w:rPr>
        <w:t>The measurement of the existing stock option plans was based on the Monte Carlo Simulation model or the Binomial model, considering the terms and conditions for the options. The table below shows the inputs used for valuing the stock options granted during the six months ended June 30, 2021:</w:t>
      </w:r>
    </w:p>
    <w:p>
      <w:pPr>
        <w:spacing w:after="0" w:line="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2"/>
              </w:rPr>
              <w:t>Tranche</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2"/>
              </w:rPr>
              <w:t>Tranche</w:t>
            </w:r>
          </w:p>
        </w:tc>
      </w:tr>
      <w:tr>
        <w:trPr>
          <w:trHeight w:val="113"/>
        </w:trPr>
        <w:tc>
          <w:tcPr>
            <w:tcW w:w="6380" w:type="dxa"/>
            <w:vAlign w:val="bottom"/>
          </w:tcPr>
          <w:p>
            <w:pPr>
              <w:spacing w:after="0"/>
              <w:rPr>
                <w:sz w:val="9"/>
                <w:szCs w:val="9"/>
                <w:color w:val="auto"/>
              </w:rPr>
            </w:pPr>
          </w:p>
        </w:tc>
        <w:tc>
          <w:tcPr>
            <w:tcW w:w="56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rPr>
              <w:t>2021 I</w:t>
            </w:r>
          </w:p>
        </w:tc>
        <w:tc>
          <w:tcPr>
            <w:tcW w:w="40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1"/>
              </w:rPr>
              <w:t>2021 II</w:t>
            </w:r>
          </w:p>
        </w:tc>
      </w:tr>
      <w:tr>
        <w:trPr>
          <w:trHeight w:val="124"/>
        </w:trPr>
        <w:tc>
          <w:tcPr>
            <w:tcW w:w="63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68.97</w:t>
            </w: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71.15</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Term in years</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7.00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6.75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64.20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80.20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34.46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36.90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(0.53)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(0.40)</w:t>
            </w:r>
          </w:p>
        </w:tc>
      </w:tr>
      <w:tr>
        <w:trPr>
          <w:trHeight w:val="136"/>
        </w:trPr>
        <w:tc>
          <w:tcPr>
            <w:tcW w:w="6380" w:type="dxa"/>
            <w:vAlign w:val="bottom"/>
          </w:tcPr>
          <w:p>
            <w:pPr>
              <w:spacing w:after="0"/>
              <w:rPr>
                <w:sz w:val="20"/>
                <w:szCs w:val="20"/>
                <w:color w:val="auto"/>
              </w:rPr>
            </w:pPr>
            <w:r>
              <w:rPr>
                <w:rFonts w:ascii="Arial" w:cs="Arial" w:eastAsia="Arial" w:hAnsi="Arial"/>
                <w:sz w:val="11"/>
                <w:szCs w:val="11"/>
                <w:color w:val="auto"/>
              </w:rPr>
              <w:t>Option value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14.18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25.17</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€278 thousand (six months ended June 30, 2020: €926 thousand).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share-based payments recognized in the capital reserve amount to €2,581 thousand as of June 30, 2021 (December 31, 2020: €2,303 thousand).</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IPO Bonus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$ 100 million, no IPO bonus will be paid out. In the case the gross proceeds are between $ 100 and $ 150 million, the IPO bonus will increase on a linear basis starting in a range between 0.15 % and 0.35 % up to a range between 0.3 % and 0.7 %.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fair value of the US IPO Bonus Plan has been measured using a Monte Carlo simulation. Service and non-market performance conditions attached to the arrangements were not taken into account in measuring fair value.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0159"/>
          </w:cols>
          <w:pgMar w:left="300" w:top="354" w:right="1440" w:bottom="1440" w:gutter="0" w:footer="0" w:header="0"/>
        </w:sectPr>
      </w:pPr>
    </w:p>
    <w:bookmarkStart w:id="199" w:name="page200"/>
    <w:bookmarkEnd w:id="1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The inputs used in the measurement of the fair values at grant date and measurement date of the US IPO Bonus Plan were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7"/>
              </w:rPr>
              <w:t>Grant Date</w:t>
            </w:r>
          </w:p>
        </w:tc>
        <w:tc>
          <w:tcPr>
            <w:tcW w:w="86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7"/>
              </w:rPr>
              <w:t>Measurement Date</w:t>
            </w:r>
          </w:p>
        </w:tc>
      </w:tr>
      <w:tr>
        <w:trPr>
          <w:trHeight w:val="113"/>
        </w:trPr>
        <w:tc>
          <w:tcPr>
            <w:tcW w:w="5340" w:type="dxa"/>
            <w:vAlign w:val="bottom"/>
          </w:tcPr>
          <w:p>
            <w:pPr>
              <w:spacing w:after="0"/>
              <w:rPr>
                <w:sz w:val="9"/>
                <w:szCs w:val="9"/>
                <w:color w:val="auto"/>
              </w:rPr>
            </w:pPr>
          </w:p>
        </w:tc>
        <w:tc>
          <w:tcPr>
            <w:tcW w:w="1140" w:type="dxa"/>
            <w:vAlign w:val="bottom"/>
            <w:gridSpan w:val="2"/>
          </w:tcPr>
          <w:p>
            <w:pPr>
              <w:jc w:val="right"/>
              <w:ind w:right="580"/>
              <w:spacing w:after="0" w:line="114" w:lineRule="exact"/>
              <w:rPr>
                <w:sz w:val="20"/>
                <w:szCs w:val="20"/>
                <w:color w:val="auto"/>
              </w:rPr>
            </w:pPr>
            <w:r>
              <w:rPr>
                <w:rFonts w:ascii="Arial" w:cs="Arial" w:eastAsia="Arial" w:hAnsi="Arial"/>
                <w:sz w:val="10"/>
                <w:szCs w:val="10"/>
                <w:b w:val="1"/>
                <w:bCs w:val="1"/>
                <w:color w:val="auto"/>
                <w:w w:val="82"/>
              </w:rPr>
              <w:t>June 20, 2021</w:t>
            </w:r>
          </w:p>
        </w:tc>
        <w:tc>
          <w:tcPr>
            <w:tcW w:w="86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rPr>
              <w:t>June 30, 2021</w:t>
            </w:r>
          </w:p>
        </w:tc>
      </w:tr>
      <w:tr>
        <w:trPr>
          <w:trHeight w:val="124"/>
        </w:trPr>
        <w:tc>
          <w:tcPr>
            <w:tcW w:w="53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Share Price (in €)</w:t>
            </w:r>
          </w:p>
        </w:tc>
        <w:tc>
          <w:tcPr>
            <w:tcW w:w="5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73.80</w:t>
            </w:r>
          </w:p>
        </w:tc>
        <w:tc>
          <w:tcPr>
            <w:tcW w:w="5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80.20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534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1140" w:type="dxa"/>
            <w:vAlign w:val="bottom"/>
            <w:gridSpan w:val="2"/>
          </w:tcPr>
          <w:p>
            <w:pPr>
              <w:jc w:val="right"/>
              <w:ind w:right="580"/>
              <w:spacing w:after="0"/>
              <w:rPr>
                <w:sz w:val="20"/>
                <w:szCs w:val="20"/>
                <w:color w:val="auto"/>
              </w:rPr>
            </w:pPr>
            <w:r>
              <w:rPr>
                <w:rFonts w:ascii="Arial" w:cs="Arial" w:eastAsia="Arial" w:hAnsi="Arial"/>
                <w:sz w:val="11"/>
                <w:szCs w:val="11"/>
                <w:color w:val="auto"/>
              </w:rPr>
              <w:t>38.56</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30.88</w:t>
            </w:r>
          </w:p>
        </w:tc>
      </w:tr>
      <w:tr>
        <w:trPr>
          <w:trHeight w:val="135"/>
        </w:trPr>
        <w:tc>
          <w:tcPr>
            <w:tcW w:w="534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1"/>
                <w:szCs w:val="11"/>
                <w:color w:val="auto"/>
              </w:rPr>
              <w:t>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6"/>
        </w:trPr>
        <w:tc>
          <w:tcPr>
            <w:tcW w:w="5340" w:type="dxa"/>
            <w:vAlign w:val="bottom"/>
          </w:tcPr>
          <w:p>
            <w:pPr>
              <w:spacing w:after="0"/>
              <w:rPr>
                <w:sz w:val="20"/>
                <w:szCs w:val="20"/>
                <w:color w:val="auto"/>
              </w:rPr>
            </w:pPr>
            <w:r>
              <w:rPr>
                <w:rFonts w:ascii="Arial" w:cs="Arial" w:eastAsia="Arial" w:hAnsi="Arial"/>
                <w:sz w:val="11"/>
                <w:szCs w:val="11"/>
                <w:color w:val="auto"/>
              </w:rPr>
              <w:t>Risk-free interest rate (in %)</w:t>
            </w:r>
          </w:p>
        </w:tc>
        <w:tc>
          <w:tcPr>
            <w:tcW w:w="1140" w:type="dxa"/>
            <w:vAlign w:val="bottom"/>
            <w:gridSpan w:val="2"/>
          </w:tcPr>
          <w:p>
            <w:pPr>
              <w:jc w:val="right"/>
              <w:ind w:right="540"/>
              <w:spacing w:after="0"/>
              <w:rPr>
                <w:sz w:val="20"/>
                <w:szCs w:val="20"/>
                <w:color w:val="auto"/>
              </w:rPr>
            </w:pPr>
            <w:r>
              <w:rPr>
                <w:rFonts w:ascii="Arial" w:cs="Arial" w:eastAsia="Arial" w:hAnsi="Arial"/>
                <w:sz w:val="11"/>
                <w:szCs w:val="11"/>
                <w:color w:val="auto"/>
              </w:rPr>
              <w:t>(0.66)</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(0.66)</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Expected volatility has been based on an evaluation of the historical volatility for matching maturities of Mynaric peer group.</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Details of the liabilities arising from the IPO bonus as of June 30, 2021 were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6500" w:type="dxa"/>
            <w:vAlign w:val="bottom"/>
            <w:vMerge w:val="restart"/>
          </w:tcPr>
          <w:p>
            <w:pPr>
              <w:spacing w:after="0"/>
              <w:rPr>
                <w:sz w:val="10"/>
                <w:szCs w:val="10"/>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June 30,</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6500" w:type="dxa"/>
            <w:vAlign w:val="bottom"/>
            <w:vMerge w:val="continue"/>
          </w:tcPr>
          <w:p>
            <w:pPr>
              <w:spacing w:after="0"/>
              <w:rPr>
                <w:sz w:val="10"/>
                <w:szCs w:val="10"/>
                <w:color w:val="auto"/>
              </w:rPr>
            </w:pPr>
          </w:p>
        </w:tc>
        <w:tc>
          <w:tcPr>
            <w:tcW w:w="340" w:type="dxa"/>
            <w:vAlign w:val="bottom"/>
          </w:tcPr>
          <w:p>
            <w:pPr>
              <w:jc w:val="right"/>
              <w:ind w:right="10"/>
              <w:spacing w:after="0" w:line="105"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9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Total carrying amount of liabilities for US IPO bonus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half year period 2021 Mynaric recognized a total expense € 52 thousand from the US IPO Bonus Plan.</w:t>
      </w:r>
    </w:p>
    <w:p>
      <w:pPr>
        <w:spacing w:after="0" w:line="245" w:lineRule="exact"/>
        <w:rPr>
          <w:sz w:val="20"/>
          <w:szCs w:val="20"/>
          <w:color w:val="auto"/>
        </w:rPr>
      </w:pPr>
    </w:p>
    <w:p>
      <w:pPr>
        <w:ind w:left="2260" w:hanging="288"/>
        <w:spacing w:after="0"/>
        <w:tabs>
          <w:tab w:leader="none" w:pos="2260"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20" w:type="dxa"/>
            <w:vAlign w:val="bottom"/>
            <w:vMerge w:val="restart"/>
          </w:tcPr>
          <w:p>
            <w:pPr>
              <w:spacing w:after="0"/>
              <w:rPr>
                <w:sz w:val="6"/>
                <w:szCs w:val="6"/>
                <w:color w:val="auto"/>
              </w:rPr>
            </w:pPr>
          </w:p>
        </w:tc>
        <w:tc>
          <w:tcPr>
            <w:tcW w:w="66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20" w:type="dxa"/>
            <w:vAlign w:val="bottom"/>
            <w:vMerge w:val="continue"/>
          </w:tcPr>
          <w:p>
            <w:pPr>
              <w:spacing w:after="0"/>
              <w:rPr>
                <w:sz w:val="10"/>
                <w:szCs w:val="10"/>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28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18</w:t>
            </w: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467</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80" w:type="dxa"/>
            <w:vAlign w:val="bottom"/>
            <w:gridSpan w:val="2"/>
          </w:tcPr>
          <w:p>
            <w:pPr>
              <w:spacing w:after="0"/>
              <w:rPr>
                <w:sz w:val="20"/>
                <w:szCs w:val="20"/>
                <w:color w:val="auto"/>
              </w:rPr>
            </w:pPr>
            <w:r>
              <w:rPr>
                <w:rFonts w:ascii="Arial" w:cs="Arial" w:eastAsia="Arial" w:hAnsi="Arial"/>
                <w:sz w:val="11"/>
                <w:szCs w:val="11"/>
                <w:color w:val="auto"/>
              </w:rPr>
              <w:t>Increase in inventories of finished goods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970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Write-downs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36"/>
        </w:trPr>
        <w:tc>
          <w:tcPr>
            <w:tcW w:w="6280" w:type="dxa"/>
            <w:vAlign w:val="bottom"/>
            <w:gridSpan w:val="2"/>
          </w:tcPr>
          <w:p>
            <w:pPr>
              <w:spacing w:after="0"/>
              <w:rPr>
                <w:sz w:val="20"/>
                <w:szCs w:val="20"/>
                <w:color w:val="auto"/>
              </w:rPr>
            </w:pPr>
            <w:r>
              <w:rPr>
                <w:rFonts w:ascii="Arial" w:cs="Arial" w:eastAsia="Arial" w:hAnsi="Arial"/>
                <w:sz w:val="11"/>
                <w:szCs w:val="11"/>
                <w:color w:val="auto"/>
              </w:rPr>
              <w:t>Total changes in inventories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988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ind w:right="999"/>
        <w:spacing w:after="0"/>
        <w:rPr>
          <w:sz w:val="20"/>
          <w:szCs w:val="20"/>
          <w:color w:val="auto"/>
        </w:rPr>
      </w:pPr>
      <w:r>
        <w:rPr>
          <w:rFonts w:ascii="Arial" w:cs="Arial" w:eastAsia="Arial" w:hAnsi="Arial"/>
          <w:sz w:val="12"/>
          <w:szCs w:val="12"/>
          <w:color w:val="auto"/>
        </w:rPr>
        <w:t>The write-downs in the six months ended June 30, 2020 presented refer to HAWK AIR terminals that were written down to their recoverable amount.</w:t>
      </w:r>
    </w:p>
    <w:p>
      <w:pPr>
        <w:spacing w:after="0" w:line="245" w:lineRule="exact"/>
        <w:rPr>
          <w:sz w:val="20"/>
          <w:szCs w:val="20"/>
          <w:color w:val="auto"/>
        </w:rPr>
      </w:pPr>
    </w:p>
    <w:p>
      <w:pPr>
        <w:ind w:left="2260" w:hanging="288"/>
        <w:spacing w:after="0"/>
        <w:tabs>
          <w:tab w:leader="none" w:pos="2260"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99"/>
        <w:spacing w:after="0" w:line="263" w:lineRule="auto"/>
        <w:rPr>
          <w:sz w:val="20"/>
          <w:szCs w:val="20"/>
          <w:color w:val="auto"/>
        </w:rPr>
      </w:pPr>
      <w:r>
        <w:rPr>
          <w:rFonts w:ascii="Arial" w:cs="Arial" w:eastAsia="Arial" w:hAnsi="Arial"/>
          <w:sz w:val="12"/>
          <w:szCs w:val="12"/>
          <w:color w:val="auto"/>
        </w:rPr>
        <w:t>Own work capitalized consists of expenses that are used to construct property, plant and equipment or develop intangible assets. This line item is a contra account to other profit and loss statement captions presented below. For a determination of the net basis of those expenses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94"/>
              </w:rPr>
              <w:t>Six Months Ended</w:t>
            </w:r>
          </w:p>
        </w:tc>
        <w:tc>
          <w:tcPr>
            <w:tcW w:w="0" w:type="dxa"/>
            <w:vAlign w:val="bottom"/>
          </w:tcPr>
          <w:p>
            <w:pPr>
              <w:spacing w:after="0"/>
              <w:rPr>
                <w:sz w:val="1"/>
                <w:szCs w:val="1"/>
                <w:color w:val="auto"/>
              </w:rPr>
            </w:pPr>
          </w:p>
        </w:tc>
      </w:tr>
      <w:tr>
        <w:trPr>
          <w:trHeight w:val="74"/>
        </w:trPr>
        <w:tc>
          <w:tcPr>
            <w:tcW w:w="6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80" w:type="dxa"/>
            <w:vAlign w:val="bottom"/>
            <w:tcBorders>
              <w:top w:val="single" w:sz="8" w:color="auto"/>
            </w:tcBorders>
            <w:gridSpan w:val="2"/>
          </w:tcPr>
          <w:p>
            <w:pPr>
              <w:jc w:val="right"/>
              <w:ind w:right="24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6380" w:type="dxa"/>
            <w:vAlign w:val="bottom"/>
            <w:gridSpan w:val="2"/>
            <w:vMerge w:val="continue"/>
          </w:tcPr>
          <w:p>
            <w:pPr>
              <w:spacing w:after="0"/>
              <w:rPr>
                <w:sz w:val="9"/>
                <w:szCs w:val="9"/>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9"/>
                <w:szCs w:val="9"/>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632</w:t>
            </w:r>
          </w:p>
        </w:tc>
        <w:tc>
          <w:tcPr>
            <w:tcW w:w="2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Personnel expenses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1,392</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2,247</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187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Other operating expenses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260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333</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2,471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4,752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0159"/>
          </w:cols>
          <w:pgMar w:left="300" w:top="354" w:right="1440" w:bottom="1440" w:gutter="0" w:footer="0" w:header="0"/>
        </w:sectPr>
      </w:pPr>
    </w:p>
    <w:bookmarkStart w:id="200" w:name="page201"/>
    <w:bookmarkEnd w:id="2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68" w:lineRule="exact"/>
        <w:rPr>
          <w:sz w:val="20"/>
          <w:szCs w:val="20"/>
          <w:color w:val="auto"/>
        </w:rPr>
      </w:pPr>
    </w:p>
    <w:p>
      <w:pPr>
        <w:ind w:left="2620" w:hanging="360"/>
        <w:spacing w:after="0"/>
        <w:tabs>
          <w:tab w:leader="none" w:pos="2620"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 of Software and Licenses</w:t>
      </w:r>
    </w:p>
    <w:p>
      <w:pPr>
        <w:spacing w:after="0" w:line="15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During the six months ended June 30, 2021 the group acquired software and licenses with cost of €80 thousand (six months ended June 30, 2020: €102 thousand).</w:t>
      </w:r>
    </w:p>
    <w:p>
      <w:pPr>
        <w:spacing w:after="0" w:line="115"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Assets with a carrying amount of € 8 thousand were disposed of during the six months ended June 30, 2021 (six months ended June 30, 2021: € 0 thousand).</w:t>
      </w:r>
    </w:p>
    <w:p>
      <w:pPr>
        <w:spacing w:after="0" w:line="210" w:lineRule="exact"/>
        <w:rPr>
          <w:sz w:val="20"/>
          <w:szCs w:val="20"/>
          <w:color w:val="auto"/>
        </w:rPr>
      </w:pPr>
    </w:p>
    <w:p>
      <w:pPr>
        <w:ind w:left="2620" w:hanging="360"/>
        <w:spacing w:after="0"/>
        <w:tabs>
          <w:tab w:leader="none" w:pos="2620"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Capitalization of Development Costs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six months ended June 30, 2021 Mynaric capitalized development costs for the basic SPACE technology of €2,345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the six months ended June 30, 2020 development costs for the basic AIR and SPACE technologies of €4,590 thousand were capitalized.</w:t>
      </w:r>
    </w:p>
    <w:p>
      <w:pPr>
        <w:spacing w:after="0" w:line="162"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AIR and CONDOR products.</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In the first six months of 2021, finance expenses in the amount of €71 thousand (six months ended June 30, 2020: €63 thousand) were capitalized as cost of the development projects in accordance with IAS 23.</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development activities for the basic technology Space were completed in March 2021. The amortization of the associated capitalized development costs for Space technology started on March 1, 2021 applying the useful life of 15 years.</w:t>
      </w:r>
    </w:p>
    <w:p>
      <w:pPr>
        <w:spacing w:after="0" w:line="210" w:lineRule="exact"/>
        <w:rPr>
          <w:sz w:val="20"/>
          <w:szCs w:val="20"/>
          <w:color w:val="auto"/>
        </w:rPr>
      </w:pPr>
    </w:p>
    <w:p>
      <w:pPr>
        <w:ind w:left="2260" w:hanging="288"/>
        <w:spacing w:after="0"/>
        <w:tabs>
          <w:tab w:leader="none" w:pos="2260"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68" w:lineRule="exact"/>
        <w:rPr>
          <w:sz w:val="20"/>
          <w:szCs w:val="20"/>
          <w:color w:val="auto"/>
        </w:rPr>
      </w:pPr>
    </w:p>
    <w:p>
      <w:pPr>
        <w:ind w:left="2620" w:hanging="360"/>
        <w:spacing w:after="0"/>
        <w:tabs>
          <w:tab w:leader="none" w:pos="2620"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w:t>
      </w:r>
    </w:p>
    <w:p>
      <w:pPr>
        <w:spacing w:after="0" w:line="154"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Investments in property, plant, and equipment made in in the first six months of 2021 in the amount of €3,478 thousand (six months ended June 30, 2020: €1,745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w:t>
      </w:r>
    </w:p>
    <w:p>
      <w:pPr>
        <w:spacing w:after="0" w:line="111"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first six months of 2021, finance expenses in the amount of €7 thousand (six months ended June 30, 2020: €2 thousand) were recorded as cost of property, plant, and equipment in accordance with IAS 23.</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Assets with a carrying amount of €22 thousand were disposed of during the six months ended June 30, 2021 (six months ended June 30, 2020: € 2 thousand).</w:t>
      </w:r>
    </w:p>
    <w:p>
      <w:pPr>
        <w:spacing w:after="0" w:line="210" w:lineRule="exact"/>
        <w:rPr>
          <w:sz w:val="20"/>
          <w:szCs w:val="20"/>
          <w:color w:val="auto"/>
        </w:rPr>
      </w:pPr>
    </w:p>
    <w:p>
      <w:pPr>
        <w:ind w:left="2620" w:hanging="360"/>
        <w:spacing w:after="0"/>
        <w:tabs>
          <w:tab w:leader="none" w:pos="262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Outstanding Purchase Orders for Property, Plant, and Equipment</w:t>
      </w:r>
    </w:p>
    <w:p>
      <w:pPr>
        <w:spacing w:after="0" w:line="154"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As of June 30, 2021, the group has open financial obligations from outstanding purchase orders for property, plant, and equipment in the amount of €536 thousand (June 30, 2020: €1,607 thousand).</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0159"/>
          </w:cols>
          <w:pgMar w:left="300" w:top="354" w:right="1440" w:bottom="1440" w:gutter="0" w:footer="0" w:header="0"/>
        </w:sectPr>
      </w:pPr>
    </w:p>
    <w:bookmarkStart w:id="201" w:name="page202"/>
    <w:bookmarkEnd w:id="2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Right-of-use Assets</w:t>
      </w:r>
    </w:p>
    <w:p>
      <w:pPr>
        <w:spacing w:after="0" w:line="154" w:lineRule="exact"/>
        <w:rPr>
          <w:sz w:val="20"/>
          <w:szCs w:val="20"/>
          <w:color w:val="auto"/>
        </w:rPr>
      </w:pPr>
    </w:p>
    <w:p>
      <w:pPr>
        <w:ind w:left="1980" w:right="1619"/>
        <w:spacing w:after="0" w:line="276" w:lineRule="auto"/>
        <w:rPr>
          <w:sz w:val="20"/>
          <w:szCs w:val="20"/>
          <w:color w:val="auto"/>
        </w:rPr>
      </w:pPr>
      <w:r>
        <w:rPr>
          <w:rFonts w:ascii="Arial" w:cs="Arial" w:eastAsia="Arial" w:hAnsi="Arial"/>
          <w:sz w:val="12"/>
          <w:szCs w:val="12"/>
          <w:color w:val="auto"/>
        </w:rPr>
        <w:t>During the six months ended June 30, 2021, Mynaric entered in a new lease agreement for an office in Washington (DC), USA. On lease commencement, the Group recognized €442 thousand of right right-of-use asset and lease liability.</w:t>
      </w:r>
    </w:p>
    <w:p>
      <w:pPr>
        <w:spacing w:after="0" w:line="210" w:lineRule="exact"/>
        <w:rPr>
          <w:sz w:val="20"/>
          <w:szCs w:val="20"/>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non-financial assets include €994 thousand of IPO preparation costs.</w:t>
      </w:r>
    </w:p>
    <w:p>
      <w:pPr>
        <w:spacing w:after="0" w:line="245" w:lineRule="exact"/>
        <w:rPr>
          <w:sz w:val="20"/>
          <w:szCs w:val="20"/>
          <w:color w:val="auto"/>
        </w:rPr>
      </w:pPr>
    </w:p>
    <w:p>
      <w:pPr>
        <w:ind w:left="2260" w:hanging="288"/>
        <w:spacing w:after="0"/>
        <w:tabs>
          <w:tab w:leader="none" w:pos="2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Capital and Reserves</w:t>
      </w:r>
    </w:p>
    <w:p>
      <w:pPr>
        <w:spacing w:after="0" w:line="168" w:lineRule="exact"/>
        <w:rPr>
          <w:sz w:val="20"/>
          <w:szCs w:val="20"/>
          <w:color w:val="auto"/>
        </w:rPr>
      </w:pPr>
    </w:p>
    <w:p>
      <w:pPr>
        <w:ind w:left="2620" w:hanging="360"/>
        <w:spacing w:after="0"/>
        <w:tabs>
          <w:tab w:leader="none" w:pos="262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Issue of ordinary shares</w:t>
      </w:r>
    </w:p>
    <w:p>
      <w:pPr>
        <w:spacing w:after="0" w:line="154"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six months ended June 30, 2021, share capital was increased to €4,092,948 through the issuance of a total of 98,214 bearer shares with a nominal value of €1.00 per share. This was due to the following transaction:</w:t>
      </w:r>
    </w:p>
    <w:p>
      <w:pPr>
        <w:spacing w:after="0" w:line="52" w:lineRule="exact"/>
        <w:rPr>
          <w:sz w:val="20"/>
          <w:szCs w:val="20"/>
          <w:color w:val="auto"/>
        </w:rPr>
      </w:pPr>
    </w:p>
    <w:p>
      <w:pPr>
        <w:ind w:left="2620" w:right="859" w:hanging="288"/>
        <w:spacing w:after="0" w:line="281" w:lineRule="auto"/>
        <w:tabs>
          <w:tab w:leader="none" w:pos="2620" w:val="left"/>
        </w:tabs>
        <w:numPr>
          <w:ilvl w:val="0"/>
          <w:numId w:val="114"/>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As a result, the prepaid share reserve shown in the previous year’s financial statements in the amount of € 5,500,000 was transferred to the subscribed capital and the capital reserve.</w:t>
      </w:r>
    </w:p>
    <w:p>
      <w:pPr>
        <w:spacing w:after="0" w:line="210" w:lineRule="exact"/>
        <w:rPr>
          <w:sz w:val="20"/>
          <w:szCs w:val="20"/>
          <w:color w:val="auto"/>
        </w:rPr>
      </w:pPr>
    </w:p>
    <w:p>
      <w:pPr>
        <w:ind w:left="2620" w:hanging="360"/>
        <w:spacing w:after="0"/>
        <w:tabs>
          <w:tab w:leader="none" w:pos="262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On May 14, 2021, the Annual General Meeting resolved to create 2021/I Conditional Capital and an additional 2021/II Conditional Capital.</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92"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Management Board is authorized, subject to the consent of the Supervisory Board, to issue on one or more occasions until May 13, 2026 convertible bonds and/or bonds with warrants issued to the bearer with a term of 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0159"/>
          </w:cols>
          <w:pgMar w:left="300" w:top="354" w:right="1440" w:bottom="1440" w:gutter="0" w:footer="0" w:header="0"/>
        </w:sectPr>
      </w:pPr>
    </w:p>
    <w:bookmarkStart w:id="202" w:name="page203"/>
    <w:bookmarkEnd w:id="2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92"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Supervisory Board is authorized, to grant stock option rights for shares to members of the Management Board of the Company on one or more occasions until May 13, 2026.</w:t>
      </w:r>
    </w:p>
    <w:p>
      <w:pPr>
        <w:spacing w:after="0" w:line="210" w:lineRule="exact"/>
        <w:rPr>
          <w:sz w:val="20"/>
          <w:szCs w:val="20"/>
          <w:color w:val="auto"/>
        </w:rPr>
      </w:pPr>
    </w:p>
    <w:p>
      <w:pPr>
        <w:ind w:left="2620" w:hanging="360"/>
        <w:spacing w:after="0"/>
        <w:tabs>
          <w:tab w:leader="none" w:pos="2620"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On May 14, 2021, the Annual General Meeting resolved to create 2021/I Authorized Capital and an additional 2021/II Authorized Capital and to rescind the Authorized Capital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Authorized Capital</w:t>
      </w:r>
    </w:p>
    <w:p>
      <w:pPr>
        <w:spacing w:after="0" w:line="150"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Authorized Capital</w:t>
      </w:r>
    </w:p>
    <w:p>
      <w:pPr>
        <w:spacing w:after="0" w:line="150"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2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17" w:lineRule="exact"/>
        <w:rPr>
          <w:sz w:val="20"/>
          <w:szCs w:val="20"/>
          <w:color w:val="auto"/>
        </w:rPr>
      </w:pPr>
    </w:p>
    <w:p>
      <w:pPr>
        <w:ind w:left="2260" w:hanging="288"/>
        <w:spacing w:after="0"/>
        <w:tabs>
          <w:tab w:leader="none" w:pos="2260"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200" w:lineRule="exact"/>
        <w:rPr>
          <w:sz w:val="20"/>
          <w:szCs w:val="20"/>
          <w:color w:val="auto"/>
        </w:rPr>
      </w:pPr>
    </w:p>
    <w:p>
      <w:pPr>
        <w:ind w:left="2620" w:hanging="360"/>
        <w:spacing w:after="0"/>
        <w:tabs>
          <w:tab w:leader="none" w:pos="2620"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six months ended June 30, 2021, there are no related party expenses involving MCConsult Dr. Peschko (six months ended June 30, 2020:</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€180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as a related party in the amount of €363 thousand (June 30, 2020: €54 thousand).</w:t>
      </w:r>
    </w:p>
    <w:p>
      <w:pPr>
        <w:spacing w:after="0" w:line="141"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During the six months ended June 30, 2021, the related party expenses involving Pinsent Masons LLP amounted to €1 thousand (six months ended June 30, 2020: €144 thousand). Trade and other payables reported as of the reporting date include outstanding obligations from transactions with Pinsent Masons LLP in the amount of €0 thousand (June 30, 2021: €12 thousand).</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0159"/>
          </w:cols>
          <w:pgMar w:left="300" w:top="354" w:right="1440" w:bottom="1440" w:gutter="0" w:footer="0" w:header="0"/>
        </w:sectPr>
      </w:pPr>
    </w:p>
    <w:bookmarkStart w:id="203" w:name="page204"/>
    <w:bookmarkEnd w:id="2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In the six months ended June 30, 2021 a new Stock Option Plan 2021 has been set up to exclusively grant stock option rights for shares to members of the Management Board of the Company.</w:t>
      </w:r>
    </w:p>
    <w:p>
      <w:pPr>
        <w:spacing w:after="0" w:line="115"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color w:val="auto"/>
        </w:rPr>
        <w:t>In the context of this plan, stock options were issued to the Management Board in the six months ended June 2021, which entitle the holder to subscribe to Mynaric shares. Detailed information about the granted stock options are presented in Note 8. Share-based payments.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the six months ended June 30, 2021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Short-term</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tcPr>
          <w:p>
            <w:pPr>
              <w:jc w:val="center"/>
              <w:ind w:right="82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00" w:type="dxa"/>
            <w:vAlign w:val="bottom"/>
            <w:tcBorders>
              <w:top w:val="single" w:sz="8" w:color="auto"/>
            </w:tcBorders>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Number</w:t>
            </w:r>
          </w:p>
        </w:tc>
        <w:tc>
          <w:tcPr>
            <w:tcW w:w="4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7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80" w:type="dxa"/>
            <w:vAlign w:val="bottom"/>
            <w:gridSpan w:val="2"/>
          </w:tcPr>
          <w:p>
            <w:pPr>
              <w:ind w:left="180"/>
              <w:spacing w:after="0" w:line="99" w:lineRule="exact"/>
              <w:rPr>
                <w:sz w:val="20"/>
                <w:szCs w:val="20"/>
                <w:color w:val="auto"/>
              </w:rPr>
            </w:pPr>
            <w:r>
              <w:rPr>
                <w:rFonts w:ascii="Arial" w:cs="Arial" w:eastAsia="Arial" w:hAnsi="Arial"/>
                <w:sz w:val="10"/>
                <w:szCs w:val="10"/>
                <w:b w:val="1"/>
                <w:bCs w:val="1"/>
                <w:color w:val="auto"/>
              </w:rPr>
              <w:t>Basic</w:t>
            </w:r>
          </w:p>
        </w:tc>
        <w:tc>
          <w:tcPr>
            <w:tcW w:w="98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9"/>
              </w:rPr>
              <w:t>variable</w:t>
            </w:r>
          </w:p>
        </w:tc>
        <w:tc>
          <w:tcPr>
            <w:tcW w:w="40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3"/>
              </w:rPr>
              <w:t>of stock</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5"/>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20" w:type="dxa"/>
            <w:vAlign w:val="bottom"/>
            <w:vMerge w:val="restart"/>
          </w:tcPr>
          <w:p>
            <w:pPr>
              <w:spacing w:after="0"/>
              <w:rPr>
                <w:sz w:val="20"/>
                <w:szCs w:val="20"/>
                <w:color w:val="auto"/>
              </w:rPr>
            </w:pPr>
            <w:r>
              <w:rPr>
                <w:rFonts w:ascii="Arial" w:cs="Arial" w:eastAsia="Arial" w:hAnsi="Arial"/>
                <w:sz w:val="10"/>
                <w:szCs w:val="10"/>
                <w:b w:val="1"/>
                <w:bCs w:val="1"/>
                <w:color w:val="auto"/>
                <w:w w:val="81"/>
              </w:rPr>
              <w:t>Six Months ended</w:t>
            </w:r>
          </w:p>
        </w:tc>
        <w:tc>
          <w:tcPr>
            <w:tcW w:w="2300" w:type="dxa"/>
            <w:vAlign w:val="bottom"/>
          </w:tcPr>
          <w:p>
            <w:pPr>
              <w:spacing w:after="0"/>
              <w:rPr>
                <w:sz w:val="8"/>
                <w:szCs w:val="8"/>
                <w:color w:val="auto"/>
              </w:rPr>
            </w:pP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2"/>
              </w:rPr>
              <w:t>options</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1"/>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4"/>
        </w:trPr>
        <w:tc>
          <w:tcPr>
            <w:tcW w:w="720" w:type="dxa"/>
            <w:vAlign w:val="bottom"/>
            <w:tcBorders>
              <w:bottom w:val="single" w:sz="8" w:color="auto"/>
            </w:tcBorders>
            <w:vMerge w:val="continue"/>
          </w:tcPr>
          <w:p>
            <w:pPr>
              <w:spacing w:after="0"/>
              <w:rPr>
                <w:sz w:val="10"/>
                <w:szCs w:val="10"/>
                <w:color w:val="auto"/>
              </w:rPr>
            </w:pPr>
          </w:p>
        </w:tc>
        <w:tc>
          <w:tcPr>
            <w:tcW w:w="23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400" w:type="dxa"/>
            <w:vAlign w:val="bottom"/>
            <w:gridSpan w:val="2"/>
          </w:tcPr>
          <w:p>
            <w:pPr>
              <w:jc w:val="center"/>
              <w:spacing w:after="0" w:line="105" w:lineRule="exact"/>
              <w:rPr>
                <w:sz w:val="20"/>
                <w:szCs w:val="20"/>
                <w:color w:val="auto"/>
              </w:rPr>
            </w:pPr>
            <w:r>
              <w:rPr>
                <w:rFonts w:ascii="Arial" w:cs="Arial" w:eastAsia="Arial" w:hAnsi="Arial"/>
                <w:sz w:val="10"/>
                <w:szCs w:val="10"/>
                <w:b w:val="1"/>
                <w:bCs w:val="1"/>
                <w:color w:val="auto"/>
                <w:w w:val="87"/>
              </w:rPr>
              <w:t>granted</w:t>
            </w:r>
          </w:p>
        </w:tc>
        <w:tc>
          <w:tcPr>
            <w:tcW w:w="4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113"/>
        </w:trPr>
        <w:tc>
          <w:tcPr>
            <w:tcW w:w="72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June 30, 2021</w:t>
            </w:r>
          </w:p>
        </w:tc>
        <w:tc>
          <w:tcPr>
            <w:tcW w:w="23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345</w:t>
            </w:r>
          </w:p>
        </w:tc>
        <w:tc>
          <w:tcPr>
            <w:tcW w:w="4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191</w:t>
            </w:r>
          </w:p>
        </w:tc>
        <w:tc>
          <w:tcPr>
            <w:tcW w:w="4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100,000</w:t>
            </w:r>
          </w:p>
        </w:tc>
        <w:tc>
          <w:tcPr>
            <w:tcW w:w="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101</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ind w:left="380"/>
              <w:spacing w:after="0" w:line="113" w:lineRule="exact"/>
              <w:rPr>
                <w:sz w:val="20"/>
                <w:szCs w:val="20"/>
                <w:color w:val="auto"/>
              </w:rPr>
            </w:pPr>
            <w:r>
              <w:rPr>
                <w:rFonts w:ascii="Arial" w:cs="Arial" w:eastAsia="Arial" w:hAnsi="Arial"/>
                <w:sz w:val="11"/>
                <w:szCs w:val="11"/>
                <w:color w:val="auto"/>
                <w:w w:val="76"/>
              </w:rPr>
              <w:t>636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720" w:type="dxa"/>
            <w:vAlign w:val="bottom"/>
          </w:tcPr>
          <w:p>
            <w:pPr>
              <w:spacing w:after="0"/>
              <w:rPr>
                <w:sz w:val="20"/>
                <w:szCs w:val="20"/>
                <w:color w:val="auto"/>
              </w:rPr>
            </w:pPr>
            <w:r>
              <w:rPr>
                <w:rFonts w:ascii="Arial" w:cs="Arial" w:eastAsia="Arial" w:hAnsi="Arial"/>
                <w:sz w:val="11"/>
                <w:szCs w:val="11"/>
                <w:color w:val="auto"/>
              </w:rPr>
              <w:t>June 30, 2020</w:t>
            </w:r>
          </w:p>
        </w:tc>
        <w:tc>
          <w:tcPr>
            <w:tcW w:w="3280" w:type="dxa"/>
            <w:vAlign w:val="bottom"/>
            <w:gridSpan w:val="3"/>
          </w:tcPr>
          <w:p>
            <w:pPr>
              <w:jc w:val="right"/>
              <w:ind w:right="400"/>
              <w:spacing w:after="0"/>
              <w:rPr>
                <w:sz w:val="20"/>
                <w:szCs w:val="20"/>
                <w:color w:val="auto"/>
              </w:rPr>
            </w:pPr>
            <w:r>
              <w:rPr>
                <w:rFonts w:ascii="Arial" w:cs="Arial" w:eastAsia="Arial" w:hAnsi="Arial"/>
                <w:sz w:val="11"/>
                <w:szCs w:val="11"/>
                <w:color w:val="auto"/>
              </w:rPr>
              <w:t>297</w:t>
            </w:r>
          </w:p>
        </w:tc>
        <w:tc>
          <w:tcPr>
            <w:tcW w:w="980" w:type="dxa"/>
            <w:vAlign w:val="bottom"/>
            <w:gridSpan w:val="2"/>
          </w:tcPr>
          <w:p>
            <w:pPr>
              <w:jc w:val="right"/>
              <w:ind w:right="400"/>
              <w:spacing w:after="0"/>
              <w:rPr>
                <w:sz w:val="20"/>
                <w:szCs w:val="20"/>
                <w:color w:val="auto"/>
              </w:rPr>
            </w:pPr>
            <w:r>
              <w:rPr>
                <w:rFonts w:ascii="Arial" w:cs="Arial" w:eastAsia="Arial" w:hAnsi="Arial"/>
                <w:sz w:val="11"/>
                <w:szCs w:val="11"/>
                <w:color w:val="auto"/>
              </w:rPr>
              <w:t>196</w:t>
            </w: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3,000</w:t>
            </w:r>
          </w:p>
        </w:tc>
        <w:tc>
          <w:tcPr>
            <w:tcW w:w="1380" w:type="dxa"/>
            <w:vAlign w:val="bottom"/>
            <w:gridSpan w:val="3"/>
          </w:tcPr>
          <w:p>
            <w:pPr>
              <w:jc w:val="right"/>
              <w:ind w:right="420"/>
              <w:spacing w:after="0"/>
              <w:rPr>
                <w:sz w:val="20"/>
                <w:szCs w:val="20"/>
                <w:color w:val="auto"/>
              </w:rPr>
            </w:pPr>
            <w:r>
              <w:rPr>
                <w:rFonts w:ascii="Arial" w:cs="Arial" w:eastAsia="Arial" w:hAnsi="Arial"/>
                <w:sz w:val="11"/>
                <w:szCs w:val="11"/>
                <w:color w:val="auto"/>
              </w:rPr>
              <w:t>487</w:t>
            </w:r>
          </w:p>
        </w:tc>
        <w:tc>
          <w:tcPr>
            <w:tcW w:w="580" w:type="dxa"/>
            <w:vAlign w:val="bottom"/>
            <w:gridSpan w:val="2"/>
          </w:tcPr>
          <w:p>
            <w:pPr>
              <w:ind w:left="380"/>
              <w:spacing w:after="0"/>
              <w:rPr>
                <w:sz w:val="20"/>
                <w:szCs w:val="20"/>
                <w:color w:val="auto"/>
              </w:rPr>
            </w:pPr>
            <w:r>
              <w:rPr>
                <w:rFonts w:ascii="Arial" w:cs="Arial" w:eastAsia="Arial" w:hAnsi="Arial"/>
                <w:sz w:val="11"/>
                <w:szCs w:val="11"/>
                <w:color w:val="auto"/>
                <w:w w:val="97"/>
              </w:rPr>
              <w:t>980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The amounts in the table for the chairman of the Management Board, Bulent Altan, include remuneration received in his capacity as CEO of the subsidiary Mynaric USA Inc.</w:t>
      </w:r>
    </w:p>
    <w:p>
      <w:pPr>
        <w:spacing w:after="0" w:line="210" w:lineRule="exact"/>
        <w:rPr>
          <w:sz w:val="20"/>
          <w:szCs w:val="20"/>
          <w:color w:val="auto"/>
        </w:rPr>
      </w:pPr>
    </w:p>
    <w:p>
      <w:pPr>
        <w:ind w:left="2620" w:hanging="360"/>
        <w:spacing w:after="0"/>
        <w:tabs>
          <w:tab w:leader="none" w:pos="2620"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which was amended on the Annual General Meeting on May 14, 2021. Accordingly, the Supervisory Board members receive a fixed annual remuneration, payable after the end of the fiscal year. The remuneration amounts to €30,000 per year, with the chairman receiving twice that amount and the deputy chairman receiving one and a half times this amount. An attendance fee of €500 are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F-15</w:t>
      </w:r>
    </w:p>
    <w:p>
      <w:pPr>
        <w:sectPr>
          <w:pgSz w:w="11900" w:h="16838" w:orient="portrait"/>
          <w:cols w:equalWidth="0" w:num="1">
            <w:col w:w="10159"/>
          </w:cols>
          <w:pgMar w:left="300" w:top="354" w:right="1440" w:bottom="1440" w:gutter="0" w:footer="0" w:header="0"/>
        </w:sectPr>
      </w:pPr>
    </w:p>
    <w:bookmarkStart w:id="204" w:name="page205"/>
    <w:bookmarkEnd w:id="2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444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040" w:type="dxa"/>
            <w:vAlign w:val="bottom"/>
            <w:gridSpan w:val="3"/>
          </w:tcPr>
          <w:p>
            <w:pPr>
              <w:spacing w:after="0"/>
              <w:rPr>
                <w:sz w:val="20"/>
                <w:szCs w:val="20"/>
                <w:color w:val="auto"/>
              </w:rPr>
            </w:pPr>
            <w:r>
              <w:rPr>
                <w:rFonts w:ascii="Arial" w:cs="Arial" w:eastAsia="Arial" w:hAnsi="Arial"/>
                <w:sz w:val="12"/>
                <w:szCs w:val="12"/>
                <w:color w:val="auto"/>
              </w:rPr>
              <w:t>The financial instruments were allocated to the following categories: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300" w:type="dxa"/>
            <w:vAlign w:val="bottom"/>
            <w:gridSpan w:val="4"/>
          </w:tcPr>
          <w:p>
            <w:pPr>
              <w:jc w:val="right"/>
              <w:ind w:right="520"/>
              <w:spacing w:after="0"/>
              <w:rPr>
                <w:sz w:val="20"/>
                <w:szCs w:val="20"/>
                <w:color w:val="auto"/>
              </w:rPr>
            </w:pPr>
            <w:r>
              <w:rPr>
                <w:rFonts w:ascii="Arial" w:cs="Arial" w:eastAsia="Arial" w:hAnsi="Arial"/>
                <w:sz w:val="10"/>
                <w:szCs w:val="10"/>
                <w:b w:val="1"/>
                <w:bCs w:val="1"/>
                <w:color w:val="auto"/>
              </w:rPr>
              <w:t>June 30, 2021</w:t>
            </w:r>
          </w:p>
        </w:tc>
        <w:tc>
          <w:tcPr>
            <w:tcW w:w="100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rPr>
              <w:t>Dec. 31, 2020</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14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8"/>
              <w:spacing w:after="0" w:line="74" w:lineRule="exact"/>
              <w:rPr>
                <w:sz w:val="20"/>
                <w:szCs w:val="20"/>
                <w:color w:val="auto"/>
              </w:rPr>
            </w:pPr>
            <w:r>
              <w:rPr>
                <w:rFonts w:ascii="Arial" w:cs="Arial" w:eastAsia="Arial" w:hAnsi="Arial"/>
                <w:sz w:val="8"/>
                <w:szCs w:val="8"/>
                <w:b w:val="1"/>
                <w:bCs w:val="1"/>
                <w:color w:val="auto"/>
              </w:rPr>
              <w:t>Non-</w:t>
            </w:r>
          </w:p>
        </w:tc>
        <w:tc>
          <w:tcPr>
            <w:tcW w:w="32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Non-</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4440" w:type="dxa"/>
            <w:vAlign w:val="bottom"/>
          </w:tcPr>
          <w:p>
            <w:pPr>
              <w:spacing w:after="0"/>
              <w:rPr>
                <w:sz w:val="10"/>
                <w:szCs w:val="10"/>
                <w:color w:val="auto"/>
              </w:rPr>
            </w:pPr>
          </w:p>
        </w:tc>
        <w:tc>
          <w:tcPr>
            <w:tcW w:w="66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Current</w:t>
            </w:r>
          </w:p>
        </w:tc>
        <w:tc>
          <w:tcPr>
            <w:tcW w:w="64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6"/>
              </w:rPr>
              <w:t>current</w:t>
            </w:r>
          </w:p>
        </w:tc>
        <w:tc>
          <w:tcPr>
            <w:tcW w:w="6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Current</w:t>
            </w:r>
          </w:p>
        </w:tc>
        <w:tc>
          <w:tcPr>
            <w:tcW w:w="3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81"/>
              </w:rPr>
              <w:t>current</w:t>
            </w:r>
          </w:p>
        </w:tc>
        <w:tc>
          <w:tcPr>
            <w:tcW w:w="0" w:type="dxa"/>
            <w:vAlign w:val="bottom"/>
          </w:tcPr>
          <w:p>
            <w:pPr>
              <w:spacing w:after="0"/>
              <w:rPr>
                <w:sz w:val="1"/>
                <w:szCs w:val="1"/>
                <w:color w:val="auto"/>
              </w:rPr>
            </w:pPr>
          </w:p>
        </w:tc>
      </w:tr>
      <w:tr>
        <w:trPr>
          <w:trHeight w:val="104"/>
        </w:trPr>
        <w:tc>
          <w:tcPr>
            <w:tcW w:w="5040" w:type="dxa"/>
            <w:vAlign w:val="bottom"/>
            <w:tcBorders>
              <w:top w:val="single" w:sz="8" w:color="CCEEFF"/>
            </w:tcBorders>
            <w:gridSpan w:val="3"/>
            <w:shd w:val="clear" w:color="auto" w:fill="CCEEFF"/>
          </w:tcPr>
          <w:p>
            <w:pPr>
              <w:spacing w:after="0" w:line="104" w:lineRule="exact"/>
              <w:rPr>
                <w:sz w:val="20"/>
                <w:szCs w:val="20"/>
                <w:color w:val="auto"/>
              </w:rPr>
            </w:pPr>
            <w:r>
              <w:rPr>
                <w:rFonts w:ascii="Arial" w:cs="Arial" w:eastAsia="Arial" w:hAnsi="Arial"/>
                <w:sz w:val="11"/>
                <w:szCs w:val="11"/>
                <w:color w:val="auto"/>
              </w:rPr>
              <w:t>Amortized cost (AmC)</w:t>
            </w:r>
          </w:p>
        </w:tc>
        <w:tc>
          <w:tcPr>
            <w:tcW w:w="3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4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660" w:type="dxa"/>
            <w:vAlign w:val="bottom"/>
            <w:gridSpan w:val="2"/>
          </w:tcPr>
          <w:p>
            <w:pPr>
              <w:jc w:val="right"/>
              <w:ind w:right="300"/>
              <w:spacing w:after="0"/>
              <w:rPr>
                <w:sz w:val="20"/>
                <w:szCs w:val="20"/>
                <w:color w:val="auto"/>
              </w:rPr>
            </w:pPr>
            <w:r>
              <w:rPr>
                <w:rFonts w:ascii="Arial" w:cs="Arial" w:eastAsia="Arial" w:hAnsi="Arial"/>
                <w:sz w:val="11"/>
                <w:szCs w:val="11"/>
                <w:color w:val="auto"/>
              </w:rPr>
              <w:t>44</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401</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76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359</w:t>
            </w:r>
          </w:p>
        </w:tc>
        <w:tc>
          <w:tcPr>
            <w:tcW w:w="0" w:type="dxa"/>
            <w:vAlign w:val="bottom"/>
          </w:tcPr>
          <w:p>
            <w:pPr>
              <w:spacing w:after="0"/>
              <w:rPr>
                <w:sz w:val="1"/>
                <w:szCs w:val="1"/>
                <w:color w:val="auto"/>
              </w:rPr>
            </w:pPr>
          </w:p>
        </w:tc>
      </w:tr>
      <w:tr>
        <w:trPr>
          <w:trHeight w:val="135"/>
        </w:trPr>
        <w:tc>
          <w:tcPr>
            <w:tcW w:w="50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18,444</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43,198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04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66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550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4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18.488</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401</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w w:val="94"/>
              </w:rPr>
              <w:t>43,824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w:t>
            </w:r>
          </w:p>
        </w:tc>
        <w:tc>
          <w:tcPr>
            <w:tcW w:w="0" w:type="dxa"/>
            <w:vAlign w:val="bottom"/>
          </w:tcPr>
          <w:p>
            <w:pPr>
              <w:spacing w:after="0"/>
              <w:rPr>
                <w:sz w:val="1"/>
                <w:szCs w:val="1"/>
                <w:color w:val="auto"/>
              </w:rPr>
            </w:pP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4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6,512</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5,128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04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660" w:type="dxa"/>
            <w:vAlign w:val="bottom"/>
            <w:gridSpan w:val="2"/>
          </w:tcPr>
          <w:p>
            <w:pPr>
              <w:jc w:val="right"/>
              <w:ind w:right="300"/>
              <w:spacing w:after="0"/>
              <w:rPr>
                <w:sz w:val="20"/>
                <w:szCs w:val="20"/>
                <w:color w:val="auto"/>
              </w:rPr>
            </w:pPr>
            <w:r>
              <w:rPr>
                <w:rFonts w:ascii="Arial" w:cs="Arial" w:eastAsia="Arial" w:hAnsi="Arial"/>
                <w:sz w:val="11"/>
                <w:szCs w:val="11"/>
                <w:color w:val="auto"/>
              </w:rPr>
              <w:t>1,281</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1,156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6,800</w:t>
            </w:r>
          </w:p>
        </w:tc>
        <w:tc>
          <w:tcPr>
            <w:tcW w:w="0" w:type="dxa"/>
            <w:vAlign w:val="bottom"/>
          </w:tcPr>
          <w:p>
            <w:pPr>
              <w:spacing w:after="0"/>
              <w:rPr>
                <w:sz w:val="1"/>
                <w:szCs w:val="1"/>
                <w:color w:val="auto"/>
              </w:rPr>
            </w:pPr>
          </w:p>
        </w:tc>
      </w:tr>
      <w:tr>
        <w:trPr>
          <w:trHeight w:val="135"/>
        </w:trPr>
        <w:tc>
          <w:tcPr>
            <w:tcW w:w="50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44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7,873</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6,308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6,800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2021</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2020</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22"/>
        </w:numPr>
        <w:rPr>
          <w:rFonts w:ascii="Arial" w:cs="Arial" w:eastAsia="Arial" w:hAnsi="Arial"/>
          <w:sz w:val="12"/>
          <w:szCs w:val="12"/>
          <w:b w:val="1"/>
          <w:bCs w:val="1"/>
          <w:color w:val="auto"/>
        </w:rPr>
      </w:pPr>
      <w:r>
        <w:rPr>
          <w:rFonts w:ascii="Arial" w:cs="Arial" w:eastAsia="Arial" w:hAnsi="Arial"/>
          <w:sz w:val="12"/>
          <w:szCs w:val="12"/>
          <w:b w:val="1"/>
          <w:bCs w:val="1"/>
          <w:color w:val="auto"/>
        </w:rPr>
        <w:t>Liquidity risk</w:t>
      </w:r>
    </w:p>
    <w:p>
      <w:pPr>
        <w:spacing w:after="0" w:line="154"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On September 15, 2021, the Company entered into a credit agreement with a credit line of approximately €25 million. The loan agreement has a term until March 31, 2022 with a conditional option for a one-time extension for three months. Based on management’s current operating plan, its existing cash and cash equivalents and the new credit facility, the Company has sufficient sources of financing to fund its planned operating expenses and capital expenditure requirements through the end of the second quarter 2022. Further financing is needed to fund its operations thereafter. Management is currently in discussions with various potential investors concerning additional debt and equity financing arrangements. Based on the management’s ability to obtain sufficient financing to fund its operations historically as well as the current status of negotiations with potential investors, management believes it is probable that they will be successful in signing additional financing</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0159"/>
          </w:cols>
          <w:pgMar w:left="300" w:top="354" w:right="1440" w:bottom="1440" w:gutter="0" w:footer="0" w:header="0"/>
        </w:sectPr>
      </w:pPr>
    </w:p>
    <w:bookmarkStart w:id="205" w:name="page206"/>
    <w:bookmarkEnd w:id="2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arrangements before the end of the second quarter of 2022. In the unlikely event that such financing will not be accessible on a timely basis, management has the ability to postpone or curtail its currently planned operating and capital expenditures to conserve cash and cash equivalents. Should the Company be unable to obtain funding on a timely basis, it would be unable to achieve its current operational and development plans which may materially affect the Company’s business, financial condition and results of operations.</w:t>
      </w:r>
    </w:p>
    <w:p>
      <w:pPr>
        <w:spacing w:after="0" w:line="219" w:lineRule="exact"/>
        <w:rPr>
          <w:sz w:val="20"/>
          <w:szCs w:val="20"/>
          <w:color w:val="auto"/>
        </w:rPr>
      </w:pPr>
    </w:p>
    <w:p>
      <w:pPr>
        <w:ind w:left="2260" w:hanging="288"/>
        <w:spacing w:after="0"/>
        <w:tabs>
          <w:tab w:leader="none" w:pos="2260" w:val="left"/>
        </w:tabs>
        <w:numPr>
          <w:ilvl w:val="0"/>
          <w:numId w:val="123"/>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168" w:lineRule="exact"/>
        <w:rPr>
          <w:sz w:val="20"/>
          <w:szCs w:val="20"/>
          <w:color w:val="auto"/>
        </w:rPr>
      </w:pPr>
    </w:p>
    <w:p>
      <w:pPr>
        <w:ind w:left="2920" w:hanging="219"/>
        <w:spacing w:after="0"/>
        <w:tabs>
          <w:tab w:leader="none" w:pos="29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Joachim Horwath, CTO, Dipl.-Ing, Gilching (since February 17,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168" w:lineRule="exact"/>
        <w:rPr>
          <w:sz w:val="20"/>
          <w:szCs w:val="20"/>
          <w:color w:val="auto"/>
        </w:rPr>
      </w:pPr>
    </w:p>
    <w:p>
      <w:pPr>
        <w:ind w:left="2920" w:hanging="219"/>
        <w:spacing w:after="0"/>
        <w:tabs>
          <w:tab w:leader="none" w:pos="292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5"/>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(until June 24, 2021)</w:t>
      </w:r>
    </w:p>
    <w:p>
      <w:pPr>
        <w:spacing w:after="0" w:line="98" w:lineRule="exact"/>
        <w:rPr>
          <w:rFonts w:ascii="Arial" w:cs="Arial" w:eastAsia="Arial" w:hAnsi="Arial"/>
          <w:sz w:val="11"/>
          <w:szCs w:val="11"/>
          <w:color w:val="auto"/>
        </w:rPr>
      </w:pPr>
    </w:p>
    <w:p>
      <w:pPr>
        <w:ind w:left="2920" w:hanging="219"/>
        <w:spacing w:after="0"/>
        <w:tabs>
          <w:tab w:leader="none" w:pos="292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Steve Geskos, member of the Supervisory Board, Managing Director Rose Park Advisors (since May 14, 2021)</w:t>
      </w:r>
    </w:p>
    <w:p>
      <w:pPr>
        <w:spacing w:after="0" w:line="87" w:lineRule="exact"/>
        <w:rPr>
          <w:rFonts w:ascii="Arial" w:cs="Arial" w:eastAsia="Arial" w:hAnsi="Arial"/>
          <w:sz w:val="12"/>
          <w:szCs w:val="12"/>
          <w:color w:val="auto"/>
        </w:rPr>
      </w:pPr>
    </w:p>
    <w:p>
      <w:pPr>
        <w:ind w:left="2920" w:right="939" w:hanging="219"/>
        <w:spacing w:after="0" w:line="276" w:lineRule="auto"/>
        <w:tabs>
          <w:tab w:leader="none" w:pos="292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Vincent Wobbe, member of the Supervisory Board, Head of Public Markets Investments Apeiron Investment Group (since June 24, 2021)</w:t>
      </w:r>
    </w:p>
    <w:p>
      <w:pPr>
        <w:spacing w:after="0" w:line="51" w:lineRule="exact"/>
        <w:rPr>
          <w:rFonts w:ascii="Arial" w:cs="Arial" w:eastAsia="Arial" w:hAnsi="Arial"/>
          <w:sz w:val="12"/>
          <w:szCs w:val="12"/>
          <w:color w:val="auto"/>
        </w:rPr>
      </w:pPr>
    </w:p>
    <w:p>
      <w:pPr>
        <w:ind w:left="2920" w:hanging="219"/>
        <w:spacing w:after="0"/>
        <w:tabs>
          <w:tab w:leader="none" w:pos="292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 (until May 14, 2021)</w:t>
      </w:r>
    </w:p>
    <w:p>
      <w:pPr>
        <w:spacing w:after="0" w:line="245" w:lineRule="exact"/>
        <w:rPr>
          <w:rFonts w:ascii="Arial" w:cs="Arial" w:eastAsia="Arial" w:hAnsi="Arial"/>
          <w:sz w:val="12"/>
          <w:szCs w:val="12"/>
          <w:color w:val="auto"/>
        </w:rPr>
      </w:pPr>
    </w:p>
    <w:p>
      <w:pPr>
        <w:ind w:left="2260" w:hanging="288"/>
        <w:spacing w:after="0"/>
        <w:tabs>
          <w:tab w:leader="none" w:pos="2260" w:val="left"/>
        </w:tabs>
        <w:numPr>
          <w:ilvl w:val="0"/>
          <w:numId w:val="125"/>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 amount, which will be converted into a certain number of RSUs, which is dependent on the six-month average closing price of the shares or share certificates.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F-17</w:t>
      </w:r>
    </w:p>
    <w:p>
      <w:pPr>
        <w:sectPr>
          <w:pgSz w:w="11900" w:h="16838" w:orient="portrait"/>
          <w:cols w:equalWidth="0" w:num="1">
            <w:col w:w="10159"/>
          </w:cols>
          <w:pgMar w:left="300" w:top="354" w:right="1440" w:bottom="1440" w:gutter="0" w:footer="0" w:header="0"/>
        </w:sectPr>
      </w:pPr>
    </w:p>
    <w:bookmarkStart w:id="206" w:name="page207"/>
    <w:bookmarkEnd w:id="2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Management Board</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150"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We have audited the accompanying consolidated statement of financial position of Mynaric AG (the Company) as of December 31, 2020 and 2019, the related consolidated statements of profit or loss and other comprehensive income, changes in equity, and cash flows for each of the years in the two 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 year period ended December 31, 2020, in conformity with International Financial Reporting Standards as issued by the International Accounting Standards Board.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Change in Accounting Policy</w:t>
      </w:r>
    </w:p>
    <w:p>
      <w:pPr>
        <w:spacing w:after="0" w:line="150"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As discussed in Note 3.3. c) to the consolidated financial statements, the consolidated statements of profit or loss and comprehensive income or loss for the years ended December 31, 2020 and 2019 have been restated to reflect a voluntary change in presentation.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for Opinion</w:t>
      </w:r>
    </w:p>
    <w:p>
      <w:pPr>
        <w:spacing w:after="0" w:line="150"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 KPMG AG Wirtschaftsprüfungsgesellschaft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served as the Company’s auditor since 2020</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Munich, Germany</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June 24,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F-18</w:t>
      </w:r>
    </w:p>
    <w:p>
      <w:pPr>
        <w:sectPr>
          <w:pgSz w:w="11900" w:h="16838" w:orient="portrait"/>
          <w:cols w:equalWidth="0" w:num="1">
            <w:col w:w="10159"/>
          </w:cols>
          <w:pgMar w:left="300" w:top="354" w:right="1440" w:bottom="1440" w:gutter="0" w:footer="0" w:header="0"/>
        </w:sectPr>
      </w:pPr>
    </w:p>
    <w:bookmarkStart w:id="207" w:name="page208"/>
    <w:bookmarkEnd w:id="2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66"/>
              <w:spacing w:after="0"/>
              <w:rPr>
                <w:sz w:val="20"/>
                <w:szCs w:val="20"/>
                <w:color w:val="auto"/>
              </w:rPr>
            </w:pPr>
            <w:r>
              <w:rPr>
                <w:rFonts w:ascii="Arial" w:cs="Arial" w:eastAsia="Arial" w:hAnsi="Arial"/>
                <w:sz w:val="10"/>
                <w:szCs w:val="10"/>
                <w:b w:val="1"/>
                <w:bCs w:val="1"/>
                <w:color w:val="auto"/>
              </w:rPr>
              <w:t>2020</w:t>
            </w:r>
            <w:r>
              <w:rPr>
                <w:rFonts w:ascii="Arial" w:cs="Arial" w:eastAsia="Arial" w:hAnsi="Arial"/>
                <w:sz w:val="8"/>
                <w:szCs w:val="8"/>
                <w:b w:val="1"/>
                <w:bCs w:val="1"/>
                <w:color w:val="auto"/>
              </w:rPr>
              <w:t>*)</w:t>
            </w:r>
          </w:p>
        </w:tc>
        <w:tc>
          <w:tcPr>
            <w:tcW w:w="120" w:type="dxa"/>
            <w:vAlign w:val="bottom"/>
          </w:tcPr>
          <w:p>
            <w:pPr>
              <w:spacing w:after="0"/>
              <w:rPr>
                <w:sz w:val="10"/>
                <w:szCs w:val="10"/>
                <w:color w:val="auto"/>
              </w:rPr>
            </w:pPr>
          </w:p>
        </w:tc>
        <w:tc>
          <w:tcPr>
            <w:tcW w:w="500" w:type="dxa"/>
            <w:vAlign w:val="bottom"/>
          </w:tcPr>
          <w:p>
            <w:pPr>
              <w:jc w:val="right"/>
              <w:ind w:right="66"/>
              <w:spacing w:after="0"/>
              <w:rPr>
                <w:sz w:val="20"/>
                <w:szCs w:val="20"/>
                <w:color w:val="auto"/>
              </w:rPr>
            </w:pPr>
            <w:r>
              <w:rPr>
                <w:rFonts w:ascii="Arial" w:cs="Arial" w:eastAsia="Arial" w:hAnsi="Arial"/>
                <w:sz w:val="10"/>
                <w:szCs w:val="10"/>
                <w:b w:val="1"/>
                <w:bCs w:val="1"/>
                <w:color w:val="auto"/>
              </w:rPr>
              <w:t>2019</w:t>
            </w:r>
            <w:r>
              <w:rPr>
                <w:rFonts w:ascii="Arial" w:cs="Arial" w:eastAsia="Arial" w:hAnsi="Arial"/>
                <w:sz w:val="8"/>
                <w:szCs w:val="8"/>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5720" w:type="dxa"/>
            <w:vAlign w:val="bottom"/>
            <w:gridSpan w:val="2"/>
          </w:tcPr>
          <w:p>
            <w:pPr>
              <w:ind w:left="6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6.</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679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37"/>
        </w:trPr>
        <w:tc>
          <w:tcPr>
            <w:tcW w:w="14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Other operating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720" w:type="dxa"/>
            <w:vAlign w:val="bottom"/>
            <w:gridSpan w:val="2"/>
            <w:vMerge w:val="restart"/>
          </w:tcPr>
          <w:p>
            <w:pPr>
              <w:ind w:left="60"/>
              <w:spacing w:after="0"/>
              <w:rPr>
                <w:sz w:val="20"/>
                <w:szCs w:val="20"/>
                <w:color w:val="auto"/>
              </w:rPr>
            </w:pPr>
            <w:r>
              <w:rPr>
                <w:rFonts w:ascii="Arial" w:cs="Arial" w:eastAsia="Arial" w:hAnsi="Arial"/>
                <w:sz w:val="11"/>
                <w:szCs w:val="11"/>
                <w:color w:val="auto"/>
              </w:rPr>
              <w:t>Cost of materials</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8.</w:t>
            </w: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40" w:type="dxa"/>
            <w:vAlign w:val="bottom"/>
          </w:tcPr>
          <w:p>
            <w:pPr>
              <w:spacing w:after="0"/>
              <w:rPr>
                <w:sz w:val="11"/>
                <w:szCs w:val="11"/>
                <w:color w:val="auto"/>
              </w:rPr>
            </w:pPr>
          </w:p>
        </w:tc>
        <w:tc>
          <w:tcPr>
            <w:tcW w:w="5720" w:type="dxa"/>
            <w:vAlign w:val="bottom"/>
            <w:gridSpan w:val="2"/>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(6,221)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7"/>
        </w:trPr>
        <w:tc>
          <w:tcPr>
            <w:tcW w:w="14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Personnel expenses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(16,834)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720" w:type="dxa"/>
            <w:vAlign w:val="bottom"/>
            <w:gridSpan w:val="2"/>
          </w:tcPr>
          <w:p>
            <w:pPr>
              <w:ind w:left="60"/>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(1,843)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Other operating expenses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(5,344)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720" w:type="dxa"/>
            <w:vAlign w:val="bottom"/>
            <w:gridSpan w:val="2"/>
          </w:tcPr>
          <w:p>
            <w:pPr>
              <w:ind w:left="6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12.</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637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9,375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1"/>
        </w:trPr>
        <w:tc>
          <w:tcPr>
            <w:tcW w:w="5860" w:type="dxa"/>
            <w:vAlign w:val="bottom"/>
            <w:gridSpan w:val="3"/>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(19,257)</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(10,078)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4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Interest and similar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720" w:type="dxa"/>
            <w:vAlign w:val="bottom"/>
            <w:gridSpan w:val="2"/>
          </w:tcPr>
          <w:p>
            <w:pPr>
              <w:ind w:left="60"/>
              <w:spacing w:after="0"/>
              <w:rPr>
                <w:sz w:val="20"/>
                <w:szCs w:val="20"/>
                <w:color w:val="auto"/>
              </w:rPr>
            </w:pPr>
            <w:r>
              <w:rPr>
                <w:rFonts w:ascii="Arial" w:cs="Arial" w:eastAsia="Arial" w:hAnsi="Arial"/>
                <w:sz w:val="11"/>
                <w:szCs w:val="11"/>
                <w:color w:val="auto"/>
              </w:rPr>
              <w:t>Net foreign exchange gain / (loss)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(531)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(513)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1"/>
        </w:trPr>
        <w:tc>
          <w:tcPr>
            <w:tcW w:w="5860" w:type="dxa"/>
            <w:vAlign w:val="bottom"/>
            <w:gridSpan w:val="3"/>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Income tax expense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1"/>
        </w:trPr>
        <w:tc>
          <w:tcPr>
            <w:tcW w:w="5860" w:type="dxa"/>
            <w:vAlign w:val="bottom"/>
            <w:gridSpan w:val="3"/>
          </w:tcPr>
          <w:p>
            <w:pPr>
              <w:spacing w:after="0"/>
              <w:rPr>
                <w:sz w:val="20"/>
                <w:szCs w:val="20"/>
                <w:color w:val="auto"/>
              </w:rPr>
            </w:pPr>
            <w:r>
              <w:rPr>
                <w:rFonts w:ascii="Arial" w:cs="Arial" w:eastAsia="Arial" w:hAnsi="Arial"/>
                <w:sz w:val="11"/>
                <w:szCs w:val="11"/>
                <w:b w:val="1"/>
                <w:bCs w:val="1"/>
                <w:color w:val="auto"/>
              </w:rPr>
              <w:t>Consolidated net loss for the year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720" w:type="dxa"/>
            <w:vAlign w:val="bottom"/>
            <w:gridSpan w:val="2"/>
          </w:tcPr>
          <w:p>
            <w:pPr>
              <w:ind w:left="6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31"/>
        </w:trPr>
        <w:tc>
          <w:tcPr>
            <w:tcW w:w="5860" w:type="dxa"/>
            <w:vAlign w:val="bottom"/>
            <w:gridSpan w:val="3"/>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367</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 for the year after tax</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205"/>
        </w:trPr>
        <w:tc>
          <w:tcPr>
            <w:tcW w:w="5860" w:type="dxa"/>
            <w:vAlign w:val="bottom"/>
            <w:gridSpan w:val="3"/>
          </w:tcPr>
          <w:p>
            <w:pPr>
              <w:spacing w:after="0"/>
              <w:rPr>
                <w:sz w:val="20"/>
                <w:szCs w:val="20"/>
                <w:color w:val="auto"/>
              </w:rPr>
            </w:pPr>
            <w:r>
              <w:rPr>
                <w:rFonts w:ascii="Arial" w:cs="Arial" w:eastAsia="Arial" w:hAnsi="Arial"/>
                <w:sz w:val="11"/>
                <w:szCs w:val="11"/>
                <w:b w:val="1"/>
                <w:bCs w:val="1"/>
                <w:color w:val="auto"/>
              </w:rPr>
              <w:t>Total comprehensive income/loss for the year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(19,403)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(9,939)</w:t>
            </w:r>
          </w:p>
        </w:tc>
        <w:tc>
          <w:tcPr>
            <w:tcW w:w="0" w:type="dxa"/>
            <w:vAlign w:val="bottom"/>
          </w:tcPr>
          <w:p>
            <w:pPr>
              <w:spacing w:after="0"/>
              <w:rPr>
                <w:sz w:val="1"/>
                <w:szCs w:val="1"/>
                <w:color w:val="auto"/>
              </w:rPr>
            </w:pPr>
          </w:p>
        </w:tc>
      </w:tr>
      <w:tr>
        <w:trPr>
          <w:trHeight w:val="137"/>
        </w:trPr>
        <w:tc>
          <w:tcPr>
            <w:tcW w:w="14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Basic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136"/>
        </w:trPr>
        <w:tc>
          <w:tcPr>
            <w:tcW w:w="140" w:type="dxa"/>
            <w:vAlign w:val="bottom"/>
          </w:tcPr>
          <w:p>
            <w:pPr>
              <w:spacing w:after="0"/>
              <w:rPr>
                <w:sz w:val="11"/>
                <w:szCs w:val="11"/>
                <w:color w:val="auto"/>
              </w:rPr>
            </w:pPr>
          </w:p>
        </w:tc>
        <w:tc>
          <w:tcPr>
            <w:tcW w:w="5720" w:type="dxa"/>
            <w:vAlign w:val="bottom"/>
            <w:gridSpan w:val="2"/>
          </w:tcPr>
          <w:p>
            <w:pPr>
              <w:ind w:left="60"/>
              <w:spacing w:after="0"/>
              <w:rPr>
                <w:sz w:val="20"/>
                <w:szCs w:val="20"/>
                <w:color w:val="auto"/>
              </w:rPr>
            </w:pPr>
            <w:r>
              <w:rPr>
                <w:rFonts w:ascii="Arial" w:cs="Arial" w:eastAsia="Arial" w:hAnsi="Arial"/>
                <w:sz w:val="11"/>
                <w:szCs w:val="11"/>
                <w:color w:val="auto"/>
              </w:rPr>
              <w:t>Diluted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71"/>
        </w:trPr>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Basic loss per share in EUR</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r>
        <w:trPr>
          <w:trHeight w:val="136"/>
        </w:trPr>
        <w:tc>
          <w:tcPr>
            <w:tcW w:w="140" w:type="dxa"/>
            <w:vAlign w:val="bottom"/>
          </w:tcPr>
          <w:p>
            <w:pPr>
              <w:spacing w:after="0"/>
              <w:rPr>
                <w:sz w:val="11"/>
                <w:szCs w:val="11"/>
                <w:color w:val="auto"/>
              </w:rPr>
            </w:pPr>
          </w:p>
        </w:tc>
        <w:tc>
          <w:tcPr>
            <w:tcW w:w="5720" w:type="dxa"/>
            <w:vAlign w:val="bottom"/>
            <w:gridSpan w:val="2"/>
          </w:tcPr>
          <w:p>
            <w:pPr>
              <w:ind w:left="60"/>
              <w:spacing w:after="0"/>
              <w:rPr>
                <w:sz w:val="20"/>
                <w:szCs w:val="20"/>
                <w:color w:val="auto"/>
              </w:rPr>
            </w:pPr>
            <w:r>
              <w:rPr>
                <w:rFonts w:ascii="Arial" w:cs="Arial" w:eastAsia="Arial" w:hAnsi="Arial"/>
                <w:sz w:val="11"/>
                <w:szCs w:val="11"/>
                <w:color w:val="auto"/>
              </w:rPr>
              <w:t>Diluted loss per share in EUR</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r>
        <w:trPr>
          <w:trHeight w:val="89"/>
        </w:trPr>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40" w:type="dxa"/>
            <w:vAlign w:val="bottom"/>
          </w:tcPr>
          <w:p>
            <w:pPr>
              <w:spacing w:after="0"/>
              <w:rPr>
                <w:sz w:val="20"/>
                <w:szCs w:val="20"/>
                <w:color w:val="auto"/>
              </w:rPr>
            </w:pPr>
            <w:r>
              <w:rPr>
                <w:rFonts w:ascii="Arial" w:cs="Arial" w:eastAsia="Arial" w:hAnsi="Arial"/>
                <w:sz w:val="10"/>
                <w:szCs w:val="10"/>
                <w:color w:val="auto"/>
              </w:rPr>
              <w:t>*)</w:t>
            </w:r>
          </w:p>
        </w:tc>
        <w:tc>
          <w:tcPr>
            <w:tcW w:w="5720" w:type="dxa"/>
            <w:vAlign w:val="bottom"/>
            <w:gridSpan w:val="2"/>
          </w:tcPr>
          <w:p>
            <w:pPr>
              <w:ind w:left="140"/>
              <w:spacing w:after="0"/>
              <w:rPr>
                <w:sz w:val="20"/>
                <w:szCs w:val="20"/>
                <w:color w:val="auto"/>
              </w:rPr>
            </w:pPr>
            <w:r>
              <w:rPr>
                <w:rFonts w:ascii="Arial" w:cs="Arial" w:eastAsia="Arial" w:hAnsi="Arial"/>
                <w:sz w:val="10"/>
                <w:szCs w:val="10"/>
                <w:color w:val="auto"/>
              </w:rPr>
              <w:t>restated, for further details see disclosure 3.3.c)</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0159"/>
          </w:cols>
          <w:pgMar w:left="300" w:top="354" w:right="1440" w:bottom="1440" w:gutter="0" w:footer="0" w:header="0"/>
        </w:sectPr>
      </w:pPr>
    </w:p>
    <w:bookmarkStart w:id="208" w:name="page209"/>
    <w:bookmarkEnd w:id="2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17,884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8,780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19.</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7,942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6,810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10,075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3,840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359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196</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36,260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19,626</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20.</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5,230</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1,266</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1,338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1,769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43,198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11,949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31,575</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3,995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2,904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25.</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108,189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46,409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26.</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314</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(53)</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(47,290)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(27,520)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6,800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5,972</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6,076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330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1,156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5,128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2,461</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31.</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1,196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411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3,759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15,868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9,835</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31,575</w:t>
            </w:r>
          </w:p>
        </w:tc>
      </w:tr>
    </w:tbl>
    <w:p>
      <w:pPr>
        <w:spacing w:after="0" w:line="9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0159"/>
          </w:cols>
          <w:pgMar w:left="300" w:top="354" w:right="1440" w:bottom="1440" w:gutter="0" w:footer="0" w:header="0"/>
        </w:sectPr>
      </w:pPr>
    </w:p>
    <w:bookmarkStart w:id="209" w:name="page210"/>
    <w:bookmarkEnd w:id="2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460" w:type="dxa"/>
            <w:vAlign w:val="bottom"/>
            <w:gridSpan w:val="2"/>
          </w:tcPr>
          <w:p>
            <w:pPr>
              <w:jc w:val="right"/>
              <w:ind w:right="20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0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40" w:type="dxa"/>
            <w:vAlign w:val="bottom"/>
          </w:tcPr>
          <w:p>
            <w:pPr>
              <w:spacing w:after="0"/>
              <w:rPr>
                <w:sz w:val="9"/>
                <w:szCs w:val="9"/>
                <w:color w:val="auto"/>
              </w:rPr>
            </w:pPr>
          </w:p>
        </w:tc>
        <w:tc>
          <w:tcPr>
            <w:tcW w:w="46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w w:val="81"/>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January 1, 2019</w:t>
            </w:r>
          </w:p>
        </w:tc>
        <w:tc>
          <w:tcPr>
            <w:tcW w:w="4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4"/>
              </w:rPr>
              <w:t>2,704</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35,044</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(10)</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(17,624)</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20,114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200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10,800</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11,000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(581)</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(581)</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1,146</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1,146</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(9,896)</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(43)</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29"/>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December 31, 2019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2,904</w:t>
            </w:r>
          </w:p>
        </w:tc>
        <w:tc>
          <w:tcPr>
            <w:tcW w:w="18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46,409</w:t>
            </w:r>
          </w:p>
        </w:tc>
        <w:tc>
          <w:tcPr>
            <w:tcW w:w="200" w:type="dxa"/>
            <w:vAlign w:val="bottom"/>
          </w:tcPr>
          <w:p>
            <w:pPr>
              <w:spacing w:after="0"/>
              <w:rPr>
                <w:sz w:val="11"/>
                <w:szCs w:val="11"/>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18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(27,520)</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2,904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40" w:type="dxa"/>
            <w:vAlign w:val="bottom"/>
            <w:vMerge w:val="continue"/>
          </w:tcPr>
          <w:p>
            <w:pPr>
              <w:spacing w:after="0"/>
              <w:rPr>
                <w:sz w:val="11"/>
                <w:szCs w:val="1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1"/>
                <w:szCs w:val="11"/>
                <w:color w:val="auto"/>
                <w:w w:val="94"/>
              </w:rPr>
              <w:t>1,091</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64,052</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color w:val="auto"/>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70,643</w:t>
            </w:r>
          </w:p>
        </w:tc>
        <w:tc>
          <w:tcPr>
            <w:tcW w:w="0" w:type="dxa"/>
            <w:vAlign w:val="bottom"/>
          </w:tcPr>
          <w:p>
            <w:pPr>
              <w:spacing w:after="0"/>
              <w:rPr>
                <w:sz w:val="1"/>
                <w:szCs w:val="1"/>
                <w:color w:val="auto"/>
              </w:rPr>
            </w:pPr>
          </w:p>
        </w:tc>
      </w:tr>
      <w:tr>
        <w:trPr>
          <w:trHeight w:val="137"/>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(3,397)</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(3,397)</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1,125</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(19,770)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(19,770)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367</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367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3,995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0159"/>
          </w:cols>
          <w:pgMar w:left="300" w:top="354" w:right="1440" w:bottom="1440" w:gutter="0" w:footer="0" w:header="0"/>
        </w:sectPr>
      </w:pPr>
    </w:p>
    <w:bookmarkStart w:id="210" w:name="page211"/>
    <w:bookmarkEnd w:id="2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0"/>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2019</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(19,770)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(9,896)</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Adjustments for: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1,840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1,117</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Gain from disposals of fixed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51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(73)</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1,146</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(4,032)</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(982)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(589)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105</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(600)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(209)</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280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Trade and other payables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2,422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272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213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31</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(16,935)</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(8,319)</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Acquisition of intangible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(8,286)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(5,277)</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(6,724)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(1,890)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(15,010)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(7,167)</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issue of share capital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61,746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10,419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issue of convertible notes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short-term loans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2,500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Repayment of short-term loans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Payments of lease liabilities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(675)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(439)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Interests received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Interests paid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(555)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(93)</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other financial assets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741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1,571</w:t>
            </w:r>
          </w:p>
        </w:tc>
      </w:tr>
      <w:tr>
        <w:trPr>
          <w:trHeight w:val="131"/>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66,340</w:t>
            </w:r>
          </w:p>
        </w:tc>
        <w:tc>
          <w:tcPr>
            <w:tcW w:w="2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11,466</w:t>
            </w: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34,395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7"/>
              </w:rPr>
              <w:t>(4,020)</w:t>
            </w:r>
          </w:p>
        </w:tc>
      </w:tr>
      <w:tr>
        <w:trPr>
          <w:trHeight w:val="205"/>
        </w:trPr>
        <w:tc>
          <w:tcPr>
            <w:tcW w:w="6000" w:type="dxa"/>
            <w:vAlign w:val="bottom"/>
          </w:tcPr>
          <w:p>
            <w:pPr>
              <w:spacing w:after="0"/>
              <w:rPr>
                <w:sz w:val="20"/>
                <w:szCs w:val="20"/>
                <w:color w:val="auto"/>
              </w:rPr>
            </w:pPr>
            <w:r>
              <w:rPr>
                <w:rFonts w:ascii="Arial" w:cs="Arial" w:eastAsia="Arial" w:hAnsi="Arial"/>
                <w:sz w:val="11"/>
                <w:szCs w:val="11"/>
                <w:color w:val="auto"/>
              </w:rPr>
              <w:t>Cash and cash equivalents at January 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8,914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12,923</w:t>
            </w:r>
          </w:p>
        </w:tc>
      </w:tr>
      <w:tr>
        <w:trPr>
          <w:trHeight w:val="137"/>
        </w:trPr>
        <w:tc>
          <w:tcPr>
            <w:tcW w:w="6000" w:type="dxa"/>
            <w:vAlign w:val="bottom"/>
            <w:shd w:val="clear" w:color="auto" w:fill="CCEEFF"/>
          </w:tcPr>
          <w:p>
            <w:pPr>
              <w:spacing w:after="0"/>
              <w:rPr>
                <w:sz w:val="20"/>
                <w:szCs w:val="20"/>
                <w:color w:val="auto"/>
              </w:rPr>
            </w:pPr>
            <w:r>
              <w:rPr>
                <w:rFonts w:ascii="Arial" w:cs="Arial" w:eastAsia="Arial" w:hAnsi="Arial"/>
                <w:sz w:val="11"/>
                <w:szCs w:val="11"/>
                <w:color w:val="auto"/>
              </w:rPr>
              <w:t>Effects of movements in exchange rates on cash held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Cash and cash equivalents at December 31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43,198</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8,914</w:t>
            </w:r>
          </w:p>
        </w:tc>
        <w:tc>
          <w:tcPr>
            <w:tcW w:w="60" w:type="dxa"/>
            <w:vAlign w:val="bottom"/>
          </w:tcPr>
          <w:p>
            <w:pPr>
              <w:spacing w:after="0"/>
              <w:rPr>
                <w:sz w:val="11"/>
                <w:szCs w:val="11"/>
                <w:color w:val="auto"/>
              </w:rPr>
            </w:pPr>
          </w:p>
        </w:tc>
      </w:tr>
    </w:tbl>
    <w:p>
      <w:pPr>
        <w:spacing w:after="0" w:line="33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0159"/>
          </w:cols>
          <w:pgMar w:left="300" w:top="354" w:right="1440" w:bottom="1440" w:gutter="0" w:footer="0" w:header="0"/>
        </w:sectPr>
      </w:pPr>
    </w:p>
    <w:bookmarkStart w:id="211" w:name="page212"/>
    <w:bookmarkEnd w:id="2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0" w:lineRule="exact"/>
        <w:rPr>
          <w:sz w:val="20"/>
          <w:szCs w:val="20"/>
          <w:color w:val="auto"/>
        </w:rPr>
      </w:pPr>
    </w:p>
    <w:p>
      <w:pPr>
        <w:ind w:left="3740"/>
        <w:spacing w:after="0"/>
        <w:rPr>
          <w:sz w:val="20"/>
          <w:szCs w:val="20"/>
          <w:color w:val="auto"/>
        </w:rPr>
      </w:pPr>
      <w:r>
        <w:rPr>
          <w:rFonts w:ascii="Arial" w:cs="Arial" w:eastAsia="Arial" w:hAnsi="Arial"/>
          <w:sz w:val="12"/>
          <w:szCs w:val="12"/>
          <w:b w:val="1"/>
          <w:bCs w:val="1"/>
          <w:color w:val="auto"/>
        </w:rPr>
        <w:t>AS OF AND FOR THE YEARS ENDED DECEMBER 31, 2020 AND 2019</w:t>
      </w:r>
    </w:p>
    <w:p>
      <w:pPr>
        <w:spacing w:after="0" w:line="168" w:lineRule="exact"/>
        <w:rPr>
          <w:sz w:val="20"/>
          <w:szCs w:val="20"/>
          <w:color w:val="auto"/>
        </w:rPr>
      </w:pPr>
    </w:p>
    <w:p>
      <w:pPr>
        <w:ind w:left="2260" w:hanging="288"/>
        <w:spacing w:after="0"/>
        <w:tabs>
          <w:tab w:leader="none" w:pos="2260"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Mynaric AG has three operating subsidiaries as of December 31, 2020. Mynaric Systems GmbH operations will be discontinued as part of corporate restructuring measures effective after December 31, 2020.</w:t>
      </w:r>
    </w:p>
    <w:p>
      <w:pPr>
        <w:spacing w:after="0" w:line="210" w:lineRule="exact"/>
        <w:rPr>
          <w:sz w:val="20"/>
          <w:szCs w:val="20"/>
          <w:color w:val="auto"/>
        </w:rPr>
      </w:pPr>
    </w:p>
    <w:p>
      <w:pPr>
        <w:ind w:left="2260" w:hanging="288"/>
        <w:spacing w:after="0"/>
        <w:tabs>
          <w:tab w:leader="none" w:pos="2260"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Mynaric AG prepares its consolidated financial statements in accordance with International Financial Reporting Standards (IFRS) as issued by the International Accounting Standards Board (IASB) taking into account the recommendations of the International Financial Reporting Standards Interpretations Committee (“IFRIC”). These consolidated financial statements were previously authorized by the Company’s supervisory board on June 24, 2021 have been restated to reflect a voluntary change in presentation described in Note 3.3.(c) and have been authorized for issue by the Company’s supervisory board on September 24, 2021.</w:t>
      </w:r>
    </w:p>
    <w:p>
      <w:pPr>
        <w:spacing w:after="0" w:line="12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consolidated financial statements of Mynaric AG were prepared applying group accounting policies. The change in the accounting policies applied are driven by the changes in IFRS standards with a required application date on or after January 1, 2020.</w:t>
      </w:r>
    </w:p>
    <w:p>
      <w:pPr>
        <w:spacing w:after="0" w:line="115"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consolidated financial statements were prepared on a going concern basis. The consolidated financial statements were prepared on an accrual basis of accounting. The reporting currency is the euro (€). All amounts are stated in thousands of euros (€ thousand) unless otherwise stated. Rounding differences may result in differences in amounts and percentages.</w:t>
      </w:r>
    </w:p>
    <w:p>
      <w:pPr>
        <w:spacing w:after="0" w:line="122" w:lineRule="exact"/>
        <w:rPr>
          <w:sz w:val="20"/>
          <w:szCs w:val="20"/>
          <w:color w:val="auto"/>
        </w:rPr>
      </w:pPr>
    </w:p>
    <w:p>
      <w:pPr>
        <w:jc w:val="both"/>
        <w:ind w:left="1980" w:right="1059"/>
        <w:spacing w:after="0" w:line="263" w:lineRule="auto"/>
        <w:rPr>
          <w:sz w:val="20"/>
          <w:szCs w:val="20"/>
          <w:color w:val="auto"/>
        </w:rPr>
      </w:pPr>
      <w:r>
        <w:rPr>
          <w:rFonts w:ascii="Arial" w:cs="Arial" w:eastAsia="Arial" w:hAnsi="Arial"/>
          <w:sz w:val="12"/>
          <w:szCs w:val="12"/>
          <w:color w:val="auto"/>
        </w:rPr>
        <w:t>The consolidated statement of profit and loss was prepared using the nature of expense method. 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217" w:lineRule="exact"/>
        <w:rPr>
          <w:sz w:val="20"/>
          <w:szCs w:val="20"/>
          <w:color w:val="auto"/>
        </w:rPr>
      </w:pPr>
    </w:p>
    <w:p>
      <w:pPr>
        <w:ind w:left="2260" w:hanging="288"/>
        <w:spacing w:after="0"/>
        <w:tabs>
          <w:tab w:leader="none" w:pos="2260"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68" w:lineRule="exact"/>
        <w:rPr>
          <w:rFonts w:ascii="Arial" w:cs="Arial" w:eastAsia="Arial" w:hAnsi="Arial"/>
          <w:sz w:val="12"/>
          <w:szCs w:val="12"/>
          <w:b w:val="1"/>
          <w:bCs w:val="1"/>
          <w:color w:val="auto"/>
        </w:rPr>
      </w:pPr>
    </w:p>
    <w:p>
      <w:pPr>
        <w:ind w:left="2260" w:hanging="288"/>
        <w:spacing w:after="0"/>
        <w:tabs>
          <w:tab w:leader="none" w:pos="2260" w:val="left"/>
        </w:tabs>
        <w:numPr>
          <w:ilvl w:val="0"/>
          <w:numId w:val="130"/>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w:t>
      </w:r>
    </w:p>
    <w:p>
      <w:pPr>
        <w:spacing w:after="0" w:line="154"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The consolidated financial statements include the financial statements of Mynaric AG and its subsidiaries as of December 31, 2020, and were prepared using accounting policies applied consistently throughout the Group. Subsidiaries are the entities controlled by the Group.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0159"/>
          </w:cols>
          <w:pgMar w:left="300" w:top="354" w:right="1440" w:bottom="1440" w:gutter="0" w:footer="0" w:header="0"/>
        </w:sectPr>
      </w:pPr>
    </w:p>
    <w:bookmarkStart w:id="212" w:name="page213"/>
    <w:bookmarkEnd w:id="2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Any intragroup balances, income and expenses, unrealized gains and losses, and dividends from intragroup transactions are fully eliminated.</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Set out below is the list of consolidated subsidiaries: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0" w:type="dxa"/>
            <w:vAlign w:val="bottom"/>
            <w:vMerge w:val="restart"/>
          </w:tcPr>
          <w:p>
            <w:pPr>
              <w:spacing w:after="0"/>
              <w:rPr>
                <w:sz w:val="20"/>
                <w:szCs w:val="20"/>
                <w:color w:val="auto"/>
              </w:rPr>
            </w:pPr>
            <w:r>
              <w:rPr>
                <w:rFonts w:ascii="Arial" w:cs="Arial" w:eastAsia="Arial" w:hAnsi="Arial"/>
                <w:sz w:val="10"/>
                <w:szCs w:val="10"/>
                <w:b w:val="1"/>
                <w:bCs w:val="1"/>
                <w:color w:val="auto"/>
                <w:w w:val="83"/>
              </w:rPr>
              <w:t>Company name</w:t>
            </w:r>
          </w:p>
        </w:tc>
        <w:tc>
          <w:tcPr>
            <w:tcW w:w="5000" w:type="dxa"/>
            <w:vAlign w:val="bottom"/>
            <w:vMerge w:val="restart"/>
          </w:tcPr>
          <w:p>
            <w:pPr>
              <w:spacing w:after="0"/>
              <w:rPr>
                <w:sz w:val="10"/>
                <w:szCs w:val="1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1"/>
              </w:rPr>
              <w:t>Shareholding</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40" w:type="dxa"/>
            <w:vAlign w:val="bottom"/>
            <w:tcBorders>
              <w:bottom w:val="single" w:sz="8" w:color="auto"/>
            </w:tcBorders>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860" w:type="dxa"/>
            <w:vAlign w:val="bottom"/>
            <w:gridSpan w:val="2"/>
          </w:tcPr>
          <w:p>
            <w:pPr>
              <w:jc w:val="right"/>
              <w:ind w:right="500"/>
              <w:spacing w:after="0" w:line="105" w:lineRule="exact"/>
              <w:rPr>
                <w:sz w:val="20"/>
                <w:szCs w:val="20"/>
                <w:color w:val="auto"/>
              </w:rPr>
            </w:pPr>
            <w:r>
              <w:rPr>
                <w:rFonts w:ascii="Arial" w:cs="Arial" w:eastAsia="Arial" w:hAnsi="Arial"/>
                <w:sz w:val="10"/>
                <w:szCs w:val="10"/>
                <w:b w:val="1"/>
                <w:bCs w:val="1"/>
                <w:color w:val="auto"/>
              </w:rPr>
              <w:t>in %</w:t>
            </w:r>
          </w:p>
        </w:tc>
        <w:tc>
          <w:tcPr>
            <w:tcW w:w="840" w:type="dxa"/>
            <w:vAlign w:val="bottom"/>
            <w:gridSpan w:val="2"/>
          </w:tcPr>
          <w:p>
            <w:pPr>
              <w:ind w:left="120"/>
              <w:spacing w:after="0" w:line="105" w:lineRule="exact"/>
              <w:rPr>
                <w:sz w:val="20"/>
                <w:szCs w:val="20"/>
                <w:color w:val="auto"/>
              </w:rPr>
            </w:pPr>
            <w:r>
              <w:rPr>
                <w:rFonts w:ascii="Arial" w:cs="Arial" w:eastAsia="Arial" w:hAnsi="Arial"/>
                <w:sz w:val="10"/>
                <w:szCs w:val="10"/>
                <w:b w:val="1"/>
                <w:bCs w:val="1"/>
                <w:color w:val="auto"/>
              </w:rPr>
              <w:t>Consolidation</w:t>
            </w:r>
          </w:p>
        </w:tc>
        <w:tc>
          <w:tcPr>
            <w:tcW w:w="0" w:type="dxa"/>
            <w:vAlign w:val="bottom"/>
          </w:tcPr>
          <w:p>
            <w:pPr>
              <w:spacing w:after="0"/>
              <w:rPr>
                <w:sz w:val="1"/>
                <w:szCs w:val="1"/>
                <w:color w:val="auto"/>
              </w:rPr>
            </w:pPr>
          </w:p>
        </w:tc>
      </w:tr>
      <w:tr>
        <w:trPr>
          <w:trHeight w:val="113"/>
        </w:trPr>
        <w:tc>
          <w:tcPr>
            <w:tcW w:w="5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Mynaric Lasercom GmbH, Gilching</w:t>
            </w: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100.0</w:t>
            </w:r>
          </w:p>
        </w:tc>
        <w:tc>
          <w:tcPr>
            <w:tcW w:w="3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40"/>
              <w:spacing w:after="0" w:line="113" w:lineRule="exact"/>
              <w:rPr>
                <w:sz w:val="20"/>
                <w:szCs w:val="20"/>
                <w:color w:val="auto"/>
              </w:rPr>
            </w:pPr>
            <w:r>
              <w:rPr>
                <w:rFonts w:ascii="Arial" w:cs="Arial" w:eastAsia="Arial" w:hAnsi="Arial"/>
                <w:sz w:val="11"/>
                <w:szCs w:val="11"/>
                <w:color w:val="auto"/>
                <w:w w:val="87"/>
              </w:rPr>
              <w:t>fully consolidated</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640" w:type="dxa"/>
            <w:vAlign w:val="bottom"/>
            <w:gridSpan w:val="2"/>
          </w:tcPr>
          <w:p>
            <w:pPr>
              <w:spacing w:after="0"/>
              <w:rPr>
                <w:sz w:val="20"/>
                <w:szCs w:val="20"/>
                <w:color w:val="auto"/>
              </w:rPr>
            </w:pPr>
            <w:r>
              <w:rPr>
                <w:rFonts w:ascii="Arial" w:cs="Arial" w:eastAsia="Arial" w:hAnsi="Arial"/>
                <w:sz w:val="11"/>
                <w:szCs w:val="11"/>
                <w:color w:val="auto"/>
              </w:rPr>
              <w:t>Mynaric Systems GmbH, Gilching</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r>
        <w:trPr>
          <w:trHeight w:val="135"/>
        </w:trPr>
        <w:tc>
          <w:tcPr>
            <w:tcW w:w="5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Mynaric USA, Inc., Los Angeles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0"/>
          <w:szCs w:val="10"/>
          <w:b w:val="1"/>
          <w:bCs w:val="1"/>
          <w:color w:val="auto"/>
        </w:rPr>
        <w:t>Accounting Policies</w:t>
      </w:r>
    </w:p>
    <w:p>
      <w:pPr>
        <w:spacing w:after="0" w:line="168" w:lineRule="exact"/>
        <w:rPr>
          <w:sz w:val="20"/>
          <w:szCs w:val="20"/>
          <w:color w:val="auto"/>
        </w:rPr>
      </w:pPr>
    </w:p>
    <w:p>
      <w:pPr>
        <w:ind w:left="2620" w:hanging="360"/>
        <w:spacing w:after="0"/>
        <w:tabs>
          <w:tab w:leader="none" w:pos="2620" w:val="left"/>
        </w:tabs>
        <w:numPr>
          <w:ilvl w:val="0"/>
          <w:numId w:val="131"/>
        </w:numPr>
        <w:rPr>
          <w:rFonts w:ascii="Arial" w:cs="Arial" w:eastAsia="Arial" w:hAnsi="Arial"/>
          <w:sz w:val="12"/>
          <w:szCs w:val="12"/>
          <w:b w:val="1"/>
          <w:bCs w:val="1"/>
          <w:color w:val="auto"/>
        </w:rPr>
      </w:pPr>
      <w:r>
        <w:rPr>
          <w:rFonts w:ascii="Arial" w:cs="Arial" w:eastAsia="Arial" w:hAnsi="Arial"/>
          <w:sz w:val="12"/>
          <w:szCs w:val="12"/>
          <w:b w:val="1"/>
          <w:bCs w:val="1"/>
          <w:color w:val="auto"/>
        </w:rPr>
        <w:t>Transactions in Foreign Currency and Translation into Foreign Currency</w:t>
      </w:r>
    </w:p>
    <w:p>
      <w:pPr>
        <w:spacing w:after="0" w:line="154"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consolidated financial statements are prepared in euro, the functional currency of the parent company.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the Group subsidiaries corresponds to their respective local currency. Foreign currency transactions are remeasured into the respective functional currencies of the Group companies at the exchange rates at the dates of the transactions.</w:t>
      </w:r>
    </w:p>
    <w:p>
      <w:pPr>
        <w:spacing w:after="0" w:line="128"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2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Currency translation differences are recognized in other comprehensive income and presented as a reserve for exchange rate differences in equity to the extent that the currency translation differences are not allocated to the non-controlling interests.</w:t>
      </w:r>
    </w:p>
    <w:p>
      <w:pPr>
        <w:spacing w:after="0" w:line="115"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In the event of a full or partial disposal of a foreign operation causing a loss of control, significant influence, or joint control, the accumulated amount recognized in reserve for exchange rate differences recorded for that foreign operation up to that date is reclassified to profit or loss as part of the gains on disposal. In the event of only a partial disposal without loss of control over a subsidiary that comprises a foreign operation, the corresponding portion of the accumulated translation difference is allocated to the non-controlling interests. If the Group sells only part of a subsidiary or joint venture that comprises a foreign operation but maintains significant influence or joint control, the corresponding portion of the accumulated translation difference is reclassified to profit or loss.</w:t>
      </w:r>
    </w:p>
    <w:p>
      <w:pPr>
        <w:spacing w:after="0" w:line="223" w:lineRule="exact"/>
        <w:rPr>
          <w:sz w:val="20"/>
          <w:szCs w:val="20"/>
          <w:color w:val="auto"/>
        </w:rPr>
      </w:pPr>
    </w:p>
    <w:p>
      <w:pPr>
        <w:ind w:left="2620" w:hanging="360"/>
        <w:spacing w:after="0"/>
        <w:tabs>
          <w:tab w:leader="none" w:pos="2620"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In accordance with IFRS 15 (Revenue from Contracts with Customers), revenue is recognized when control over distinct goods or services is transferred to the customer, i.e. when the customer has the ability to direct the use of, and obtains substantially all of the remaining benefits from, the transferred goods or services. A prerequisite for this is that a contract exists with enforceable rights and obligations and that, among other things, it is probable that the entity will collect the consideration, taking into account the customer’s credit quality.</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F-24</w:t>
      </w:r>
    </w:p>
    <w:p>
      <w:pPr>
        <w:sectPr>
          <w:pgSz w:w="11900" w:h="16838" w:orient="portrait"/>
          <w:cols w:equalWidth="0" w:num="1">
            <w:col w:w="10159"/>
          </w:cols>
          <w:pgMar w:left="300" w:top="354" w:right="1440" w:bottom="1440" w:gutter="0" w:footer="0" w:header="0"/>
        </w:sectPr>
      </w:pPr>
    </w:p>
    <w:bookmarkStart w:id="213" w:name="page214"/>
    <w:bookmarkEnd w:id="2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2280"/>
        <w:spacing w:after="0" w:line="263" w:lineRule="auto"/>
        <w:rPr>
          <w:sz w:val="20"/>
          <w:szCs w:val="20"/>
          <w:color w:val="auto"/>
        </w:rPr>
      </w:pPr>
      <w:r>
        <w:rPr>
          <w:rFonts w:ascii="Arial" w:cs="Arial" w:eastAsia="Arial" w:hAnsi="Arial"/>
          <w:sz w:val="12"/>
          <w:szCs w:val="12"/>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exclusively from the sale of goods and services.</w:t>
      </w:r>
    </w:p>
    <w:p>
      <w:pPr>
        <w:spacing w:after="0" w:line="122" w:lineRule="exact"/>
        <w:rPr>
          <w:sz w:val="20"/>
          <w:szCs w:val="20"/>
          <w:color w:val="auto"/>
        </w:rPr>
      </w:pPr>
    </w:p>
    <w:p>
      <w:pPr>
        <w:ind w:left="1980" w:right="2100"/>
        <w:spacing w:after="0" w:line="259" w:lineRule="auto"/>
        <w:rPr>
          <w:sz w:val="20"/>
          <w:szCs w:val="20"/>
          <w:color w:val="auto"/>
        </w:rPr>
      </w:pPr>
      <w:r>
        <w:rPr>
          <w:rFonts w:ascii="Arial" w:cs="Arial" w:eastAsia="Arial" w:hAnsi="Arial"/>
          <w:sz w:val="12"/>
          <w:szCs w:val="12"/>
          <w:color w:val="auto"/>
        </w:rPr>
        <w:t>If a contract involves multiple distinct goods or services, the transaction price is allocated across the performance obligations on the basis of the relative stand-alone selling prices. If stand-alone selling prices are not directly observable, they are estimated using the amounts that depicts the amount of consideration to which the company expects to be entitled in the exchange for the promised goods to the customer. For each performance obligation, revenue is recognized either at a point in time or over time.</w:t>
      </w:r>
    </w:p>
    <w:p>
      <w:pPr>
        <w:spacing w:after="0" w:line="124" w:lineRule="exact"/>
        <w:rPr>
          <w:sz w:val="20"/>
          <w:szCs w:val="20"/>
          <w:color w:val="auto"/>
        </w:rPr>
      </w:pPr>
    </w:p>
    <w:p>
      <w:pPr>
        <w:ind w:left="1980" w:right="2360"/>
        <w:spacing w:after="0" w:line="263" w:lineRule="auto"/>
        <w:rPr>
          <w:sz w:val="20"/>
          <w:szCs w:val="20"/>
          <w:color w:val="auto"/>
        </w:rPr>
      </w:pPr>
      <w:r>
        <w:rPr>
          <w:rFonts w:ascii="Arial" w:cs="Arial" w:eastAsia="Arial" w:hAnsi="Arial"/>
          <w:sz w:val="12"/>
          <w:szCs w:val="12"/>
          <w:color w:val="auto"/>
        </w:rPr>
        <w:t>Revenue recognition over time is required if the customer simultaneously receives and consumes the benefits provided by Mynaric’s performance, Mynaric creates or enhances an asset that is controlled by the customer, or Mynaric creates an asset without an alternative use to Mynaric and simultaneously has an enforceable right to payment for performance completed.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generates revenue from:</w:t>
      </w:r>
    </w:p>
    <w:p>
      <w:pPr>
        <w:spacing w:after="0" w:line="168" w:lineRule="exact"/>
        <w:rPr>
          <w:sz w:val="20"/>
          <w:szCs w:val="20"/>
          <w:color w:val="auto"/>
        </w:rPr>
      </w:pPr>
    </w:p>
    <w:p>
      <w:pPr>
        <w:ind w:left="2260" w:hanging="216"/>
        <w:spacing w:after="0"/>
        <w:tabs>
          <w:tab w:leader="none" w:pos="226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sale of laser communication terminals</w:t>
      </w:r>
    </w:p>
    <w:p>
      <w:pPr>
        <w:spacing w:after="0" w:line="168" w:lineRule="exact"/>
        <w:rPr>
          <w:rFonts w:ascii="Arial" w:cs="Arial" w:eastAsia="Arial" w:hAnsi="Arial"/>
          <w:sz w:val="12"/>
          <w:szCs w:val="12"/>
          <w:color w:val="auto"/>
        </w:rPr>
      </w:pPr>
    </w:p>
    <w:p>
      <w:pPr>
        <w:ind w:left="2260" w:hanging="216"/>
        <w:spacing w:after="0"/>
        <w:tabs>
          <w:tab w:leader="none" w:pos="226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provision of services (development and training services)</w:t>
      </w:r>
    </w:p>
    <w:p>
      <w:pPr>
        <w:spacing w:after="0" w:line="150" w:lineRule="exact"/>
        <w:rPr>
          <w:sz w:val="20"/>
          <w:szCs w:val="20"/>
          <w:color w:val="auto"/>
        </w:rPr>
      </w:pPr>
    </w:p>
    <w:p>
      <w:pPr>
        <w:ind w:left="1980" w:right="2460"/>
        <w:spacing w:after="0" w:line="276" w:lineRule="auto"/>
        <w:rPr>
          <w:sz w:val="20"/>
          <w:szCs w:val="20"/>
          <w:color w:val="auto"/>
        </w:rPr>
      </w:pPr>
      <w:r>
        <w:rPr>
          <w:rFonts w:ascii="Arial" w:cs="Arial" w:eastAsia="Arial" w:hAnsi="Arial"/>
          <w:sz w:val="12"/>
          <w:szCs w:val="12"/>
          <w:color w:val="auto"/>
        </w:rPr>
        <w:t>The following table provides information about the nature and timing of the satisfaction of performance obligations in contracts with customers, including significant payment terms, and the related revenue recognition policies.</w:t>
      </w:r>
    </w:p>
    <w:p>
      <w:pPr>
        <w:sectPr>
          <w:pgSz w:w="11900" w:h="16838" w:orient="portrait"/>
          <w:cols w:equalWidth="0" w:num="1">
            <w:col w:w="11360"/>
          </w:cols>
          <w:pgMar w:left="300" w:top="354" w:right="239" w:bottom="1440" w:gutter="0" w:footer="0" w:header="0"/>
        </w:sectPr>
      </w:pP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Type of</w:t>
      </w:r>
    </w:p>
    <w:p>
      <w:pPr>
        <w:spacing w:after="0" w:line="19"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product/service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Sale of products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Services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Nature and timing of satisfaction of performance obligation including significant payment terms</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Customers obtain control of the laser terminals when the goods are delivered to and have been accepted at their premises. Invoices are generated at that point in time. Invoices</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The Group provided training and development services to its customers. The customer simultaneously receives and consumes the benefits provided by the entity’s performance</w:t>
      </w:r>
    </w:p>
    <w:p>
      <w:pPr>
        <w:spacing w:after="0" w:line="222" w:lineRule="exact"/>
        <w:rPr>
          <w:sz w:val="20"/>
          <w:szCs w:val="20"/>
          <w:color w:val="auto"/>
        </w:rPr>
      </w:pPr>
    </w:p>
    <w:p>
      <w:pPr>
        <w:sectPr>
          <w:pgSz w:w="11900" w:h="16838" w:orient="portrait"/>
          <w:cols w:equalWidth="0" w:num="2">
            <w:col w:w="2880" w:space="80"/>
            <w:col w:w="8400"/>
          </w:cols>
          <w:pgMar w:left="300" w:top="354" w:right="239" w:bottom="1440" w:gutter="0" w:footer="0" w:header="0"/>
          <w:type w:val="continuous"/>
        </w:sectPr>
      </w:pPr>
    </w:p>
    <w:p>
      <w:pPr>
        <w:spacing w:after="0" w:line="36" w:lineRule="exact"/>
        <w:rPr>
          <w:sz w:val="20"/>
          <w:szCs w:val="20"/>
          <w:color w:val="auto"/>
        </w:rPr>
      </w:pPr>
    </w:p>
    <w:p>
      <w:pPr>
        <w:ind w:left="2620" w:hanging="360"/>
        <w:spacing w:after="0"/>
        <w:tabs>
          <w:tab w:leader="none" w:pos="2620" w:val="left"/>
        </w:tabs>
        <w:numPr>
          <w:ilvl w:val="0"/>
          <w:numId w:val="134"/>
        </w:numPr>
        <w:rPr>
          <w:rFonts w:ascii="Arial" w:cs="Arial" w:eastAsia="Arial" w:hAnsi="Arial"/>
          <w:sz w:val="12"/>
          <w:szCs w:val="12"/>
          <w:b w:val="1"/>
          <w:bCs w:val="1"/>
          <w:color w:val="auto"/>
        </w:rPr>
      </w:pPr>
      <w:r>
        <w:rPr>
          <w:rFonts w:ascii="Arial" w:cs="Arial" w:eastAsia="Arial" w:hAnsi="Arial"/>
          <w:sz w:val="12"/>
          <w:szCs w:val="12"/>
          <w:b w:val="1"/>
          <w:bCs w:val="1"/>
          <w:color w:val="auto"/>
        </w:rPr>
        <w:t>Research Expenses and Non-capitalized Research and Development Expenses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Unless they must be capitalized in accordance with IAS 38, research and development expenses are recognized in profit or loss when incurred.</w:t>
      </w:r>
    </w:p>
    <w:p>
      <w:pPr>
        <w:spacing w:after="0" w:line="12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F-25</w:t>
      </w:r>
    </w:p>
    <w:p>
      <w:pPr>
        <w:sectPr>
          <w:pgSz w:w="11900" w:h="16838" w:orient="portrait"/>
          <w:cols w:equalWidth="0" w:num="1">
            <w:col w:w="11360"/>
          </w:cols>
          <w:pgMar w:left="300" w:top="354" w:right="239" w:bottom="1440" w:gutter="0" w:footer="0" w:header="0"/>
          <w:type w:val="continuous"/>
        </w:sectPr>
      </w:pPr>
    </w:p>
    <w:bookmarkStart w:id="214" w:name="page215"/>
    <w:bookmarkEnd w:id="2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35"/>
        </w:numPr>
        <w:rPr>
          <w:rFonts w:ascii="Arial" w:cs="Arial" w:eastAsia="Arial" w:hAnsi="Arial"/>
          <w:sz w:val="12"/>
          <w:szCs w:val="12"/>
          <w:b w:val="1"/>
          <w:bCs w:val="1"/>
          <w:color w:val="auto"/>
        </w:rPr>
      </w:pPr>
      <w:r>
        <w:rPr>
          <w:rFonts w:ascii="Arial" w:cs="Arial" w:eastAsia="Arial" w:hAnsi="Arial"/>
          <w:sz w:val="12"/>
          <w:szCs w:val="12"/>
          <w:b w:val="1"/>
          <w:bCs w:val="1"/>
          <w:color w:val="auto"/>
        </w:rPr>
        <w:t>Government Grants</w:t>
      </w:r>
    </w:p>
    <w:p>
      <w:pPr>
        <w:spacing w:after="0" w:line="15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Company has received various government grants related to innovation projects encouraged by governmental authorities which generally reimburse a specified amount or proportion of the costs related to such projects. As these grants are not received in the course of the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w:t>
      </w:r>
    </w:p>
    <w:p>
      <w:pPr>
        <w:spacing w:after="0" w:line="12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Government grants related to costs incurred by the Group are recognized in profit or loss as other operating income in the period in which the Company recognizes as expenses the related costs to be compensated by the grants.</w:t>
      </w:r>
    </w:p>
    <w:p>
      <w:pPr>
        <w:spacing w:after="0" w:line="210" w:lineRule="exact"/>
        <w:rPr>
          <w:sz w:val="20"/>
          <w:szCs w:val="20"/>
          <w:color w:val="auto"/>
        </w:rPr>
      </w:pPr>
    </w:p>
    <w:p>
      <w:pPr>
        <w:ind w:left="2620" w:hanging="360"/>
        <w:spacing w:after="0"/>
        <w:tabs>
          <w:tab w:leader="none" w:pos="2620" w:val="left"/>
        </w:tabs>
        <w:numPr>
          <w:ilvl w:val="0"/>
          <w:numId w:val="136"/>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Result</w:t>
      </w:r>
    </w:p>
    <w:p>
      <w:pPr>
        <w:spacing w:after="0" w:line="154" w:lineRule="exact"/>
        <w:rPr>
          <w:sz w:val="20"/>
          <w:szCs w:val="20"/>
          <w:color w:val="auto"/>
        </w:rPr>
      </w:pPr>
    </w:p>
    <w:p>
      <w:pPr>
        <w:ind w:left="1980" w:right="1079"/>
        <w:spacing w:after="0" w:line="379" w:lineRule="auto"/>
        <w:rPr>
          <w:sz w:val="20"/>
          <w:szCs w:val="20"/>
          <w:color w:val="auto"/>
        </w:rPr>
      </w:pPr>
      <w:r>
        <w:rPr>
          <w:rFonts w:ascii="Arial" w:cs="Arial" w:eastAsia="Arial" w:hAnsi="Arial"/>
          <w:sz w:val="10"/>
          <w:szCs w:val="10"/>
          <w:color w:val="auto"/>
        </w:rPr>
        <w:t>The financial result includes the net income/expense from other financial expenses arising from liabilities, interest income from receivables, and the result from foreign currency translation. Interest income and interest expenses are recognized in profit or loss, using the effective interest method.</w:t>
      </w:r>
    </w:p>
    <w:p>
      <w:pPr>
        <w:spacing w:after="0" w:line="69"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Borrowing costs are expensed directly when incurred unless they are directly attributable to the acquisition, construction, or production of a qualifying asset and therefore form part of the cost of that asset.</w:t>
      </w:r>
    </w:p>
    <w:p>
      <w:pPr>
        <w:spacing w:after="0" w:line="210" w:lineRule="exact"/>
        <w:rPr>
          <w:sz w:val="20"/>
          <w:szCs w:val="20"/>
          <w:color w:val="auto"/>
        </w:rPr>
      </w:pPr>
    </w:p>
    <w:p>
      <w:pPr>
        <w:ind w:left="2620" w:hanging="360"/>
        <w:spacing w:after="0"/>
        <w:tabs>
          <w:tab w:leader="none" w:pos="2620" w:val="left"/>
        </w:tabs>
        <w:numPr>
          <w:ilvl w:val="0"/>
          <w:numId w:val="137"/>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Intangible assets are measured at cost upon initial recognition. In subsequent periods, intangible assets are recognized at cost less any accumulated amortization and any accumulated impairment losses. Intangible assets with finite useful lives are amortized on a straight-line basis. The estimated (remaining) useful lives as well as the amortization method are subject to annual reviews. If necessary, the remaining useful lives are adjusted prospectively when assumptions change. Such adjustments due to changes of the expected useful life or of the amortization method are accounted for as changes in accounting estimates. Intangible assets with indefinite useful lives or intangible assets not yet available for use are not amortized; however, they are tested for impairment annually and whenever there is an indication that the intangible asset may be impaired on the basis of the individual asset or on the level of the related cash-generating unit.</w:t>
      </w:r>
    </w:p>
    <w:p>
      <w:pPr>
        <w:spacing w:after="0" w:line="13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Intangible assets include purchased software and licenses as well as capitalized development expenses. Purchased software and licenses are amortized on a straight-line basis over their expected useful life of three to eight years.</w:t>
      </w:r>
    </w:p>
    <w:p>
      <w:pPr>
        <w:spacing w:after="0" w:line="115" w:lineRule="exact"/>
        <w:rPr>
          <w:sz w:val="20"/>
          <w:szCs w:val="20"/>
          <w:color w:val="auto"/>
        </w:rPr>
      </w:pPr>
    </w:p>
    <w:p>
      <w:pPr>
        <w:ind w:left="1980" w:right="1299"/>
        <w:spacing w:after="0" w:line="298" w:lineRule="auto"/>
        <w:rPr>
          <w:sz w:val="20"/>
          <w:szCs w:val="20"/>
          <w:color w:val="auto"/>
        </w:rPr>
      </w:pPr>
      <w:r>
        <w:rPr>
          <w:rFonts w:ascii="Arial" w:cs="Arial" w:eastAsia="Arial" w:hAnsi="Arial"/>
          <w:sz w:val="11"/>
          <w:szCs w:val="11"/>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Development is defined as the technical and commercial implementation of research findings.</w:t>
      </w:r>
    </w:p>
    <w:p>
      <w:pPr>
        <w:spacing w:after="0" w:line="105"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In accordance with IAS 38, development costs must be capitalized if the criteria set out in IAS 38.57 are fulfilled, while research costs must be expensed in the period in which they are incurred. Mynaric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of the expected future cash flows. Furthermore, prior to approval,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F-26</w:t>
      </w:r>
    </w:p>
    <w:p>
      <w:pPr>
        <w:sectPr>
          <w:pgSz w:w="11900" w:h="16838" w:orient="portrait"/>
          <w:cols w:equalWidth="0" w:num="1">
            <w:col w:w="10159"/>
          </w:cols>
          <w:pgMar w:left="300" w:top="354" w:right="1440" w:bottom="1440" w:gutter="0" w:footer="0" w:header="0"/>
        </w:sectPr>
      </w:pPr>
    </w:p>
    <w:bookmarkStart w:id="215" w:name="page216"/>
    <w:bookmarkEnd w:id="2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 Group capitalizes costs for the development of a technology until the time that development of such technology is completed. The capitalized development costs are amortized on a straight-line basis over the future economic useful life of 15 years, starting upon completion of the development project (technology). We defined such point in time as the time of final development of a technology, followed by delivery of products based on such final technology to customers. Expenses from amortization of development projects that are capitalized as intangible assets are reported in the statement of profit or loss under depreciation and amortization.</w:t>
      </w:r>
    </w:p>
    <w:p>
      <w:pPr>
        <w:spacing w:after="0" w:line="223" w:lineRule="exact"/>
        <w:rPr>
          <w:sz w:val="20"/>
          <w:szCs w:val="20"/>
          <w:color w:val="auto"/>
        </w:rPr>
      </w:pPr>
    </w:p>
    <w:p>
      <w:pPr>
        <w:ind w:left="2620" w:hanging="360"/>
        <w:spacing w:after="0"/>
        <w:tabs>
          <w:tab w:leader="none" w:pos="2620" w:val="left"/>
        </w:tabs>
        <w:numPr>
          <w:ilvl w:val="0"/>
          <w:numId w:val="138"/>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 xml:space="preserve">Property, plant, and equipment are recognized at cost, including proportionate borrowing costs, less any accumulated depreciation and/or any accumulated impairment losses. Depreciation is recognized on a straight-line basis </w:t>
      </w:r>
      <w:r>
        <w:rPr>
          <w:rFonts w:ascii="Arial" w:cs="Arial" w:eastAsia="Arial" w:hAnsi="Arial"/>
          <w:sz w:val="12"/>
          <w:szCs w:val="12"/>
          <w:i w:val="1"/>
          <w:iCs w:val="1"/>
          <w:color w:val="auto"/>
        </w:rPr>
        <w:t>pro rata temporis</w:t>
      </w:r>
      <w:r>
        <w:rPr>
          <w:rFonts w:ascii="Arial" w:cs="Arial" w:eastAsia="Arial" w:hAnsi="Arial"/>
          <w:sz w:val="12"/>
          <w:szCs w:val="12"/>
          <w:color w:val="auto"/>
        </w:rPr>
        <w:t>. The depreciation period is based on the expected useful life of the asset. The underlying useful life is three years for computer hardware, and ranges between three and 14 years for machinery, furniture, fixtures, and office equipment, as well as leasehold improvements.</w:t>
      </w:r>
    </w:p>
    <w:p>
      <w:pPr>
        <w:spacing w:after="0" w:line="12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The useful lives, residual values, and depreciation methods for property, plant, and equipment are reviewed periodically and adjusted if necessary, to ensure that the depreciation method and depreciation period reflect the expected economic benefit of the assets.</w:t>
      </w:r>
    </w:p>
    <w:p>
      <w:pPr>
        <w:spacing w:after="0" w:line="210" w:lineRule="exact"/>
        <w:rPr>
          <w:sz w:val="20"/>
          <w:szCs w:val="20"/>
          <w:color w:val="auto"/>
        </w:rPr>
      </w:pPr>
    </w:p>
    <w:p>
      <w:pPr>
        <w:ind w:left="2620" w:hanging="360"/>
        <w:spacing w:after="0"/>
        <w:tabs>
          <w:tab w:leader="none" w:pos="2620" w:val="left"/>
        </w:tabs>
        <w:numPr>
          <w:ilvl w:val="0"/>
          <w:numId w:val="139"/>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Non-current Non-financial Assets</w:t>
      </w:r>
    </w:p>
    <w:p>
      <w:pPr>
        <w:spacing w:after="0" w:line="154"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As of each reporting date, Mynaric reviews whether any indication exists that non-financial assets may be subject to impairment losses or reversals of impairment losses. If such indications exist, Mynaric estimates the recoverable amount of the non-financial asset. The recoverable amount is determined for each individual asset unless the asset does not generate cash inflows that are largely independent of those from other assets or groups of assets (cash-generating units).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Intangible assets not yet available for use with indefinite useful lives are tested for impairment at least once per year.</w:t>
      </w:r>
    </w:p>
    <w:p>
      <w:pPr>
        <w:spacing w:after="0" w:line="150"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If the carrying amount of an asset or a cash-generating unit exceeds its recoverable amount, an impairment loss is recognized in the amount of the difference. The recoverable amount is the higher of fair value less costs of disposal (FVLCOD) and value in use.</w:t>
      </w:r>
    </w:p>
    <w:p>
      <w:pPr>
        <w:spacing w:after="0" w:line="115"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The value in use is determined by discounting expected future cash flows from continuing use of the cash-generating units using a risk-adjusted pre-tax interest rate. The future cash flows are determined based on the long-term planning approved by the management as applicable as of the date when the impairment test is conducted.</w:t>
      </w:r>
    </w:p>
    <w:p>
      <w:pPr>
        <w:spacing w:after="0" w:line="122" w:lineRule="exact"/>
        <w:rPr>
          <w:sz w:val="20"/>
          <w:szCs w:val="20"/>
          <w:color w:val="auto"/>
        </w:rPr>
      </w:pPr>
    </w:p>
    <w:p>
      <w:pPr>
        <w:ind w:left="1980" w:right="1099"/>
        <w:spacing w:after="0" w:line="285" w:lineRule="auto"/>
        <w:rPr>
          <w:sz w:val="20"/>
          <w:szCs w:val="20"/>
          <w:color w:val="auto"/>
        </w:rPr>
      </w:pPr>
      <w:r>
        <w:rPr>
          <w:rFonts w:ascii="Arial" w:cs="Arial" w:eastAsia="Arial" w:hAnsi="Arial"/>
          <w:sz w:val="11"/>
          <w:szCs w:val="11"/>
          <w:color w:val="auto"/>
        </w:rPr>
        <w:t>If the value in use is lower than the carrying amount, the fair value less costs to sell is additionally ascertained in order to determine the recoverable amount. As of each reporting date, the Company reviews whether an impairment loss recognized in previous periods no longer exists or may have decreased. In these cases, Mynaric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w:t>
      </w:r>
    </w:p>
    <w:p>
      <w:pPr>
        <w:spacing w:after="0" w:line="208" w:lineRule="exact"/>
        <w:rPr>
          <w:sz w:val="20"/>
          <w:szCs w:val="20"/>
          <w:color w:val="auto"/>
        </w:rPr>
      </w:pPr>
    </w:p>
    <w:p>
      <w:pPr>
        <w:ind w:left="2620" w:hanging="360"/>
        <w:spacing w:after="0"/>
        <w:tabs>
          <w:tab w:leader="none" w:pos="2620" w:val="left"/>
        </w:tabs>
        <w:numPr>
          <w:ilvl w:val="0"/>
          <w:numId w:val="140"/>
        </w:numPr>
        <w:rPr>
          <w:rFonts w:ascii="Arial" w:cs="Arial" w:eastAsia="Arial" w:hAnsi="Arial"/>
          <w:sz w:val="12"/>
          <w:szCs w:val="12"/>
          <w:b w:val="1"/>
          <w:bCs w:val="1"/>
          <w:color w:val="auto"/>
        </w:rPr>
      </w:pPr>
      <w:r>
        <w:rPr>
          <w:rFonts w:ascii="Arial" w:cs="Arial" w:eastAsia="Arial" w:hAnsi="Arial"/>
          <w:sz w:val="12"/>
          <w:szCs w:val="12"/>
          <w:b w:val="1"/>
          <w:bCs w:val="1"/>
          <w:color w:val="auto"/>
        </w:rPr>
        <w:t>Inventories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Inventories are recognized at the lower of cost and net realizable value. The cost (including costs of purchase and costs of conversion) is determined based on the moving average price of the item.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F-27</w:t>
      </w:r>
    </w:p>
    <w:p>
      <w:pPr>
        <w:sectPr>
          <w:pgSz w:w="11900" w:h="16838" w:orient="portrait"/>
          <w:cols w:equalWidth="0" w:num="1">
            <w:col w:w="10159"/>
          </w:cols>
          <w:pgMar w:left="300" w:top="354" w:right="1440" w:bottom="1440" w:gutter="0" w:footer="0" w:header="0"/>
        </w:sectPr>
      </w:pPr>
    </w:p>
    <w:bookmarkStart w:id="216" w:name="page217"/>
    <w:bookmarkEnd w:id="2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Apart from directly attributable unit costs, production costs include appropriate portions of production overheads based on normal operating capacity.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net realizable value is the estimated selling price in the ordinary course of business, less the estimated costs of completion and selling expenses.</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Write-downs to the lower net realizable values primarily take into account inventory risks resulting from turnover period and reduced recoverability.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Write-downs are reversed if the reasons that resulted in the impairment of inventories no longer exist.</w:t>
      </w:r>
    </w:p>
    <w:p>
      <w:pPr>
        <w:spacing w:after="0" w:line="236" w:lineRule="exact"/>
        <w:rPr>
          <w:sz w:val="20"/>
          <w:szCs w:val="20"/>
          <w:color w:val="auto"/>
        </w:rPr>
      </w:pPr>
    </w:p>
    <w:p>
      <w:pPr>
        <w:ind w:left="2620" w:hanging="360"/>
        <w:spacing w:after="0"/>
        <w:tabs>
          <w:tab w:leader="none" w:pos="2620"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Assets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classifies its financial assets into the following measurement categories, based on the relevant business model:</w:t>
      </w:r>
    </w:p>
    <w:p>
      <w:pPr>
        <w:spacing w:after="0" w:line="87" w:lineRule="exact"/>
        <w:rPr>
          <w:sz w:val="20"/>
          <w:szCs w:val="20"/>
          <w:color w:val="auto"/>
        </w:rPr>
      </w:pPr>
    </w:p>
    <w:p>
      <w:pPr>
        <w:ind w:left="2260" w:hanging="288"/>
        <w:spacing w:after="0"/>
        <w:tabs>
          <w:tab w:leader="none" w:pos="226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those that are measured subsequently at fair value (either through other comprehensive income - FVOCI - or through profit or loss - FVPL -); and</w:t>
      </w:r>
    </w:p>
    <w:p>
      <w:pPr>
        <w:spacing w:after="0" w:line="110" w:lineRule="exact"/>
        <w:rPr>
          <w:rFonts w:ascii="Arial" w:cs="Arial" w:eastAsia="Arial" w:hAnsi="Arial"/>
          <w:sz w:val="10"/>
          <w:szCs w:val="10"/>
          <w:color w:val="auto"/>
        </w:rPr>
      </w:pPr>
    </w:p>
    <w:p>
      <w:pPr>
        <w:ind w:left="2260" w:hanging="288"/>
        <w:spacing w:after="0"/>
        <w:tabs>
          <w:tab w:leader="none" w:pos="226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those that are measured at amortized cost (AmC).</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Currently, no financial assets are allocated to the FVOCI and FVPL categories.</w:t>
      </w:r>
    </w:p>
    <w:p>
      <w:pPr>
        <w:spacing w:after="0" w:line="15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Trade receivables and debt instruments are presented from the date on which they are issued. Financial assets are accounted for at trade date, i.e. the date on which the Group becomes a party pursuant to the contractual provisions of the instrument.</w:t>
      </w:r>
    </w:p>
    <w:p>
      <w:pPr>
        <w:spacing w:after="0" w:line="115"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Upon initial recognition, the Group measures a financial asset at fair value. In the case of a financial asset subsequently not measured at fair value through profit or loss, transaction costs that are directly allocable to the acquisition of the asset are added to the fair value. Transaction costs allocable to financial assets measured at fair value through profit or loss are recognized as expenses in the statement of profit or loss.</w:t>
      </w:r>
    </w:p>
    <w:p>
      <w:pPr>
        <w:spacing w:after="0" w:line="10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Financial assets are derecognized when the contractual rights to the cash flows from the financial asset expire or have been transferred and the Group has transferred substantially all the risks and rewards of ownership.</w:t>
      </w:r>
    </w:p>
    <w:p>
      <w:pPr>
        <w:spacing w:after="0" w:line="115" w:lineRule="exact"/>
        <w:rPr>
          <w:sz w:val="20"/>
          <w:szCs w:val="20"/>
          <w:color w:val="auto"/>
        </w:rPr>
      </w:pPr>
    </w:p>
    <w:p>
      <w:pPr>
        <w:jc w:val="both"/>
        <w:ind w:left="1980" w:right="899"/>
        <w:spacing w:after="0" w:line="326" w:lineRule="auto"/>
        <w:rPr>
          <w:sz w:val="20"/>
          <w:szCs w:val="20"/>
          <w:color w:val="auto"/>
        </w:rPr>
      </w:pPr>
      <w:r>
        <w:rPr>
          <w:rFonts w:ascii="Arial" w:cs="Arial" w:eastAsia="Arial" w:hAnsi="Arial"/>
          <w:sz w:val="10"/>
          <w:szCs w:val="10"/>
          <w:color w:val="auto"/>
        </w:rPr>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allocated to this category.</w:t>
      </w:r>
    </w:p>
    <w:p>
      <w:pPr>
        <w:spacing w:after="0" w:line="95"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case of trade receivables and other assets, the Group applies the simplified approach in accordance with IFRS 9, pursuant to which the lifetime expected credit losses have to be recognized since the initial recognition of the receivables.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For the purpose of measuring expected credit losses, trade receivables were combined in groups based on common credit risk characteristics.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F-28</w:t>
      </w:r>
    </w:p>
    <w:p>
      <w:pPr>
        <w:sectPr>
          <w:pgSz w:w="11900" w:h="16838" w:orient="portrait"/>
          <w:cols w:equalWidth="0" w:num="1">
            <w:col w:w="10159"/>
          </w:cols>
          <w:pgMar w:left="300" w:top="354" w:right="1440" w:bottom="1440" w:gutter="0" w:footer="0" w:header="0"/>
        </w:sectPr>
      </w:pPr>
    </w:p>
    <w:bookmarkStart w:id="217" w:name="page218"/>
    <w:bookmarkEnd w:id="2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43"/>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Financial Assets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Group holds the following instruments as financial assets that are subject to the credit loss model in accordance with IFRS 9:</w:t>
      </w:r>
    </w:p>
    <w:p>
      <w:pPr>
        <w:spacing w:after="0" w:line="87" w:lineRule="exact"/>
        <w:rPr>
          <w:sz w:val="20"/>
          <w:szCs w:val="20"/>
          <w:color w:val="auto"/>
        </w:rPr>
      </w:pPr>
    </w:p>
    <w:p>
      <w:pPr>
        <w:ind w:left="2920" w:hanging="291"/>
        <w:spacing w:after="0"/>
        <w:tabs>
          <w:tab w:leader="none" w:pos="292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Trade receivables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Other financial assets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Deposits at banks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Bank balances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the basis of forward-looking information, the Group ascertains the expected credit losses associated with its debt instruments measured at amortized cost. The impairment method depends on whether a significant increase in credit risk has occurred (general approach). The recognition of expected credit losses follows a 3-stage model for the allocation of loss allowances. In general, all instruments have to be allocated to Stage 1 upon initial recognition. In relation to such instruments, the present value of the expected payment defaults resulting from potential default events within the next 12 months after the reporting date must be recorded as an expense. Stage 2 comprises all instruments for which the credit risk has increased significantly compared to the date of initial recognition. For instruments classified in Stage 3, there is also objective evidence of impairment. As of the reporting date, no instruments were allocated to Stage 2 and Stage 3.</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simplified approach is applied for the determination of expected credit losses arising in connection with trade receivables.</w:t>
      </w:r>
    </w:p>
    <w:p>
      <w:pPr>
        <w:spacing w:after="0" w:line="150"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Expected losses resulting from bank balances, which can be classified as other financial assets due to their maturity, are negligible and are therefore not recognized.</w:t>
      </w:r>
    </w:p>
    <w:p>
      <w:pPr>
        <w:spacing w:after="0" w:line="210" w:lineRule="exact"/>
        <w:rPr>
          <w:sz w:val="20"/>
          <w:szCs w:val="20"/>
          <w:color w:val="auto"/>
        </w:rPr>
      </w:pPr>
    </w:p>
    <w:p>
      <w:pPr>
        <w:ind w:left="2620" w:hanging="360"/>
        <w:spacing w:after="0"/>
        <w:tabs>
          <w:tab w:leader="none" w:pos="2620" w:val="left"/>
        </w:tabs>
        <w:numPr>
          <w:ilvl w:val="0"/>
          <w:numId w:val="145"/>
        </w:numPr>
        <w:rPr>
          <w:rFonts w:ascii="Arial" w:cs="Arial" w:eastAsia="Arial" w:hAnsi="Arial"/>
          <w:sz w:val="12"/>
          <w:szCs w:val="12"/>
          <w:b w:val="1"/>
          <w:bCs w:val="1"/>
          <w:color w:val="auto"/>
        </w:rPr>
      </w:pPr>
      <w:r>
        <w:rPr>
          <w:rFonts w:ascii="Arial" w:cs="Arial" w:eastAsia="Arial" w:hAnsi="Arial"/>
          <w:sz w:val="12"/>
          <w:szCs w:val="12"/>
          <w:b w:val="1"/>
          <w:bCs w:val="1"/>
          <w:color w:val="auto"/>
        </w:rPr>
        <w:t>Taxes</w:t>
      </w:r>
    </w:p>
    <w:p>
      <w:pPr>
        <w:spacing w:after="0" w:line="154"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Income taxes are comprised of current and deferred taxes. Current and deferred taxes are recognized in profit or loss to the extent that they do not directly relate to items recorded in equity or other comprehensive income.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Current taxes</w:t>
      </w:r>
    </w:p>
    <w:p>
      <w:pPr>
        <w:spacing w:after="0" w:line="150"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expected tax liabilities or tax assets arising as a result of the respective local taxable profit generated in the year under review, taking into account local tax rules for the period, are recognized as current taxes. The tax rates applicable as of the reporting date are used for measurement. The currently applicable tax rates are not expected to change in the short term. All necessary adjustments to tax liabilities or tax assets from prior periods are also considered.</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is not aware of any material uncertainties over tax treatments due to a different interpretation of tax regulations by the taxation authorities.</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Deferred taxes</w:t>
      </w:r>
    </w:p>
    <w:p>
      <w:pPr>
        <w:spacing w:after="0" w:line="150"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In accordance with IAS 12, temporary differences between the tax base of assets and liabilities on the one hand and their carrying amount under IFRS/IAS,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F-29</w:t>
      </w:r>
    </w:p>
    <w:p>
      <w:pPr>
        <w:sectPr>
          <w:pgSz w:w="11900" w:h="16838" w:orient="portrait"/>
          <w:cols w:equalWidth="0" w:num="1">
            <w:col w:w="10159"/>
          </w:cols>
          <w:pgMar w:left="300" w:top="354" w:right="1440" w:bottom="1440" w:gutter="0" w:footer="0" w:header="0"/>
        </w:sectPr>
      </w:pPr>
    </w:p>
    <w:bookmarkStart w:id="218" w:name="page219"/>
    <w:bookmarkEnd w:id="2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Current and deferred income taxes for 2020 were determined using varying specific tax rates. The Group applies a tax rate of 27.725% to calculate deferred taxes for domestic Group companies. This combined income tax rate comprises 15% corporation tax plus 5.5% solidarity surcharge thereon as well as 11.9% trade tax. An income tax rate of 29.84% is used to calculate deferred taxes for the US subsidiary. This comprises the federal tax rate of 21% as well as the California state tax rate of 8.84%.</w:t>
      </w:r>
    </w:p>
    <w:p>
      <w:pPr>
        <w:spacing w:after="0" w:line="12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Deferred tax assets and liabilities are offset if the deferred taxes refer to income taxes levied by the same taxation authority and if the current taxes are offset against each other.</w:t>
      </w:r>
    </w:p>
    <w:p>
      <w:pPr>
        <w:spacing w:after="0" w:line="115"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Changes in deferred tax assets and liabilities are generally recognized through profit and loss, except for changes recognized in other comprehensive income or directly in equity.</w:t>
      </w:r>
    </w:p>
    <w:p>
      <w:pPr>
        <w:spacing w:after="0" w:line="210" w:lineRule="exact"/>
        <w:rPr>
          <w:sz w:val="20"/>
          <w:szCs w:val="20"/>
          <w:color w:val="auto"/>
        </w:rPr>
      </w:pPr>
    </w:p>
    <w:p>
      <w:pPr>
        <w:ind w:left="2620" w:hanging="360"/>
        <w:spacing w:after="0"/>
        <w:tabs>
          <w:tab w:leader="none" w:pos="2620" w:val="left"/>
        </w:tabs>
        <w:numPr>
          <w:ilvl w:val="0"/>
          <w:numId w:val="146"/>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fair value measured upon granting share-based payments is expensed over the vesting period, with a corresponding increase in equity on the basis of the Group’s expectation that the equity instruments will vest. The Group reviews its estimates regarding the number of equity instruments that will vest as of each reporting date. The effects of changes to the original estimates made are recorded in profit or loss, with a simultaneous adjustment of the recognized reserve.</w:t>
      </w:r>
    </w:p>
    <w:p>
      <w:pPr>
        <w:spacing w:after="0" w:line="219" w:lineRule="exact"/>
        <w:rPr>
          <w:sz w:val="20"/>
          <w:szCs w:val="20"/>
          <w:color w:val="auto"/>
        </w:rPr>
      </w:pPr>
    </w:p>
    <w:p>
      <w:pPr>
        <w:ind w:left="2620" w:hanging="360"/>
        <w:spacing w:after="0"/>
        <w:tabs>
          <w:tab w:leader="none" w:pos="2620" w:val="left"/>
        </w:tabs>
        <w:numPr>
          <w:ilvl w:val="0"/>
          <w:numId w:val="147"/>
        </w:numPr>
        <w:rPr>
          <w:rFonts w:ascii="Arial" w:cs="Arial" w:eastAsia="Arial" w:hAnsi="Arial"/>
          <w:sz w:val="12"/>
          <w:szCs w:val="12"/>
          <w:b w:val="1"/>
          <w:bCs w:val="1"/>
          <w:color w:val="auto"/>
        </w:rPr>
      </w:pPr>
      <w:r>
        <w:rPr>
          <w:rFonts w:ascii="Arial" w:cs="Arial" w:eastAsia="Arial" w:hAnsi="Arial"/>
          <w:sz w:val="12"/>
          <w:szCs w:val="12"/>
          <w:b w:val="1"/>
          <w:bCs w:val="1"/>
          <w:color w:val="auto"/>
        </w:rPr>
        <w:t>Provisions</w:t>
      </w:r>
    </w:p>
    <w:p>
      <w:pPr>
        <w:spacing w:after="0" w:line="154"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Group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28"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For long-term provisions with an interest portion the increase in the amount of a provision reflecting the time value of money is recognized as interest expense in the financial result.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Provisions are reviewed as of each reporting date and adjusted to the current best estimate.</w:t>
      </w:r>
    </w:p>
    <w:p>
      <w:pPr>
        <w:spacing w:after="0" w:line="245" w:lineRule="exact"/>
        <w:rPr>
          <w:sz w:val="20"/>
          <w:szCs w:val="20"/>
          <w:color w:val="auto"/>
        </w:rPr>
      </w:pPr>
    </w:p>
    <w:p>
      <w:pPr>
        <w:ind w:left="2620" w:hanging="360"/>
        <w:spacing w:after="0"/>
        <w:tabs>
          <w:tab w:leader="none" w:pos="2620" w:val="left"/>
        </w:tabs>
        <w:numPr>
          <w:ilvl w:val="0"/>
          <w:numId w:val="148"/>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Liabilities</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Financial liabilities are classified upon initial recognition as financial liabilities measured at fair value through profit or loss, as loans, as liabilities, or as derivatives that are designated as hedging instruments and are effective as such. All financial liabilities are measured at fair value upon initial recognition, less any directly attributable transaction costs in the case of loans and liabilities.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Group’s financial liabilities comprise trade and other payables as well as liabilities to banks, including overdraft credits.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F-30</w:t>
      </w:r>
    </w:p>
    <w:p>
      <w:pPr>
        <w:sectPr>
          <w:pgSz w:w="11900" w:h="16838" w:orient="portrait"/>
          <w:cols w:equalWidth="0" w:num="1">
            <w:col w:w="10159"/>
          </w:cols>
          <w:pgMar w:left="300" w:top="354" w:right="1440" w:bottom="1440" w:gutter="0" w:footer="0" w:header="0"/>
        </w:sectPr>
      </w:pPr>
    </w:p>
    <w:bookmarkStart w:id="219" w:name="page220"/>
    <w:bookmarkEnd w:id="2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subsequent measurement of financial liabilities depends on their classification, as shown below:</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fair value through profit or loss</w:t>
      </w:r>
    </w:p>
    <w:p>
      <w:pPr>
        <w:spacing w:after="0" w:line="150"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Financial liabilities measured at fair value through profit or loss comprise financial liabilities held for trading as well as other financial liabilities classified upon initial recognition as measured at fair value through profit or loss.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financial liability is classified as held for trading if it is acquired for the purpose of repurchasing it in the near term.</w:t>
      </w:r>
    </w:p>
    <w:p>
      <w:pPr>
        <w:spacing w:after="0" w:line="150"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with the exception of derivatives that have been designated as hedging instruments and are determined to be effective as such.</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Gains or losses on financial liabilities held for trading are recognized in profit or loss.</w:t>
      </w:r>
    </w:p>
    <w:p>
      <w:pPr>
        <w:spacing w:after="0" w:line="150"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The classification of financial liabilities as measured at fair value through profit or loss is made upon initial recognition if the criteria pursuant to IFRS 9 are met. Mynaric does not have any financial liabilities that are classified as measured at fair value through profit or loss.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amortized cost (“FLAC”)</w:t>
      </w:r>
    </w:p>
    <w:p>
      <w:pPr>
        <w:spacing w:after="0" w:line="150"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This category comprises trade payables, other liabilities, and loans taken out.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217" w:lineRule="exact"/>
        <w:rPr>
          <w:sz w:val="20"/>
          <w:szCs w:val="20"/>
          <w:color w:val="auto"/>
        </w:rPr>
      </w:pPr>
    </w:p>
    <w:p>
      <w:pPr>
        <w:ind w:left="2620" w:hanging="360"/>
        <w:spacing w:after="0"/>
        <w:tabs>
          <w:tab w:leader="none" w:pos="2620" w:val="left"/>
        </w:tabs>
        <w:numPr>
          <w:ilvl w:val="0"/>
          <w:numId w:val="149"/>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5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At contract inception, the Group assesses whether the contract is or contains a lease. This is the case if the contract conveys the right to control the use of an identified asset for a period of time in exchange for consideration.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Group as lessee</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Group presents all leases on the face of its balance sheet, with the exception of short-term leases and leases for low-value assets. It recognizes liabilities for lease payments to be made and right-of-use assets for the right to use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Right-of-use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recognizes right-of-use assets as of the commencement date (i.e. the date on which the underlying leased asset is available for use).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Right-of-use assets are measured at cost less any accumulated depreciation and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F-31</w:t>
      </w:r>
    </w:p>
    <w:p>
      <w:pPr>
        <w:sectPr>
          <w:pgSz w:w="11900" w:h="16838" w:orient="portrait"/>
          <w:cols w:equalWidth="0" w:num="1">
            <w:col w:w="10159"/>
          </w:cols>
          <w:pgMar w:left="300" w:top="354" w:right="1440" w:bottom="1440" w:gutter="0" w:footer="0" w:header="0"/>
        </w:sectPr>
      </w:pPr>
    </w:p>
    <w:bookmarkStart w:id="220" w:name="page221"/>
    <w:bookmarkEnd w:id="2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any accumulated impairment losses,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shorter of the lease term and expected useful life of the leases, as follows:</w:t>
      </w:r>
    </w:p>
    <w:p>
      <w:pPr>
        <w:spacing w:after="0" w:line="61" w:lineRule="exact"/>
        <w:rPr>
          <w:sz w:val="20"/>
          <w:szCs w:val="20"/>
          <w:color w:val="auto"/>
        </w:rPr>
      </w:pPr>
    </w:p>
    <w:p>
      <w:pPr>
        <w:ind w:left="2260" w:hanging="288"/>
        <w:spacing w:after="0"/>
        <w:tabs>
          <w:tab w:leader="none" w:pos="226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Real estate – three to 10 years</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Other leases – two to three years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If ownership of the leased asset is transferred to the Group at the end of the lease term or the exercise of a purchase option is taken into account in the determination of the cost, depreciation is determined based on the expected useful life of the leased asset. In addition, right-of-use assets are tested for impairment.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 liabilities</w:t>
      </w:r>
    </w:p>
    <w:p>
      <w:pPr>
        <w:spacing w:after="0" w:line="150"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On the commencement date, the Group recognizes the lease liabilities at the present value of the lease payments to be made over the lease term. The lease payments comprise fixed payments (including in-substance 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occurred. The Group determines the lease term based on the non-cancelable period of a lease, together with both periods covered by an option to extend the lease if the lessee is reasonably certain to exercise that option, and periods covered by an option to terminate the lease if the lessee is reasonably certain not to exercise that option. The assessment of whether a lessee is reasonably certain to exercise an option to extend or terminate a lease is subject to material judgments to be made by the management (see Note 4. Material judgments, estimates, and assumptions).</w:t>
      </w:r>
    </w:p>
    <w:p>
      <w:pPr>
        <w:spacing w:after="0" w:line="119"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The Group uses the interest rate implicit in the lease, if known to the Group, for the calculation of the present value of the lease payments. In the case of leases for which this interest rate is unknown, the Group applies its incremental borrowing rate as of the commencement date. The incremental borrowing rate is the rate of interest that the Group would have to pay to borrow over a similar term, and with a similar security, the funds necessary to obtain an asset of a similar value to the right-of-use asset in a similar economic environment. After the commencement date, the amount of the lease liabilities is increased to account for the higher interest expense and reduced to reflect the lease payments made. In addition, the carrying amount of the lease liabilities is remeasured to reflect any modifications to the lease, changes in the lease term, changes in the lease payments (e.g. changes of future lease payments following a change in the index or rate used to determine these payments), or changes in the assessment of an option to purchase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Short-term leases and leases for low-value assets</w:t>
      </w:r>
    </w:p>
    <w:p>
      <w:pPr>
        <w:spacing w:after="0" w:line="150" w:lineRule="exact"/>
        <w:rPr>
          <w:sz w:val="20"/>
          <w:szCs w:val="20"/>
          <w:color w:val="auto"/>
        </w:rPr>
      </w:pPr>
    </w:p>
    <w:p>
      <w:pPr>
        <w:jc w:val="both"/>
        <w:ind w:left="1980" w:right="899"/>
        <w:spacing w:after="0" w:line="289" w:lineRule="auto"/>
        <w:rPr>
          <w:sz w:val="20"/>
          <w:szCs w:val="20"/>
          <w:color w:val="auto"/>
        </w:rPr>
      </w:pPr>
      <w:r>
        <w:rPr>
          <w:rFonts w:ascii="Arial" w:cs="Arial" w:eastAsia="Arial" w:hAnsi="Arial"/>
          <w:sz w:val="11"/>
          <w:szCs w:val="11"/>
          <w:color w:val="auto"/>
        </w:rPr>
        <w:t>The Group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Group also applies the exemption provided for leases for low-value assets. Lease payments for short-term leases and for leases for low-value assets are recognized as an expense on a straight-line basis over the lease term.</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F-32</w:t>
      </w:r>
    </w:p>
    <w:p>
      <w:pPr>
        <w:sectPr>
          <w:pgSz w:w="11900" w:h="16838" w:orient="portrait"/>
          <w:cols w:equalWidth="0" w:num="1">
            <w:col w:w="10159"/>
          </w:cols>
          <w:pgMar w:left="300" w:top="354" w:right="1440" w:bottom="1440" w:gutter="0" w:footer="0" w:header="0"/>
        </w:sectPr>
      </w:pPr>
    </w:p>
    <w:bookmarkStart w:id="221" w:name="page222"/>
    <w:bookmarkEnd w:id="2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0"/>
          <w:szCs w:val="10"/>
          <w:b w:val="1"/>
          <w:bCs w:val="1"/>
          <w:color w:val="auto"/>
        </w:rPr>
        <w:t>Changes in accounting policies</w:t>
      </w:r>
    </w:p>
    <w:p>
      <w:pPr>
        <w:spacing w:after="0" w:line="168" w:lineRule="exact"/>
        <w:rPr>
          <w:sz w:val="20"/>
          <w:szCs w:val="20"/>
          <w:color w:val="auto"/>
        </w:rPr>
      </w:pPr>
    </w:p>
    <w:p>
      <w:pPr>
        <w:ind w:left="2620" w:hanging="360"/>
        <w:spacing w:after="0"/>
        <w:tabs>
          <w:tab w:leader="none" w:pos="2620" w:val="left"/>
        </w:tabs>
        <w:numPr>
          <w:ilvl w:val="0"/>
          <w:numId w:val="151"/>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standards and interpretations</w:t>
      </w:r>
    </w:p>
    <w:p>
      <w:pPr>
        <w:spacing w:after="0" w:line="154" w:lineRule="exact"/>
        <w:rPr>
          <w:sz w:val="20"/>
          <w:szCs w:val="20"/>
          <w:color w:val="auto"/>
        </w:rPr>
      </w:pPr>
    </w:p>
    <w:p>
      <w:pPr>
        <w:ind w:left="1980" w:right="859"/>
        <w:spacing w:after="0" w:line="379" w:lineRule="auto"/>
        <w:rPr>
          <w:sz w:val="20"/>
          <w:szCs w:val="20"/>
          <w:color w:val="auto"/>
        </w:rPr>
      </w:pPr>
      <w:r>
        <w:rPr>
          <w:rFonts w:ascii="Arial" w:cs="Arial" w:eastAsia="Arial" w:hAnsi="Arial"/>
          <w:sz w:val="10"/>
          <w:szCs w:val="10"/>
          <w:color w:val="auto"/>
        </w:rPr>
        <w:t>The International Accounting Standards Board (IASB) and the IFRS IC amended the following standards and interpretations that must be applied for the fiscal year 2020 from January 1, 2020 – with the exception of the practical expedients set out in IFRS 16, which must be applied from June 1, 2020:</w:t>
      </w:r>
    </w:p>
    <w:p>
      <w:pPr>
        <w:spacing w:after="0" w:line="6" w:lineRule="exact"/>
        <w:rPr>
          <w:sz w:val="20"/>
          <w:szCs w:val="20"/>
          <w:color w:val="auto"/>
        </w:rPr>
      </w:pPr>
    </w:p>
    <w:p>
      <w:pPr>
        <w:ind w:left="2260" w:hanging="288"/>
        <w:spacing w:after="0"/>
        <w:tabs>
          <w:tab w:leader="none" w:pos="226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Amendments to references to the Conceptual Framework in several standards and interpretations</w:t>
      </w:r>
    </w:p>
    <w:p>
      <w:pPr>
        <w:spacing w:after="0" w:line="78" w:lineRule="exact"/>
        <w:rPr>
          <w:rFonts w:ascii="Arial" w:cs="Arial" w:eastAsia="Arial" w:hAnsi="Arial"/>
          <w:sz w:val="12"/>
          <w:szCs w:val="12"/>
          <w:color w:val="auto"/>
        </w:rPr>
      </w:pPr>
    </w:p>
    <w:p>
      <w:pPr>
        <w:ind w:left="2260" w:right="879"/>
        <w:spacing w:after="0" w:line="289" w:lineRule="auto"/>
        <w:rPr>
          <w:rFonts w:ascii="Arial" w:cs="Arial" w:eastAsia="Arial" w:hAnsi="Arial"/>
          <w:sz w:val="12"/>
          <w:szCs w:val="12"/>
          <w:color w:val="auto"/>
        </w:rPr>
      </w:pPr>
      <w:r>
        <w:rPr>
          <w:rFonts w:ascii="Arial" w:cs="Arial" w:eastAsia="Arial" w:hAnsi="Arial"/>
          <w:sz w:val="11"/>
          <w:szCs w:val="11"/>
          <w:color w:val="auto"/>
        </w:rPr>
        <w:t>The IASB published a revised Conceptual Framework in 2018. The revision focused mainly on conceptual elements of accounting, such as the definition of assets and liabilities. The revision did not result in any material changes. As a result of the modified Conceptual Framework, several references in standards and interpretations were adapted accordingly to the Conceptual Framework. In this context, the IASB issued a summary of the amendments to references to the Conceptual Framework in IFRS standards.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Amendments to IAS 1 and IAS 8: Definition of “Material”</w:t>
      </w:r>
    </w:p>
    <w:p>
      <w:pPr>
        <w:spacing w:after="0" w:line="78" w:lineRule="exact"/>
        <w:rPr>
          <w:rFonts w:ascii="Arial" w:cs="Arial" w:eastAsia="Arial" w:hAnsi="Arial"/>
          <w:sz w:val="12"/>
          <w:szCs w:val="12"/>
          <w:color w:val="auto"/>
        </w:rPr>
      </w:pPr>
    </w:p>
    <w:p>
      <w:pPr>
        <w:ind w:left="2260" w:right="859"/>
        <w:spacing w:after="0" w:line="289" w:lineRule="auto"/>
        <w:rPr>
          <w:rFonts w:ascii="Arial" w:cs="Arial" w:eastAsia="Arial" w:hAnsi="Arial"/>
          <w:sz w:val="12"/>
          <w:szCs w:val="12"/>
          <w:color w:val="auto"/>
        </w:rPr>
      </w:pPr>
      <w:r>
        <w:rPr>
          <w:rFonts w:ascii="Arial" w:cs="Arial" w:eastAsia="Arial" w:hAnsi="Arial"/>
          <w:sz w:val="11"/>
          <w:szCs w:val="11"/>
          <w:color w:val="auto"/>
        </w:rPr>
        <w:t>As a result of the amendments to IAS 1 and IAS 8 published in October 2018, the principle of materiality, which must generally be complied with, was refined and deviating definitions of materiality included in individual standards were aligned to the definition of materiality in the Conceptual Framework. Pursuant to the revised definition of the term “materiality,” information is deemed material if omitting, misstating, or obscuring such information could reasonably be expected to influence decisions made by the primary users of financial statements.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Amendments to IFRS 9, IAS 39 and IFRS 7: IBOR reform</w:t>
      </w:r>
    </w:p>
    <w:p>
      <w:pPr>
        <w:spacing w:after="0" w:line="78" w:lineRule="exact"/>
        <w:rPr>
          <w:rFonts w:ascii="Arial" w:cs="Arial" w:eastAsia="Arial" w:hAnsi="Arial"/>
          <w:sz w:val="12"/>
          <w:szCs w:val="12"/>
          <w:color w:val="auto"/>
        </w:rPr>
      </w:pPr>
    </w:p>
    <w:p>
      <w:pPr>
        <w:ind w:left="2260" w:right="879"/>
        <w:spacing w:after="0" w:line="285" w:lineRule="auto"/>
        <w:rPr>
          <w:rFonts w:ascii="Arial" w:cs="Arial" w:eastAsia="Arial" w:hAnsi="Arial"/>
          <w:sz w:val="12"/>
          <w:szCs w:val="12"/>
          <w:color w:val="auto"/>
        </w:rPr>
      </w:pPr>
      <w:r>
        <w:rPr>
          <w:rFonts w:ascii="Arial" w:cs="Arial" w:eastAsia="Arial" w:hAnsi="Arial"/>
          <w:sz w:val="11"/>
          <w:szCs w:val="11"/>
          <w:color w:val="auto"/>
        </w:rPr>
        <w:t>At the end of September 2019, the IASB published amendments as part of the Interest Rate Benchmark Reform. The objective of the amendments is to eliminate uncertainties in the application of IFRS 9, IAS 39, and IFRS 7 due to the IBOR reform when using new benchmark interest rates. The modifications mainly include certain expedients as regards hedge accounting provisions to continue to account for existing hedging relationships despite the uncertainties in terms of cash flows. Moreover, an exemption was introduced as regards the retrospective assessment in accordance with IAS 39 as well as a practical expedient with respect to separate identifiability in macro hedging.</w:t>
      </w:r>
    </w:p>
    <w:p>
      <w:pPr>
        <w:spacing w:after="0" w:line="50" w:lineRule="exact"/>
        <w:rPr>
          <w:rFonts w:ascii="Arial" w:cs="Arial" w:eastAsia="Arial" w:hAnsi="Arial"/>
          <w:sz w:val="12"/>
          <w:szCs w:val="12"/>
          <w:color w:val="auto"/>
        </w:rPr>
      </w:pPr>
    </w:p>
    <w:p>
      <w:pPr>
        <w:ind w:left="2260" w:hanging="288"/>
        <w:spacing w:after="0"/>
        <w:tabs>
          <w:tab w:leader="none" w:pos="226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Amendments to IFRS 16 (Covid-19-Related Rent Concessions) (application from June 1, 2020)</w:t>
      </w:r>
    </w:p>
    <w:p>
      <w:pPr>
        <w:spacing w:after="0" w:line="78" w:lineRule="exact"/>
        <w:rPr>
          <w:rFonts w:ascii="Arial" w:cs="Arial" w:eastAsia="Arial" w:hAnsi="Arial"/>
          <w:sz w:val="12"/>
          <w:szCs w:val="12"/>
          <w:color w:val="auto"/>
        </w:rPr>
      </w:pPr>
    </w:p>
    <w:p>
      <w:pPr>
        <w:ind w:left="2260" w:right="859"/>
        <w:spacing w:after="0" w:line="254" w:lineRule="auto"/>
        <w:rPr>
          <w:rFonts w:ascii="Arial" w:cs="Arial" w:eastAsia="Arial" w:hAnsi="Arial"/>
          <w:sz w:val="12"/>
          <w:szCs w:val="12"/>
          <w:color w:val="auto"/>
        </w:rPr>
      </w:pPr>
      <w:r>
        <w:rPr>
          <w:rFonts w:ascii="Arial" w:cs="Arial" w:eastAsia="Arial" w:hAnsi="Arial"/>
          <w:sz w:val="12"/>
          <w:szCs w:val="12"/>
          <w:color w:val="auto"/>
        </w:rPr>
        <w:t>The coronavirus pandemic led to adjustments and/or renegotiations of leases around the globe to mitigate the financial impact, which was also due to the lockdowns imposed by governments. In accordance with IFRS 16, subsequent contractual adjustments, such as rent-free periods, rent reductions, or rent holidays, are generally classified as lease modifications and the occurrence of such modifications is subject to certain legal consequences. As a result of the Covid-19-related expedients regarding the application of IFRS 16, the lessee may elect not to account for Covid-19-related rent concessions as a modification if certain criteria are met. In terms of the application of the practical expedient, rent remissions/reductions and rent holidays must be accounted for differently in the financial statements, with consistent application being stipulated for similarly structured contracts.</w:t>
      </w:r>
    </w:p>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has adopted all financial reporting rules that must be applied from January 1, 2020 and June 1, 2020, respectively. The application did not have a significant impact on the consolidated financial statements.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F-33</w:t>
      </w:r>
    </w:p>
    <w:p>
      <w:pPr>
        <w:sectPr>
          <w:pgSz w:w="11900" w:h="16838" w:orient="portrait"/>
          <w:cols w:equalWidth="0" w:num="1">
            <w:col w:w="10159"/>
          </w:cols>
          <w:pgMar w:left="300" w:top="354" w:right="1440" w:bottom="1440" w:gutter="0" w:footer="0" w:header="0"/>
        </w:sectPr>
      </w:pPr>
    </w:p>
    <w:bookmarkStart w:id="222" w:name="page223"/>
    <w:bookmarkEnd w:id="2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53"/>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rules that have not yet been applied</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IASB has issued standards, interpretations, and amendments to existing standards whose application is not yet required or which must be applied only in subsequent reporting periods, respectively, and which have not been applied early by Mynaric AG.</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4"/>
              </w:rPr>
              <w:t>Date of application</w:t>
            </w:r>
          </w:p>
        </w:tc>
      </w:tr>
      <w:tr>
        <w:trPr>
          <w:trHeight w:val="124"/>
        </w:trPr>
        <w:tc>
          <w:tcPr>
            <w:tcW w:w="65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Amendments to IFRS 4</w:t>
            </w:r>
          </w:p>
        </w:tc>
        <w:tc>
          <w:tcPr>
            <w:tcW w:w="7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Jan. 1, 2021</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IFRS 9, IAS 39, IFRS 7, IFRS 4 and IFRS 16: IBOR Reform Phase 2</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2021</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IFRS 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16</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IAS 37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Annual Improvements 2018-2020</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Insurance Contracts IFRS 17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Definition of Accounting Estimates (Amendments to IAS 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bl>
    <w:p>
      <w:pPr>
        <w:spacing w:after="0" w:line="13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Company is currently analyzing the effects of the new or revised financial reporting standards listed above but does not expect any material effects resulting from application of the revised standards to the Group.</w:t>
      </w:r>
    </w:p>
    <w:p>
      <w:pPr>
        <w:spacing w:after="0" w:line="210" w:lineRule="exact"/>
        <w:rPr>
          <w:sz w:val="20"/>
          <w:szCs w:val="20"/>
          <w:color w:val="auto"/>
        </w:rPr>
      </w:pPr>
    </w:p>
    <w:p>
      <w:pPr>
        <w:ind w:left="2620" w:hanging="360"/>
        <w:spacing w:after="0"/>
        <w:tabs>
          <w:tab w:leader="none" w:pos="2620" w:val="left"/>
        </w:tabs>
        <w:numPr>
          <w:ilvl w:val="0"/>
          <w:numId w:val="154"/>
        </w:numPr>
        <w:rPr>
          <w:rFonts w:ascii="Arial" w:cs="Arial" w:eastAsia="Arial" w:hAnsi="Arial"/>
          <w:sz w:val="12"/>
          <w:szCs w:val="12"/>
          <w:b w:val="1"/>
          <w:bCs w:val="1"/>
          <w:color w:val="auto"/>
        </w:rPr>
      </w:pPr>
      <w:r>
        <w:rPr>
          <w:rFonts w:ascii="Arial" w:cs="Arial" w:eastAsia="Arial" w:hAnsi="Arial"/>
          <w:sz w:val="12"/>
          <w:szCs w:val="12"/>
          <w:b w:val="1"/>
          <w:bCs w:val="1"/>
          <w:color w:val="auto"/>
        </w:rPr>
        <w:t>Change of the presentation of the Consolidated statement of profit or loss and other comprehensive income or loss</w:t>
      </w:r>
    </w:p>
    <w:p>
      <w:pPr>
        <w:spacing w:after="0" w:line="15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For the financial statements for the years ended December 31, 2020 and 2019 the group has voluntarily restated the presentation of the Consolidated Statement of Profit or Loss and Other Comprehensive Income or Loss and certain other disclosures as follows:</w:t>
      </w:r>
    </w:p>
    <w:p>
      <w:pPr>
        <w:spacing w:after="0" w:line="52" w:lineRule="exact"/>
        <w:rPr>
          <w:sz w:val="20"/>
          <w:szCs w:val="20"/>
          <w:color w:val="auto"/>
        </w:rPr>
      </w:pPr>
    </w:p>
    <w:p>
      <w:pPr>
        <w:ind w:left="2620" w:hanging="288"/>
        <w:spacing w:after="0"/>
        <w:tabs>
          <w:tab w:leader="none" w:pos="26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Elimination of the subtotal “Output”;</w:t>
      </w:r>
    </w:p>
    <w:p>
      <w:pPr>
        <w:spacing w:after="0" w:line="87"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The line items “Change in inventories of finished goods and work in progress” and “Own work capitalized” were moved below the line “Other operating expenses”.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Corresponding changes to Note 5. Segment reporting and information on geographical areas</w:t>
      </w:r>
    </w:p>
    <w:p>
      <w:pPr>
        <w:spacing w:after="0" w:line="87" w:lineRule="exact"/>
        <w:rPr>
          <w:rFonts w:ascii="Arial" w:cs="Arial" w:eastAsia="Arial" w:hAnsi="Arial"/>
          <w:sz w:val="12"/>
          <w:szCs w:val="12"/>
          <w:color w:val="auto"/>
        </w:rPr>
      </w:pPr>
    </w:p>
    <w:p>
      <w:pPr>
        <w:ind w:left="2620" w:right="999" w:hanging="288"/>
        <w:spacing w:after="0" w:line="323" w:lineRule="auto"/>
        <w:tabs>
          <w:tab w:leader="none" w:pos="2620" w:val="left"/>
        </w:tabs>
        <w:numPr>
          <w:ilvl w:val="0"/>
          <w:numId w:val="155"/>
        </w:numPr>
        <w:rPr>
          <w:rFonts w:ascii="Arial" w:cs="Arial" w:eastAsia="Arial" w:hAnsi="Arial"/>
          <w:sz w:val="11"/>
          <w:szCs w:val="11"/>
          <w:color w:val="auto"/>
        </w:rPr>
      </w:pPr>
      <w:r>
        <w:rPr>
          <w:rFonts w:ascii="Arial" w:cs="Arial" w:eastAsia="Arial" w:hAnsi="Arial"/>
          <w:sz w:val="11"/>
          <w:szCs w:val="11"/>
          <w:color w:val="auto"/>
        </w:rPr>
        <w:t>Changes to Note 13. Own Work Capitalized, providing additional information concerning the amounts capitalized which are included in gross expenses presented in the Consolidated statement of profit or loss and other comprehensive income or loss.</w:t>
      </w:r>
    </w:p>
    <w:p>
      <w:pPr>
        <w:spacing w:after="0" w:line="92"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voluntarily change in the presentation described above had no impact on operating profit/loss, the net loss or other comprehensive loss. Management believes the new presentation enables the reader of the financial statements a better insight in the expenses incurred during the period and therefore provide better information about the financial performance during the reporting period.</w:t>
      </w:r>
    </w:p>
    <w:p>
      <w:pPr>
        <w:spacing w:after="0" w:line="217" w:lineRule="exact"/>
        <w:rPr>
          <w:sz w:val="20"/>
          <w:szCs w:val="20"/>
          <w:color w:val="auto"/>
        </w:rPr>
      </w:pPr>
    </w:p>
    <w:p>
      <w:pPr>
        <w:ind w:left="2260" w:hanging="288"/>
        <w:spacing w:after="0"/>
        <w:tabs>
          <w:tab w:leader="none" w:pos="2260" w:val="left"/>
        </w:tabs>
        <w:numPr>
          <w:ilvl w:val="0"/>
          <w:numId w:val="156"/>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F-34</w:t>
      </w:r>
    </w:p>
    <w:p>
      <w:pPr>
        <w:sectPr>
          <w:pgSz w:w="11900" w:h="16838" w:orient="portrait"/>
          <w:cols w:equalWidth="0" w:num="1">
            <w:col w:w="10159"/>
          </w:cols>
          <w:pgMar w:left="300" w:top="354" w:right="1440" w:bottom="1440" w:gutter="0" w:footer="0" w:header="0"/>
        </w:sectPr>
      </w:pPr>
    </w:p>
    <w:bookmarkStart w:id="223" w:name="page224"/>
    <w:bookmarkEnd w:id="2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57"/>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 Judgments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Information on management judgments made in the application of accounting policies that most significantly affect the amounts recognized in the financial statements are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The Group determines the lease term based on the non-cancelable period, together with both periods covered by an option to extend the lease if the lessee is reasonably certain to exercise that option, and periods covered by an option to terminate the lease if the lessee is reasonably certain not to exercise that option. Mynaric has entered into several leases that include extension or termination options, and makes judgments when assessing whether it is reasonably certain that the option to extend or terminate the lease will or will not be exercised. All relevant factors representing an economic incentive to exercise the extension or termination option are taken into consideration. After the commencement date, Mynaric reassesses the lease term if a significant event or a change of circumstances occurs. The extension option was not taken into account in the term of rental contracts for buildings. This assumption is based on current expectations of management, as extensions are currently not planned.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time periods that result from a termination option are included in the lease term only if it is reasonably certain that the option will not be exercised.</w:t>
      </w:r>
    </w:p>
    <w:p>
      <w:pPr>
        <w:spacing w:after="0" w:line="16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Please refer to Note 19. Right-of-use Assets for details on the potential future lease payments for periods after the exercise date of the extension and termination options that are not taken into consideration in the lease term.</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Useful life of self-generated intangible assets</w:t>
      </w:r>
    </w:p>
    <w:p>
      <w:pPr>
        <w:spacing w:after="0" w:line="150"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Management uses for the purposes of initial recognition and subsequent valuation of self-generated intangible assets a useful life of 15 years. The useful life is estimated based on the expected product life, which is determined based on the company’s own technical assessment and market studies. If the useful life used would be different from 15 years, it may result in changes to the expected discounted cash flows, which in turn may result in impairment losses required to be recorded for these assets.</w:t>
      </w:r>
    </w:p>
    <w:p>
      <w:pPr>
        <w:spacing w:after="0" w:line="219" w:lineRule="exact"/>
        <w:rPr>
          <w:sz w:val="20"/>
          <w:szCs w:val="20"/>
          <w:color w:val="auto"/>
        </w:rPr>
      </w:pPr>
    </w:p>
    <w:p>
      <w:pPr>
        <w:ind w:left="2620" w:hanging="360"/>
        <w:spacing w:after="0"/>
        <w:tabs>
          <w:tab w:leader="none" w:pos="2620" w:val="left"/>
        </w:tabs>
        <w:numPr>
          <w:ilvl w:val="0"/>
          <w:numId w:val="158"/>
        </w:numPr>
        <w:rPr>
          <w:rFonts w:ascii="Arial" w:cs="Arial" w:eastAsia="Arial" w:hAnsi="Arial"/>
          <w:sz w:val="12"/>
          <w:szCs w:val="12"/>
          <w:b w:val="1"/>
          <w:bCs w:val="1"/>
          <w:color w:val="auto"/>
        </w:rPr>
      </w:pPr>
      <w:r>
        <w:rPr>
          <w:rFonts w:ascii="Arial" w:cs="Arial" w:eastAsia="Arial" w:hAnsi="Arial"/>
          <w:sz w:val="12"/>
          <w:szCs w:val="12"/>
          <w:b w:val="1"/>
          <w:bCs w:val="1"/>
          <w:color w:val="auto"/>
        </w:rPr>
        <w:t>Estimates and Assumptions</w:t>
      </w:r>
    </w:p>
    <w:p>
      <w:pPr>
        <w:spacing w:after="0" w:line="15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Information about assumptions and estimation uncertainty as of December 31, 2020 that might result in a significant risk that a material adjustment to the carrying amounts of the reported assets and liabilities is required, is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Estimates and management judgments due to the COVID-19 pandemic</w:t>
      </w:r>
    </w:p>
    <w:p>
      <w:pPr>
        <w:spacing w:after="0" w:line="150"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a result of the inability to fully predict the global impact of the COVID-19 pandemic, the estimates and judgments in connection with recognized assets and liabilities are particularly subject to an increased uncertainty.</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For the purpose of updating estimates and judgments, available information about the expected economic development as well as country-specific government measures are considered.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Impairment of intangible assets and other non-financial assets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The measurement of intangible assets is based on long-term corporate planning using market- and company-specific discount rates as well as expected growth rates and exchange rates (please refer to the Note 17. for more information). The assumptions made for planning may be subject to changes, which in turn may result in impairment losses required to be recorded for these assets.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F-35</w:t>
      </w:r>
    </w:p>
    <w:p>
      <w:pPr>
        <w:sectPr>
          <w:pgSz w:w="11900" w:h="16838" w:orient="portrait"/>
          <w:cols w:equalWidth="0" w:num="1">
            <w:col w:w="10159"/>
          </w:cols>
          <w:pgMar w:left="300" w:top="354" w:right="1440" w:bottom="1440" w:gutter="0" w:footer="0" w:header="0"/>
        </w:sectPr>
      </w:pPr>
    </w:p>
    <w:bookmarkStart w:id="224" w:name="page225"/>
    <w:bookmarkEnd w:id="2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Recognition of deferred tax assets</w:t>
      </w:r>
    </w:p>
    <w:p>
      <w:pPr>
        <w:spacing w:after="0" w:line="150"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Group companies. Any potential change in taxable income that differs from estimates may result in deferred tax assets not being recoverable.</w:t>
      </w:r>
    </w:p>
    <w:p>
      <w:pPr>
        <w:spacing w:after="0" w:line="105" w:lineRule="exact"/>
        <w:rPr>
          <w:sz w:val="20"/>
          <w:szCs w:val="20"/>
          <w:color w:val="auto"/>
        </w:rPr>
      </w:pPr>
    </w:p>
    <w:p>
      <w:pPr>
        <w:ind w:left="1980" w:right="1119"/>
        <w:spacing w:after="0" w:line="263" w:lineRule="auto"/>
        <w:rPr>
          <w:sz w:val="20"/>
          <w:szCs w:val="20"/>
          <w:color w:val="auto"/>
        </w:rPr>
      </w:pPr>
      <w:r>
        <w:rPr>
          <w:rFonts w:ascii="Arial" w:cs="Arial" w:eastAsia="Arial" w:hAnsi="Arial"/>
          <w:sz w:val="12"/>
          <w:szCs w:val="12"/>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Uncertain tax positions</w:t>
      </w:r>
    </w:p>
    <w:p>
      <w:pPr>
        <w:spacing w:after="0" w:line="150"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In cases for which it is probable that amounts declared as expenses in the tax returns might not be recognized (uncertain tax positions), a liability for income taxes is recognized. The amount is based on management´s best estimate of the expected tax payment (expected value or most likely amount). Tax refund claims from uncertain tax positions are recognized when it is probable that they can be realized. In the case of tax loss, no liability for taxes or tax claim is recognized for these uncertain tax positions. Instead, the deferred tax assets for the unused tax loss carryforwards or tax credits are to be adjusted.</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Inventories</w:t>
      </w:r>
    </w:p>
    <w:p>
      <w:pPr>
        <w:spacing w:after="0" w:line="150"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Write-downs of inventories are measured based on the inventory days on hand and on the estimated net disposal proceeds (expected proceeds less estimated costs incurred until completion and the estimated selling expenses necessary to make the sale). Future utilizations, actual proceeds, and costs still to be incurred may deviate from anticipated amounts.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payment</w:t>
      </w:r>
    </w:p>
    <w:p>
      <w:pPr>
        <w:spacing w:after="0" w:line="150"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determination of the fair value of share-based payments considers the estimated volatility. Please refer to Note 9. a) Share-based payments for more information.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 risks and governmental proceedings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Within the course of its ordinary activities, the Group may at times be involved in legal disputes or faced with government investigations.</w:t>
      </w:r>
    </w:p>
    <w:p>
      <w:pPr>
        <w:spacing w:after="0" w:line="150"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Legal proceedings and government investigations often involve complex legal issues and are subject to substantial uncertainties. Accordingly, management exercises material judgment in determining whether there is a present obligation as a result of a past event as of the reporting date, whether a future outflow of resources is likely, and whether the amount of the obligation can be reliably estimated. Mynaric periodically reviews the status of these proceedings with both inside and outside counsel. Therefore, it is possible that the amount of the provisions for pending or imminent proceedings must be adjusted due to new future developments. Changes in estimates and assumptions may significantly impact the Group’s financial performance in the future. It is also possible that in some cases the recognized provisions may turn out to be insufficient after the end of the proceedings or the Group may be obliged to make payments in legal proceedings for which no provisions were recognized.</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Based on the assessment of the Management Board as well as legal counsel, there are no claims beyond the litigation risks reported in the provisions that may be significant with regard to the Group’s business and its financial position and performance.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F-36</w:t>
      </w:r>
    </w:p>
    <w:p>
      <w:pPr>
        <w:sectPr>
          <w:pgSz w:w="11900" w:h="16838" w:orient="portrait"/>
          <w:cols w:equalWidth="0" w:num="1">
            <w:col w:w="10159"/>
          </w:cols>
          <w:pgMar w:left="300" w:top="354" w:right="1440" w:bottom="1440" w:gutter="0" w:footer="0" w:header="0"/>
        </w:sectPr>
      </w:pPr>
    </w:p>
    <w:bookmarkStart w:id="225" w:name="page226"/>
    <w:bookmarkEnd w:id="2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59"/>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Air segment includes the Company’s HAWK AIR terminals. The Space segment includes the Company’s CONDOR terminals.</w:t>
      </w:r>
    </w:p>
    <w:p>
      <w:pPr>
        <w:spacing w:after="0" w:line="150"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information below has been restated to be consistent with the change in presentation of the Consolidated Statements of Profit or Loss and Other Comprehensive Income or Loss described in Note 3.3. c).</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Fiscal year 2020</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420" w:type="dxa"/>
            <w:vAlign w:val="bottom"/>
            <w:gridSpan w:val="2"/>
            <w:vMerge w:val="continue"/>
          </w:tcPr>
          <w:p>
            <w:pPr>
              <w:spacing w:after="0"/>
              <w:rPr>
                <w:sz w:val="10"/>
                <w:szCs w:val="10"/>
                <w:color w:val="auto"/>
              </w:rPr>
            </w:pPr>
          </w:p>
        </w:tc>
        <w:tc>
          <w:tcPr>
            <w:tcW w:w="44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Air</w:t>
            </w:r>
          </w:p>
        </w:tc>
        <w:tc>
          <w:tcPr>
            <w:tcW w:w="50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94"/>
              </w:rPr>
              <w:t>Space</w:t>
            </w:r>
          </w:p>
        </w:tc>
        <w:tc>
          <w:tcPr>
            <w:tcW w:w="56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82"/>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8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589</w:t>
            </w: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74</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220</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(2,290)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(6,221)</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(4,923)</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w w:val="92"/>
              </w:rPr>
              <w:t>(11,911)</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(16,834)</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(666)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(1,843)</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(1,320)</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(3,581)</w:t>
            </w: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9"/>
                <w:szCs w:val="9"/>
                <w:color w:val="auto"/>
              </w:rPr>
              <w:t>(443)</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(5,344)</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626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637</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2,102</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7,273</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9,375</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(6,423)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2"/>
              </w:rPr>
              <w:t>(12,391)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(19,257)</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(513)</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140"/>
        </w:trPr>
        <w:tc>
          <w:tcPr>
            <w:tcW w:w="542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Fiscal year 2019</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420" w:type="dxa"/>
            <w:vAlign w:val="bottom"/>
            <w:gridSpan w:val="2"/>
            <w:vMerge w:val="continue"/>
          </w:tcPr>
          <w:p>
            <w:pPr>
              <w:spacing w:after="0"/>
              <w:rPr>
                <w:sz w:val="10"/>
                <w:szCs w:val="10"/>
                <w:color w:val="auto"/>
              </w:rPr>
            </w:pPr>
          </w:p>
        </w:tc>
        <w:tc>
          <w:tcPr>
            <w:tcW w:w="44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Air</w:t>
            </w:r>
          </w:p>
        </w:tc>
        <w:tc>
          <w:tcPr>
            <w:tcW w:w="50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94"/>
              </w:rPr>
              <w:t>Space</w:t>
            </w:r>
          </w:p>
        </w:tc>
        <w:tc>
          <w:tcPr>
            <w:tcW w:w="56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82"/>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8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105</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147</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(1,864)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(4,585)</w:t>
            </w: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9"/>
                <w:szCs w:val="9"/>
                <w:color w:val="auto"/>
              </w:rPr>
              <w:t>(1,041)</w:t>
            </w:r>
            <w:r>
              <w:rPr>
                <w:rFonts w:ascii="Arial" w:cs="Arial" w:eastAsia="Arial" w:hAnsi="Arial"/>
                <w:sz w:val="15"/>
                <w:szCs w:val="15"/>
                <w:color w:val="auto"/>
                <w:vertAlign w:val="superscript"/>
              </w:rPr>
              <w:t>2</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(616)</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(1,556)</w:t>
            </w: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9"/>
                <w:szCs w:val="9"/>
                <w:color w:val="auto"/>
              </w:rPr>
              <w:t>(179)</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230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Own work capitalized</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2,184</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3,227</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(5,091)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(1.220)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(10,078)</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r>
        <w:trPr>
          <w:trHeight w:val="140"/>
        </w:trPr>
        <w:tc>
          <w:tcPr>
            <w:tcW w:w="542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116840</wp:posOffset>
            </wp:positionV>
            <wp:extent cx="51435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79" w:lineRule="exact"/>
        <w:rPr>
          <w:sz w:val="20"/>
          <w:szCs w:val="20"/>
          <w:color w:val="auto"/>
        </w:rPr>
      </w:pPr>
    </w:p>
    <w:p>
      <w:pPr>
        <w:ind w:left="2260" w:hanging="288"/>
        <w:spacing w:after="0"/>
        <w:tabs>
          <w:tab w:leader="none" w:pos="2260" w:val="left"/>
        </w:tabs>
        <w:numPr>
          <w:ilvl w:val="0"/>
          <w:numId w:val="160"/>
        </w:numPr>
        <w:rPr>
          <w:rFonts w:ascii="Arial" w:cs="Arial" w:eastAsia="Arial" w:hAnsi="Arial"/>
          <w:sz w:val="8"/>
          <w:szCs w:val="8"/>
          <w:color w:val="auto"/>
        </w:rPr>
      </w:pPr>
      <w:r>
        <w:rPr>
          <w:rFonts w:ascii="Arial" w:cs="Arial" w:eastAsia="Arial" w:hAnsi="Arial"/>
          <w:sz w:val="10"/>
          <w:szCs w:val="10"/>
          <w:color w:val="auto"/>
        </w:rPr>
        <w:t>Including expenses for preparation of the financial statements and for audit of the financial statements as well as Supervisory Board remuneration.</w:t>
      </w:r>
    </w:p>
    <w:p>
      <w:pPr>
        <w:ind w:left="2260" w:right="919" w:hanging="288"/>
        <w:spacing w:after="0" w:line="221" w:lineRule="auto"/>
        <w:tabs>
          <w:tab w:leader="none" w:pos="2260" w:val="left"/>
        </w:tabs>
        <w:numPr>
          <w:ilvl w:val="0"/>
          <w:numId w:val="160"/>
        </w:numPr>
        <w:rPr>
          <w:rFonts w:ascii="Arial" w:cs="Arial" w:eastAsia="Arial" w:hAnsi="Arial"/>
          <w:sz w:val="8"/>
          <w:szCs w:val="8"/>
          <w:color w:val="auto"/>
        </w:rPr>
      </w:pPr>
      <w:r>
        <w:rPr>
          <w:rFonts w:ascii="Arial" w:cs="Arial" w:eastAsia="Arial" w:hAnsi="Arial"/>
          <w:sz w:val="10"/>
          <w:szCs w:val="10"/>
          <w:color w:val="auto"/>
        </w:rPr>
        <w:t>Including expenses from a private stock option transaction between a shareholder of Mynaric AG and Mr. Altan, the Chief Executive Officer and a member of the management board of Mynaric AG, which are recognized in accordance with IFRS 2.</w:t>
      </w:r>
    </w:p>
    <w:p>
      <w:pPr>
        <w:spacing w:after="0" w:line="81"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F-37</w:t>
      </w:r>
    </w:p>
    <w:p>
      <w:pPr>
        <w:sectPr>
          <w:pgSz w:w="11900" w:h="16838" w:orient="portrait"/>
          <w:cols w:equalWidth="0" w:num="1">
            <w:col w:w="10159"/>
          </w:cols>
          <w:pgMar w:left="300" w:top="354" w:right="1440" w:bottom="1440" w:gutter="0" w:footer="0" w:header="0"/>
        </w:sectPr>
      </w:pPr>
    </w:p>
    <w:bookmarkStart w:id="226" w:name="page227"/>
    <w:bookmarkEnd w:id="2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An amount of €467 thousand (previous year: €114 thousand), corresponding to a share of 69% (previous year: 100%) of total revenue, was attributable to one customer of the Mynaric Group.</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 of the respective asset; non-current assets are allocated to the location of the respective asset.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23"/>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Air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Canada</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122</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USA</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467</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589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71"/>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United Kingdom</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288"/>
        </w:trPr>
        <w:tc>
          <w:tcPr>
            <w:tcW w:w="6440" w:type="dxa"/>
            <w:vAlign w:val="bottom"/>
            <w:gridSpan w:val="2"/>
          </w:tcPr>
          <w:p>
            <w:pPr>
              <w:spacing w:after="0"/>
              <w:rPr>
                <w:sz w:val="20"/>
                <w:szCs w:val="20"/>
                <w:color w:val="auto"/>
              </w:rPr>
            </w:pPr>
            <w:r>
              <w:rPr>
                <w:rFonts w:ascii="Arial" w:cs="Arial" w:eastAsia="Arial" w:hAnsi="Arial"/>
                <w:sz w:val="12"/>
                <w:szCs w:val="12"/>
                <w:color w:val="auto"/>
              </w:rPr>
              <w:t>Non-current assets can be broken down by country as follows: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vMerge w:val="restart"/>
          </w:tcPr>
          <w:p>
            <w:pPr>
              <w:spacing w:after="0"/>
              <w:rPr>
                <w:sz w:val="21"/>
                <w:szCs w:val="21"/>
                <w:color w:val="auto"/>
              </w:rPr>
            </w:pPr>
          </w:p>
        </w:tc>
        <w:tc>
          <w:tcPr>
            <w:tcW w:w="52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84"/>
              </w:rPr>
              <w:t>Dec. 31,</w:t>
            </w:r>
          </w:p>
        </w:tc>
        <w:tc>
          <w:tcPr>
            <w:tcW w:w="3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30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2"/>
          </w:tcPr>
          <w:p>
            <w:pPr>
              <w:jc w:val="right"/>
              <w:ind w:right="2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44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w w:val="94"/>
              </w:rPr>
              <w:t>17,884</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8,780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9,849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6,886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6,810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34,619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19,430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226</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1,056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USA,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1,282</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4"/>
              </w:rPr>
              <w:t>35,901</w:t>
            </w:r>
          </w:p>
        </w:tc>
        <w:tc>
          <w:tcPr>
            <w:tcW w:w="2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19,430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AIR and CONDOR terminals. Services mainly consist of the provision of development and training services relating to the laser terminals manufactured by Mynaric.</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5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1"/>
                <w:szCs w:val="11"/>
                <w:color w:val="auto"/>
              </w:rPr>
            </w:pPr>
          </w:p>
        </w:tc>
      </w:tr>
      <w:tr>
        <w:trPr>
          <w:trHeight w:val="113"/>
        </w:trPr>
        <w:tc>
          <w:tcPr>
            <w:tcW w:w="4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1"/>
              </w:rPr>
              <w:t>Deliveries</w:t>
            </w:r>
          </w:p>
        </w:tc>
        <w:tc>
          <w:tcPr>
            <w:tcW w:w="63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559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60" w:type="dxa"/>
            <w:vAlign w:val="bottom"/>
          </w:tcPr>
          <w:p>
            <w:pPr>
              <w:spacing w:after="0"/>
              <w:rPr>
                <w:sz w:val="20"/>
                <w:szCs w:val="20"/>
                <w:color w:val="auto"/>
              </w:rPr>
            </w:pPr>
            <w:r>
              <w:rPr>
                <w:rFonts w:ascii="Arial" w:cs="Arial" w:eastAsia="Arial" w:hAnsi="Arial"/>
                <w:sz w:val="11"/>
                <w:szCs w:val="11"/>
                <w:color w:val="auto"/>
              </w:rPr>
              <w:t>Services</w:t>
            </w:r>
          </w:p>
        </w:tc>
        <w:tc>
          <w:tcPr>
            <w:tcW w:w="6660" w:type="dxa"/>
            <w:vAlign w:val="bottom"/>
            <w:gridSpan w:val="3"/>
          </w:tcPr>
          <w:p>
            <w:pPr>
              <w:jc w:val="right"/>
              <w:ind w:right="100"/>
              <w:spacing w:after="0"/>
              <w:rPr>
                <w:sz w:val="20"/>
                <w:szCs w:val="20"/>
                <w:color w:val="auto"/>
              </w:rPr>
            </w:pPr>
            <w:r>
              <w:rPr>
                <w:rFonts w:ascii="Arial" w:cs="Arial" w:eastAsia="Arial" w:hAnsi="Arial"/>
                <w:sz w:val="11"/>
                <w:szCs w:val="11"/>
                <w:color w:val="auto"/>
              </w:rPr>
              <w:t>120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6"/>
              </w:rPr>
              <w:t>114</w:t>
            </w:r>
          </w:p>
        </w:tc>
      </w:tr>
      <w:tr>
        <w:trPr>
          <w:trHeight w:val="243"/>
        </w:trPr>
        <w:tc>
          <w:tcPr>
            <w:tcW w:w="460" w:type="dxa"/>
            <w:vAlign w:val="bottom"/>
          </w:tcPr>
          <w:p>
            <w:pPr>
              <w:spacing w:after="0"/>
              <w:rPr>
                <w:sz w:val="21"/>
                <w:szCs w:val="21"/>
                <w:color w:val="auto"/>
              </w:rPr>
            </w:pPr>
          </w:p>
        </w:tc>
        <w:tc>
          <w:tcPr>
            <w:tcW w:w="6660" w:type="dxa"/>
            <w:vAlign w:val="bottom"/>
            <w:gridSpan w:val="3"/>
          </w:tcPr>
          <w:p>
            <w:pPr>
              <w:ind w:left="3100"/>
              <w:spacing w:after="0"/>
              <w:rPr>
                <w:sz w:val="20"/>
                <w:szCs w:val="20"/>
                <w:color w:val="auto"/>
              </w:rPr>
            </w:pPr>
            <w:r>
              <w:rPr>
                <w:rFonts w:ascii="Arial" w:cs="Arial" w:eastAsia="Arial" w:hAnsi="Arial"/>
                <w:sz w:val="12"/>
                <w:szCs w:val="12"/>
                <w:color w:val="auto"/>
              </w:rPr>
              <w:t>F-38</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27" w:name="page228"/>
    <w:bookmarkEnd w:id="2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60" w:type="dxa"/>
            <w:vAlign w:val="bottom"/>
          </w:tcPr>
          <w:p>
            <w:pPr>
              <w:spacing w:after="0"/>
              <w:rPr>
                <w:sz w:val="20"/>
                <w:szCs w:val="20"/>
                <w:color w:val="auto"/>
              </w:rPr>
            </w:pPr>
            <w:r>
              <w:rPr>
                <w:rFonts w:ascii="Arial" w:cs="Arial" w:eastAsia="Arial" w:hAnsi="Arial"/>
                <w:sz w:val="12"/>
                <w:szCs w:val="12"/>
                <w:b w:val="1"/>
                <w:bCs w:val="1"/>
                <w:color w:val="auto"/>
              </w:rPr>
              <w:t>7.</w:t>
            </w:r>
          </w:p>
        </w:tc>
        <w:tc>
          <w:tcPr>
            <w:tcW w:w="6560" w:type="dxa"/>
            <w:vAlign w:val="bottom"/>
            <w:gridSpan w:val="2"/>
          </w:tcPr>
          <w:p>
            <w:pPr>
              <w:ind w:left="20"/>
              <w:spacing w:after="0"/>
              <w:rPr>
                <w:sz w:val="20"/>
                <w:szCs w:val="20"/>
                <w:color w:val="auto"/>
              </w:rPr>
            </w:pPr>
            <w:r>
              <w:rPr>
                <w:rFonts w:ascii="Arial" w:cs="Arial" w:eastAsia="Arial" w:hAnsi="Arial"/>
                <w:sz w:val="12"/>
                <w:szCs w:val="12"/>
                <w:b w:val="1"/>
                <w:bCs w:val="1"/>
                <w:color w:val="auto"/>
              </w:rPr>
              <w:t>Other operating income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82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other operating income: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82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71"/>
              </w:rPr>
              <w:t>2020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22"/>
                <w:szCs w:val="22"/>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82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Income from government grants</w:t>
            </w: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294</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140</w:t>
            </w:r>
          </w:p>
        </w:tc>
        <w:tc>
          <w:tcPr>
            <w:tcW w:w="40" w:type="dxa"/>
            <w:vAlign w:val="bottom"/>
            <w:shd w:val="clear" w:color="auto" w:fill="CCEEFF"/>
          </w:tcPr>
          <w:p>
            <w:pPr>
              <w:spacing w:after="0"/>
              <w:rPr>
                <w:sz w:val="9"/>
                <w:szCs w:val="9"/>
                <w:color w:val="auto"/>
              </w:rPr>
            </w:pPr>
          </w:p>
        </w:tc>
      </w:tr>
      <w:tr>
        <w:trPr>
          <w:trHeight w:val="135"/>
        </w:trPr>
        <w:tc>
          <w:tcPr>
            <w:tcW w:w="6820" w:type="dxa"/>
            <w:vAlign w:val="bottom"/>
            <w:gridSpan w:val="3"/>
          </w:tcPr>
          <w:p>
            <w:pPr>
              <w:spacing w:after="0"/>
              <w:rPr>
                <w:sz w:val="20"/>
                <w:szCs w:val="20"/>
                <w:color w:val="auto"/>
              </w:rPr>
            </w:pPr>
            <w:r>
              <w:rPr>
                <w:rFonts w:ascii="Arial" w:cs="Arial" w:eastAsia="Arial" w:hAnsi="Arial"/>
                <w:sz w:val="11"/>
                <w:szCs w:val="11"/>
                <w:color w:val="auto"/>
              </w:rPr>
              <w:t>Late payment penalties claimed</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76</w:t>
            </w:r>
          </w:p>
        </w:tc>
      </w:tr>
      <w:tr>
        <w:trPr>
          <w:trHeight w:val="135"/>
        </w:trPr>
        <w:tc>
          <w:tcPr>
            <w:tcW w:w="68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Miscellaneous operating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r>
      <w:tr>
        <w:trPr>
          <w:trHeight w:val="140"/>
        </w:trPr>
        <w:tc>
          <w:tcPr>
            <w:tcW w:w="260" w:type="dxa"/>
            <w:vAlign w:val="bottom"/>
          </w:tcPr>
          <w:p>
            <w:pPr>
              <w:spacing w:after="0"/>
              <w:rPr>
                <w:sz w:val="20"/>
                <w:szCs w:val="20"/>
                <w:color w:val="auto"/>
              </w:rPr>
            </w:pPr>
            <w:r>
              <w:rPr>
                <w:rFonts w:ascii="Arial" w:cs="Arial" w:eastAsia="Arial" w:hAnsi="Arial"/>
                <w:sz w:val="11"/>
                <w:szCs w:val="11"/>
                <w:b w:val="1"/>
                <w:bCs w:val="1"/>
                <w:color w:val="auto"/>
                <w:w w:val="91"/>
              </w:rPr>
              <w:t>Total</w:t>
            </w:r>
          </w:p>
        </w:tc>
        <w:tc>
          <w:tcPr>
            <w:tcW w:w="2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7"/>
              </w:rPr>
              <w:t>294</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6"/>
              </w:rPr>
              <w:t>252</w:t>
            </w:r>
          </w:p>
        </w:tc>
      </w:tr>
    </w:tbl>
    <w:p>
      <w:pPr>
        <w:spacing w:after="0" w:line="225"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8.</w:t>
            </w:r>
          </w:p>
        </w:tc>
        <w:tc>
          <w:tcPr>
            <w:tcW w:w="6420" w:type="dxa"/>
            <w:vAlign w:val="bottom"/>
            <w:gridSpan w:val="2"/>
          </w:tcPr>
          <w:p>
            <w:pPr>
              <w:ind w:left="40"/>
              <w:spacing w:after="0"/>
              <w:rPr>
                <w:sz w:val="20"/>
                <w:szCs w:val="20"/>
                <w:color w:val="auto"/>
              </w:rPr>
            </w:pPr>
            <w:r>
              <w:rPr>
                <w:rFonts w:ascii="Arial" w:cs="Arial" w:eastAsia="Arial" w:hAnsi="Arial"/>
                <w:sz w:val="12"/>
                <w:szCs w:val="12"/>
                <w:b w:val="1"/>
                <w:bCs w:val="1"/>
                <w:color w:val="auto"/>
              </w:rPr>
              <w:t>Cost of materials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6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cost of materials: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6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Raw materials and consumables used</w:t>
            </w: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4,715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1,208</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3"/>
          </w:tcPr>
          <w:p>
            <w:pPr>
              <w:spacing w:after="0"/>
              <w:rPr>
                <w:sz w:val="20"/>
                <w:szCs w:val="20"/>
                <w:color w:val="auto"/>
              </w:rPr>
            </w:pPr>
            <w:r>
              <w:rPr>
                <w:rFonts w:ascii="Arial" w:cs="Arial" w:eastAsia="Arial" w:hAnsi="Arial"/>
                <w:sz w:val="11"/>
                <w:szCs w:val="11"/>
                <w:color w:val="auto"/>
              </w:rPr>
              <w:t>Expenses for services purchased</w:t>
            </w:r>
          </w:p>
        </w:tc>
        <w:tc>
          <w:tcPr>
            <w:tcW w:w="380" w:type="dxa"/>
            <w:vAlign w:val="bottom"/>
            <w:gridSpan w:val="2"/>
          </w:tcPr>
          <w:p>
            <w:pPr>
              <w:ind w:left="40"/>
              <w:spacing w:after="0"/>
              <w:rPr>
                <w:sz w:val="20"/>
                <w:szCs w:val="20"/>
                <w:color w:val="auto"/>
              </w:rPr>
            </w:pPr>
            <w:r>
              <w:rPr>
                <w:rFonts w:ascii="Arial" w:cs="Arial" w:eastAsia="Arial" w:hAnsi="Arial"/>
                <w:sz w:val="11"/>
                <w:szCs w:val="11"/>
                <w:color w:val="auto"/>
              </w:rPr>
              <w:t>1,506</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1,582</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6,221</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2,790</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9.</w:t>
            </w:r>
          </w:p>
        </w:tc>
        <w:tc>
          <w:tcPr>
            <w:tcW w:w="6360" w:type="dxa"/>
            <w:vAlign w:val="bottom"/>
            <w:gridSpan w:val="2"/>
          </w:tcPr>
          <w:p>
            <w:pPr>
              <w:ind w:left="40"/>
              <w:spacing w:after="0"/>
              <w:rPr>
                <w:sz w:val="20"/>
                <w:szCs w:val="20"/>
                <w:color w:val="auto"/>
              </w:rPr>
            </w:pPr>
            <w:r>
              <w:rPr>
                <w:rFonts w:ascii="Arial" w:cs="Arial" w:eastAsia="Arial" w:hAnsi="Arial"/>
                <w:sz w:val="12"/>
                <w:szCs w:val="12"/>
                <w:b w:val="1"/>
                <w:bCs w:val="1"/>
                <w:color w:val="auto"/>
              </w:rPr>
              <w:t>Personnel expenses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0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personnel expenses: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0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320" w:type="dxa"/>
            <w:vAlign w:val="bottom"/>
          </w:tcPr>
          <w:p>
            <w:pPr>
              <w:jc w:val="right"/>
              <w:ind w:right="8"/>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0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Wages and salaries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9"/>
              </w:rPr>
              <w:t>14,710</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8,306</w:t>
            </w:r>
          </w:p>
        </w:tc>
        <w:tc>
          <w:tcPr>
            <w:tcW w:w="40" w:type="dxa"/>
            <w:vAlign w:val="bottom"/>
            <w:shd w:val="clear" w:color="auto" w:fill="CCEEFF"/>
          </w:tcPr>
          <w:p>
            <w:pPr>
              <w:spacing w:after="0"/>
              <w:rPr>
                <w:sz w:val="9"/>
                <w:szCs w:val="9"/>
                <w:color w:val="auto"/>
              </w:rPr>
            </w:pPr>
          </w:p>
        </w:tc>
      </w:tr>
      <w:tr>
        <w:trPr>
          <w:trHeight w:val="135"/>
        </w:trPr>
        <w:tc>
          <w:tcPr>
            <w:tcW w:w="6600" w:type="dxa"/>
            <w:vAlign w:val="bottom"/>
            <w:gridSpan w:val="3"/>
          </w:tcPr>
          <w:p>
            <w:pPr>
              <w:spacing w:after="0"/>
              <w:rPr>
                <w:sz w:val="20"/>
                <w:szCs w:val="20"/>
                <w:color w:val="auto"/>
              </w:rPr>
            </w:pPr>
            <w:r>
              <w:rPr>
                <w:rFonts w:ascii="Arial" w:cs="Arial" w:eastAsia="Arial" w:hAnsi="Arial"/>
                <w:sz w:val="11"/>
                <w:szCs w:val="11"/>
                <w:color w:val="auto"/>
              </w:rPr>
              <w:t>Social security contributions, pensions, and other employee benefits</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2,124</w:t>
            </w:r>
          </w:p>
        </w:tc>
        <w:tc>
          <w:tcPr>
            <w:tcW w:w="320" w:type="dxa"/>
            <w:vAlign w:val="bottom"/>
            <w:gridSpan w:val="2"/>
          </w:tcPr>
          <w:p>
            <w:pPr>
              <w:ind w:left="40"/>
              <w:spacing w:after="0"/>
              <w:rPr>
                <w:sz w:val="20"/>
                <w:szCs w:val="20"/>
                <w:color w:val="auto"/>
              </w:rPr>
            </w:pPr>
            <w:r>
              <w:rPr>
                <w:rFonts w:ascii="Arial" w:cs="Arial" w:eastAsia="Arial" w:hAnsi="Arial"/>
                <w:sz w:val="11"/>
                <w:szCs w:val="11"/>
                <w:color w:val="auto"/>
                <w:w w:val="94"/>
              </w:rPr>
              <w:t>1,101</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16,834</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4"/>
              </w:rPr>
              <w:t>9,407</w:t>
            </w:r>
          </w:p>
        </w:tc>
      </w:tr>
    </w:tbl>
    <w:p>
      <w:pPr>
        <w:spacing w:after="0" w:line="135"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Under defined contribution pension plans, Mynaric paid contributions to governmental pension schemes in the amount of €872 thousand (previous year: €450 thousand). Personnel expenses in the amount of €1,125 thousand (previous year: €1,146 thousand) were recorded in connection with share-based payments.</w:t>
      </w:r>
    </w:p>
    <w:p>
      <w:pPr>
        <w:spacing w:after="0" w:line="217" w:lineRule="exact"/>
        <w:rPr>
          <w:sz w:val="20"/>
          <w:szCs w:val="20"/>
          <w:color w:val="auto"/>
        </w:rPr>
      </w:pPr>
    </w:p>
    <w:p>
      <w:pPr>
        <w:ind w:left="2620" w:hanging="360"/>
        <w:spacing w:after="0"/>
        <w:tabs>
          <w:tab w:leader="none" w:pos="2620" w:val="left"/>
        </w:tabs>
        <w:numPr>
          <w:ilvl w:val="0"/>
          <w:numId w:val="162"/>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 Stock Option Plan</w:t>
      </w:r>
    </w:p>
    <w:p>
      <w:pPr>
        <w:spacing w:after="0" w:line="150"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In fiscal year 2018, Mynaric AG granted stock options (hereinafter “options”) to selected employees under the 2017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two years after the expiration of the vesting period provided that the performance targets have been achieved. The performance targets are linked to the absolute price performance of the Company shares during the vesting period. One third of the granted stock options can be exercised when the volume-weighted six-month average price of the Company shares in Xetra trading (or a comparable successor system) at the Frankfurt Stock Exchange exceeds the exercise price by 20% or more upon the expiry of the vesting period; another third can be exercised when the share price exceeds the exercise price by 30% or more, and another third when the share price exceeds the exercise price by 50% or more.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F-39</w:t>
      </w:r>
    </w:p>
    <w:p>
      <w:pPr>
        <w:sectPr>
          <w:pgSz w:w="11900" w:h="16838" w:orient="portrait"/>
          <w:cols w:equalWidth="0" w:num="1">
            <w:col w:w="10159"/>
          </w:cols>
          <w:pgMar w:left="300" w:top="354" w:right="1440" w:bottom="1440" w:gutter="0" w:footer="0" w:header="0"/>
        </w:sectPr>
      </w:pPr>
    </w:p>
    <w:bookmarkStart w:id="228" w:name="page229"/>
    <w:bookmarkEnd w:id="2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 Stock Option Plan</w:t>
      </w:r>
    </w:p>
    <w:p>
      <w:pPr>
        <w:spacing w:after="0" w:line="150"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lock-up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Granting of stock options to Mr. Altan</w:t>
      </w:r>
    </w:p>
    <w:p>
      <w:pPr>
        <w:spacing w:after="0" w:line="150" w:lineRule="exact"/>
        <w:rPr>
          <w:sz w:val="20"/>
          <w:szCs w:val="20"/>
          <w:color w:val="auto"/>
        </w:rPr>
      </w:pPr>
    </w:p>
    <w:p>
      <w:pPr>
        <w:ind w:left="1980" w:right="1019"/>
        <w:spacing w:after="0" w:line="320" w:lineRule="auto"/>
        <w:rPr>
          <w:sz w:val="20"/>
          <w:szCs w:val="20"/>
          <w:color w:val="auto"/>
        </w:rPr>
      </w:pPr>
      <w:r>
        <w:rPr>
          <w:rFonts w:ascii="Arial" w:cs="Arial" w:eastAsia="Arial" w:hAnsi="Arial"/>
          <w:sz w:val="10"/>
          <w:szCs w:val="10"/>
          <w:color w:val="auto"/>
        </w:rPr>
        <w:t>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Please refer to Note 33. a) Related party transactions for more information.</w:t>
      </w:r>
    </w:p>
    <w:p>
      <w:pPr>
        <w:spacing w:after="0" w:line="97"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1199"/>
        <w:spacing w:after="0" w:line="263" w:lineRule="auto"/>
        <w:rPr>
          <w:sz w:val="20"/>
          <w:szCs w:val="20"/>
          <w:color w:val="auto"/>
        </w:rPr>
      </w:pPr>
      <w:r>
        <w:rPr>
          <w:rFonts w:ascii="Arial" w:cs="Arial" w:eastAsia="Arial" w:hAnsi="Arial"/>
          <w:sz w:val="12"/>
          <w:szCs w:val="12"/>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F-40</w:t>
      </w:r>
    </w:p>
    <w:p>
      <w:pPr>
        <w:sectPr>
          <w:pgSz w:w="11900" w:h="16838" w:orient="portrait"/>
          <w:cols w:equalWidth="0" w:num="1">
            <w:col w:w="10159"/>
          </w:cols>
          <w:pgMar w:left="300" w:top="354" w:right="1440" w:bottom="1440" w:gutter="0" w:footer="0" w:header="0"/>
        </w:sectPr>
      </w:pPr>
    </w:p>
    <w:bookmarkStart w:id="229" w:name="page230"/>
    <w:bookmarkEnd w:id="2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fiscal year 2020:</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Tranche</w:t>
            </w:r>
          </w:p>
        </w:tc>
      </w:tr>
      <w:tr>
        <w:trPr>
          <w:trHeight w:val="99"/>
        </w:trPr>
        <w:tc>
          <w:tcPr>
            <w:tcW w:w="340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820" w:type="dxa"/>
            <w:vAlign w:val="bottom"/>
            <w:gridSpan w:val="7"/>
          </w:tcPr>
          <w:p>
            <w:pPr>
              <w:jc w:val="right"/>
              <w:ind w:right="40"/>
              <w:spacing w:after="0" w:line="99" w:lineRule="exact"/>
              <w:rPr>
                <w:sz w:val="20"/>
                <w:szCs w:val="20"/>
                <w:color w:val="auto"/>
              </w:rPr>
            </w:pPr>
            <w:r>
              <w:rPr>
                <w:rFonts w:ascii="Arial" w:cs="Arial" w:eastAsia="Arial" w:hAnsi="Arial"/>
                <w:sz w:val="10"/>
                <w:szCs w:val="10"/>
                <w:b w:val="1"/>
                <w:bCs w:val="1"/>
                <w:color w:val="auto"/>
                <w:w w:val="91"/>
              </w:rPr>
              <w:t>Tranche  Tranche</w:t>
            </w:r>
          </w:p>
        </w:tc>
        <w:tc>
          <w:tcPr>
            <w:tcW w:w="60" w:type="dxa"/>
            <w:vAlign w:val="bottom"/>
          </w:tcPr>
          <w:p>
            <w:pPr>
              <w:spacing w:after="0"/>
              <w:rPr>
                <w:sz w:val="8"/>
                <w:szCs w:val="8"/>
                <w:color w:val="auto"/>
              </w:rPr>
            </w:pPr>
          </w:p>
        </w:tc>
        <w:tc>
          <w:tcPr>
            <w:tcW w:w="360" w:type="dxa"/>
            <w:vAlign w:val="bottom"/>
            <w:gridSpan w:val="5"/>
          </w:tcPr>
          <w:p>
            <w:pPr>
              <w:jc w:val="right"/>
              <w:ind w:right="20"/>
              <w:spacing w:after="0" w:line="99" w:lineRule="exact"/>
              <w:rPr>
                <w:sz w:val="20"/>
                <w:szCs w:val="20"/>
                <w:color w:val="auto"/>
              </w:rPr>
            </w:pPr>
            <w:r>
              <w:rPr>
                <w:rFonts w:ascii="Arial" w:cs="Arial" w:eastAsia="Arial" w:hAnsi="Arial"/>
                <w:sz w:val="10"/>
                <w:szCs w:val="10"/>
                <w:b w:val="1"/>
                <w:bCs w:val="1"/>
                <w:color w:val="auto"/>
                <w:w w:val="82"/>
              </w:rPr>
              <w:t>Tranche</w:t>
            </w:r>
          </w:p>
        </w:tc>
        <w:tc>
          <w:tcPr>
            <w:tcW w:w="80" w:type="dxa"/>
            <w:vAlign w:val="bottom"/>
          </w:tcPr>
          <w:p>
            <w:pPr>
              <w:spacing w:after="0"/>
              <w:rPr>
                <w:sz w:val="8"/>
                <w:szCs w:val="8"/>
                <w:color w:val="auto"/>
              </w:rPr>
            </w:pPr>
          </w:p>
        </w:tc>
        <w:tc>
          <w:tcPr>
            <w:tcW w:w="38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2"/>
              </w:rPr>
              <w:t>Tranche</w:t>
            </w:r>
          </w:p>
        </w:tc>
        <w:tc>
          <w:tcPr>
            <w:tcW w:w="60" w:type="dxa"/>
            <w:vAlign w:val="bottom"/>
          </w:tcPr>
          <w:p>
            <w:pPr>
              <w:spacing w:after="0"/>
              <w:rPr>
                <w:sz w:val="8"/>
                <w:szCs w:val="8"/>
                <w:color w:val="auto"/>
              </w:rPr>
            </w:pPr>
          </w:p>
        </w:tc>
        <w:tc>
          <w:tcPr>
            <w:tcW w:w="38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rPr>
              <w:t>Mr.</w:t>
            </w:r>
          </w:p>
        </w:tc>
      </w:tr>
      <w:tr>
        <w:trPr>
          <w:trHeight w:val="113"/>
        </w:trPr>
        <w:tc>
          <w:tcPr>
            <w:tcW w:w="340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9"/>
                <w:szCs w:val="9"/>
                <w:color w:val="auto"/>
              </w:rPr>
            </w:pPr>
          </w:p>
        </w:tc>
        <w:tc>
          <w:tcPr>
            <w:tcW w:w="4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3"/>
              </w:rPr>
              <w:t>2019 I</w:t>
            </w:r>
          </w:p>
        </w:tc>
        <w:tc>
          <w:tcPr>
            <w:tcW w:w="4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5"/>
              </w:rPr>
              <w:t>2019 III</w:t>
            </w:r>
          </w:p>
        </w:tc>
        <w:tc>
          <w:tcPr>
            <w:tcW w:w="480" w:type="dxa"/>
            <w:vAlign w:val="bottom"/>
            <w:gridSpan w:val="4"/>
          </w:tcPr>
          <w:p>
            <w:pPr>
              <w:jc w:val="right"/>
              <w:ind w:right="140"/>
              <w:spacing w:after="0" w:line="114" w:lineRule="exact"/>
              <w:rPr>
                <w:sz w:val="20"/>
                <w:szCs w:val="20"/>
                <w:color w:val="auto"/>
              </w:rPr>
            </w:pPr>
            <w:r>
              <w:rPr>
                <w:rFonts w:ascii="Arial" w:cs="Arial" w:eastAsia="Arial" w:hAnsi="Arial"/>
                <w:sz w:val="10"/>
                <w:szCs w:val="10"/>
                <w:b w:val="1"/>
                <w:bCs w:val="1"/>
                <w:color w:val="auto"/>
                <w:w w:val="92"/>
              </w:rPr>
              <w:t>2019 IV</w:t>
            </w:r>
          </w:p>
        </w:tc>
        <w:tc>
          <w:tcPr>
            <w:tcW w:w="34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2019 V</w:t>
            </w:r>
          </w:p>
        </w:tc>
        <w:tc>
          <w:tcPr>
            <w:tcW w:w="60" w:type="dxa"/>
            <w:vAlign w:val="bottom"/>
          </w:tcPr>
          <w:p>
            <w:pPr>
              <w:spacing w:after="0"/>
              <w:rPr>
                <w:sz w:val="9"/>
                <w:szCs w:val="9"/>
                <w:color w:val="auto"/>
              </w:rPr>
            </w:pPr>
          </w:p>
        </w:tc>
        <w:tc>
          <w:tcPr>
            <w:tcW w:w="360" w:type="dxa"/>
            <w:vAlign w:val="bottom"/>
            <w:gridSpan w:val="5"/>
          </w:tcPr>
          <w:p>
            <w:pPr>
              <w:jc w:val="right"/>
              <w:ind w:right="20"/>
              <w:spacing w:after="0" w:line="114" w:lineRule="exact"/>
              <w:rPr>
                <w:sz w:val="20"/>
                <w:szCs w:val="20"/>
                <w:color w:val="auto"/>
              </w:rPr>
            </w:pPr>
            <w:r>
              <w:rPr>
                <w:rFonts w:ascii="Arial" w:cs="Arial" w:eastAsia="Arial" w:hAnsi="Arial"/>
                <w:sz w:val="10"/>
                <w:szCs w:val="10"/>
                <w:b w:val="1"/>
                <w:bCs w:val="1"/>
                <w:color w:val="auto"/>
                <w:w w:val="92"/>
              </w:rPr>
              <w:t>2019 VI</w:t>
            </w:r>
          </w:p>
        </w:tc>
        <w:tc>
          <w:tcPr>
            <w:tcW w:w="80" w:type="dxa"/>
            <w:vAlign w:val="bottom"/>
          </w:tcPr>
          <w:p>
            <w:pPr>
              <w:spacing w:after="0"/>
              <w:rPr>
                <w:sz w:val="9"/>
                <w:szCs w:val="9"/>
                <w:color w:val="auto"/>
              </w:rPr>
            </w:pPr>
          </w:p>
        </w:tc>
        <w:tc>
          <w:tcPr>
            <w:tcW w:w="380" w:type="dxa"/>
            <w:vAlign w:val="bottom"/>
            <w:gridSpan w:val="3"/>
          </w:tcPr>
          <w:p>
            <w:pPr>
              <w:ind w:left="60"/>
              <w:spacing w:after="0" w:line="114" w:lineRule="exact"/>
              <w:rPr>
                <w:sz w:val="20"/>
                <w:szCs w:val="20"/>
                <w:color w:val="auto"/>
              </w:rPr>
            </w:pPr>
            <w:r>
              <w:rPr>
                <w:rFonts w:ascii="Arial" w:cs="Arial" w:eastAsia="Arial" w:hAnsi="Arial"/>
                <w:sz w:val="10"/>
                <w:szCs w:val="10"/>
                <w:b w:val="1"/>
                <w:bCs w:val="1"/>
                <w:color w:val="auto"/>
              </w:rPr>
              <w:t>2020 I</w:t>
            </w:r>
          </w:p>
        </w:tc>
        <w:tc>
          <w:tcPr>
            <w:tcW w:w="60" w:type="dxa"/>
            <w:vAlign w:val="bottom"/>
          </w:tcPr>
          <w:p>
            <w:pPr>
              <w:spacing w:after="0"/>
              <w:rPr>
                <w:sz w:val="9"/>
                <w:szCs w:val="9"/>
                <w:color w:val="auto"/>
              </w:rPr>
            </w:pPr>
          </w:p>
        </w:tc>
        <w:tc>
          <w:tcPr>
            <w:tcW w:w="38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auto"/>
                <w:w w:val="95"/>
              </w:rPr>
              <w:t>Altan</w:t>
            </w:r>
          </w:p>
        </w:tc>
      </w:tr>
      <w:tr>
        <w:trPr>
          <w:trHeight w:val="110"/>
        </w:trPr>
        <w:tc>
          <w:tcPr>
            <w:tcW w:w="34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1"/>
                <w:szCs w:val="11"/>
                <w:color w:val="auto"/>
              </w:rPr>
              <w:t>Options outstanding at the beginning of the 2020 reporting period</w:t>
            </w: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0"/>
        </w:trPr>
        <w:tc>
          <w:tcPr>
            <w:tcW w:w="3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(Jan. 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85"/>
              </w:rPr>
              <w:t>107,400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granted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19,850</w:t>
            </w:r>
          </w:p>
        </w:tc>
        <w:tc>
          <w:tcPr>
            <w:tcW w:w="440" w:type="dxa"/>
            <w:vAlign w:val="bottom"/>
            <w:gridSpan w:val="3"/>
          </w:tcPr>
          <w:p>
            <w:pPr>
              <w:jc w:val="right"/>
              <w:ind w:right="100"/>
              <w:spacing w:after="0"/>
              <w:rPr>
                <w:sz w:val="20"/>
                <w:szCs w:val="20"/>
                <w:color w:val="auto"/>
              </w:rPr>
            </w:pPr>
            <w:r>
              <w:rPr>
                <w:rFonts w:ascii="Arial" w:cs="Arial" w:eastAsia="Arial" w:hAnsi="Arial"/>
                <w:sz w:val="11"/>
                <w:szCs w:val="11"/>
                <w:color w:val="auto"/>
                <w:w w:val="94"/>
              </w:rPr>
              <w:t>53,000</w:t>
            </w:r>
          </w:p>
        </w:tc>
        <w:tc>
          <w:tcPr>
            <w:tcW w:w="40" w:type="dxa"/>
            <w:vAlign w:val="bottom"/>
          </w:tcPr>
          <w:p>
            <w:pPr>
              <w:spacing w:after="0"/>
              <w:rPr>
                <w:sz w:val="11"/>
                <w:szCs w:val="11"/>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1"/>
                <w:szCs w:val="11"/>
                <w:color w:val="auto"/>
                <w:w w:val="83"/>
              </w:rPr>
              <w:t>26,600</w:t>
            </w:r>
          </w:p>
        </w:tc>
        <w:tc>
          <w:tcPr>
            <w:tcW w:w="420" w:type="dxa"/>
            <w:vAlign w:val="bottom"/>
            <w:gridSpan w:val="6"/>
          </w:tcPr>
          <w:p>
            <w:pPr>
              <w:jc w:val="right"/>
              <w:ind w:right="20"/>
              <w:spacing w:after="0"/>
              <w:rPr>
                <w:sz w:val="20"/>
                <w:szCs w:val="20"/>
                <w:color w:val="auto"/>
              </w:rPr>
            </w:pPr>
            <w:r>
              <w:rPr>
                <w:rFonts w:ascii="Arial" w:cs="Arial" w:eastAsia="Arial" w:hAnsi="Arial"/>
                <w:sz w:val="11"/>
                <w:szCs w:val="11"/>
                <w:color w:val="auto"/>
              </w:rPr>
              <w:t>13,500</w:t>
            </w:r>
          </w:p>
        </w:tc>
        <w:tc>
          <w:tcPr>
            <w:tcW w:w="460" w:type="dxa"/>
            <w:vAlign w:val="bottom"/>
            <w:gridSpan w:val="4"/>
          </w:tcPr>
          <w:p>
            <w:pPr>
              <w:ind w:left="140"/>
              <w:spacing w:after="0"/>
              <w:rPr>
                <w:sz w:val="20"/>
                <w:szCs w:val="20"/>
                <w:color w:val="auto"/>
              </w:rPr>
            </w:pPr>
            <w:r>
              <w:rPr>
                <w:rFonts w:ascii="Arial" w:cs="Arial" w:eastAsia="Arial" w:hAnsi="Arial"/>
                <w:sz w:val="11"/>
                <w:szCs w:val="11"/>
                <w:color w:val="auto"/>
                <w:w w:val="89"/>
              </w:rPr>
              <w:t>14,000</w:t>
            </w:r>
          </w:p>
        </w:tc>
        <w:tc>
          <w:tcPr>
            <w:tcW w:w="60" w:type="dxa"/>
            <w:vAlign w:val="bottom"/>
          </w:tcPr>
          <w:p>
            <w:pPr>
              <w:spacing w:after="0"/>
              <w:rPr>
                <w:sz w:val="11"/>
                <w:szCs w:val="11"/>
                <w:color w:val="auto"/>
              </w:rPr>
            </w:pPr>
          </w:p>
        </w:tc>
        <w:tc>
          <w:tcPr>
            <w:tcW w:w="380" w:type="dxa"/>
            <w:vAlign w:val="bottom"/>
            <w:gridSpan w:val="2"/>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5,300</w:t>
            </w:r>
          </w:p>
        </w:tc>
        <w:tc>
          <w:tcPr>
            <w:tcW w:w="1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exercised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gridSpan w:val="3"/>
          </w:tcPr>
          <w:p>
            <w:pPr>
              <w:ind w:lef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80" w:type="dxa"/>
            <w:vAlign w:val="bottom"/>
            <w:gridSpan w:val="3"/>
          </w:tcPr>
          <w:p>
            <w:pPr>
              <w:ind w:lef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80" w:type="dxa"/>
            <w:vAlign w:val="bottom"/>
            <w:gridSpan w:val="2"/>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w w:val="92"/>
              </w:rPr>
              <w:t>Options outstanding at the end of the 2020 reporting period (Dec. 31, 2020)</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center"/>
              <w:ind w:right="60"/>
              <w:spacing w:after="0"/>
              <w:rPr>
                <w:sz w:val="20"/>
                <w:szCs w:val="20"/>
                <w:color w:val="auto"/>
              </w:rPr>
            </w:pPr>
            <w:r>
              <w:rPr>
                <w:rFonts w:ascii="Arial" w:cs="Arial" w:eastAsia="Arial" w:hAnsi="Arial"/>
                <w:sz w:val="11"/>
                <w:szCs w:val="11"/>
                <w:color w:val="auto"/>
                <w:w w:val="85"/>
              </w:rPr>
              <w:t>107,100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14,550</w:t>
            </w:r>
          </w:p>
        </w:tc>
        <w:tc>
          <w:tcPr>
            <w:tcW w:w="440" w:type="dxa"/>
            <w:vAlign w:val="bottom"/>
            <w:gridSpan w:val="3"/>
          </w:tcPr>
          <w:p>
            <w:pPr>
              <w:jc w:val="right"/>
              <w:ind w:right="100"/>
              <w:spacing w:after="0"/>
              <w:rPr>
                <w:sz w:val="20"/>
                <w:szCs w:val="20"/>
                <w:color w:val="auto"/>
              </w:rPr>
            </w:pPr>
            <w:r>
              <w:rPr>
                <w:rFonts w:ascii="Arial" w:cs="Arial" w:eastAsia="Arial" w:hAnsi="Arial"/>
                <w:sz w:val="11"/>
                <w:szCs w:val="11"/>
                <w:color w:val="auto"/>
                <w:w w:val="94"/>
              </w:rPr>
              <w:t>53,000</w:t>
            </w:r>
          </w:p>
        </w:tc>
        <w:tc>
          <w:tcPr>
            <w:tcW w:w="40" w:type="dxa"/>
            <w:vAlign w:val="bottom"/>
          </w:tcPr>
          <w:p>
            <w:pPr>
              <w:spacing w:after="0"/>
              <w:rPr>
                <w:sz w:val="11"/>
                <w:szCs w:val="11"/>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1"/>
                <w:szCs w:val="11"/>
                <w:color w:val="auto"/>
                <w:w w:val="83"/>
              </w:rPr>
              <w:t>26,600</w:t>
            </w:r>
          </w:p>
        </w:tc>
        <w:tc>
          <w:tcPr>
            <w:tcW w:w="420" w:type="dxa"/>
            <w:vAlign w:val="bottom"/>
            <w:gridSpan w:val="6"/>
          </w:tcPr>
          <w:p>
            <w:pPr>
              <w:jc w:val="right"/>
              <w:ind w:right="20"/>
              <w:spacing w:after="0"/>
              <w:rPr>
                <w:sz w:val="20"/>
                <w:szCs w:val="20"/>
                <w:color w:val="auto"/>
              </w:rPr>
            </w:pPr>
            <w:r>
              <w:rPr>
                <w:rFonts w:ascii="Arial" w:cs="Arial" w:eastAsia="Arial" w:hAnsi="Arial"/>
                <w:sz w:val="11"/>
                <w:szCs w:val="11"/>
                <w:color w:val="auto"/>
              </w:rPr>
              <w:t>13,500</w:t>
            </w:r>
          </w:p>
        </w:tc>
        <w:tc>
          <w:tcPr>
            <w:tcW w:w="460" w:type="dxa"/>
            <w:vAlign w:val="bottom"/>
            <w:gridSpan w:val="4"/>
          </w:tcPr>
          <w:p>
            <w:pPr>
              <w:ind w:left="140"/>
              <w:spacing w:after="0"/>
              <w:rPr>
                <w:sz w:val="20"/>
                <w:szCs w:val="20"/>
                <w:color w:val="auto"/>
              </w:rPr>
            </w:pPr>
            <w:r>
              <w:rPr>
                <w:rFonts w:ascii="Arial" w:cs="Arial" w:eastAsia="Arial" w:hAnsi="Arial"/>
                <w:sz w:val="11"/>
                <w:szCs w:val="11"/>
                <w:color w:val="auto"/>
                <w:w w:val="89"/>
              </w:rPr>
              <w:t>14,000</w:t>
            </w:r>
          </w:p>
        </w:tc>
        <w:tc>
          <w:tcPr>
            <w:tcW w:w="440" w:type="dxa"/>
            <w:vAlign w:val="bottom"/>
            <w:gridSpan w:val="3"/>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w w:val="92"/>
              </w:rPr>
              <w:t>Options exercisable at the end of the 2020 reporting period (Dec. 31,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56,700</w:t>
            </w:r>
          </w:p>
        </w:tc>
      </w:tr>
      <w:tr>
        <w:trPr>
          <w:trHeight w:val="288"/>
        </w:trPr>
        <w:tc>
          <w:tcPr>
            <w:tcW w:w="3400" w:type="dxa"/>
            <w:vAlign w:val="bottom"/>
          </w:tcPr>
          <w:p>
            <w:pPr>
              <w:spacing w:after="0"/>
              <w:rPr>
                <w:sz w:val="20"/>
                <w:szCs w:val="20"/>
                <w:color w:val="auto"/>
              </w:rPr>
            </w:pPr>
            <w:r>
              <w:rPr>
                <w:rFonts w:ascii="Arial" w:cs="Arial" w:eastAsia="Arial" w:hAnsi="Arial"/>
                <w:sz w:val="12"/>
                <w:szCs w:val="12"/>
                <w:color w:val="auto"/>
              </w:rPr>
              <w:t>The options changed as follows in the previous year:</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7"/>
        </w:trPr>
        <w:tc>
          <w:tcPr>
            <w:tcW w:w="3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82"/>
              </w:rPr>
              <w:t>Tranche</w:t>
            </w:r>
          </w:p>
        </w:tc>
        <w:tc>
          <w:tcPr>
            <w:tcW w:w="160" w:type="dxa"/>
            <w:vAlign w:val="bottom"/>
          </w:tcPr>
          <w:p>
            <w:pPr>
              <w:spacing w:after="0"/>
              <w:rPr>
                <w:sz w:val="21"/>
                <w:szCs w:val="21"/>
                <w:color w:val="auto"/>
              </w:rPr>
            </w:pPr>
          </w:p>
        </w:tc>
        <w:tc>
          <w:tcPr>
            <w:tcW w:w="400" w:type="dxa"/>
            <w:vAlign w:val="bottom"/>
            <w:gridSpan w:val="5"/>
          </w:tcPr>
          <w:p>
            <w:pPr>
              <w:jc w:val="right"/>
              <w:ind w:right="40"/>
              <w:spacing w:after="0"/>
              <w:rPr>
                <w:sz w:val="20"/>
                <w:szCs w:val="20"/>
                <w:color w:val="auto"/>
              </w:rPr>
            </w:pPr>
            <w:r>
              <w:rPr>
                <w:rFonts w:ascii="Arial" w:cs="Arial" w:eastAsia="Arial" w:hAnsi="Arial"/>
                <w:sz w:val="10"/>
                <w:szCs w:val="10"/>
                <w:b w:val="1"/>
                <w:bCs w:val="1"/>
                <w:color w:val="auto"/>
                <w:w w:val="87"/>
              </w:rPr>
              <w:t>Tranche</w:t>
            </w:r>
          </w:p>
        </w:tc>
        <w:tc>
          <w:tcPr>
            <w:tcW w:w="160" w:type="dxa"/>
            <w:vAlign w:val="bottom"/>
          </w:tcPr>
          <w:p>
            <w:pPr>
              <w:spacing w:after="0"/>
              <w:rPr>
                <w:sz w:val="21"/>
                <w:szCs w:val="21"/>
                <w:color w:val="auto"/>
              </w:rPr>
            </w:pPr>
          </w:p>
        </w:tc>
        <w:tc>
          <w:tcPr>
            <w:tcW w:w="500" w:type="dxa"/>
            <w:vAlign w:val="bottom"/>
            <w:gridSpan w:val="6"/>
          </w:tcPr>
          <w:p>
            <w:pPr>
              <w:jc w:val="right"/>
              <w:ind w:right="160"/>
              <w:spacing w:after="0"/>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3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3"/>
          </w:tcPr>
          <w:p>
            <w:pPr>
              <w:jc w:val="right"/>
              <w:ind w:right="40"/>
              <w:spacing w:after="0" w:line="114" w:lineRule="exact"/>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gridSpan w:val="5"/>
          </w:tcPr>
          <w:p>
            <w:pPr>
              <w:jc w:val="right"/>
              <w:ind w:right="80"/>
              <w:spacing w:after="0" w:line="114" w:lineRule="exact"/>
              <w:rPr>
                <w:sz w:val="20"/>
                <w:szCs w:val="20"/>
                <w:color w:val="auto"/>
              </w:rPr>
            </w:pPr>
            <w:r>
              <w:rPr>
                <w:rFonts w:ascii="Arial" w:cs="Arial" w:eastAsia="Arial" w:hAnsi="Arial"/>
                <w:sz w:val="10"/>
                <w:szCs w:val="10"/>
                <w:b w:val="1"/>
                <w:bCs w:val="1"/>
                <w:color w:val="auto"/>
              </w:rPr>
              <w:t>2019 I</w:t>
            </w:r>
          </w:p>
        </w:tc>
        <w:tc>
          <w:tcPr>
            <w:tcW w:w="160" w:type="dxa"/>
            <w:vAlign w:val="bottom"/>
          </w:tcPr>
          <w:p>
            <w:pPr>
              <w:spacing w:after="0"/>
              <w:rPr>
                <w:sz w:val="9"/>
                <w:szCs w:val="9"/>
                <w:color w:val="auto"/>
              </w:rPr>
            </w:pPr>
          </w:p>
        </w:tc>
        <w:tc>
          <w:tcPr>
            <w:tcW w:w="500" w:type="dxa"/>
            <w:vAlign w:val="bottom"/>
            <w:gridSpan w:val="6"/>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3"/>
          </w:tcPr>
          <w:p>
            <w:pPr>
              <w:jc w:val="right"/>
              <w:ind w:right="4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3840" w:type="dxa"/>
            <w:vAlign w:val="bottom"/>
            <w:tcBorders>
              <w:top w:val="single" w:sz="8" w:color="CCEEFF"/>
            </w:tcBorders>
            <w:gridSpan w:val="3"/>
            <w:shd w:val="clear" w:color="auto" w:fill="CCEEFF"/>
          </w:tcPr>
          <w:p>
            <w:pPr>
              <w:spacing w:after="0" w:line="116" w:lineRule="exact"/>
              <w:rPr>
                <w:sz w:val="20"/>
                <w:szCs w:val="20"/>
                <w:color w:val="auto"/>
              </w:rPr>
            </w:pPr>
            <w:r>
              <w:rPr>
                <w:rFonts w:ascii="Arial" w:cs="Arial" w:eastAsia="Arial" w:hAnsi="Arial"/>
                <w:sz w:val="11"/>
                <w:szCs w:val="11"/>
                <w:color w:val="auto"/>
                <w:w w:val="98"/>
              </w:rPr>
              <w:t>Options outstanding at the beginning of the 2019 reporting period (Jan. 1, 2019)</w:t>
            </w:r>
          </w:p>
        </w:tc>
        <w:tc>
          <w:tcPr>
            <w:tcW w:w="3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1"/>
                <w:szCs w:val="11"/>
                <w:color w:val="auto"/>
              </w:rPr>
              <w:t>20,000</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gridSpan w:val="2"/>
            <w:shd w:val="clear" w:color="auto" w:fill="CCEEFF"/>
          </w:tcPr>
          <w:p>
            <w:pPr>
              <w:jc w:val="right"/>
              <w:ind w:right="12"/>
              <w:spacing w:after="0" w:line="124"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ind w:left="60"/>
              <w:spacing w:after="0" w:line="124"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180"/>
              <w:spacing w:after="0" w:line="124" w:lineRule="exact"/>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granted during the 2019 reporting period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6"/>
          </w:tcPr>
          <w:p>
            <w:pPr>
              <w:jc w:val="right"/>
              <w:ind w:right="20"/>
              <w:spacing w:after="0"/>
              <w:rPr>
                <w:sz w:val="20"/>
                <w:szCs w:val="20"/>
                <w:color w:val="auto"/>
              </w:rPr>
            </w:pPr>
            <w:r>
              <w:rPr>
                <w:rFonts w:ascii="Arial" w:cs="Arial" w:eastAsia="Arial" w:hAnsi="Arial"/>
                <w:sz w:val="11"/>
                <w:szCs w:val="11"/>
                <w:color w:val="auto"/>
              </w:rPr>
              <w:t>109,800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1"/>
                <w:szCs w:val="11"/>
                <w:color w:val="auto"/>
                <w:w w:val="83"/>
              </w:rPr>
              <w:t>20,000</w:t>
            </w:r>
          </w:p>
        </w:tc>
        <w:tc>
          <w:tcPr>
            <w:tcW w:w="40" w:type="dxa"/>
            <w:vAlign w:val="bottom"/>
          </w:tcPr>
          <w:p>
            <w:pPr>
              <w:spacing w:after="0"/>
              <w:rPr>
                <w:sz w:val="11"/>
                <w:szCs w:val="11"/>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2019 reporting period</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17,800</w:t>
            </w:r>
          </w:p>
        </w:tc>
        <w:tc>
          <w:tcPr>
            <w:tcW w:w="560" w:type="dxa"/>
            <w:vAlign w:val="bottom"/>
            <w:gridSpan w:val="6"/>
            <w:shd w:val="clear" w:color="auto" w:fill="CCEEFF"/>
          </w:tcPr>
          <w:p>
            <w:pPr>
              <w:jc w:val="right"/>
              <w:ind w:right="20"/>
              <w:spacing w:after="0"/>
              <w:rPr>
                <w:sz w:val="20"/>
                <w:szCs w:val="20"/>
                <w:color w:val="auto"/>
              </w:rPr>
            </w:pPr>
            <w:r>
              <w:rPr>
                <w:rFonts w:ascii="Arial" w:cs="Arial" w:eastAsia="Arial" w:hAnsi="Arial"/>
                <w:sz w:val="11"/>
                <w:szCs w:val="11"/>
                <w:color w:val="auto"/>
              </w:rPr>
              <w:t>2,400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exercised during the 2019 reporting period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tcPr>
          <w:p>
            <w:pPr>
              <w:ind w:lef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80" w:type="dxa"/>
            <w:vAlign w:val="bottom"/>
            <w:gridSpan w:val="2"/>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2019 reporting period</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w w:val="92"/>
              </w:rPr>
              <w:t>Options outstanding at the end of the 2019 reporting period (Dec. 31, 2019)</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2,200</w:t>
            </w:r>
          </w:p>
        </w:tc>
        <w:tc>
          <w:tcPr>
            <w:tcW w:w="560" w:type="dxa"/>
            <w:vAlign w:val="bottom"/>
            <w:gridSpan w:val="6"/>
          </w:tcPr>
          <w:p>
            <w:pPr>
              <w:jc w:val="right"/>
              <w:ind w:right="20"/>
              <w:spacing w:after="0"/>
              <w:rPr>
                <w:sz w:val="20"/>
                <w:szCs w:val="20"/>
                <w:color w:val="auto"/>
              </w:rPr>
            </w:pPr>
            <w:r>
              <w:rPr>
                <w:rFonts w:ascii="Arial" w:cs="Arial" w:eastAsia="Arial" w:hAnsi="Arial"/>
                <w:sz w:val="11"/>
                <w:szCs w:val="11"/>
                <w:color w:val="auto"/>
              </w:rPr>
              <w:t>107,400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1"/>
                <w:szCs w:val="11"/>
                <w:color w:val="auto"/>
                <w:w w:val="83"/>
              </w:rPr>
              <w:t>20,000</w:t>
            </w:r>
          </w:p>
        </w:tc>
        <w:tc>
          <w:tcPr>
            <w:tcW w:w="40" w:type="dxa"/>
            <w:vAlign w:val="bottom"/>
          </w:tcPr>
          <w:p>
            <w:pPr>
              <w:spacing w:after="0"/>
              <w:rPr>
                <w:sz w:val="11"/>
                <w:szCs w:val="11"/>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w w:val="92"/>
              </w:rPr>
              <w:t>Options exercisable at the end of the 2019 reporting period (Dec. 31, 2019)</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r>
    </w:tbl>
    <w:p>
      <w:pPr>
        <w:spacing w:after="0" w:line="135"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No options were exercised in fiscal year 2020. The table below shows the contractual terms of the respective tranches outstanding as of December 31,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Measurement model and inputs</w:t>
      </w:r>
    </w:p>
    <w:p>
      <w:pPr>
        <w:spacing w:after="0" w:line="15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measurement of the existing stock option plans was based on the Monte Carlo Simulation model or the Binomial model, considering the terms and conditions for the options. The table below shows the inputs used for the model as of December 31, 2020.</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258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2019 I</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7"/>
              </w:rPr>
              <w:t>2019 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5"/>
              </w:rPr>
              <w:t>2019 III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IV</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4"/>
              </w:rPr>
              <w:t>2019 V</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VI</w:t>
            </w: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2020 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25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46.50</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47.25</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66.49</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Term in years</w:t>
            </w:r>
          </w:p>
        </w:tc>
        <w:tc>
          <w:tcPr>
            <w:tcW w:w="340" w:type="dxa"/>
            <w:vAlign w:val="bottom"/>
          </w:tcPr>
          <w:p>
            <w:pPr>
              <w:jc w:val="right"/>
              <w:spacing w:after="0"/>
              <w:rPr>
                <w:sz w:val="20"/>
                <w:szCs w:val="20"/>
                <w:color w:val="auto"/>
              </w:rPr>
            </w:pPr>
            <w:r>
              <w:rPr>
                <w:rFonts w:ascii="Arial" w:cs="Arial" w:eastAsia="Arial" w:hAnsi="Arial"/>
                <w:sz w:val="11"/>
                <w:szCs w:val="11"/>
                <w:color w:val="auto"/>
              </w:rPr>
              <w:t>6</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6.25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6.50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7.00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0.35</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340" w:type="dxa"/>
            <w:vAlign w:val="bottom"/>
          </w:tcPr>
          <w:p>
            <w:pPr>
              <w:jc w:val="right"/>
              <w:spacing w:after="0"/>
              <w:rPr>
                <w:sz w:val="20"/>
                <w:szCs w:val="20"/>
                <w:color w:val="auto"/>
              </w:rPr>
            </w:pPr>
            <w:r>
              <w:rPr>
                <w:rFonts w:ascii="Arial" w:cs="Arial" w:eastAsia="Arial" w:hAnsi="Arial"/>
                <w:sz w:val="11"/>
                <w:szCs w:val="11"/>
                <w:color w:val="auto"/>
              </w:rPr>
              <w:t>52.20</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38.50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35.20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51.00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73.20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340" w:type="dxa"/>
            <w:vAlign w:val="bottom"/>
          </w:tcPr>
          <w:p>
            <w:pPr>
              <w:jc w:val="right"/>
              <w:spacing w:after="0"/>
              <w:rPr>
                <w:sz w:val="20"/>
                <w:szCs w:val="20"/>
                <w:color w:val="auto"/>
              </w:rPr>
            </w:pPr>
            <w:r>
              <w:rPr>
                <w:rFonts w:ascii="Arial" w:cs="Arial" w:eastAsia="Arial" w:hAnsi="Arial"/>
                <w:sz w:val="11"/>
                <w:szCs w:val="11"/>
                <w:color w:val="auto"/>
              </w:rPr>
              <w:t>46.41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45.91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45.66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48.32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48.45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36.63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0.04</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(0.74)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(0.39)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2580" w:type="dxa"/>
            <w:vAlign w:val="bottom"/>
          </w:tcPr>
          <w:p>
            <w:pPr>
              <w:spacing w:after="0"/>
              <w:rPr>
                <w:sz w:val="20"/>
                <w:szCs w:val="20"/>
                <w:color w:val="auto"/>
              </w:rPr>
            </w:pPr>
            <w:r>
              <w:rPr>
                <w:rFonts w:ascii="Arial" w:cs="Arial" w:eastAsia="Arial" w:hAnsi="Arial"/>
                <w:sz w:val="11"/>
                <w:szCs w:val="11"/>
                <w:color w:val="auto"/>
              </w:rPr>
              <w:t>Option value (in €)</w:t>
            </w:r>
          </w:p>
        </w:tc>
        <w:tc>
          <w:tcPr>
            <w:tcW w:w="340" w:type="dxa"/>
            <w:vAlign w:val="bottom"/>
          </w:tcPr>
          <w:p>
            <w:pPr>
              <w:jc w:val="right"/>
              <w:spacing w:after="0"/>
              <w:rPr>
                <w:sz w:val="20"/>
                <w:szCs w:val="20"/>
                <w:color w:val="auto"/>
              </w:rPr>
            </w:pPr>
            <w:r>
              <w:rPr>
                <w:rFonts w:ascii="Arial" w:cs="Arial" w:eastAsia="Arial" w:hAnsi="Arial"/>
                <w:sz w:val="11"/>
                <w:szCs w:val="11"/>
                <w:color w:val="auto"/>
              </w:rPr>
              <w:t>15.71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11.53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12.42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9.43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19.55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23.25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F-41</w:t>
      </w:r>
    </w:p>
    <w:p>
      <w:pPr>
        <w:sectPr>
          <w:pgSz w:w="11900" w:h="16838" w:orient="portrait"/>
          <w:cols w:equalWidth="0" w:num="1">
            <w:col w:w="10159"/>
          </w:cols>
          <w:pgMar w:left="300" w:top="354" w:right="1440" w:bottom="1440" w:gutter="0" w:footer="0" w:header="0"/>
        </w:sectPr>
      </w:pPr>
    </w:p>
    <w:bookmarkStart w:id="230" w:name="page231"/>
    <w:bookmarkEnd w:id="2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parameters were used in connection with measurement in the previous year (December 31, 2019):</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5040" w:type="dxa"/>
            <w:vAlign w:val="bottom"/>
          </w:tcPr>
          <w:p>
            <w:pPr>
              <w:spacing w:after="0"/>
              <w:rPr>
                <w:sz w:val="9"/>
                <w:szCs w:val="9"/>
                <w:color w:val="auto"/>
              </w:rPr>
            </w:pPr>
          </w:p>
        </w:tc>
        <w:tc>
          <w:tcPr>
            <w:tcW w:w="34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9"/>
                <w:szCs w:val="9"/>
                <w:color w:val="auto"/>
              </w:rPr>
            </w:pPr>
          </w:p>
        </w:tc>
        <w:tc>
          <w:tcPr>
            <w:tcW w:w="62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2019 I</w:t>
            </w:r>
          </w:p>
        </w:tc>
        <w:tc>
          <w:tcPr>
            <w:tcW w:w="62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97"/>
              </w:rPr>
              <w:t>2019 II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0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2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Term in years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6</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4.40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6.75</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7.00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1.35</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52.20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38.00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38.50</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46.41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45.91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45.66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(0.74)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(0.39)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5040" w:type="dxa"/>
            <w:vAlign w:val="bottom"/>
          </w:tcPr>
          <w:p>
            <w:pPr>
              <w:spacing w:after="0"/>
              <w:rPr>
                <w:sz w:val="20"/>
                <w:szCs w:val="20"/>
                <w:color w:val="auto"/>
              </w:rPr>
            </w:pPr>
            <w:r>
              <w:rPr>
                <w:rFonts w:ascii="Arial" w:cs="Arial" w:eastAsia="Arial" w:hAnsi="Arial"/>
                <w:sz w:val="11"/>
                <w:szCs w:val="11"/>
                <w:color w:val="auto"/>
              </w:rPr>
              <w:t>Option value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15.71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11.53</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12.42</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The term of the options as well as the possibility of early exercise were taken into account in the option model. Early exercise is assumed when the share price exceeds the exercise price by a factor of 1.2. The implied rate of return of German government bonds with matching maturities was used for determining the risk-free interest rate. Since the stock exchange history of Mynaric AG is shorter than the remaining term of the options, volatility was determined as an historic volatility for matching maturities of Mynaric peer group. The expected volatility considered is based on the assumption that it is possible to derive future trends from historic volatility, and thus the actual volatility may deviate from the assumptions made.</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€1,125 thousand (previous year: €1,146 thousand). The share-based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payments recognized in the capital reserve amount to €2,303 thousand as of December 31, 2020 (previous year: €1,178 thousand).</w:t>
      </w:r>
    </w:p>
    <w:p>
      <w:pPr>
        <w:spacing w:after="0" w:line="236"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10.</w:t>
        <w:tab/>
        <w:t>Amortization, Depreciation and Impairment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Amortization and depreciation in fiscal year 2020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Amortization of intangible assets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Depreciation and impairment of property, plant, and equipment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823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of right-of-use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490</w:t>
            </w:r>
          </w:p>
        </w:tc>
      </w:tr>
      <w:tr>
        <w:trPr>
          <w:trHeight w:val="136"/>
        </w:trPr>
        <w:tc>
          <w:tcPr>
            <w:tcW w:w="6660" w:type="dxa"/>
            <w:vAlign w:val="bottom"/>
            <w:gridSpan w:val="2"/>
          </w:tcPr>
          <w:p>
            <w:pPr>
              <w:spacing w:after="0"/>
              <w:rPr>
                <w:sz w:val="20"/>
                <w:szCs w:val="20"/>
                <w:color w:val="auto"/>
              </w:rPr>
            </w:pPr>
            <w:r>
              <w:rPr>
                <w:rFonts w:ascii="Arial" w:cs="Arial" w:eastAsia="Arial" w:hAnsi="Arial"/>
                <w:sz w:val="11"/>
                <w:szCs w:val="1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1,843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1,117</w:t>
            </w:r>
          </w:p>
        </w:tc>
      </w:tr>
    </w:tbl>
    <w:p>
      <w:pPr>
        <w:spacing w:after="0" w:line="229"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11.</w:t>
        <w:tab/>
        <w:t>Other Operating Expenses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operating expenses can be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50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34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5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Legal and consulting fees</w:t>
            </w:r>
          </w:p>
        </w:tc>
        <w:tc>
          <w:tcPr>
            <w:tcW w:w="31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2,110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736</w:t>
            </w:r>
          </w:p>
        </w:tc>
        <w:tc>
          <w:tcPr>
            <w:tcW w:w="40" w:type="dxa"/>
            <w:vAlign w:val="bottom"/>
            <w:shd w:val="clear" w:color="auto" w:fill="CCEEFF"/>
          </w:tcPr>
          <w:p>
            <w:pPr>
              <w:spacing w:after="0"/>
              <w:rPr>
                <w:sz w:val="9"/>
                <w:szCs w:val="9"/>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Office and IT expenses</w:t>
            </w:r>
          </w:p>
        </w:tc>
        <w:tc>
          <w:tcPr>
            <w:tcW w:w="3540" w:type="dxa"/>
            <w:vAlign w:val="bottom"/>
            <w:gridSpan w:val="3"/>
          </w:tcPr>
          <w:p>
            <w:pPr>
              <w:jc w:val="right"/>
              <w:ind w:right="100"/>
              <w:spacing w:after="0"/>
              <w:rPr>
                <w:sz w:val="20"/>
                <w:szCs w:val="20"/>
                <w:color w:val="auto"/>
              </w:rPr>
            </w:pPr>
            <w:r>
              <w:rPr>
                <w:rFonts w:ascii="Arial" w:cs="Arial" w:eastAsia="Arial" w:hAnsi="Arial"/>
                <w:sz w:val="11"/>
                <w:szCs w:val="11"/>
                <w:color w:val="auto"/>
              </w:rPr>
              <w:t>790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380</w:t>
            </w:r>
          </w:p>
        </w:tc>
      </w:tr>
      <w:tr>
        <w:trPr>
          <w:trHeight w:val="135"/>
        </w:trPr>
        <w:tc>
          <w:tcPr>
            <w:tcW w:w="3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Selling and travel expenses</w:t>
            </w:r>
          </w:p>
        </w:tc>
        <w:tc>
          <w:tcPr>
            <w:tcW w:w="354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451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Rent and maintenance</w:t>
            </w:r>
          </w:p>
        </w:tc>
        <w:tc>
          <w:tcPr>
            <w:tcW w:w="3540" w:type="dxa"/>
            <w:vAlign w:val="bottom"/>
            <w:gridSpan w:val="3"/>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370</w:t>
            </w:r>
          </w:p>
        </w:tc>
      </w:tr>
      <w:tr>
        <w:trPr>
          <w:trHeight w:val="135"/>
        </w:trPr>
        <w:tc>
          <w:tcPr>
            <w:tcW w:w="3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office supplies</w:t>
            </w:r>
          </w:p>
        </w:tc>
        <w:tc>
          <w:tcPr>
            <w:tcW w:w="354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221</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w w:val="88"/>
              </w:rPr>
              <w:t>Costs for preparation and audit of financial statements, and accounting expenses</w:t>
            </w:r>
          </w:p>
        </w:tc>
        <w:tc>
          <w:tcPr>
            <w:tcW w:w="3540" w:type="dxa"/>
            <w:vAlign w:val="bottom"/>
            <w:gridSpan w:val="3"/>
          </w:tcPr>
          <w:p>
            <w:pPr>
              <w:jc w:val="right"/>
              <w:ind w:right="100"/>
              <w:spacing w:after="0"/>
              <w:rPr>
                <w:sz w:val="20"/>
                <w:szCs w:val="20"/>
                <w:color w:val="auto"/>
              </w:rPr>
            </w:pPr>
            <w:r>
              <w:rPr>
                <w:rFonts w:ascii="Arial" w:cs="Arial" w:eastAsia="Arial" w:hAnsi="Arial"/>
                <w:sz w:val="11"/>
                <w:szCs w:val="11"/>
                <w:color w:val="auto"/>
              </w:rPr>
              <w:t>329</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127</w:t>
            </w:r>
          </w:p>
        </w:tc>
      </w:tr>
      <w:tr>
        <w:trPr>
          <w:trHeight w:val="135"/>
        </w:trPr>
        <w:tc>
          <w:tcPr>
            <w:tcW w:w="3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personnel expenses</w:t>
            </w:r>
          </w:p>
        </w:tc>
        <w:tc>
          <w:tcPr>
            <w:tcW w:w="354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268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180</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Litigation</w:t>
            </w:r>
          </w:p>
        </w:tc>
        <w:tc>
          <w:tcPr>
            <w:tcW w:w="3540" w:type="dxa"/>
            <w:vAlign w:val="bottom"/>
            <w:gridSpan w:val="3"/>
          </w:tcPr>
          <w:p>
            <w:pPr>
              <w:jc w:val="right"/>
              <w:ind w:right="100"/>
              <w:spacing w:after="0"/>
              <w:rPr>
                <w:sz w:val="20"/>
                <w:szCs w:val="20"/>
                <w:color w:val="auto"/>
              </w:rPr>
            </w:pPr>
            <w:r>
              <w:rPr>
                <w:rFonts w:ascii="Arial" w:cs="Arial" w:eastAsia="Arial" w:hAnsi="Arial"/>
                <w:sz w:val="11"/>
                <w:szCs w:val="11"/>
                <w:color w:val="auto"/>
              </w:rPr>
              <w:t>225</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3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Remuneration of Supervisory Board members</w:t>
            </w:r>
          </w:p>
        </w:tc>
        <w:tc>
          <w:tcPr>
            <w:tcW w:w="354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63</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Insurance</w:t>
            </w:r>
          </w:p>
        </w:tc>
        <w:tc>
          <w:tcPr>
            <w:tcW w:w="3540" w:type="dxa"/>
            <w:vAlign w:val="bottom"/>
            <w:gridSpan w:val="3"/>
          </w:tcPr>
          <w:p>
            <w:pPr>
              <w:jc w:val="right"/>
              <w:ind w:right="100"/>
              <w:spacing w:after="0"/>
              <w:rPr>
                <w:sz w:val="20"/>
                <w:szCs w:val="20"/>
                <w:color w:val="auto"/>
              </w:rPr>
            </w:pPr>
            <w:r>
              <w:rPr>
                <w:rFonts w:ascii="Arial" w:cs="Arial" w:eastAsia="Arial" w:hAnsi="Arial"/>
                <w:sz w:val="11"/>
                <w:szCs w:val="11"/>
                <w:color w:val="auto"/>
              </w:rPr>
              <w:t>97</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55</w:t>
            </w:r>
          </w:p>
        </w:tc>
      </w:tr>
      <w:tr>
        <w:trPr>
          <w:trHeight w:val="135"/>
        </w:trPr>
        <w:tc>
          <w:tcPr>
            <w:tcW w:w="3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Bank transaction costs</w:t>
            </w:r>
          </w:p>
        </w:tc>
        <w:tc>
          <w:tcPr>
            <w:tcW w:w="354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Other expenses</w:t>
            </w:r>
          </w:p>
        </w:tc>
        <w:tc>
          <w:tcPr>
            <w:tcW w:w="3540" w:type="dxa"/>
            <w:vAlign w:val="bottom"/>
            <w:gridSpan w:val="3"/>
          </w:tcPr>
          <w:p>
            <w:pPr>
              <w:jc w:val="right"/>
              <w:ind w:right="100"/>
              <w:spacing w:after="0"/>
              <w:rPr>
                <w:sz w:val="20"/>
                <w:szCs w:val="20"/>
                <w:color w:val="auto"/>
              </w:rPr>
            </w:pPr>
            <w:r>
              <w:rPr>
                <w:rFonts w:ascii="Arial" w:cs="Arial" w:eastAsia="Arial" w:hAnsi="Arial"/>
                <w:sz w:val="11"/>
                <w:szCs w:val="11"/>
                <w:color w:val="auto"/>
              </w:rPr>
              <w:t>58</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85</w:t>
            </w:r>
          </w:p>
        </w:tc>
      </w:tr>
      <w:tr>
        <w:trPr>
          <w:trHeight w:val="135"/>
        </w:trPr>
        <w:tc>
          <w:tcPr>
            <w:tcW w:w="3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 on disposal of non-current assets</w:t>
            </w:r>
          </w:p>
        </w:tc>
        <w:tc>
          <w:tcPr>
            <w:tcW w:w="354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54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5,344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2,813</w:t>
            </w:r>
          </w:p>
        </w:tc>
      </w:tr>
      <w:tr>
        <w:trPr>
          <w:trHeight w:val="238"/>
        </w:trPr>
        <w:tc>
          <w:tcPr>
            <w:tcW w:w="5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540" w:type="dxa"/>
            <w:vAlign w:val="bottom"/>
            <w:gridSpan w:val="3"/>
          </w:tcPr>
          <w:p>
            <w:pPr>
              <w:jc w:val="right"/>
              <w:ind w:right="3260"/>
              <w:spacing w:after="0"/>
              <w:rPr>
                <w:sz w:val="20"/>
                <w:szCs w:val="20"/>
                <w:color w:val="auto"/>
              </w:rPr>
            </w:pPr>
            <w:r>
              <w:rPr>
                <w:rFonts w:ascii="Arial" w:cs="Arial" w:eastAsia="Arial" w:hAnsi="Arial"/>
                <w:sz w:val="12"/>
                <w:szCs w:val="12"/>
                <w:color w:val="auto"/>
              </w:rPr>
              <w:t>F-42</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231" w:name="page232"/>
    <w:bookmarkEnd w:id="2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Other office supplies refer mainly to purchased services as well as expenses for tools and devices. Other personnel expenses mainly include recruiting expenses.</w:t>
      </w:r>
    </w:p>
    <w:p>
      <w:pPr>
        <w:spacing w:after="0" w:line="210" w:lineRule="exact"/>
        <w:rPr>
          <w:sz w:val="20"/>
          <w:szCs w:val="20"/>
          <w:color w:val="auto"/>
        </w:rPr>
      </w:pPr>
    </w:p>
    <w:p>
      <w:pPr>
        <w:ind w:left="2260" w:hanging="288"/>
        <w:spacing w:after="0"/>
        <w:tabs>
          <w:tab w:leader="none" w:pos="2260" w:val="left"/>
        </w:tabs>
        <w:numPr>
          <w:ilvl w:val="0"/>
          <w:numId w:val="163"/>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80"/>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7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757</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272</w:t>
            </w:r>
          </w:p>
        </w:tc>
        <w:tc>
          <w:tcPr>
            <w:tcW w:w="40" w:type="dxa"/>
            <w:vAlign w:val="bottom"/>
            <w:shd w:val="clear" w:color="auto" w:fill="CCEEFF"/>
          </w:tcPr>
          <w:p>
            <w:pPr>
              <w:spacing w:after="0"/>
              <w:rPr>
                <w:sz w:val="9"/>
                <w:szCs w:val="9"/>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Write-downs</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w w:val="93"/>
              </w:rPr>
              <w:t>(120)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changes in inventories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272</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write-downs presented refer to HAWK AIR terminals that were written down to their recoverable amount.</w:t>
      </w:r>
    </w:p>
    <w:p>
      <w:pPr>
        <w:spacing w:after="0" w:line="245" w:lineRule="exact"/>
        <w:rPr>
          <w:sz w:val="20"/>
          <w:szCs w:val="20"/>
          <w:color w:val="auto"/>
        </w:rPr>
      </w:pPr>
    </w:p>
    <w:p>
      <w:pPr>
        <w:ind w:left="2260" w:hanging="288"/>
        <w:spacing w:after="0"/>
        <w:tabs>
          <w:tab w:leader="none" w:pos="2260" w:val="left"/>
        </w:tabs>
        <w:numPr>
          <w:ilvl w:val="0"/>
          <w:numId w:val="164"/>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99"/>
        <w:spacing w:after="0" w:line="263" w:lineRule="auto"/>
        <w:rPr>
          <w:sz w:val="20"/>
          <w:szCs w:val="20"/>
          <w:color w:val="auto"/>
        </w:rPr>
      </w:pPr>
      <w:r>
        <w:rPr>
          <w:rFonts w:ascii="Arial" w:cs="Arial" w:eastAsia="Arial" w:hAnsi="Arial"/>
          <w:sz w:val="12"/>
          <w:szCs w:val="12"/>
          <w:color w:val="auto"/>
        </w:rPr>
        <w:t>Own work capitalized consists of expenses that are used to construct property, plant and equipment or develop intangible assets. This line item is a contra account to other profit and loss statement captions presented below. For a determination of the net basis of those expenses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4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2019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4,073</w:t>
            </w:r>
          </w:p>
        </w:tc>
        <w:tc>
          <w:tcPr>
            <w:tcW w:w="100" w:type="dxa"/>
            <w:vAlign w:val="bottom"/>
            <w:shd w:val="clear" w:color="auto" w:fill="CCEEFF"/>
          </w:tcPr>
          <w:p>
            <w:pPr>
              <w:spacing w:after="0"/>
              <w:rPr>
                <w:sz w:val="9"/>
                <w:szCs w:val="9"/>
                <w:color w:val="auto"/>
              </w:rPr>
            </w:pPr>
          </w:p>
        </w:tc>
        <w:tc>
          <w:tcPr>
            <w:tcW w:w="260" w:type="dxa"/>
            <w:vAlign w:val="bottom"/>
            <w:gridSpan w:val="3"/>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2,089</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Personnel expenses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3,921</w:t>
            </w:r>
          </w:p>
        </w:tc>
        <w:tc>
          <w:tcPr>
            <w:tcW w:w="300" w:type="dxa"/>
            <w:vAlign w:val="bottom"/>
            <w:gridSpan w:val="4"/>
          </w:tcPr>
          <w:p>
            <w:pPr>
              <w:jc w:val="right"/>
              <w:ind w:right="40"/>
              <w:spacing w:after="0"/>
              <w:rPr>
                <w:sz w:val="20"/>
                <w:szCs w:val="20"/>
                <w:color w:val="auto"/>
              </w:rPr>
            </w:pPr>
            <w:r>
              <w:rPr>
                <w:rFonts w:ascii="Arial" w:cs="Arial" w:eastAsia="Arial" w:hAnsi="Arial"/>
                <w:sz w:val="11"/>
                <w:szCs w:val="11"/>
                <w:color w:val="auto"/>
                <w:w w:val="87"/>
              </w:rPr>
              <w:t>2,551</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802</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494</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Other operating expenses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579</w:t>
            </w:r>
          </w:p>
        </w:tc>
        <w:tc>
          <w:tcPr>
            <w:tcW w:w="300" w:type="dxa"/>
            <w:vAlign w:val="bottom"/>
            <w:gridSpan w:val="4"/>
          </w:tcPr>
          <w:p>
            <w:pPr>
              <w:jc w:val="right"/>
              <w:ind w:right="40"/>
              <w:spacing w:after="0"/>
              <w:rPr>
                <w:sz w:val="20"/>
                <w:szCs w:val="20"/>
                <w:color w:val="auto"/>
              </w:rPr>
            </w:pPr>
            <w:r>
              <w:rPr>
                <w:rFonts w:ascii="Arial" w:cs="Arial" w:eastAsia="Arial" w:hAnsi="Arial"/>
                <w:sz w:val="11"/>
                <w:szCs w:val="11"/>
                <w:color w:val="auto"/>
              </w:rPr>
              <w:t>277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4"/>
              </w:rPr>
              <w:t>9,375</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5,411</w:t>
            </w:r>
          </w:p>
        </w:tc>
      </w:tr>
      <w:tr>
        <w:trPr>
          <w:trHeight w:val="288"/>
        </w:trPr>
        <w:tc>
          <w:tcPr>
            <w:tcW w:w="6660" w:type="dxa"/>
            <w:vAlign w:val="bottom"/>
            <w:gridSpan w:val="2"/>
          </w:tcPr>
          <w:p>
            <w:pPr>
              <w:spacing w:after="0"/>
              <w:rPr>
                <w:sz w:val="20"/>
                <w:szCs w:val="20"/>
                <w:color w:val="auto"/>
              </w:rPr>
            </w:pPr>
            <w:r>
              <w:rPr>
                <w:rFonts w:ascii="Arial" w:cs="Arial" w:eastAsia="Arial" w:hAnsi="Arial"/>
                <w:sz w:val="12"/>
                <w:szCs w:val="12"/>
                <w:color w:val="auto"/>
              </w:rPr>
              <w:t>The following table shows the breakdown of own work capitalized: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Development costs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8,248</w:t>
            </w:r>
          </w:p>
        </w:tc>
        <w:tc>
          <w:tcPr>
            <w:tcW w:w="100" w:type="dxa"/>
            <w:vAlign w:val="bottom"/>
            <w:shd w:val="clear" w:color="auto" w:fill="CCEEFF"/>
          </w:tcPr>
          <w:p>
            <w:pPr>
              <w:spacing w:after="0"/>
              <w:rPr>
                <w:sz w:val="9"/>
                <w:szCs w:val="9"/>
                <w:color w:val="auto"/>
              </w:rPr>
            </w:pPr>
          </w:p>
        </w:tc>
        <w:tc>
          <w:tcPr>
            <w:tcW w:w="260" w:type="dxa"/>
            <w:vAlign w:val="bottom"/>
            <w:gridSpan w:val="3"/>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5,324</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1,127</w:t>
            </w:r>
          </w:p>
        </w:tc>
        <w:tc>
          <w:tcPr>
            <w:tcW w:w="300" w:type="dxa"/>
            <w:vAlign w:val="bottom"/>
            <w:gridSpan w:val="4"/>
          </w:tcPr>
          <w:p>
            <w:pPr>
              <w:jc w:val="right"/>
              <w:ind w:right="40"/>
              <w:spacing w:after="0"/>
              <w:rPr>
                <w:sz w:val="20"/>
                <w:szCs w:val="20"/>
                <w:color w:val="auto"/>
              </w:rPr>
            </w:pPr>
            <w:r>
              <w:rPr>
                <w:rFonts w:ascii="Arial" w:cs="Arial" w:eastAsia="Arial" w:hAnsi="Arial"/>
                <w:sz w:val="11"/>
                <w:szCs w:val="11"/>
                <w:color w:val="auto"/>
              </w:rPr>
              <w:t>87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4"/>
              </w:rPr>
              <w:t>9,375</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w w:val="87"/>
              </w:rPr>
              <w:t>5,411</w:t>
            </w:r>
          </w:p>
        </w:tc>
      </w:tr>
      <w:tr>
        <w:trPr>
          <w:trHeight w:val="387"/>
        </w:trPr>
        <w:tc>
          <w:tcPr>
            <w:tcW w:w="6660" w:type="dxa"/>
            <w:vAlign w:val="bottom"/>
            <w:gridSpan w:val="2"/>
          </w:tcPr>
          <w:p>
            <w:pPr>
              <w:spacing w:after="0"/>
              <w:rPr>
                <w:sz w:val="20"/>
                <w:szCs w:val="20"/>
                <w:color w:val="auto"/>
              </w:rPr>
            </w:pPr>
            <w:r>
              <w:rPr>
                <w:rFonts w:ascii="Arial" w:cs="Arial" w:eastAsia="Arial" w:hAnsi="Arial"/>
                <w:sz w:val="12"/>
                <w:szCs w:val="12"/>
                <w:b w:val="1"/>
                <w:bCs w:val="1"/>
                <w:color w:val="auto"/>
              </w:rPr>
              <w:t>14.  Net Finance Costs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6660" w:type="dxa"/>
            <w:vAlign w:val="bottom"/>
            <w:gridSpan w:val="2"/>
          </w:tcPr>
          <w:p>
            <w:pPr>
              <w:spacing w:after="0"/>
              <w:rPr>
                <w:sz w:val="20"/>
                <w:szCs w:val="20"/>
                <w:color w:val="auto"/>
              </w:rPr>
            </w:pPr>
            <w:r>
              <w:rPr>
                <w:rFonts w:ascii="Arial" w:cs="Arial" w:eastAsia="Arial" w:hAnsi="Arial"/>
                <w:sz w:val="12"/>
                <w:szCs w:val="12"/>
                <w:color w:val="auto"/>
              </w:rPr>
              <w:t>The financial result is calculated as follows: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04"/>
        </w:trPr>
        <w:tc>
          <w:tcPr>
            <w:tcW w:w="666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FINANCIAL INCOME</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Other interest income from loans and receivables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18</w:t>
            </w:r>
          </w:p>
        </w:tc>
        <w:tc>
          <w:tcPr>
            <w:tcW w:w="260" w:type="dxa"/>
            <w:vAlign w:val="bottom"/>
            <w:gridSpan w:val="3"/>
          </w:tcPr>
          <w:p>
            <w:pPr>
              <w:jc w:val="right"/>
              <w:ind w:right="20"/>
              <w:spacing w:after="0"/>
              <w:rPr>
                <w:sz w:val="20"/>
                <w:szCs w:val="20"/>
                <w:color w:val="auto"/>
              </w:rPr>
            </w:pPr>
            <w:r>
              <w:rPr>
                <w:rFonts w:ascii="Arial" w:cs="Arial" w:eastAsia="Arial" w:hAnsi="Arial"/>
                <w:sz w:val="11"/>
                <w:szCs w:val="11"/>
                <w:color w:val="auto"/>
              </w:rPr>
              <w:t>73</w:t>
            </w:r>
          </w:p>
        </w:tc>
        <w:tc>
          <w:tcPr>
            <w:tcW w:w="40" w:type="dxa"/>
            <w:vAlign w:val="bottom"/>
          </w:tcPr>
          <w:p>
            <w:pPr>
              <w:spacing w:after="0"/>
              <w:rPr>
                <w:sz w:val="11"/>
                <w:szCs w:val="11"/>
                <w:color w:val="auto"/>
              </w:rPr>
            </w:pP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18</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73</w:t>
            </w:r>
          </w:p>
        </w:tc>
        <w:tc>
          <w:tcPr>
            <w:tcW w:w="40" w:type="dxa"/>
            <w:vAlign w:val="bottom"/>
            <w:shd w:val="clear" w:color="auto" w:fill="CCEEFF"/>
          </w:tcPr>
          <w:p>
            <w:pPr>
              <w:spacing w:after="0"/>
              <w:rPr>
                <w:sz w:val="11"/>
                <w:szCs w:val="11"/>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FINANCIAL EXPENSES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and similar expenses from liabilities measured at amortized cost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(918)</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Interest on leases</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(137)</w:t>
            </w:r>
          </w:p>
        </w:tc>
        <w:tc>
          <w:tcPr>
            <w:tcW w:w="300" w:type="dxa"/>
            <w:vAlign w:val="bottom"/>
            <w:gridSpan w:val="4"/>
          </w:tcPr>
          <w:p>
            <w:pPr>
              <w:jc w:val="right"/>
              <w:ind w:right="40"/>
              <w:spacing w:after="0"/>
              <w:rPr>
                <w:sz w:val="20"/>
                <w:szCs w:val="20"/>
                <w:color w:val="auto"/>
              </w:rPr>
            </w:pPr>
            <w:r>
              <w:rPr>
                <w:rFonts w:ascii="Arial" w:cs="Arial" w:eastAsia="Arial" w:hAnsi="Arial"/>
                <w:sz w:val="11"/>
                <w:szCs w:val="11"/>
                <w:color w:val="auto"/>
              </w:rPr>
              <w:t>(92)</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Borrowing costs capitalized in accordance with IAS 23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4"/>
              </w:rPr>
              <w:t>1,055</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11"/>
                <w:szCs w:val="11"/>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0</w:t>
            </w:r>
          </w:p>
        </w:tc>
        <w:tc>
          <w:tcPr>
            <w:tcW w:w="26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0</w:t>
            </w:r>
          </w:p>
        </w:tc>
        <w:tc>
          <w:tcPr>
            <w:tcW w:w="40" w:type="dxa"/>
            <w:vAlign w:val="bottom"/>
          </w:tcPr>
          <w:p>
            <w:pPr>
              <w:spacing w:after="0"/>
              <w:rPr>
                <w:sz w:val="11"/>
                <w:szCs w:val="11"/>
                <w:color w:val="auto"/>
              </w:rPr>
            </w:pP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result from foreign currency translation</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(531)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109</w:t>
            </w:r>
          </w:p>
        </w:tc>
        <w:tc>
          <w:tcPr>
            <w:tcW w:w="40" w:type="dxa"/>
            <w:vAlign w:val="bottom"/>
            <w:shd w:val="clear" w:color="auto" w:fill="CCEEFF"/>
          </w:tcPr>
          <w:p>
            <w:pPr>
              <w:spacing w:after="0"/>
              <w:rPr>
                <w:sz w:val="11"/>
                <w:szCs w:val="11"/>
                <w:color w:val="auto"/>
              </w:rPr>
            </w:pPr>
          </w:p>
        </w:tc>
      </w:tr>
      <w:tr>
        <w:trPr>
          <w:trHeight w:val="140"/>
        </w:trPr>
        <w:tc>
          <w:tcPr>
            <w:tcW w:w="666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(513)</w:t>
            </w:r>
          </w:p>
        </w:tc>
        <w:tc>
          <w:tcPr>
            <w:tcW w:w="26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182</w:t>
            </w:r>
          </w:p>
        </w:tc>
        <w:tc>
          <w:tcPr>
            <w:tcW w:w="40" w:type="dxa"/>
            <w:vAlign w:val="bottom"/>
          </w:tcPr>
          <w:p>
            <w:pPr>
              <w:spacing w:after="0"/>
              <w:rPr>
                <w:sz w:val="12"/>
                <w:szCs w:val="12"/>
                <w:color w:val="auto"/>
              </w:rPr>
            </w:pPr>
          </w:p>
        </w:tc>
      </w:tr>
      <w:tr>
        <w:trPr>
          <w:trHeight w:val="238"/>
        </w:trPr>
        <w:tc>
          <w:tcPr>
            <w:tcW w:w="540" w:type="dxa"/>
            <w:vAlign w:val="bottom"/>
          </w:tcPr>
          <w:p>
            <w:pPr>
              <w:spacing w:after="0"/>
              <w:rPr>
                <w:sz w:val="20"/>
                <w:szCs w:val="20"/>
                <w:color w:val="auto"/>
              </w:rPr>
            </w:pPr>
          </w:p>
        </w:tc>
        <w:tc>
          <w:tcPr>
            <w:tcW w:w="6120" w:type="dxa"/>
            <w:vAlign w:val="bottom"/>
          </w:tcPr>
          <w:p>
            <w:pPr>
              <w:ind w:left="3020"/>
              <w:spacing w:after="0"/>
              <w:rPr>
                <w:sz w:val="20"/>
                <w:szCs w:val="20"/>
                <w:color w:val="auto"/>
              </w:rPr>
            </w:pPr>
            <w:r>
              <w:rPr>
                <w:rFonts w:ascii="Arial" w:cs="Arial" w:eastAsia="Arial" w:hAnsi="Arial"/>
                <w:sz w:val="12"/>
                <w:szCs w:val="12"/>
                <w:color w:val="auto"/>
              </w:rPr>
              <w:t>F-43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232" w:name="page233"/>
    <w:bookmarkEnd w:id="2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Borrowing costs capitalized as the cost in accordance with IAS 23 are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0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0"/>
              </w:rPr>
              <w:t>2019</w:t>
            </w:r>
          </w:p>
        </w:tc>
        <w:tc>
          <w:tcPr>
            <w:tcW w:w="120" w:type="dxa"/>
            <w:vAlign w:val="bottom"/>
          </w:tcPr>
          <w:p>
            <w:pPr>
              <w:spacing w:after="0"/>
              <w:rPr>
                <w:sz w:val="11"/>
                <w:szCs w:val="11"/>
                <w:color w:val="auto"/>
              </w:rPr>
            </w:pPr>
          </w:p>
        </w:tc>
      </w:tr>
      <w:tr>
        <w:trPr>
          <w:trHeight w:val="113"/>
        </w:trPr>
        <w:tc>
          <w:tcPr>
            <w:tcW w:w="65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Total finance expenses</w:t>
            </w:r>
          </w:p>
        </w:tc>
        <w:tc>
          <w:tcPr>
            <w:tcW w:w="2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1,055</w:t>
            </w:r>
          </w:p>
        </w:tc>
        <w:tc>
          <w:tcPr>
            <w:tcW w:w="1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120" w:type="dxa"/>
            <w:vAlign w:val="bottom"/>
            <w:tcBorders>
              <w:top w:val="single" w:sz="8" w:color="CCEEFF"/>
            </w:tcBorders>
            <w:shd w:val="clear" w:color="auto" w:fill="CCEEFF"/>
          </w:tcPr>
          <w:p>
            <w:pPr>
              <w:spacing w:after="0"/>
              <w:rPr>
                <w:sz w:val="9"/>
                <w:szCs w:val="9"/>
                <w:color w:val="auto"/>
              </w:rPr>
            </w:pPr>
          </w:p>
        </w:tc>
      </w:tr>
      <w:tr>
        <w:trPr>
          <w:trHeight w:val="135"/>
        </w:trPr>
        <w:tc>
          <w:tcPr>
            <w:tcW w:w="6540" w:type="dxa"/>
            <w:vAlign w:val="bottom"/>
            <w:gridSpan w:val="2"/>
          </w:tcPr>
          <w:p>
            <w:pPr>
              <w:spacing w:after="0"/>
              <w:rPr>
                <w:sz w:val="20"/>
                <w:szCs w:val="20"/>
                <w:color w:val="auto"/>
              </w:rPr>
            </w:pPr>
            <w:r>
              <w:rPr>
                <w:rFonts w:ascii="Arial" w:cs="Arial" w:eastAsia="Arial" w:hAnsi="Arial"/>
                <w:sz w:val="11"/>
                <w:szCs w:val="11"/>
                <w:color w:val="auto"/>
              </w:rPr>
              <w:t>thereof capitalized as the cost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654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development projects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4"/>
              </w:rPr>
              <w:t>1,010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91</w:t>
            </w:r>
          </w:p>
        </w:tc>
      </w:tr>
      <w:tr>
        <w:trPr>
          <w:trHeight w:val="135"/>
        </w:trPr>
        <w:tc>
          <w:tcPr>
            <w:tcW w:w="6540" w:type="dxa"/>
            <w:vAlign w:val="bottom"/>
            <w:gridSpan w:val="2"/>
          </w:tcPr>
          <w:p>
            <w:pPr>
              <w:ind w:left="200"/>
              <w:spacing w:after="0"/>
              <w:rPr>
                <w:sz w:val="20"/>
                <w:szCs w:val="20"/>
                <w:color w:val="auto"/>
              </w:rPr>
            </w:pPr>
            <w:r>
              <w:rPr>
                <w:rFonts w:ascii="Arial" w:cs="Arial" w:eastAsia="Arial" w:hAnsi="Arial"/>
                <w:sz w:val="11"/>
                <w:szCs w:val="11"/>
                <w:color w:val="auto"/>
              </w:rPr>
              <w:t>construction in progress</w:t>
            </w:r>
          </w:p>
        </w:tc>
        <w:tc>
          <w:tcPr>
            <w:tcW w:w="460" w:type="dxa"/>
            <w:vAlign w:val="bottom"/>
            <w:gridSpan w:val="2"/>
          </w:tcPr>
          <w:p>
            <w:pPr>
              <w:jc w:val="right"/>
              <w:ind w:right="180"/>
              <w:spacing w:after="0"/>
              <w:rPr>
                <w:sz w:val="20"/>
                <w:szCs w:val="20"/>
                <w:color w:val="auto"/>
              </w:rPr>
            </w:pPr>
            <w:r>
              <w:rPr>
                <w:rFonts w:ascii="Arial" w:cs="Arial" w:eastAsia="Arial" w:hAnsi="Arial"/>
                <w:sz w:val="11"/>
                <w:szCs w:val="11"/>
                <w:color w:val="auto"/>
              </w:rPr>
              <w:t>45</w:t>
            </w: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1</w:t>
            </w:r>
          </w:p>
        </w:tc>
      </w:tr>
      <w:tr>
        <w:trPr>
          <w:trHeight w:val="135"/>
        </w:trPr>
        <w:tc>
          <w:tcPr>
            <w:tcW w:w="65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Capitalization rate p.a.</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10.69%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2.00%</w:t>
            </w:r>
          </w:p>
        </w:tc>
      </w:tr>
    </w:tbl>
    <w:p>
      <w:pPr>
        <w:spacing w:after="0" w:line="23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15.</w:t>
        <w:tab/>
        <w:t>Income Taxes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6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Jan. 1 -</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Jan. 1 -</w:t>
            </w:r>
          </w:p>
        </w:tc>
        <w:tc>
          <w:tcPr>
            <w:tcW w:w="0" w:type="dxa"/>
            <w:vAlign w:val="bottom"/>
          </w:tcPr>
          <w:p>
            <w:pPr>
              <w:spacing w:after="0"/>
              <w:rPr>
                <w:sz w:val="1"/>
                <w:szCs w:val="1"/>
                <w:color w:val="auto"/>
              </w:rPr>
            </w:pPr>
          </w:p>
        </w:tc>
      </w:tr>
      <w:tr>
        <w:trPr>
          <w:trHeight w:val="104"/>
        </w:trPr>
        <w:tc>
          <w:tcPr>
            <w:tcW w:w="5780" w:type="dxa"/>
            <w:vAlign w:val="bottom"/>
            <w:gridSpan w:val="2"/>
            <w:vMerge w:val="continue"/>
          </w:tcPr>
          <w:p>
            <w:pPr>
              <w:spacing w:after="0"/>
              <w:rPr>
                <w:sz w:val="9"/>
                <w:szCs w:val="9"/>
                <w:color w:val="auto"/>
              </w:rPr>
            </w:pPr>
          </w:p>
        </w:tc>
        <w:tc>
          <w:tcPr>
            <w:tcW w:w="96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Dec. 31, 2020</w:t>
            </w:r>
          </w:p>
        </w:tc>
        <w:tc>
          <w:tcPr>
            <w:tcW w:w="600" w:type="dxa"/>
            <w:vAlign w:val="bottom"/>
            <w:gridSpan w:val="2"/>
          </w:tcPr>
          <w:p>
            <w:pPr>
              <w:jc w:val="right"/>
              <w:ind w:right="60"/>
              <w:spacing w:after="0" w:line="105" w:lineRule="exact"/>
              <w:rPr>
                <w:sz w:val="20"/>
                <w:szCs w:val="20"/>
                <w:color w:val="auto"/>
              </w:rPr>
            </w:pPr>
            <w:r>
              <w:rPr>
                <w:rFonts w:ascii="Arial" w:cs="Arial" w:eastAsia="Arial" w:hAnsi="Arial"/>
                <w:sz w:val="10"/>
                <w:szCs w:val="10"/>
                <w:b w:val="1"/>
                <w:bCs w:val="1"/>
                <w:color w:val="auto"/>
                <w:w w:val="82"/>
              </w:rPr>
              <w:t>Dec. 31, 2019</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Loss before taxes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(19,770)</w:t>
            </w:r>
          </w:p>
        </w:tc>
        <w:tc>
          <w:tcPr>
            <w:tcW w:w="4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(8,855)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Expected taxes applying the domestic tax rate of 27.725% (previous year: 27.725%)</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(5,481)</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(2,455)</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effect of foreign tax rates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Tax effect of expenses that are not deductible for tax purposes / tax adjustments</w:t>
            </w:r>
          </w:p>
        </w:tc>
        <w:tc>
          <w:tcPr>
            <w:tcW w:w="96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30"/>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7"/>
              </w:rPr>
              <w:t>Tax effect from losses incurred in the current year and deductible temporary differences for which no deferred taxes were</w:t>
            </w: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7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recognized</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5,537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2,427</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Other</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(120)</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expense for the fiscal year</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Due to the previous start-up losses, deferred tax assets were recognized and interest expenses were eligible for being carried forward only to the extent of taxable temporary negative differences (net). Accordingly, no deferred taxes were recognized for corporation tax loss carryforwards in the amount of €45,740 thousand (previous year: €25,768 thousand) and for trade tax loss carryforwards in the amount of €45,261 thousand (previous year: €25,618 thousand). The same applies to international loss carryforwards in the amount of €2,469 thousand (previous year: €2,572 thousand). Deductible temporary differences were not recognized in the amount of €1,940 thousand (previous year: €104 thousand). The utilization of the tax loss carryforwards and deductible temporary differences is ensured to the extent that sufficient taxable temporary differences will be available– even taking minimum taxation into account as tax limitations with respect to loss deductions.</w:t>
      </w:r>
    </w:p>
    <w:p>
      <w:pPr>
        <w:spacing w:after="0" w:line="115" w:lineRule="exact"/>
        <w:rPr>
          <w:sz w:val="20"/>
          <w:szCs w:val="20"/>
          <w:color w:val="auto"/>
        </w:rPr>
      </w:pPr>
    </w:p>
    <w:p>
      <w:pPr>
        <w:jc w:val="both"/>
        <w:ind w:left="1980" w:right="1219"/>
        <w:spacing w:after="0" w:line="298" w:lineRule="auto"/>
        <w:rPr>
          <w:sz w:val="20"/>
          <w:szCs w:val="20"/>
          <w:color w:val="auto"/>
        </w:rPr>
      </w:pPr>
      <w:r>
        <w:rPr>
          <w:rFonts w:ascii="Arial" w:cs="Arial" w:eastAsia="Arial" w:hAnsi="Arial"/>
          <w:sz w:val="11"/>
          <w:szCs w:val="11"/>
          <w:color w:val="auto"/>
        </w:rPr>
        <w:t>As of Dec. 31, 2020 domestic loss carryforwards totaled €63,332 thousand for corporation tax and €62,853 thousand for trade tax (previous year: €34,279 thousand and €34,129 thousand, respectively). These loss carryforwards do not expire. International loss carryforwards in the amount of €2,469 thousand (previous year: €2,705 thousand) will partly expire after a twenty year period if not used.</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the fiscal year, the changes in deferred taxes recognized outside profit or loss amounted to €0 thousand (previous year: €0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Balance of deferred tax assets and liabilities: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center"/>
              <w:ind w:right="169"/>
              <w:spacing w:after="0"/>
              <w:rPr>
                <w:sz w:val="20"/>
                <w:szCs w:val="20"/>
                <w:color w:val="auto"/>
              </w:rPr>
            </w:pPr>
            <w:r>
              <w:rPr>
                <w:rFonts w:ascii="Arial" w:cs="Arial" w:eastAsia="Arial" w:hAnsi="Arial"/>
                <w:sz w:val="10"/>
                <w:szCs w:val="10"/>
                <w:b w:val="1"/>
                <w:bCs w:val="1"/>
                <w:color w:val="auto"/>
                <w:w w:val="86"/>
              </w:rPr>
              <w:t>Jan. 1 -</w:t>
            </w:r>
          </w:p>
        </w:tc>
        <w:tc>
          <w:tcPr>
            <w:tcW w:w="6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Jan. 1 -</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jc w:val="center"/>
              <w:ind w:right="149"/>
              <w:spacing w:after="0" w:line="99" w:lineRule="exact"/>
              <w:rPr>
                <w:sz w:val="20"/>
                <w:szCs w:val="20"/>
                <w:color w:val="auto"/>
              </w:rPr>
            </w:pPr>
            <w:r>
              <w:rPr>
                <w:rFonts w:ascii="Arial" w:cs="Arial" w:eastAsia="Arial" w:hAnsi="Arial"/>
                <w:sz w:val="10"/>
                <w:szCs w:val="10"/>
                <w:b w:val="1"/>
                <w:bCs w:val="1"/>
                <w:color w:val="auto"/>
                <w:w w:val="84"/>
              </w:rPr>
              <w:t>Dec. 31,</w:t>
            </w:r>
          </w:p>
        </w:tc>
        <w:tc>
          <w:tcPr>
            <w:tcW w:w="620" w:type="dxa"/>
            <w:vAlign w:val="bottom"/>
            <w:gridSpan w:val="2"/>
          </w:tcPr>
          <w:p>
            <w:pPr>
              <w:jc w:val="center"/>
              <w:ind w:left="8"/>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40" w:type="dxa"/>
            <w:vAlign w:val="bottom"/>
            <w:gridSpan w:val="5"/>
          </w:tcPr>
          <w:p>
            <w:pPr>
              <w:jc w:val="right"/>
              <w:ind w:right="700"/>
              <w:spacing w:after="0" w:line="114" w:lineRule="exact"/>
              <w:rPr>
                <w:sz w:val="20"/>
                <w:szCs w:val="20"/>
                <w:color w:val="auto"/>
              </w:rPr>
            </w:pPr>
            <w:r>
              <w:rPr>
                <w:rFonts w:ascii="Arial" w:cs="Arial" w:eastAsia="Arial" w:hAnsi="Arial"/>
                <w:sz w:val="10"/>
                <w:szCs w:val="10"/>
                <w:b w:val="1"/>
                <w:bCs w:val="1"/>
                <w:color w:val="auto"/>
              </w:rPr>
              <w:t>Dec. 31, 2020</w:t>
            </w:r>
          </w:p>
        </w:tc>
        <w:tc>
          <w:tcPr>
            <w:tcW w:w="1680" w:type="dxa"/>
            <w:vAlign w:val="bottom"/>
            <w:gridSpan w:val="4"/>
          </w:tcPr>
          <w:p>
            <w:pPr>
              <w:jc w:val="right"/>
              <w:ind w:right="720"/>
              <w:spacing w:after="0" w:line="114" w:lineRule="exact"/>
              <w:rPr>
                <w:sz w:val="20"/>
                <w:szCs w:val="20"/>
                <w:color w:val="auto"/>
              </w:rPr>
            </w:pPr>
            <w:r>
              <w:rPr>
                <w:rFonts w:ascii="Arial" w:cs="Arial" w:eastAsia="Arial" w:hAnsi="Arial"/>
                <w:sz w:val="10"/>
                <w:szCs w:val="10"/>
                <w:b w:val="1"/>
                <w:bCs w:val="1"/>
                <w:color w:val="auto"/>
              </w:rPr>
              <w:t>Dec. 31, 2019</w:t>
            </w:r>
          </w:p>
        </w:tc>
        <w:tc>
          <w:tcPr>
            <w:tcW w:w="600" w:type="dxa"/>
            <w:vAlign w:val="bottom"/>
          </w:tcPr>
          <w:p>
            <w:pPr>
              <w:jc w:val="center"/>
              <w:ind w:right="149"/>
              <w:spacing w:after="0" w:line="114" w:lineRule="exact"/>
              <w:rPr>
                <w:sz w:val="20"/>
                <w:szCs w:val="20"/>
                <w:color w:val="auto"/>
              </w:rPr>
            </w:pPr>
            <w:r>
              <w:rPr>
                <w:rFonts w:ascii="Arial" w:cs="Arial" w:eastAsia="Arial" w:hAnsi="Arial"/>
                <w:sz w:val="10"/>
                <w:szCs w:val="10"/>
                <w:b w:val="1"/>
                <w:bCs w:val="1"/>
                <w:color w:val="auto"/>
                <w:w w:val="89"/>
              </w:rPr>
              <w:t>2020</w:t>
            </w:r>
          </w:p>
        </w:tc>
        <w:tc>
          <w:tcPr>
            <w:tcW w:w="560" w:type="dxa"/>
            <w:vAlign w:val="bottom"/>
          </w:tcPr>
          <w:p>
            <w:pPr>
              <w:jc w:val="center"/>
              <w:ind w:left="68"/>
              <w:spacing w:after="0" w:line="114" w:lineRule="exact"/>
              <w:rPr>
                <w:sz w:val="20"/>
                <w:szCs w:val="20"/>
                <w:color w:val="auto"/>
              </w:rPr>
            </w:pPr>
            <w:r>
              <w:rPr>
                <w:rFonts w:ascii="Arial" w:cs="Arial" w:eastAsia="Arial" w:hAnsi="Arial"/>
                <w:sz w:val="10"/>
                <w:szCs w:val="10"/>
                <w:b w:val="1"/>
                <w:bCs w:val="1"/>
                <w:color w:val="auto"/>
                <w:w w:val="89"/>
              </w:rPr>
              <w:t>2019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640" w:type="dxa"/>
            <w:vAlign w:val="bottom"/>
            <w:tcBorders>
              <w:top w:val="single" w:sz="8" w:color="auto"/>
            </w:tcBorders>
            <w:gridSpan w:val="2"/>
          </w:tcPr>
          <w:p>
            <w:pPr>
              <w:jc w:val="right"/>
              <w:ind w:right="120"/>
              <w:spacing w:after="0" w:line="74" w:lineRule="exact"/>
              <w:rPr>
                <w:sz w:val="20"/>
                <w:szCs w:val="20"/>
                <w:color w:val="auto"/>
              </w:rPr>
            </w:pPr>
            <w:r>
              <w:rPr>
                <w:rFonts w:ascii="Arial" w:cs="Arial" w:eastAsia="Arial" w:hAnsi="Arial"/>
                <w:sz w:val="8"/>
                <w:szCs w:val="8"/>
                <w:b w:val="1"/>
                <w:bCs w:val="1"/>
                <w:color w:val="auto"/>
              </w:rPr>
              <w:t>Deferred tax</w:t>
            </w:r>
          </w:p>
        </w:tc>
        <w:tc>
          <w:tcPr>
            <w:tcW w:w="1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00" w:type="dxa"/>
            <w:vAlign w:val="bottom"/>
          </w:tcPr>
          <w:p>
            <w:pPr>
              <w:spacing w:after="0"/>
              <w:rPr>
                <w:sz w:val="6"/>
                <w:szCs w:val="6"/>
                <w:color w:val="auto"/>
              </w:rPr>
            </w:pPr>
          </w:p>
        </w:tc>
        <w:tc>
          <w:tcPr>
            <w:tcW w:w="84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20" w:type="dxa"/>
            <w:vAlign w:val="bottom"/>
          </w:tcPr>
          <w:p>
            <w:pPr>
              <w:spacing w:after="0"/>
              <w:rPr>
                <w:sz w:val="6"/>
                <w:szCs w:val="6"/>
                <w:color w:val="auto"/>
              </w:rPr>
            </w:pPr>
          </w:p>
        </w:tc>
        <w:tc>
          <w:tcPr>
            <w:tcW w:w="1160" w:type="dxa"/>
            <w:vAlign w:val="bottom"/>
            <w:tcBorders>
              <w:top w:val="single" w:sz="8" w:color="auto"/>
            </w:tcBorders>
            <w:gridSpan w:val="2"/>
          </w:tcPr>
          <w:p>
            <w:pPr>
              <w:jc w:val="right"/>
              <w:ind w:right="68"/>
              <w:spacing w:after="0" w:line="74" w:lineRule="exact"/>
              <w:rPr>
                <w:sz w:val="20"/>
                <w:szCs w:val="20"/>
                <w:color w:val="auto"/>
              </w:rPr>
            </w:pPr>
            <w:r>
              <w:rPr>
                <w:rFonts w:ascii="Arial" w:cs="Arial" w:eastAsia="Arial" w:hAnsi="Arial"/>
                <w:sz w:val="8"/>
                <w:szCs w:val="8"/>
                <w:b w:val="1"/>
                <w:bCs w:val="1"/>
                <w:color w:val="auto"/>
              </w:rPr>
              <w:t>Changes recognized in</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800" w:type="dxa"/>
            <w:vAlign w:val="bottom"/>
            <w:gridSpan w:val="2"/>
            <w:vMerge w:val="continue"/>
          </w:tcPr>
          <w:p>
            <w:pPr>
              <w:spacing w:after="0"/>
              <w:rPr>
                <w:sz w:val="9"/>
                <w:szCs w:val="9"/>
                <w:color w:val="auto"/>
              </w:rPr>
            </w:pPr>
          </w:p>
        </w:tc>
        <w:tc>
          <w:tcPr>
            <w:tcW w:w="640" w:type="dxa"/>
            <w:vAlign w:val="bottom"/>
            <w:gridSpan w:val="2"/>
          </w:tcPr>
          <w:p>
            <w:pPr>
              <w:jc w:val="right"/>
              <w:ind w:right="280"/>
              <w:spacing w:after="0" w:line="105" w:lineRule="exact"/>
              <w:rPr>
                <w:sz w:val="20"/>
                <w:szCs w:val="20"/>
                <w:color w:val="auto"/>
              </w:rPr>
            </w:pPr>
            <w:r>
              <w:rPr>
                <w:rFonts w:ascii="Arial" w:cs="Arial" w:eastAsia="Arial" w:hAnsi="Arial"/>
                <w:sz w:val="10"/>
                <w:szCs w:val="10"/>
                <w:b w:val="1"/>
                <w:bCs w:val="1"/>
                <w:color w:val="auto"/>
              </w:rPr>
              <w:t>assets</w:t>
            </w:r>
          </w:p>
        </w:tc>
        <w:tc>
          <w:tcPr>
            <w:tcW w:w="180" w:type="dxa"/>
            <w:vAlign w:val="bottom"/>
          </w:tcPr>
          <w:p>
            <w:pPr>
              <w:spacing w:after="0"/>
              <w:rPr>
                <w:sz w:val="9"/>
                <w:szCs w:val="9"/>
                <w:color w:val="auto"/>
              </w:rPr>
            </w:pPr>
          </w:p>
        </w:tc>
        <w:tc>
          <w:tcPr>
            <w:tcW w:w="82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98"/>
              </w:rPr>
              <w:t>liabilities</w:t>
            </w:r>
          </w:p>
        </w:tc>
        <w:tc>
          <w:tcPr>
            <w:tcW w:w="84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assets</w:t>
            </w:r>
          </w:p>
        </w:tc>
        <w:tc>
          <w:tcPr>
            <w:tcW w:w="8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rPr>
              <w:t>liabilities</w:t>
            </w:r>
          </w:p>
        </w:tc>
        <w:tc>
          <w:tcPr>
            <w:tcW w:w="1220" w:type="dxa"/>
            <w:vAlign w:val="bottom"/>
            <w:gridSpan w:val="3"/>
          </w:tcPr>
          <w:p>
            <w:pPr>
              <w:jc w:val="right"/>
              <w:ind w:right="380"/>
              <w:spacing w:after="0" w:line="105" w:lineRule="exact"/>
              <w:rPr>
                <w:sz w:val="20"/>
                <w:szCs w:val="20"/>
                <w:color w:val="auto"/>
              </w:rPr>
            </w:pPr>
            <w:r>
              <w:rPr>
                <w:rFonts w:ascii="Arial" w:cs="Arial" w:eastAsia="Arial" w:hAnsi="Arial"/>
                <w:sz w:val="10"/>
                <w:szCs w:val="10"/>
                <w:b w:val="1"/>
                <w:bCs w:val="1"/>
                <w:color w:val="auto"/>
              </w:rPr>
              <w:t>profit or loss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8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4,934</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w:t>
            </w: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2,411</w:t>
            </w: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1"/>
                <w:szCs w:val="11"/>
                <w:color w:val="auto"/>
              </w:rPr>
              <w:t>(2,528)</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(1,498)</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Leases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000" w:type="dxa"/>
            <w:vAlign w:val="bottom"/>
            <w:gridSpan w:val="3"/>
          </w:tcPr>
          <w:p>
            <w:pPr>
              <w:jc w:val="right"/>
              <w:ind w:right="300"/>
              <w:spacing w:after="0"/>
              <w:rPr>
                <w:sz w:val="20"/>
                <w:szCs w:val="20"/>
                <w:color w:val="auto"/>
              </w:rPr>
            </w:pPr>
            <w:r>
              <w:rPr>
                <w:rFonts w:ascii="Arial" w:cs="Arial" w:eastAsia="Arial" w:hAnsi="Arial"/>
                <w:sz w:val="11"/>
                <w:szCs w:val="11"/>
                <w:color w:val="auto"/>
              </w:rPr>
              <w:t>6</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13</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42</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41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Inventories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8</w:t>
            </w:r>
          </w:p>
        </w:tc>
        <w:tc>
          <w:tcPr>
            <w:tcW w:w="1000" w:type="dxa"/>
            <w:vAlign w:val="bottom"/>
            <w:gridSpan w:val="3"/>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52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09"/>
              <w:spacing w:after="0"/>
              <w:rPr>
                <w:sz w:val="20"/>
                <w:szCs w:val="20"/>
                <w:color w:val="auto"/>
              </w:rPr>
            </w:pPr>
            <w:r>
              <w:rPr>
                <w:rFonts w:ascii="Arial" w:cs="Arial" w:eastAsia="Arial" w:hAnsi="Arial"/>
                <w:sz w:val="11"/>
                <w:szCs w:val="11"/>
                <w:color w:val="auto"/>
              </w:rPr>
              <w:t>(44)</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22</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17</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Other financial and non-financial liabilities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6</w:t>
            </w:r>
          </w:p>
        </w:tc>
        <w:tc>
          <w:tcPr>
            <w:tcW w:w="1000" w:type="dxa"/>
            <w:vAlign w:val="bottom"/>
            <w:gridSpan w:val="3"/>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40</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46</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loss carryforwards and tax credits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4,877</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2,477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1,494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Offsetting</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(4,957)</w:t>
            </w:r>
          </w:p>
        </w:tc>
        <w:tc>
          <w:tcPr>
            <w:tcW w:w="1000" w:type="dxa"/>
            <w:vAlign w:val="bottom"/>
            <w:gridSpan w:val="3"/>
          </w:tcPr>
          <w:p>
            <w:pPr>
              <w:jc w:val="right"/>
              <w:ind w:right="260"/>
              <w:spacing w:after="0"/>
              <w:rPr>
                <w:sz w:val="20"/>
                <w:szCs w:val="20"/>
                <w:color w:val="auto"/>
              </w:rPr>
            </w:pPr>
            <w:r>
              <w:rPr>
                <w:rFonts w:ascii="Arial" w:cs="Arial" w:eastAsia="Arial" w:hAnsi="Arial"/>
                <w:sz w:val="11"/>
                <w:szCs w:val="11"/>
                <w:color w:val="auto"/>
              </w:rPr>
              <w:t>(4,957)</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660"/>
              <w:spacing w:after="0"/>
              <w:rPr>
                <w:sz w:val="20"/>
                <w:szCs w:val="20"/>
                <w:color w:val="auto"/>
              </w:rPr>
            </w:pPr>
            <w:r>
              <w:rPr>
                <w:rFonts w:ascii="Arial" w:cs="Arial" w:eastAsia="Arial" w:hAnsi="Arial"/>
                <w:sz w:val="12"/>
                <w:szCs w:val="12"/>
                <w:color w:val="auto"/>
              </w:rPr>
              <w:t>F-44</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33" w:name="page234"/>
    <w:bookmarkEnd w:id="2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65"/>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Basic earnings per share is calculated by dividing earnings after taxes attributable to the shares by the number of participating shares. Earnings per share can be diluted through potential shares, primarily option and subscription rights. As of the reporting date, no additional shares (previous year: 0 shares) had to be considered in calculating diluted earnings per share.</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Earnings per share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10"/>
                <w:szCs w:val="10"/>
                <w:color w:val="auto"/>
              </w:rPr>
            </w:pP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13"/>
        </w:trPr>
        <w:tc>
          <w:tcPr>
            <w:tcW w:w="60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Share capital</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3,349</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2,904</w:t>
            </w:r>
          </w:p>
        </w:tc>
        <w:tc>
          <w:tcPr>
            <w:tcW w:w="80" w:type="dxa"/>
            <w:vAlign w:val="bottom"/>
            <w:shd w:val="clear" w:color="auto" w:fill="CCEEFF"/>
          </w:tcPr>
          <w:p>
            <w:pPr>
              <w:spacing w:after="0"/>
              <w:rPr>
                <w:sz w:val="9"/>
                <w:szCs w:val="9"/>
                <w:color w:val="auto"/>
              </w:rPr>
            </w:pP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Consolidated net profit/loss for the year</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(19,770)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number of shares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Diluted number of shares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earnings per share in €</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r>
      <w:tr>
        <w:trPr>
          <w:trHeight w:val="136"/>
        </w:trPr>
        <w:tc>
          <w:tcPr>
            <w:tcW w:w="6080" w:type="dxa"/>
            <w:vAlign w:val="bottom"/>
            <w:gridSpan w:val="2"/>
          </w:tcPr>
          <w:p>
            <w:pPr>
              <w:spacing w:after="0"/>
              <w:rPr>
                <w:sz w:val="20"/>
                <w:szCs w:val="20"/>
                <w:color w:val="auto"/>
              </w:rPr>
            </w:pPr>
            <w:r>
              <w:rPr>
                <w:rFonts w:ascii="Arial" w:cs="Arial" w:eastAsia="Arial" w:hAnsi="Arial"/>
                <w:sz w:val="11"/>
                <w:szCs w:val="11"/>
                <w:color w:val="auto"/>
              </w:rPr>
              <w:t>Diluted earnings per share in €</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r>
    </w:tbl>
    <w:p>
      <w:pPr>
        <w:spacing w:after="0" w:line="134"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At December 31, 2020, 104,830 options (previous year: 0 options) were excluded from the diluted weighted average number of ordinary shares calculation because their effect would have been anti-dilutive.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average market value of the Company’s shares for the purpose of calculating the dilutive effect of share options was based on quoted market prices for the year during which the options were outstanding.</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17.</w:t>
        <w:tab/>
        <w:t>Intangible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0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05" w:lineRule="exact"/>
              <w:rPr>
                <w:sz w:val="20"/>
                <w:szCs w:val="20"/>
                <w:color w:val="auto"/>
              </w:rPr>
            </w:pPr>
            <w:r>
              <w:rPr>
                <w:rFonts w:ascii="Arial" w:cs="Arial" w:eastAsia="Arial" w:hAnsi="Arial"/>
                <w:sz w:val="10"/>
                <w:szCs w:val="10"/>
                <w:b w:val="1"/>
                <w:bCs w:val="1"/>
                <w:color w:val="auto"/>
              </w:rPr>
              <w:t>licenses</w:t>
            </w:r>
          </w:p>
        </w:tc>
        <w:tc>
          <w:tcPr>
            <w:tcW w:w="36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3,279</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276</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3,555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5,416</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5,426</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8,695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286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8,981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9,258</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61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9,319</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17,953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347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18,300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Amortization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Development</w:t>
            </w: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Software and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4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76"/>
              </w:rPr>
              <w:t>costs</w:t>
            </w:r>
          </w:p>
        </w:tc>
        <w:tc>
          <w:tcPr>
            <w:tcW w:w="98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75"/>
              </w:rPr>
              <w:t>licenses</w:t>
            </w:r>
          </w:p>
        </w:tc>
        <w:tc>
          <w:tcPr>
            <w:tcW w:w="2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75"/>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161</w:t>
            </w: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161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40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201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57</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215</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354" w:right="1440" w:bottom="1440" w:gutter="0" w:footer="0" w:header="0"/>
        </w:sectPr>
      </w:pPr>
    </w:p>
    <w:p>
      <w:pPr>
        <w:spacing w:after="0" w:line="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90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14" w:lineRule="exact"/>
              <w:rPr>
                <w:sz w:val="20"/>
                <w:szCs w:val="20"/>
                <w:color w:val="auto"/>
              </w:rPr>
            </w:pPr>
            <w:r>
              <w:rPr>
                <w:rFonts w:ascii="Arial" w:cs="Arial" w:eastAsia="Arial" w:hAnsi="Arial"/>
                <w:sz w:val="10"/>
                <w:szCs w:val="10"/>
                <w:b w:val="1"/>
                <w:bCs w:val="1"/>
                <w:color w:val="auto"/>
              </w:rPr>
              <w:t>licenses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8,695</w:t>
            </w:r>
          </w:p>
        </w:tc>
        <w:tc>
          <w:tcPr>
            <w:tcW w:w="36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85</w:t>
            </w:r>
          </w:p>
        </w:tc>
        <w:tc>
          <w:tcPr>
            <w:tcW w:w="36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8,780</w:t>
            </w:r>
          </w:p>
        </w:tc>
        <w:tc>
          <w:tcPr>
            <w:tcW w:w="20" w:type="dxa"/>
            <w:vAlign w:val="bottom"/>
          </w:tcPr>
          <w:p>
            <w:pPr>
              <w:spacing w:after="0"/>
              <w:rPr>
                <w:sz w:val="10"/>
                <w:szCs w:val="10"/>
                <w:color w:val="auto"/>
              </w:rPr>
            </w:pPr>
          </w:p>
        </w:tc>
      </w:tr>
      <w:tr>
        <w:trPr>
          <w:trHeight w:val="136"/>
        </w:trPr>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17,795</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89</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17,884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-173990</wp:posOffset>
            </wp:positionV>
            <wp:extent cx="4663440" cy="914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440" w:space="720"/>
            <w:col w:w="2999"/>
          </w:cols>
          <w:pgMar w:left="300" w:top="354" w:right="1440" w:bottom="1440" w:gutter="0" w:footer="0" w:header="0"/>
          <w:type w:val="continuous"/>
        </w:sect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AIR and CONDOR products.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F-45</w:t>
      </w:r>
    </w:p>
    <w:p>
      <w:pPr>
        <w:sectPr>
          <w:pgSz w:w="11900" w:h="16838" w:orient="portrait"/>
          <w:cols w:equalWidth="0" w:num="1">
            <w:col w:w="10159"/>
          </w:cols>
          <w:pgMar w:left="300" w:top="354" w:right="1440" w:bottom="1440" w:gutter="0" w:footer="0" w:header="0"/>
          <w:type w:val="continuous"/>
        </w:sectPr>
      </w:pPr>
    </w:p>
    <w:bookmarkStart w:id="234" w:name="page235"/>
    <w:bookmarkEnd w:id="2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 fiscal year 2020, finance expenses in the amount of €1,010 thousand (previous year: €91 thousand) were capitalized as the cost of the development projects in accordance with IAS 23.</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The development activities for the basic technology AIR were completed in June 2020. The amortization of the associated capitalized development costs for Air technology started on July 1, 2020 applying the useful life of 15 years.</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capitalized development projects not yet available for use were subjected to an impairment test, as in the previous year. The recoverable amount of the cash-generating unit is determined based on the calculation of a value in use, applying cash flow projections.</w:t>
      </w:r>
    </w:p>
    <w:p>
      <w:pPr>
        <w:spacing w:after="0" w:line="115"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This planning, which covers the period until 2035, is based on the expectations as regards future market shares, the general development of the relevant markets, and the profitability of the products. The assumptions used for planning are verified with reference to both historical development and external sources of information.</w:t>
      </w:r>
    </w:p>
    <w:p>
      <w:pPr>
        <w:spacing w:after="0" w:line="122" w:lineRule="exact"/>
        <w:rPr>
          <w:sz w:val="20"/>
          <w:szCs w:val="20"/>
          <w:color w:val="auto"/>
        </w:rPr>
      </w:pPr>
    </w:p>
    <w:p>
      <w:pPr>
        <w:ind w:left="1980" w:right="1139"/>
        <w:spacing w:after="0" w:line="263" w:lineRule="auto"/>
        <w:rPr>
          <w:sz w:val="20"/>
          <w:szCs w:val="20"/>
          <w:color w:val="auto"/>
        </w:rPr>
      </w:pPr>
      <w:r>
        <w:rPr>
          <w:rFonts w:ascii="Arial" w:cs="Arial" w:eastAsia="Arial" w:hAnsi="Arial"/>
          <w:sz w:val="12"/>
          <w:szCs w:val="12"/>
          <w:color w:val="auto"/>
        </w:rPr>
        <w:t>The discount rate used corresponds to the weighted average cost of capital (WACC). WACC is determined based on the capital asset pricing model (CAPM), considering current market expectations. To determine risk-adjusted interest rates for impairment test purposes, specific peer group information regarding beta factors, capital structure data, and the borrowing rate are used.</w:t>
      </w:r>
    </w:p>
    <w:p>
      <w:pPr>
        <w:spacing w:after="0" w:line="122"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The risk-adjusted after-tax interest rates used to discount the cash flows for the cash generating unit Space and the cash-generating unit Air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98"/>
              </w:rPr>
              <w:t>2020</w:t>
            </w:r>
          </w:p>
        </w:tc>
        <w:tc>
          <w:tcPr>
            <w:tcW w:w="2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r>
      <w:tr>
        <w:trPr>
          <w:trHeight w:val="124"/>
        </w:trPr>
        <w:tc>
          <w:tcPr>
            <w:tcW w:w="600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Cash-generating unit</w:t>
            </w:r>
          </w:p>
        </w:tc>
        <w:tc>
          <w:tcPr>
            <w:tcW w:w="2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76"/>
              </w:rPr>
              <w:t>Space</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48"/>
              <w:spacing w:after="0" w:line="124" w:lineRule="exact"/>
              <w:rPr>
                <w:sz w:val="20"/>
                <w:szCs w:val="20"/>
                <w:color w:val="auto"/>
              </w:rPr>
            </w:pPr>
            <w:r>
              <w:rPr>
                <w:rFonts w:ascii="Arial" w:cs="Arial" w:eastAsia="Arial" w:hAnsi="Arial"/>
                <w:sz w:val="11"/>
                <w:szCs w:val="11"/>
                <w:color w:val="auto"/>
              </w:rPr>
              <w:t>Air</w:t>
            </w:r>
          </w:p>
        </w:tc>
        <w:tc>
          <w:tcPr>
            <w:tcW w:w="2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w w:val="76"/>
              </w:rPr>
              <w:t>Space</w:t>
            </w:r>
          </w:p>
        </w:tc>
        <w:tc>
          <w:tcPr>
            <w:tcW w:w="120" w:type="dxa"/>
            <w:vAlign w:val="bottom"/>
            <w:shd w:val="clear" w:color="auto" w:fill="CCEEFF"/>
          </w:tcPr>
          <w:p>
            <w:pPr>
              <w:spacing w:after="0"/>
              <w:rPr>
                <w:sz w:val="10"/>
                <w:szCs w:val="10"/>
                <w:color w:val="auto"/>
              </w:rPr>
            </w:pPr>
          </w:p>
        </w:tc>
      </w:tr>
      <w:tr>
        <w:trPr>
          <w:trHeight w:val="136"/>
        </w:trPr>
        <w:tc>
          <w:tcPr>
            <w:tcW w:w="6000" w:type="dxa"/>
            <w:vAlign w:val="bottom"/>
          </w:tcPr>
          <w:p>
            <w:pPr>
              <w:spacing w:after="0"/>
              <w:rPr>
                <w:sz w:val="20"/>
                <w:szCs w:val="20"/>
                <w:color w:val="auto"/>
              </w:rPr>
            </w:pPr>
            <w:r>
              <w:rPr>
                <w:rFonts w:ascii="Arial" w:cs="Arial" w:eastAsia="Arial" w:hAnsi="Arial"/>
                <w:sz w:val="11"/>
                <w:szCs w:val="11"/>
                <w:color w:val="auto"/>
              </w:rPr>
              <w:t>After-tax discount rates</w:t>
            </w:r>
          </w:p>
        </w:tc>
        <w:tc>
          <w:tcPr>
            <w:tcW w:w="480" w:type="dxa"/>
            <w:vAlign w:val="bottom"/>
            <w:gridSpan w:val="2"/>
          </w:tcPr>
          <w:p>
            <w:pPr>
              <w:ind w:left="40"/>
              <w:spacing w:after="0"/>
              <w:rPr>
                <w:sz w:val="20"/>
                <w:szCs w:val="20"/>
                <w:color w:val="auto"/>
              </w:rPr>
            </w:pPr>
            <w:r>
              <w:rPr>
                <w:rFonts w:ascii="Arial" w:cs="Arial" w:eastAsia="Arial" w:hAnsi="Arial"/>
                <w:sz w:val="11"/>
                <w:szCs w:val="11"/>
                <w:color w:val="auto"/>
              </w:rPr>
              <w:t>17.25%</w:t>
            </w:r>
          </w:p>
        </w:tc>
        <w:tc>
          <w:tcPr>
            <w:tcW w:w="480" w:type="dxa"/>
            <w:vAlign w:val="bottom"/>
          </w:tcPr>
          <w:p>
            <w:pPr>
              <w:jc w:val="right"/>
              <w:ind w:right="68"/>
              <w:spacing w:after="0"/>
              <w:rPr>
                <w:sz w:val="20"/>
                <w:szCs w:val="20"/>
                <w:color w:val="auto"/>
              </w:rPr>
            </w:pPr>
            <w:r>
              <w:rPr>
                <w:rFonts w:ascii="Arial" w:cs="Arial" w:eastAsia="Arial" w:hAnsi="Arial"/>
                <w:sz w:val="11"/>
                <w:szCs w:val="11"/>
                <w:color w:val="auto"/>
                <w:w w:val="91"/>
              </w:rPr>
              <w:t>20.33%</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85"/>
              </w:rPr>
              <w:t>20.33%</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fiscal year 2020, development costs in the amount of €6,203 thousand (previous year: €2,072 thousand) were recognized as an expense since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criteria set out in IAS 38.57 were not met. Of the total amount of €14,449 thousand (previous year: €7,397 thousand), development costs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€8,248 thousand (previous year: €5,325 thousand) were capitalized.</w:t>
      </w:r>
    </w:p>
    <w:p>
      <w:pPr>
        <w:spacing w:after="0" w:line="236" w:lineRule="exact"/>
        <w:rPr>
          <w:sz w:val="20"/>
          <w:szCs w:val="20"/>
          <w:color w:val="auto"/>
        </w:rPr>
      </w:pPr>
    </w:p>
    <w:p>
      <w:pPr>
        <w:ind w:left="2260" w:hanging="288"/>
        <w:spacing w:after="0"/>
        <w:tabs>
          <w:tab w:leader="none" w:pos="2260"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100" w:type="dxa"/>
            <w:vAlign w:val="bottom"/>
          </w:tcPr>
          <w:p>
            <w:pPr>
              <w:spacing w:after="0"/>
              <w:rPr>
                <w:sz w:val="8"/>
                <w:szCs w:val="8"/>
                <w:color w:val="auto"/>
              </w:rPr>
            </w:pPr>
          </w:p>
        </w:tc>
        <w:tc>
          <w:tcPr>
            <w:tcW w:w="72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5"/>
              </w:rPr>
              <w:t>Land and</w:t>
            </w: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4"/>
              </w:rPr>
              <w:t>and office</w:t>
            </w:r>
          </w:p>
        </w:tc>
        <w:tc>
          <w:tcPr>
            <w:tcW w:w="86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6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5"/>
              </w:rPr>
              <w:t>buildings</w:t>
            </w:r>
          </w:p>
        </w:tc>
        <w:tc>
          <w:tcPr>
            <w:tcW w:w="76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88"/>
              </w:rPr>
              <w:t>Machinery</w:t>
            </w:r>
          </w:p>
        </w:tc>
        <w:tc>
          <w:tcPr>
            <w:tcW w:w="84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6"/>
              </w:rPr>
              <w:t>equipment</w:t>
            </w:r>
          </w:p>
        </w:tc>
        <w:tc>
          <w:tcPr>
            <w:tcW w:w="86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40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1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w:t>
            </w:r>
          </w:p>
        </w:tc>
        <w:tc>
          <w:tcPr>
            <w:tcW w:w="3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1,052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450</w:t>
            </w:r>
          </w:p>
        </w:tc>
        <w:tc>
          <w:tcPr>
            <w:tcW w:w="3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1,346</w:t>
            </w:r>
          </w:p>
        </w:tc>
        <w:tc>
          <w:tcPr>
            <w:tcW w:w="3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2,875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90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434</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461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991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1,976</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1,063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(1)</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(46)</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(188)</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(235)</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1,180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2,099</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865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472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4,616</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1820" w:type="dxa"/>
            <w:vAlign w:val="bottom"/>
            <w:gridSpan w:val="3"/>
          </w:tcPr>
          <w:p>
            <w:pPr>
              <w:jc w:val="right"/>
              <w:ind w:right="28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(12)</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81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1,790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1,977</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3,277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7,125</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542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490</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(1,032)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(128)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(169)</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(297)</w:t>
            </w:r>
          </w:p>
        </w:tc>
        <w:tc>
          <w:tcPr>
            <w:tcW w:w="0" w:type="dxa"/>
            <w:vAlign w:val="bottom"/>
          </w:tcPr>
          <w:p>
            <w:pPr>
              <w:spacing w:after="0"/>
              <w:rPr>
                <w:sz w:val="1"/>
                <w:szCs w:val="1"/>
                <w:color w:val="auto"/>
              </w:rPr>
            </w:pPr>
          </w:p>
        </w:tc>
      </w:tr>
      <w:tr>
        <w:trPr>
          <w:trHeight w:val="136"/>
        </w:trPr>
        <w:tc>
          <w:tcPr>
            <w:tcW w:w="266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1,256</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4,303</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3,151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2,717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11,427</w:t>
            </w:r>
          </w:p>
        </w:tc>
        <w:tc>
          <w:tcPr>
            <w:tcW w:w="0" w:type="dxa"/>
            <w:vAlign w:val="bottom"/>
          </w:tcPr>
          <w:p>
            <w:pPr>
              <w:spacing w:after="0"/>
              <w:rPr>
                <w:sz w:val="1"/>
                <w:szCs w:val="1"/>
                <w:color w:val="auto"/>
              </w:rPr>
            </w:pPr>
          </w:p>
        </w:tc>
      </w:tr>
      <w:tr>
        <w:trPr>
          <w:trHeight w:val="242"/>
        </w:trPr>
        <w:tc>
          <w:tcPr>
            <w:tcW w:w="5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820" w:type="dxa"/>
            <w:vAlign w:val="bottom"/>
            <w:gridSpan w:val="3"/>
          </w:tcPr>
          <w:p>
            <w:pPr>
              <w:jc w:val="right"/>
              <w:ind w:right="700"/>
              <w:spacing w:after="0"/>
              <w:rPr>
                <w:sz w:val="20"/>
                <w:szCs w:val="20"/>
                <w:color w:val="auto"/>
              </w:rPr>
            </w:pPr>
            <w:r>
              <w:rPr>
                <w:rFonts w:ascii="Arial" w:cs="Arial" w:eastAsia="Arial" w:hAnsi="Arial"/>
                <w:sz w:val="12"/>
                <w:szCs w:val="12"/>
                <w:color w:val="auto"/>
              </w:rPr>
              <w:t>F-46</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35" w:name="page236"/>
    <w:bookmarkEnd w:id="2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4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5"/>
              </w:rPr>
              <w:t>Land and</w:t>
            </w: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4"/>
              </w:rPr>
              <w:t>and office</w:t>
            </w:r>
          </w:p>
        </w:tc>
        <w:tc>
          <w:tcPr>
            <w:tcW w:w="900" w:type="dxa"/>
            <w:vAlign w:val="bottom"/>
            <w:gridSpan w:val="2"/>
          </w:tcPr>
          <w:p>
            <w:pPr>
              <w:jc w:val="right"/>
              <w:ind w:right="36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680" w:type="dxa"/>
            <w:vAlign w:val="bottom"/>
            <w:gridSpan w:val="2"/>
            <w:vMerge w:val="continue"/>
          </w:tcPr>
          <w:p>
            <w:pPr>
              <w:spacing w:after="0"/>
              <w:rPr>
                <w:sz w:val="9"/>
                <w:szCs w:val="9"/>
                <w:color w:val="auto"/>
              </w:rPr>
            </w:pPr>
          </w:p>
        </w:tc>
        <w:tc>
          <w:tcPr>
            <w:tcW w:w="74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w w:val="85"/>
              </w:rPr>
              <w:t>buildings</w:t>
            </w:r>
          </w:p>
        </w:tc>
        <w:tc>
          <w:tcPr>
            <w:tcW w:w="80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4"/>
              </w:rPr>
              <w:t>Machinery</w:t>
            </w:r>
          </w:p>
        </w:tc>
        <w:tc>
          <w:tcPr>
            <w:tcW w:w="8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6"/>
              </w:rPr>
              <w:t>equipment</w:t>
            </w:r>
          </w:p>
        </w:tc>
        <w:tc>
          <w:tcPr>
            <w:tcW w:w="900" w:type="dxa"/>
            <w:vAlign w:val="bottom"/>
            <w:gridSpan w:val="2"/>
          </w:tcPr>
          <w:p>
            <w:pPr>
              <w:jc w:val="right"/>
              <w:ind w:right="40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6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w:t>
            </w:r>
          </w:p>
        </w:tc>
        <w:tc>
          <w:tcPr>
            <w:tcW w:w="3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302</w:t>
            </w: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111</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423</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76</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156</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167</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Impairment losses</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188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(46)</w:t>
            </w:r>
          </w:p>
        </w:tc>
        <w:tc>
          <w:tcPr>
            <w:tcW w:w="900" w:type="dxa"/>
            <w:vAlign w:val="bottom"/>
            <w:gridSpan w:val="2"/>
          </w:tcPr>
          <w:p>
            <w:pPr>
              <w:jc w:val="right"/>
              <w:ind w:right="320"/>
              <w:spacing w:after="0"/>
              <w:rPr>
                <w:sz w:val="20"/>
                <w:szCs w:val="20"/>
                <w:color w:val="auto"/>
              </w:rPr>
            </w:pPr>
            <w:r>
              <w:rPr>
                <w:rFonts w:ascii="Arial" w:cs="Arial" w:eastAsia="Arial" w:hAnsi="Arial"/>
                <w:sz w:val="11"/>
                <w:szCs w:val="11"/>
                <w:color w:val="auto"/>
              </w:rPr>
              <w:t>(188)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 Jan. 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458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232</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776</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288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415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823</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20"/>
              <w:spacing w:after="0"/>
              <w:rPr>
                <w:sz w:val="20"/>
                <w:szCs w:val="20"/>
                <w:color w:val="auto"/>
              </w:rPr>
            </w:pPr>
            <w:r>
              <w:rPr>
                <w:rFonts w:ascii="Arial" w:cs="Arial" w:eastAsia="Arial" w:hAnsi="Arial"/>
                <w:sz w:val="11"/>
                <w:szCs w:val="11"/>
                <w:color w:val="auto"/>
              </w:rPr>
              <w:t>(116)</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(131)</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630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516</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1,352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76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9"/>
              </w:rPr>
              <w:t>Land and</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4"/>
              </w:rPr>
              <w:t>and office</w:t>
            </w:r>
          </w:p>
        </w:tc>
        <w:tc>
          <w:tcPr>
            <w:tcW w:w="88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3"/>
        </w:trPr>
        <w:tc>
          <w:tcPr>
            <w:tcW w:w="760" w:type="dxa"/>
            <w:vAlign w:val="bottom"/>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w w:val="85"/>
              </w:rPr>
              <w:t>buildings</w:t>
            </w:r>
          </w:p>
        </w:tc>
        <w:tc>
          <w:tcPr>
            <w:tcW w:w="7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Machinery</w:t>
            </w:r>
          </w:p>
        </w:tc>
        <w:tc>
          <w:tcPr>
            <w:tcW w:w="86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6"/>
              </w:rPr>
              <w:t>equipment</w:t>
            </w:r>
          </w:p>
        </w:tc>
        <w:tc>
          <w:tcPr>
            <w:tcW w:w="88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1,094</w:t>
            </w:r>
          </w:p>
        </w:tc>
        <w:tc>
          <w:tcPr>
            <w:tcW w:w="340" w:type="dxa"/>
            <w:vAlign w:val="bottom"/>
          </w:tcPr>
          <w:p>
            <w:pPr>
              <w:spacing w:after="0"/>
              <w:rPr>
                <w:sz w:val="10"/>
                <w:szCs w:val="10"/>
                <w:color w:val="auto"/>
              </w:rPr>
            </w:pPr>
          </w:p>
        </w:tc>
        <w:tc>
          <w:tcPr>
            <w:tcW w:w="440" w:type="dxa"/>
            <w:vAlign w:val="bottom"/>
            <w:tcBorders>
              <w:top w:val="single" w:sz="8" w:color="auto"/>
            </w:tcBorders>
          </w:tcPr>
          <w:p>
            <w:pPr>
              <w:ind w:left="200"/>
              <w:spacing w:after="0" w:line="119" w:lineRule="exact"/>
              <w:rPr>
                <w:sz w:val="20"/>
                <w:szCs w:val="20"/>
                <w:color w:val="auto"/>
              </w:rPr>
            </w:pPr>
            <w:r>
              <w:rPr>
                <w:rFonts w:ascii="Arial" w:cs="Arial" w:eastAsia="Arial" w:hAnsi="Arial"/>
                <w:sz w:val="11"/>
                <w:szCs w:val="11"/>
                <w:color w:val="auto"/>
                <w:w w:val="79"/>
              </w:rPr>
              <w:t>1,641</w:t>
            </w:r>
          </w:p>
        </w:tc>
        <w:tc>
          <w:tcPr>
            <w:tcW w:w="340" w:type="dxa"/>
            <w:vAlign w:val="bottom"/>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633</w:t>
            </w:r>
          </w:p>
        </w:tc>
        <w:tc>
          <w:tcPr>
            <w:tcW w:w="34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472</w:t>
            </w:r>
          </w:p>
        </w:tc>
        <w:tc>
          <w:tcPr>
            <w:tcW w:w="34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3,840</w:t>
            </w:r>
          </w:p>
        </w:tc>
        <w:tc>
          <w:tcPr>
            <w:tcW w:w="20" w:type="dxa"/>
            <w:vAlign w:val="bottom"/>
          </w:tcPr>
          <w:p>
            <w:pPr>
              <w:spacing w:after="0"/>
              <w:rPr>
                <w:sz w:val="10"/>
                <w:szCs w:val="10"/>
                <w:color w:val="auto"/>
              </w:rPr>
            </w:pPr>
          </w:p>
        </w:tc>
      </w:tr>
      <w:tr>
        <w:trPr>
          <w:trHeight w:val="136"/>
        </w:trPr>
        <w:tc>
          <w:tcPr>
            <w:tcW w:w="760" w:type="dxa"/>
            <w:vAlign w:val="bottom"/>
            <w:gridSpan w:val="2"/>
          </w:tcPr>
          <w:p>
            <w:pPr>
              <w:jc w:val="right"/>
              <w:ind w:right="340"/>
              <w:spacing w:after="0"/>
              <w:rPr>
                <w:sz w:val="20"/>
                <w:szCs w:val="20"/>
                <w:color w:val="auto"/>
              </w:rPr>
            </w:pPr>
            <w:r>
              <w:rPr>
                <w:rFonts w:ascii="Arial" w:cs="Arial" w:eastAsia="Arial" w:hAnsi="Arial"/>
                <w:sz w:val="11"/>
                <w:szCs w:val="11"/>
                <w:color w:val="auto"/>
              </w:rPr>
              <w:t>1,050</w:t>
            </w:r>
          </w:p>
        </w:tc>
        <w:tc>
          <w:tcPr>
            <w:tcW w:w="780" w:type="dxa"/>
            <w:vAlign w:val="bottom"/>
            <w:gridSpan w:val="2"/>
          </w:tcPr>
          <w:p>
            <w:pPr>
              <w:ind w:left="200"/>
              <w:spacing w:after="0"/>
              <w:rPr>
                <w:sz w:val="20"/>
                <w:szCs w:val="20"/>
                <w:color w:val="auto"/>
              </w:rPr>
            </w:pPr>
            <w:r>
              <w:rPr>
                <w:rFonts w:ascii="Arial" w:cs="Arial" w:eastAsia="Arial" w:hAnsi="Arial"/>
                <w:sz w:val="11"/>
                <w:szCs w:val="11"/>
                <w:color w:val="auto"/>
              </w:rPr>
              <w:t>3,673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2,635</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2,717</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10,075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-173990</wp:posOffset>
            </wp:positionV>
            <wp:extent cx="4663440" cy="914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960" w:space="720"/>
            <w:col w:w="4479"/>
          </w:cols>
          <w:pgMar w:left="300" w:top="354" w:right="1440" w:bottom="1440" w:gutter="0" w:footer="0" w:header="0"/>
          <w:type w:val="continuous"/>
        </w:sectPr>
      </w:pPr>
    </w:p>
    <w:p>
      <w:pPr>
        <w:ind w:left="1980" w:right="879"/>
        <w:spacing w:after="0" w:line="256" w:lineRule="auto"/>
        <w:rPr>
          <w:sz w:val="20"/>
          <w:szCs w:val="20"/>
          <w:color w:val="auto"/>
        </w:rPr>
      </w:pPr>
      <w:r>
        <w:rPr>
          <w:rFonts w:ascii="Arial" w:cs="Arial" w:eastAsia="Arial" w:hAnsi="Arial"/>
          <w:sz w:val="12"/>
          <w:szCs w:val="12"/>
          <w:color w:val="auto"/>
        </w:rPr>
        <w:t>Investments in property, plant, and equipment made in fiscal year 2020 in the amount of €7,125 thousand (previous year: €1,976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 The newly rented office has been used since November 2020.</w:t>
      </w:r>
    </w:p>
    <w:p>
      <w:pPr>
        <w:spacing w:after="0" w:line="12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 fiscal year 2020, finance expenses in the amount of €45 thousand (previous year: €1 thousand) were recorded as the cost of property, plant, and equipment in accordance with IAS 23.</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19.</w:t>
        <w:tab/>
        <w:t>Right-of-use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79"/>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7,278</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7,289</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7,289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7,300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(77)</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2,004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2,012</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9,216</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19</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9,235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F-47</w:t>
      </w:r>
    </w:p>
    <w:p>
      <w:pPr>
        <w:sectPr>
          <w:pgSz w:w="11900" w:h="16838" w:orient="portrait"/>
          <w:cols w:equalWidth="0" w:num="1">
            <w:col w:w="10159"/>
          </w:cols>
          <w:pgMar w:left="300" w:top="354" w:right="1440" w:bottom="1440" w:gutter="0" w:footer="0" w:header="0"/>
          <w:type w:val="continuous"/>
        </w:sectPr>
      </w:pPr>
    </w:p>
    <w:bookmarkStart w:id="236" w:name="page237"/>
    <w:bookmarkEnd w:id="2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ind w:left="460"/>
              <w:spacing w:after="0"/>
              <w:rPr>
                <w:sz w:val="20"/>
                <w:szCs w:val="20"/>
                <w:color w:val="auto"/>
              </w:rPr>
            </w:pPr>
            <w:r>
              <w:rPr>
                <w:rFonts w:ascii="Arial" w:cs="Arial" w:eastAsia="Arial" w:hAnsi="Arial"/>
                <w:sz w:val="5"/>
                <w:szCs w:val="5"/>
                <w:color w:val="auto"/>
                <w:w w:val="70"/>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801</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805</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1,287</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6</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3"/>
              </w:rPr>
              <w:t>Real estate</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8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leases</w:t>
            </w:r>
          </w:p>
        </w:tc>
        <w:tc>
          <w:tcPr>
            <w:tcW w:w="86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Other leases</w:t>
            </w:r>
          </w:p>
        </w:tc>
        <w:tc>
          <w:tcPr>
            <w:tcW w:w="2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6,801</w:t>
            </w:r>
          </w:p>
        </w:tc>
        <w:tc>
          <w:tcPr>
            <w:tcW w:w="36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9</w:t>
            </w:r>
          </w:p>
        </w:tc>
        <w:tc>
          <w:tcPr>
            <w:tcW w:w="360" w:type="dxa"/>
            <w:vAlign w:val="bottom"/>
          </w:tcPr>
          <w:p>
            <w:pPr>
              <w:spacing w:after="0"/>
              <w:rPr>
                <w:sz w:val="10"/>
                <w:szCs w:val="10"/>
                <w:color w:val="auto"/>
              </w:rPr>
            </w:pPr>
          </w:p>
        </w:tc>
        <w:tc>
          <w:tcPr>
            <w:tcW w:w="2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1"/>
                <w:szCs w:val="11"/>
                <w:color w:val="auto"/>
                <w:w w:val="79"/>
              </w:rPr>
              <w:t>6,810</w:t>
            </w:r>
          </w:p>
        </w:tc>
        <w:tc>
          <w:tcPr>
            <w:tcW w:w="20" w:type="dxa"/>
            <w:vAlign w:val="bottom"/>
          </w:tcPr>
          <w:p>
            <w:pPr>
              <w:spacing w:after="0"/>
              <w:rPr>
                <w:sz w:val="10"/>
                <w:szCs w:val="10"/>
                <w:color w:val="auto"/>
              </w:rPr>
            </w:pPr>
          </w:p>
        </w:tc>
      </w:tr>
      <w:tr>
        <w:trPr>
          <w:trHeight w:val="136"/>
        </w:trPr>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7,929</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13</w:t>
            </w: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7,942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-173990</wp:posOffset>
            </wp:positionV>
            <wp:extent cx="4663440" cy="914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620" w:space="720"/>
            <w:col w:w="2819"/>
          </w:cols>
          <w:pgMar w:left="300" w:top="354" w:right="1440" w:bottom="1440" w:gutter="0" w:footer="0" w:header="0"/>
          <w:type w:val="continuous"/>
        </w:sectPr>
      </w:pPr>
    </w:p>
    <w:p>
      <w:pPr>
        <w:ind w:left="1980" w:right="959"/>
        <w:spacing w:after="0" w:line="259" w:lineRule="auto"/>
        <w:rPr>
          <w:sz w:val="20"/>
          <w:szCs w:val="20"/>
          <w:color w:val="auto"/>
        </w:rPr>
      </w:pPr>
      <w:r>
        <w:rPr>
          <w:rFonts w:ascii="Arial" w:cs="Arial" w:eastAsia="Arial" w:hAnsi="Arial"/>
          <w:sz w:val="12"/>
          <w:szCs w:val="12"/>
          <w:color w:val="auto"/>
        </w:rPr>
        <w:t>The Group has entered into leases for properties as well as operating and office equipment that it uses for its operations. Rental contracts for properties have a term of between five and 10 years. The term for operating and office equipment ranges from three to five years. The obligations of the Group from its lease agreements are collateralized through the lessor’s ownership of the leased assets. Several lease agreements contain extension and termination options that are described in more detail below.</w:t>
      </w:r>
    </w:p>
    <w:p>
      <w:pPr>
        <w:spacing w:after="0" w:line="124"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Group has also entered into lease agreements for properties and operating and office equipment with a term of not more than 12 months, as well as leases for low-value office equipment. For these leases, the Group applies the practical expedients applicable to short-term leases and leases for leases for low-value assets.</w:t>
      </w:r>
    </w:p>
    <w:p>
      <w:pPr>
        <w:spacing w:after="0" w:line="122" w:lineRule="exact"/>
        <w:rPr>
          <w:sz w:val="20"/>
          <w:szCs w:val="20"/>
          <w:color w:val="auto"/>
        </w:rPr>
      </w:pPr>
    </w:p>
    <w:p>
      <w:pPr>
        <w:ind w:left="1980" w:right="1099"/>
        <w:spacing w:after="0" w:line="379" w:lineRule="auto"/>
        <w:rPr>
          <w:sz w:val="20"/>
          <w:szCs w:val="20"/>
          <w:color w:val="auto"/>
        </w:rPr>
      </w:pPr>
      <w:r>
        <w:rPr>
          <w:rFonts w:ascii="Arial" w:cs="Arial" w:eastAsia="Arial" w:hAnsi="Arial"/>
          <w:sz w:val="10"/>
          <w:szCs w:val="10"/>
          <w:color w:val="auto"/>
        </w:rPr>
        <w:t>The additions presented in the fiscal year in the amount of €2,004 thousand (previous year: €7,278 thousand) relating to property leases concern the newly rented production hall at the site in Oberpfaffenhofen, Germany, as well as the newly occupied office at the site in Los Angeles in the USA.</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amounts were recognized in profit or loss: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8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71"/>
              </w:rPr>
              <w:t>2020</w:t>
            </w:r>
          </w:p>
        </w:tc>
        <w:tc>
          <w:tcPr>
            <w:tcW w:w="10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8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Interest expenses for lease liabilities</w:t>
            </w: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137</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9"/>
                <w:szCs w:val="9"/>
                <w:color w:val="auto"/>
              </w:rPr>
            </w:pPr>
          </w:p>
        </w:tc>
      </w:tr>
      <w:tr>
        <w:trPr>
          <w:trHeight w:val="135"/>
        </w:trPr>
        <w:tc>
          <w:tcPr>
            <w:tcW w:w="6820" w:type="dxa"/>
            <w:vAlign w:val="bottom"/>
            <w:gridSpan w:val="2"/>
          </w:tcPr>
          <w:p>
            <w:pPr>
              <w:spacing w:after="0"/>
              <w:rPr>
                <w:sz w:val="20"/>
                <w:szCs w:val="20"/>
                <w:color w:val="auto"/>
              </w:rPr>
            </w:pPr>
            <w:r>
              <w:rPr>
                <w:rFonts w:ascii="Arial" w:cs="Arial" w:eastAsia="Arial" w:hAnsi="Arial"/>
                <w:sz w:val="11"/>
                <w:szCs w:val="11"/>
                <w:color w:val="auto"/>
              </w:rPr>
              <w:t>Expenses for current lease liabilities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w w:val="86"/>
              </w:rPr>
              <w:t>115</w:t>
            </w:r>
          </w:p>
        </w:tc>
      </w:tr>
      <w:tr>
        <w:trPr>
          <w:trHeight w:val="135"/>
        </w:trPr>
        <w:tc>
          <w:tcPr>
            <w:tcW w:w="6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Expenses for leases of low-value assets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Group’s cash outflows for leases amounted to €816 thousand in 2020 (previous year: €664 thousand). In addition, the Group reported non-cash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additions to right-of-use assets in the amount of €2,012 thousand in 2020 (previous year: €7,288 thousand) and to lease liabilities in the amount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€1,947 thousand (previous year: €7,190 thousand).</w:t>
      </w:r>
    </w:p>
    <w:p>
      <w:pPr>
        <w:spacing w:after="0" w:line="141" w:lineRule="exact"/>
        <w:rPr>
          <w:sz w:val="20"/>
          <w:szCs w:val="20"/>
          <w:color w:val="auto"/>
        </w:rPr>
      </w:pPr>
    </w:p>
    <w:p>
      <w:pPr>
        <w:ind w:left="1980" w:right="1079"/>
        <w:spacing w:after="0" w:line="259" w:lineRule="auto"/>
        <w:rPr>
          <w:sz w:val="20"/>
          <w:szCs w:val="20"/>
          <w:color w:val="auto"/>
        </w:rPr>
      </w:pPr>
      <w:r>
        <w:rPr>
          <w:rFonts w:ascii="Arial" w:cs="Arial" w:eastAsia="Arial" w:hAnsi="Arial"/>
          <w:sz w:val="12"/>
          <w:szCs w:val="12"/>
          <w:color w:val="auto"/>
        </w:rPr>
        <w:t>The Group has entered into several leases that include extension or termination options. These options are negotiated by the management in order to manage the portfolio of leased assets flexibly and in line with the Group’s respective operating requirements. The assessment of whether a lessee is reasonably certain to exercise an option to extend or terminate a lease is subject to material judgments by the management (see Note 4. Material judgments, estimates, and assumptions).</w:t>
      </w:r>
    </w:p>
    <w:p>
      <w:pPr>
        <w:spacing w:after="0" w:line="124"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Several property leases include extension options. Wherever possible, the Group seeks to include extension options when entering into new leases in order to ensure operational flexibility. The extension options can be exercised only by the Group, not by the lessor. The Group assesses on the commencement date whether an</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F-48</w:t>
      </w:r>
    </w:p>
    <w:p>
      <w:pPr>
        <w:sectPr>
          <w:pgSz w:w="11900" w:h="16838" w:orient="portrait"/>
          <w:cols w:equalWidth="0" w:num="1">
            <w:col w:w="10159"/>
          </w:cols>
          <w:pgMar w:left="300" w:top="354" w:right="1440" w:bottom="1440" w:gutter="0" w:footer="0" w:header="0"/>
          <w:type w:val="continuous"/>
        </w:sectPr>
      </w:pPr>
    </w:p>
    <w:bookmarkStart w:id="237" w:name="page238"/>
    <w:bookmarkEnd w:id="2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exercise of the extension option is reasonably certain. If a significant event or a significant change in circumstances outside of the Group’s control occurs, the Group reassesses whether the exercise of the extension option is reasonably certain.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Potential future lease payments from the exercise of extension options did not exist as of the reporting date.</w:t>
      </w:r>
    </w:p>
    <w:p>
      <w:pPr>
        <w:spacing w:after="0" w:line="245"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20.</w:t>
        <w:tab/>
        <w:t>Inventories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break-down of inventories is presented in the table below:</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420" w:type="dxa"/>
            <w:vAlign w:val="bottom"/>
            <w:gridSpan w:val="2"/>
            <w:vMerge w:val="continue"/>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Raw materials and supplies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4,061</w:t>
            </w: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20" w:type="dxa"/>
            <w:vAlign w:val="bottom"/>
            <w:gridSpan w:val="2"/>
          </w:tcPr>
          <w:p>
            <w:pPr>
              <w:spacing w:after="0"/>
              <w:rPr>
                <w:sz w:val="20"/>
                <w:szCs w:val="20"/>
                <w:color w:val="auto"/>
              </w:rPr>
            </w:pPr>
            <w:r>
              <w:rPr>
                <w:rFonts w:ascii="Arial" w:cs="Arial" w:eastAsia="Arial" w:hAnsi="Arial"/>
                <w:sz w:val="11"/>
                <w:szCs w:val="11"/>
                <w:color w:val="auto"/>
              </w:rPr>
              <w:t>Work in progress</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1,169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135"/>
        </w:trPr>
        <w:tc>
          <w:tcPr>
            <w:tcW w:w="6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1,266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2020, inventories of €2,352 thousand (previous year: €428 thousand) were recognized as an expense during the year.</w:t>
      </w:r>
    </w:p>
    <w:p>
      <w:pPr>
        <w:spacing w:after="0" w:line="150"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year ended December 31, 2020 Mynaric recorded write-downs of €120 thousand (previous year: €0 thousand) for work in progress. The write-downs referred to the inventories of HAWK AIR terminals that were written down to their recoverable amount.</w:t>
      </w:r>
    </w:p>
    <w:p>
      <w:pPr>
        <w:spacing w:after="0" w:line="210" w:lineRule="exact"/>
        <w:rPr>
          <w:sz w:val="20"/>
          <w:szCs w:val="20"/>
          <w:color w:val="auto"/>
        </w:rPr>
      </w:pPr>
    </w:p>
    <w:p>
      <w:pPr>
        <w:ind w:left="2260" w:hanging="288"/>
        <w:spacing w:after="0"/>
        <w:tabs>
          <w:tab w:leader="none" w:pos="2260" w:val="left"/>
        </w:tabs>
        <w:numPr>
          <w:ilvl w:val="0"/>
          <w:numId w:val="167"/>
        </w:numPr>
        <w:rPr>
          <w:rFonts w:ascii="Arial" w:cs="Arial" w:eastAsia="Arial" w:hAnsi="Arial"/>
          <w:sz w:val="12"/>
          <w:szCs w:val="12"/>
          <w:b w:val="1"/>
          <w:bCs w:val="1"/>
          <w:color w:val="auto"/>
        </w:rPr>
      </w:pPr>
      <w:r>
        <w:rPr>
          <w:rFonts w:ascii="Arial" w:cs="Arial" w:eastAsia="Arial" w:hAnsi="Arial"/>
          <w:sz w:val="12"/>
          <w:szCs w:val="12"/>
          <w:b w:val="1"/>
          <w:bCs w:val="1"/>
          <w:color w:val="auto"/>
        </w:rPr>
        <w:t>Trade Receivables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As of the reporting date, all trade receivables are denominated in US dollars. The maximum default risk for receivables is their carrying amount. All receivables result from contracts with customers.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6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300" w:type="dxa"/>
            <w:vAlign w:val="bottom"/>
            <w:gridSpan w:val="2"/>
            <w:vMerge w:val="continue"/>
          </w:tcPr>
          <w:p>
            <w:pPr>
              <w:spacing w:after="0"/>
              <w:rPr>
                <w:sz w:val="9"/>
                <w:szCs w:val="9"/>
                <w:color w:val="auto"/>
              </w:rPr>
            </w:pPr>
          </w:p>
        </w:tc>
        <w:tc>
          <w:tcPr>
            <w:tcW w:w="32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9"/>
                <w:szCs w:val="9"/>
                <w:color w:val="auto"/>
              </w:rPr>
            </w:pPr>
          </w:p>
        </w:tc>
        <w:tc>
          <w:tcPr>
            <w:tcW w:w="320" w:type="dxa"/>
            <w:vAlign w:val="bottom"/>
          </w:tcPr>
          <w:p>
            <w:pPr>
              <w:jc w:val="right"/>
              <w:ind w:right="1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550</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ind w:left="28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300" w:type="dxa"/>
            <w:vAlign w:val="bottom"/>
            <w:gridSpan w:val="2"/>
          </w:tcPr>
          <w:p>
            <w:pPr>
              <w:spacing w:after="0"/>
              <w:rPr>
                <w:sz w:val="20"/>
                <w:szCs w:val="20"/>
                <w:color w:val="auto"/>
              </w:rPr>
            </w:pPr>
            <w:r>
              <w:rPr>
                <w:rFonts w:ascii="Arial" w:cs="Arial" w:eastAsia="Arial" w:hAnsi="Arial"/>
                <w:sz w:val="11"/>
                <w:szCs w:val="11"/>
                <w:color w:val="auto"/>
              </w:rPr>
              <w:t>Total</w:t>
            </w:r>
          </w:p>
        </w:tc>
        <w:tc>
          <w:tcPr>
            <w:tcW w:w="680" w:type="dxa"/>
            <w:vAlign w:val="bottom"/>
            <w:gridSpan w:val="2"/>
          </w:tcPr>
          <w:p>
            <w:pPr>
              <w:jc w:val="right"/>
              <w:ind w:right="360"/>
              <w:spacing w:after="0"/>
              <w:rPr>
                <w:sz w:val="20"/>
                <w:szCs w:val="20"/>
                <w:color w:val="auto"/>
              </w:rPr>
            </w:pPr>
            <w:r>
              <w:rPr>
                <w:rFonts w:ascii="Arial" w:cs="Arial" w:eastAsia="Arial" w:hAnsi="Arial"/>
                <w:sz w:val="11"/>
                <w:szCs w:val="11"/>
                <w:color w:val="auto"/>
              </w:rPr>
              <w:t>550</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trade receivables can be broken down by maturity according to the following time bands: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9"/>
              </w:rPr>
              <w:t>more</w:t>
            </w:r>
          </w:p>
        </w:tc>
        <w:tc>
          <w:tcPr>
            <w:tcW w:w="0" w:type="dxa"/>
            <w:vAlign w:val="bottom"/>
          </w:tcPr>
          <w:p>
            <w:pPr>
              <w:spacing w:after="0"/>
              <w:rPr>
                <w:sz w:val="1"/>
                <w:szCs w:val="1"/>
                <w:color w:val="auto"/>
              </w:rPr>
            </w:pPr>
          </w:p>
        </w:tc>
      </w:tr>
      <w:tr>
        <w:trPr>
          <w:trHeight w:val="99"/>
        </w:trPr>
        <w:tc>
          <w:tcPr>
            <w:tcW w:w="39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up to 30</w:t>
            </w:r>
          </w:p>
        </w:tc>
        <w:tc>
          <w:tcPr>
            <w:tcW w:w="600" w:type="dxa"/>
            <w:vAlign w:val="bottom"/>
            <w:gridSpan w:val="2"/>
          </w:tcPr>
          <w:p>
            <w:pPr>
              <w:jc w:val="right"/>
              <w:ind w:right="280"/>
              <w:spacing w:after="0" w:line="99" w:lineRule="exact"/>
              <w:rPr>
                <w:sz w:val="20"/>
                <w:szCs w:val="20"/>
                <w:color w:val="auto"/>
              </w:rPr>
            </w:pPr>
            <w:r>
              <w:rPr>
                <w:rFonts w:ascii="Arial" w:cs="Arial" w:eastAsia="Arial" w:hAnsi="Arial"/>
                <w:sz w:val="10"/>
                <w:szCs w:val="10"/>
                <w:b w:val="1"/>
                <w:bCs w:val="1"/>
                <w:color w:val="auto"/>
                <w:w w:val="80"/>
              </w:rPr>
              <w:t>31 to 60</w:t>
            </w:r>
          </w:p>
        </w:tc>
        <w:tc>
          <w:tcPr>
            <w:tcW w:w="58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0"/>
              </w:rPr>
              <w:t>61 to 90</w:t>
            </w:r>
          </w:p>
        </w:tc>
        <w:tc>
          <w:tcPr>
            <w:tcW w:w="64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91 to 180</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3"/>
              </w:rPr>
              <w:t>than 180</w:t>
            </w:r>
          </w:p>
        </w:tc>
        <w:tc>
          <w:tcPr>
            <w:tcW w:w="0" w:type="dxa"/>
            <w:vAlign w:val="bottom"/>
          </w:tcPr>
          <w:p>
            <w:pPr>
              <w:spacing w:after="0"/>
              <w:rPr>
                <w:sz w:val="1"/>
                <w:szCs w:val="1"/>
                <w:color w:val="auto"/>
              </w:rPr>
            </w:pPr>
          </w:p>
        </w:tc>
      </w:tr>
      <w:tr>
        <w:trPr>
          <w:trHeight w:val="104"/>
        </w:trPr>
        <w:tc>
          <w:tcPr>
            <w:tcW w:w="3940" w:type="dxa"/>
            <w:vAlign w:val="bottom"/>
            <w:gridSpan w:val="2"/>
            <w:vMerge w:val="continue"/>
          </w:tcPr>
          <w:p>
            <w:pPr>
              <w:spacing w:after="0"/>
              <w:rPr>
                <w:sz w:val="9"/>
                <w:szCs w:val="9"/>
                <w:color w:val="auto"/>
              </w:rPr>
            </w:pPr>
          </w:p>
        </w:tc>
        <w:tc>
          <w:tcPr>
            <w:tcW w:w="580" w:type="dxa"/>
            <w:vAlign w:val="bottom"/>
            <w:gridSpan w:val="2"/>
          </w:tcPr>
          <w:p>
            <w:pPr>
              <w:jc w:val="right"/>
              <w:ind w:right="280"/>
              <w:spacing w:after="0" w:line="105" w:lineRule="exact"/>
              <w:rPr>
                <w:sz w:val="20"/>
                <w:szCs w:val="20"/>
                <w:color w:val="auto"/>
              </w:rPr>
            </w:pPr>
            <w:r>
              <w:rPr>
                <w:rFonts w:ascii="Arial" w:cs="Arial" w:eastAsia="Arial" w:hAnsi="Arial"/>
                <w:sz w:val="10"/>
                <w:szCs w:val="10"/>
                <w:b w:val="1"/>
                <w:bCs w:val="1"/>
                <w:color w:val="auto"/>
                <w:w w:val="77"/>
              </w:rPr>
              <w:t>not due</w:t>
            </w:r>
          </w:p>
        </w:tc>
        <w:tc>
          <w:tcPr>
            <w:tcW w:w="600" w:type="dxa"/>
            <w:vAlign w:val="bottom"/>
            <w:gridSpan w:val="2"/>
          </w:tcPr>
          <w:p>
            <w:pPr>
              <w:ind w:left="80"/>
              <w:spacing w:after="0" w:line="105" w:lineRule="exact"/>
              <w:rPr>
                <w:sz w:val="20"/>
                <w:szCs w:val="20"/>
                <w:color w:val="auto"/>
              </w:rPr>
            </w:pPr>
            <w:r>
              <w:rPr>
                <w:rFonts w:ascii="Arial" w:cs="Arial" w:eastAsia="Arial" w:hAnsi="Arial"/>
                <w:sz w:val="10"/>
                <w:szCs w:val="10"/>
                <w:b w:val="1"/>
                <w:bCs w:val="1"/>
                <w:color w:val="auto"/>
              </w:rPr>
              <w:t>days</w:t>
            </w:r>
          </w:p>
        </w:tc>
        <w:tc>
          <w:tcPr>
            <w:tcW w:w="60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rPr>
              <w:t>days</w:t>
            </w:r>
          </w:p>
        </w:tc>
        <w:tc>
          <w:tcPr>
            <w:tcW w:w="58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days</w:t>
            </w:r>
          </w:p>
        </w:tc>
        <w:tc>
          <w:tcPr>
            <w:tcW w:w="64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days</w:t>
            </w:r>
          </w:p>
        </w:tc>
        <w:tc>
          <w:tcPr>
            <w:tcW w:w="4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8"/>
              </w:rPr>
              <w:t>days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9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522</w:t>
            </w:r>
          </w:p>
        </w:tc>
        <w:tc>
          <w:tcPr>
            <w:tcW w:w="2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w:t>
            </w: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F-49</w:t>
      </w:r>
    </w:p>
    <w:p>
      <w:pPr>
        <w:sectPr>
          <w:pgSz w:w="11900" w:h="16838" w:orient="portrait"/>
          <w:cols w:equalWidth="0" w:num="1">
            <w:col w:w="10159"/>
          </w:cols>
          <w:pgMar w:left="300" w:top="354" w:right="1440" w:bottom="1440" w:gutter="0" w:footer="0" w:header="0"/>
        </w:sectPr>
      </w:pPr>
    </w:p>
    <w:bookmarkStart w:id="238" w:name="page239"/>
    <w:bookmarkEnd w:id="2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22.</w:t>
        <w:tab/>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and current financial and non-financial assets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540" w:type="dxa"/>
            <w:vAlign w:val="bottom"/>
            <w:gridSpan w:val="4"/>
          </w:tcPr>
          <w:p>
            <w:pPr>
              <w:ind w:left="320"/>
              <w:spacing w:after="0"/>
              <w:rPr>
                <w:sz w:val="20"/>
                <w:szCs w:val="20"/>
                <w:color w:val="auto"/>
              </w:rPr>
            </w:pPr>
            <w:r>
              <w:rPr>
                <w:rFonts w:ascii="Arial" w:cs="Arial" w:eastAsia="Arial" w:hAnsi="Arial"/>
                <w:sz w:val="10"/>
                <w:szCs w:val="10"/>
                <w:b w:val="1"/>
                <w:bCs w:val="1"/>
                <w:color w:val="auto"/>
              </w:rPr>
              <w:t>Dec. 31, 2020</w:t>
            </w:r>
          </w:p>
        </w:tc>
        <w:tc>
          <w:tcPr>
            <w:tcW w:w="124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Dec. 31, 2019</w:t>
            </w:r>
          </w:p>
        </w:tc>
        <w:tc>
          <w:tcPr>
            <w:tcW w:w="0" w:type="dxa"/>
            <w:vAlign w:val="bottom"/>
          </w:tcPr>
          <w:p>
            <w:pPr>
              <w:spacing w:after="0"/>
              <w:rPr>
                <w:sz w:val="1"/>
                <w:szCs w:val="1"/>
                <w:color w:val="auto"/>
              </w:rPr>
            </w:pPr>
          </w:p>
        </w:tc>
      </w:tr>
      <w:tr>
        <w:trPr>
          <w:trHeight w:val="79"/>
        </w:trPr>
        <w:tc>
          <w:tcPr>
            <w:tcW w:w="4560" w:type="dxa"/>
            <w:vAlign w:val="bottom"/>
            <w:gridSpan w:val="2"/>
            <w:vMerge w:val="continue"/>
          </w:tcPr>
          <w:p>
            <w:pPr>
              <w:spacing w:after="0"/>
              <w:rPr>
                <w:sz w:val="6"/>
                <w:szCs w:val="6"/>
                <w:color w:val="auto"/>
              </w:rPr>
            </w:pPr>
          </w:p>
        </w:tc>
        <w:tc>
          <w:tcPr>
            <w:tcW w:w="6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Current</w:t>
            </w:r>
          </w:p>
        </w:tc>
        <w:tc>
          <w:tcPr>
            <w:tcW w:w="5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340" w:type="dxa"/>
            <w:vAlign w:val="bottom"/>
          </w:tcPr>
          <w:p>
            <w:pPr>
              <w:spacing w:after="0"/>
              <w:rPr>
                <w:sz w:val="6"/>
                <w:szCs w:val="6"/>
                <w:color w:val="auto"/>
              </w:rPr>
            </w:pPr>
          </w:p>
        </w:tc>
        <w:tc>
          <w:tcPr>
            <w:tcW w:w="700" w:type="dxa"/>
            <w:vAlign w:val="bottom"/>
            <w:tcBorders>
              <w:top w:val="single" w:sz="8" w:color="auto"/>
            </w:tcBorders>
            <w:gridSpan w:val="2"/>
          </w:tcPr>
          <w:p>
            <w:pPr>
              <w:jc w:val="right"/>
              <w:ind w:right="360"/>
              <w:spacing w:after="0" w:line="79" w:lineRule="exact"/>
              <w:rPr>
                <w:sz w:val="20"/>
                <w:szCs w:val="20"/>
                <w:color w:val="auto"/>
              </w:rPr>
            </w:pPr>
            <w:r>
              <w:rPr>
                <w:rFonts w:ascii="Arial" w:cs="Arial" w:eastAsia="Arial" w:hAnsi="Arial"/>
                <w:sz w:val="8"/>
                <w:szCs w:val="8"/>
                <w:b w:val="1"/>
                <w:bCs w:val="1"/>
                <w:color w:val="auto"/>
              </w:rPr>
              <w:t>Current</w:t>
            </w:r>
          </w:p>
        </w:tc>
        <w:tc>
          <w:tcPr>
            <w:tcW w:w="5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56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NON-FINANCIAL ASSETS</w:t>
            </w: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Tax receivables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543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163</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Prepaid expenses</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401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Advance payments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194</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377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124</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1,262</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766</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FINANCIAL ASSETS</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Security deposits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80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interest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Bank balances with remaining terms to maturity</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771</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76</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76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76</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1,338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1,758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maximum default risk for financial assets is their carrying amount.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financial bank balances allocated to other financial assets are subject to only insignificant value fluctuations.</w:t>
      </w:r>
    </w:p>
    <w:p>
      <w:pPr>
        <w:spacing w:after="0" w:line="245" w:lineRule="exact"/>
        <w:rPr>
          <w:sz w:val="20"/>
          <w:szCs w:val="20"/>
          <w:color w:val="auto"/>
        </w:rPr>
      </w:pPr>
    </w:p>
    <w:p>
      <w:pPr>
        <w:ind w:left="2260" w:hanging="288"/>
        <w:spacing w:after="0"/>
        <w:tabs>
          <w:tab w:leader="none" w:pos="2260" w:val="left"/>
        </w:tabs>
        <w:numPr>
          <w:ilvl w:val="0"/>
          <w:numId w:val="168"/>
        </w:numPr>
        <w:rPr>
          <w:rFonts w:ascii="Arial" w:cs="Arial" w:eastAsia="Arial" w:hAnsi="Arial"/>
          <w:sz w:val="12"/>
          <w:szCs w:val="12"/>
          <w:b w:val="1"/>
          <w:bCs w:val="1"/>
          <w:color w:val="auto"/>
        </w:rPr>
      </w:pPr>
      <w:r>
        <w:rPr>
          <w:rFonts w:ascii="Arial" w:cs="Arial" w:eastAsia="Arial" w:hAnsi="Arial"/>
          <w:sz w:val="12"/>
          <w:szCs w:val="12"/>
          <w:b w:val="1"/>
          <w:bCs w:val="1"/>
          <w:color w:val="auto"/>
        </w:rPr>
        <w:t>Cash and Cash Equivalents</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As of the reporting date, the balance of cash funds amounted to €43,198 thousand (previous year: €8,914 thousand) and comprises primarily cash on hand and balances held with banks. Bank balances are subject to only insignificant fluctuations in value. As of December 31, 2019, the deposits with a maturity of less than 3 months were included in Cash and Cash Equivalents. Cash funds correspond to cash and cash equivalents as reported in the statement of cash flows.</w:t>
      </w:r>
    </w:p>
    <w:p>
      <w:pPr>
        <w:spacing w:after="0" w:line="219" w:lineRule="exact"/>
        <w:rPr>
          <w:sz w:val="20"/>
          <w:szCs w:val="20"/>
          <w:color w:val="auto"/>
        </w:rPr>
      </w:pPr>
    </w:p>
    <w:p>
      <w:pPr>
        <w:ind w:left="2260" w:hanging="288"/>
        <w:spacing w:after="0"/>
        <w:tabs>
          <w:tab w:leader="none" w:pos="2260" w:val="left"/>
        </w:tabs>
        <w:numPr>
          <w:ilvl w:val="0"/>
          <w:numId w:val="169"/>
        </w:numPr>
        <w:rPr>
          <w:rFonts w:ascii="Arial" w:cs="Arial" w:eastAsia="Arial" w:hAnsi="Arial"/>
          <w:sz w:val="12"/>
          <w:szCs w:val="12"/>
          <w:b w:val="1"/>
          <w:bCs w:val="1"/>
          <w:color w:val="auto"/>
        </w:rPr>
      </w:pPr>
      <w:r>
        <w:rPr>
          <w:rFonts w:ascii="Arial" w:cs="Arial" w:eastAsia="Arial" w:hAnsi="Arial"/>
          <w:sz w:val="12"/>
          <w:szCs w:val="12"/>
          <w:b w:val="1"/>
          <w:bCs w:val="1"/>
          <w:color w:val="auto"/>
        </w:rPr>
        <w:t>Subscribed Capital</w:t>
      </w:r>
    </w:p>
    <w:p>
      <w:pPr>
        <w:spacing w:after="0" w:line="15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of January 1, 2020, the Company’s share capital amounted to €2,904,304, divided into 2,904,304 bearer shares with a nominal value of €1.00 per share.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During the year ended December 31, 2020, share capital was increased to €3,994,734.00 through the issuance of a total of 1,090,430 bearer shares with a nominal value of €1.00 per share. This was due to the following transactions:</w:t>
      </w:r>
    </w:p>
    <w:p>
      <w:pPr>
        <w:spacing w:after="0" w:line="52" w:lineRule="exact"/>
        <w:rPr>
          <w:sz w:val="20"/>
          <w:szCs w:val="20"/>
          <w:color w:val="auto"/>
        </w:rPr>
      </w:pPr>
    </w:p>
    <w:p>
      <w:pPr>
        <w:ind w:left="2620" w:right="979" w:hanging="288"/>
        <w:spacing w:after="0" w:line="298" w:lineRule="auto"/>
        <w:tabs>
          <w:tab w:leader="none" w:pos="2620" w:val="left"/>
        </w:tabs>
        <w:numPr>
          <w:ilvl w:val="0"/>
          <w:numId w:val="170"/>
        </w:numPr>
        <w:rPr>
          <w:rFonts w:ascii="Arial" w:cs="Arial" w:eastAsia="Arial" w:hAnsi="Arial"/>
          <w:sz w:val="11"/>
          <w:szCs w:val="11"/>
          <w:color w:val="auto"/>
        </w:rPr>
      </w:pPr>
      <w:r>
        <w:rPr>
          <w:rFonts w:ascii="Arial" w:cs="Arial" w:eastAsia="Arial" w:hAnsi="Arial"/>
          <w:sz w:val="11"/>
          <w:szCs w:val="11"/>
          <w:color w:val="auto"/>
        </w:rPr>
        <w:t>On February 4, 2020, the Management Board and the Supervisory Board adopted a resolution to increase the Company’s share capital, subject to partial utilization of the 2019 Authorized Capital, by €290,430.00 against cash contributions through the issue of 290,430 new no-par value bearer shares with a pro rata amount in the share capital of €1.00 per share at a price of € 42,50 per share</w:t>
      </w:r>
    </w:p>
    <w:p>
      <w:pPr>
        <w:spacing w:after="0" w:line="41" w:lineRule="exact"/>
        <w:rPr>
          <w:rFonts w:ascii="Arial" w:cs="Arial" w:eastAsia="Arial" w:hAnsi="Arial"/>
          <w:sz w:val="11"/>
          <w:szCs w:val="11"/>
          <w:color w:val="auto"/>
        </w:rPr>
      </w:pPr>
    </w:p>
    <w:p>
      <w:pPr>
        <w:ind w:left="2620" w:right="919" w:hanging="288"/>
        <w:spacing w:after="0" w:line="298" w:lineRule="auto"/>
        <w:tabs>
          <w:tab w:leader="none" w:pos="2620" w:val="left"/>
        </w:tabs>
        <w:numPr>
          <w:ilvl w:val="0"/>
          <w:numId w:val="170"/>
        </w:numPr>
        <w:rPr>
          <w:rFonts w:ascii="Arial" w:cs="Arial" w:eastAsia="Arial" w:hAnsi="Arial"/>
          <w:sz w:val="11"/>
          <w:szCs w:val="11"/>
          <w:color w:val="auto"/>
        </w:rPr>
      </w:pPr>
      <w:r>
        <w:rPr>
          <w:rFonts w:ascii="Arial" w:cs="Arial" w:eastAsia="Arial" w:hAnsi="Arial"/>
          <w:sz w:val="11"/>
          <w:szCs w:val="11"/>
          <w:color w:val="auto"/>
        </w:rPr>
        <w:t>On October 8, 2020, the Management Board and the Supervisory Board adopted a resolution to increase the Company’s share capital, subject to partial utilization of the 2020/I Authorized Capital, by €800,000.00 against cash contributions through the issue of 800,000 new no-par value bearer shares with a pro rata amount in the share capital of €1.00 per share at a price of € 66,00 per share.</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F-50</w:t>
      </w:r>
    </w:p>
    <w:p>
      <w:pPr>
        <w:sectPr>
          <w:pgSz w:w="11900" w:h="16838" w:orient="portrait"/>
          <w:cols w:equalWidth="0" w:num="1">
            <w:col w:w="10159"/>
          </w:cols>
          <w:pgMar w:left="300" w:top="354" w:right="1440" w:bottom="1440" w:gutter="0" w:footer="0" w:header="0"/>
        </w:sectPr>
      </w:pPr>
    </w:p>
    <w:bookmarkStart w:id="239" w:name="page240"/>
    <w:bookmarkEnd w:id="2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1"/>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On June 12, 2020, the Annual General Meeting resolved to create 2020/I Conditional Capital and an additional 2020/II Conditional Capital, and to reduce the 2017/I Conditional Capital.</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2017/I Conditional Capital</w:t>
      </w:r>
    </w:p>
    <w:p>
      <w:pPr>
        <w:spacing w:after="0" w:line="150"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After reduction, the 2017/I Conditional Capital dated September 8, 2017 amounts to €1,500.00 and is now used to grant stock option rights to employees of the Company or its affiliates.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July 2, 2019, 2019 Conditional Capital was created in the amount of €270,000.00. The Management Board is authorized, subject to the consent of the Supervisory Board, to grant stock option rights for shares to members of the Management Board and to employees of the Company or its affiliates on one or more occasions until December 31, 2022.</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2020/II Conditional Capital</w:t>
      </w:r>
    </w:p>
    <w:p>
      <w:pPr>
        <w:spacing w:after="0" w:line="150"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92" w:lineRule="exact"/>
        <w:rPr>
          <w:sz w:val="20"/>
          <w:szCs w:val="20"/>
          <w:color w:val="auto"/>
        </w:rPr>
      </w:pPr>
    </w:p>
    <w:p>
      <w:pPr>
        <w:jc w:val="both"/>
        <w:ind w:left="1980" w:right="919"/>
        <w:spacing w:after="0" w:line="289" w:lineRule="auto"/>
        <w:rPr>
          <w:sz w:val="20"/>
          <w:szCs w:val="20"/>
          <w:color w:val="auto"/>
        </w:rPr>
      </w:pPr>
      <w:r>
        <w:rPr>
          <w:rFonts w:ascii="Arial" w:cs="Arial" w:eastAsia="Arial" w:hAnsi="Arial"/>
          <w:sz w:val="11"/>
          <w:szCs w:val="11"/>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206" w:lineRule="exact"/>
        <w:rPr>
          <w:sz w:val="20"/>
          <w:szCs w:val="20"/>
          <w:color w:val="auto"/>
        </w:rPr>
      </w:pPr>
    </w:p>
    <w:p>
      <w:pPr>
        <w:ind w:left="2260" w:hanging="288"/>
        <w:spacing w:after="0"/>
        <w:tabs>
          <w:tab w:leader="none" w:pos="2260" w:val="left"/>
        </w:tabs>
        <w:numPr>
          <w:ilvl w:val="0"/>
          <w:numId w:val="172"/>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authorization of the Management Board to increase the Company’s share capital on one or more occasions until July 1, 2024 by up to a total amount of €1,061,722.00 against cash contributions and/or contributions in kind through the issue of up to 1,061,722 new no-par value bearer shares (2019 Authorized Capital) was rescinded at the Annual General Meeting on June 12, 2020. Instead, the Management Board is authorized, subject to the consent of the Supervisory Board, to increase the Company’s share capital on one or more occasions until June 11, 2025 by up to a total amount of €1,597,367.00 through the issue of up to 1,597,367 new no-par-value bearer shares against cash contributions and/or contributions in kind (2020 Authorized Capital).</w:t>
      </w:r>
    </w:p>
    <w:p>
      <w:pPr>
        <w:spacing w:after="0" w:line="223" w:lineRule="exact"/>
        <w:rPr>
          <w:sz w:val="20"/>
          <w:szCs w:val="20"/>
          <w:color w:val="auto"/>
        </w:rPr>
      </w:pPr>
    </w:p>
    <w:p>
      <w:pPr>
        <w:ind w:left="2260" w:hanging="288"/>
        <w:spacing w:after="0"/>
        <w:tabs>
          <w:tab w:leader="none" w:pos="2260" w:val="left"/>
        </w:tabs>
        <w:numPr>
          <w:ilvl w:val="0"/>
          <w:numId w:val="173"/>
        </w:numPr>
        <w:rPr>
          <w:rFonts w:ascii="Arial" w:cs="Arial" w:eastAsia="Arial" w:hAnsi="Arial"/>
          <w:sz w:val="12"/>
          <w:szCs w:val="12"/>
          <w:b w:val="1"/>
          <w:bCs w:val="1"/>
          <w:color w:val="auto"/>
        </w:rPr>
      </w:pPr>
      <w:r>
        <w:rPr>
          <w:rFonts w:ascii="Arial" w:cs="Arial" w:eastAsia="Arial" w:hAnsi="Arial"/>
          <w:sz w:val="12"/>
          <w:szCs w:val="12"/>
          <w:b w:val="1"/>
          <w:bCs w:val="1"/>
          <w:color w:val="auto"/>
        </w:rPr>
        <w:t>Capital Reserve</w:t>
      </w:r>
    </w:p>
    <w:p>
      <w:pPr>
        <w:spacing w:after="0" w:line="154"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capital reserve comprises the premiums received in connection with the issuance of new shares, share-based payments, and the costs of capital increases.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F-51</w:t>
      </w:r>
    </w:p>
    <w:p>
      <w:pPr>
        <w:sectPr>
          <w:pgSz w:w="11900" w:h="16838" w:orient="portrait"/>
          <w:cols w:equalWidth="0" w:num="1">
            <w:col w:w="10159"/>
          </w:cols>
          <w:pgMar w:left="300" w:top="354" w:right="1440" w:bottom="1440" w:gutter="0" w:footer="0" w:header="0"/>
        </w:sectPr>
      </w:pPr>
    </w:p>
    <w:bookmarkStart w:id="240" w:name="page241"/>
    <w:bookmarkEnd w:id="2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4"/>
        </w:numPr>
        <w:rPr>
          <w:rFonts w:ascii="Arial" w:cs="Arial" w:eastAsia="Arial" w:hAnsi="Arial"/>
          <w:sz w:val="12"/>
          <w:szCs w:val="12"/>
          <w:b w:val="1"/>
          <w:bCs w:val="1"/>
          <w:color w:val="auto"/>
        </w:rPr>
      </w:pPr>
      <w:r>
        <w:rPr>
          <w:rFonts w:ascii="Arial" w:cs="Arial" w:eastAsia="Arial" w:hAnsi="Arial"/>
          <w:sz w:val="12"/>
          <w:szCs w:val="12"/>
          <w:b w:val="1"/>
          <w:bCs w:val="1"/>
          <w:color w:val="auto"/>
        </w:rPr>
        <w:t>Prepaid Share Reserve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prepaid share reserve comprises of not refundable prepaid capital contributions for new shares which are not issued at the reporting date.</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reported prepaid share reserve was due to the following transaction:</w:t>
      </w:r>
    </w:p>
    <w:p>
      <w:pPr>
        <w:spacing w:after="0" w:line="87" w:lineRule="exact"/>
        <w:rPr>
          <w:sz w:val="20"/>
          <w:szCs w:val="20"/>
          <w:color w:val="auto"/>
        </w:rPr>
      </w:pPr>
    </w:p>
    <w:p>
      <w:pPr>
        <w:ind w:left="2620" w:right="839" w:hanging="288"/>
        <w:spacing w:after="0" w:line="281" w:lineRule="auto"/>
        <w:tabs>
          <w:tab w:leader="none" w:pos="2620" w:val="left"/>
        </w:tabs>
        <w:numPr>
          <w:ilvl w:val="1"/>
          <w:numId w:val="175"/>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210" w:lineRule="exact"/>
        <w:rPr>
          <w:rFonts w:ascii="Arial" w:cs="Arial" w:eastAsia="Arial" w:hAnsi="Arial"/>
          <w:sz w:val="11"/>
          <w:szCs w:val="11"/>
          <w:color w:val="auto"/>
        </w:rPr>
      </w:pPr>
    </w:p>
    <w:p>
      <w:pPr>
        <w:ind w:left="2260" w:hanging="288"/>
        <w:spacing w:after="0"/>
        <w:tabs>
          <w:tab w:leader="none" w:pos="2260" w:val="left"/>
        </w:tabs>
        <w:numPr>
          <w:ilvl w:val="0"/>
          <w:numId w:val="175"/>
        </w:numPr>
        <w:rPr>
          <w:rFonts w:ascii="Arial" w:cs="Arial" w:eastAsia="Arial" w:hAnsi="Arial"/>
          <w:sz w:val="12"/>
          <w:szCs w:val="12"/>
          <w:b w:val="1"/>
          <w:bCs w:val="1"/>
          <w:color w:val="auto"/>
        </w:rPr>
      </w:pPr>
      <w:r>
        <w:rPr>
          <w:rFonts w:ascii="Arial" w:cs="Arial" w:eastAsia="Arial" w:hAnsi="Arial"/>
          <w:sz w:val="12"/>
          <w:szCs w:val="12"/>
          <w:b w:val="1"/>
          <w:bCs w:val="1"/>
          <w:color w:val="auto"/>
        </w:rPr>
        <w:t>Exchange Rate Differences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The reserve for exchange rate differences comprises all currency translation differences arising due to the translation of the financial statements of foreign operations.</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28.</w:t>
        <w:tab/>
        <w:t>Provisions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and non-current provisions changed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1"/>
              </w:rPr>
              <w:t>Jan. 1, 2020</w:t>
            </w:r>
          </w:p>
        </w:tc>
        <w:tc>
          <w:tcPr>
            <w:tcW w:w="5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7"/>
              </w:rPr>
              <w:t>Utilization</w:t>
            </w:r>
          </w:p>
        </w:tc>
        <w:tc>
          <w:tcPr>
            <w:tcW w:w="300" w:type="dxa"/>
            <w:vAlign w:val="bottom"/>
          </w:tcPr>
          <w:p>
            <w:pPr>
              <w:spacing w:after="0"/>
              <w:rPr>
                <w:sz w:val="11"/>
                <w:szCs w:val="11"/>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0"/>
              </w:rPr>
              <w:t>Reversals</w:t>
            </w: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2"/>
              </w:rPr>
              <w:t>Additions</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2020</w:t>
            </w: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Litigation</w:t>
            </w:r>
          </w:p>
        </w:tc>
        <w:tc>
          <w:tcPr>
            <w:tcW w:w="28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330</w:t>
            </w:r>
          </w:p>
        </w:tc>
        <w:tc>
          <w:tcPr>
            <w:tcW w:w="4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675</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1,005</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Asset retirement obligations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66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164</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w:t>
            </w:r>
          </w:p>
        </w:tc>
      </w:tr>
      <w:tr>
        <w:trPr>
          <w:trHeight w:val="140"/>
        </w:trPr>
        <w:tc>
          <w:tcPr>
            <w:tcW w:w="33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434</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743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1,177</w:t>
            </w:r>
          </w:p>
        </w:tc>
      </w:tr>
      <w:tr>
        <w:trPr>
          <w:trHeight w:val="238"/>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Arial" w:cs="Arial" w:eastAsia="Arial" w:hAnsi="Arial"/>
                <w:sz w:val="10"/>
                <w:szCs w:val="10"/>
                <w:b w:val="1"/>
                <w:bCs w:val="1"/>
                <w:color w:val="auto"/>
              </w:rPr>
              <w:t>thereof non-current</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3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Asset retirement obligations</w:t>
            </w:r>
          </w:p>
        </w:tc>
        <w:tc>
          <w:tcPr>
            <w:tcW w:w="90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98</w:t>
            </w:r>
          </w:p>
        </w:tc>
        <w:tc>
          <w:tcPr>
            <w:tcW w:w="56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66</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164</w:t>
            </w:r>
          </w:p>
        </w:tc>
        <w:tc>
          <w:tcPr>
            <w:tcW w:w="40" w:type="dxa"/>
            <w:vAlign w:val="bottom"/>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104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68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172</w:t>
            </w:r>
          </w:p>
        </w:tc>
      </w:tr>
    </w:tbl>
    <w:p>
      <w:pPr>
        <w:spacing w:after="0" w:line="230" w:lineRule="exact"/>
        <w:rPr>
          <w:sz w:val="20"/>
          <w:szCs w:val="20"/>
          <w:color w:val="auto"/>
        </w:rPr>
      </w:pPr>
    </w:p>
    <w:p>
      <w:pPr>
        <w:ind w:left="2260" w:hanging="288"/>
        <w:spacing w:after="0"/>
        <w:tabs>
          <w:tab w:leader="none" w:pos="2260" w:val="left"/>
        </w:tabs>
        <w:numPr>
          <w:ilvl w:val="0"/>
          <w:numId w:val="176"/>
        </w:numPr>
        <w:rPr>
          <w:rFonts w:ascii="Arial" w:cs="Arial" w:eastAsia="Arial" w:hAnsi="Arial"/>
          <w:sz w:val="12"/>
          <w:szCs w:val="12"/>
          <w:b w:val="1"/>
          <w:bCs w:val="1"/>
          <w:color w:val="auto"/>
        </w:rPr>
      </w:pPr>
      <w:r>
        <w:rPr>
          <w:rFonts w:ascii="Arial" w:cs="Arial" w:eastAsia="Arial" w:hAnsi="Arial"/>
          <w:sz w:val="12"/>
          <w:szCs w:val="12"/>
          <w:b w:val="1"/>
          <w:bCs w:val="1"/>
          <w:color w:val="auto"/>
        </w:rPr>
        <w:t>Contract Liabilities</w:t>
      </w:r>
    </w:p>
    <w:p>
      <w:pPr>
        <w:spacing w:after="0" w:line="154"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contract liabilities in the amount of €1,196 thousand (previous year: €0 thousand) consist of payments made by customers of Mynaric in fiscal year 2020 presented in accordance with IFRS 15.</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30.</w:t>
        <w:tab/>
        <w:t>Trade and Other Payables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shows the breakdown of the trade and other payables: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10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40" w:type="dxa"/>
            <w:vAlign w:val="bottom"/>
            <w:gridSpan w:val="2"/>
          </w:tcPr>
          <w:p>
            <w:pPr>
              <w:ind w:left="460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payables</w:t>
            </w:r>
          </w:p>
        </w:tc>
        <w:tc>
          <w:tcPr>
            <w:tcW w:w="456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1,710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1,207</w:t>
            </w:r>
          </w:p>
        </w:tc>
        <w:tc>
          <w:tcPr>
            <w:tcW w:w="40" w:type="dxa"/>
            <w:vAlign w:val="bottom"/>
            <w:shd w:val="clear" w:color="auto" w:fill="CCEEFF"/>
          </w:tcPr>
          <w:p>
            <w:pPr>
              <w:spacing w:after="0"/>
              <w:rPr>
                <w:sz w:val="9"/>
                <w:szCs w:val="9"/>
                <w:color w:val="auto"/>
              </w:rPr>
            </w:pPr>
          </w:p>
        </w:tc>
      </w:tr>
      <w:tr>
        <w:trPr>
          <w:trHeight w:val="135"/>
        </w:trPr>
        <w:tc>
          <w:tcPr>
            <w:tcW w:w="2100" w:type="dxa"/>
            <w:vAlign w:val="bottom"/>
            <w:gridSpan w:val="2"/>
          </w:tcPr>
          <w:p>
            <w:pPr>
              <w:spacing w:after="0"/>
              <w:rPr>
                <w:sz w:val="20"/>
                <w:szCs w:val="20"/>
                <w:color w:val="auto"/>
              </w:rPr>
            </w:pPr>
            <w:r>
              <w:rPr>
                <w:rFonts w:ascii="Arial" w:cs="Arial" w:eastAsia="Arial" w:hAnsi="Arial"/>
                <w:sz w:val="11"/>
                <w:szCs w:val="11"/>
                <w:color w:val="auto"/>
              </w:rPr>
              <w:t>Other accruals</w:t>
            </w:r>
          </w:p>
        </w:tc>
        <w:tc>
          <w:tcPr>
            <w:tcW w:w="4940" w:type="dxa"/>
            <w:vAlign w:val="bottom"/>
            <w:gridSpan w:val="3"/>
          </w:tcPr>
          <w:p>
            <w:pPr>
              <w:ind w:left="4600"/>
              <w:spacing w:after="0"/>
              <w:rPr>
                <w:sz w:val="20"/>
                <w:szCs w:val="20"/>
                <w:color w:val="auto"/>
              </w:rPr>
            </w:pPr>
            <w:r>
              <w:rPr>
                <w:rFonts w:ascii="Arial" w:cs="Arial" w:eastAsia="Arial" w:hAnsi="Arial"/>
                <w:sz w:val="11"/>
                <w:szCs w:val="11"/>
                <w:color w:val="auto"/>
              </w:rPr>
              <w:t>3,418</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1,254</w:t>
            </w:r>
          </w:p>
        </w:tc>
      </w:tr>
      <w:tr>
        <w:trPr>
          <w:trHeight w:val="135"/>
        </w:trPr>
        <w:tc>
          <w:tcPr>
            <w:tcW w:w="2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4940" w:type="dxa"/>
            <w:vAlign w:val="bottom"/>
            <w:gridSpan w:val="3"/>
            <w:shd w:val="clear" w:color="auto" w:fill="CCEEFF"/>
          </w:tcPr>
          <w:p>
            <w:pPr>
              <w:ind w:left="4600"/>
              <w:spacing w:after="0"/>
              <w:rPr>
                <w:sz w:val="20"/>
                <w:szCs w:val="20"/>
                <w:color w:val="auto"/>
              </w:rPr>
            </w:pPr>
            <w:r>
              <w:rPr>
                <w:rFonts w:ascii="Arial" w:cs="Arial" w:eastAsia="Arial" w:hAnsi="Arial"/>
                <w:sz w:val="11"/>
                <w:szCs w:val="11"/>
                <w:color w:val="auto"/>
              </w:rPr>
              <w:t>5,128</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2,461</w:t>
            </w:r>
          </w:p>
        </w:tc>
      </w:tr>
      <w:tr>
        <w:trPr>
          <w:trHeight w:val="243"/>
        </w:trPr>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940" w:type="dxa"/>
            <w:vAlign w:val="bottom"/>
            <w:gridSpan w:val="3"/>
          </w:tcPr>
          <w:p>
            <w:pPr>
              <w:ind w:left="1460"/>
              <w:spacing w:after="0"/>
              <w:rPr>
                <w:sz w:val="20"/>
                <w:szCs w:val="20"/>
                <w:color w:val="auto"/>
              </w:rPr>
            </w:pPr>
            <w:r>
              <w:rPr>
                <w:rFonts w:ascii="Arial" w:cs="Arial" w:eastAsia="Arial" w:hAnsi="Arial"/>
                <w:sz w:val="12"/>
                <w:szCs w:val="12"/>
                <w:color w:val="auto"/>
              </w:rPr>
              <w:t>F-52</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41" w:name="page242"/>
    <w:bookmarkEnd w:id="2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31.</w:t>
        <w:tab/>
        <w:t>Other Financial and Non-financial Liabilities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financial and non-financial liabilities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6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80" w:type="dxa"/>
            <w:vAlign w:val="bottom"/>
            <w:gridSpan w:val="2"/>
          </w:tcPr>
          <w:p>
            <w:pPr>
              <w:spacing w:after="0"/>
              <w:rPr>
                <w:sz w:val="20"/>
                <w:szCs w:val="20"/>
                <w:color w:val="auto"/>
              </w:rPr>
            </w:pPr>
            <w:r>
              <w:rPr>
                <w:rFonts w:ascii="Arial" w:cs="Arial" w:eastAsia="Arial" w:hAnsi="Arial"/>
                <w:sz w:val="10"/>
                <w:szCs w:val="10"/>
                <w:b w:val="1"/>
                <w:bCs w:val="1"/>
                <w:color w:val="auto"/>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68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NON-FINANCIAL LIABILITIES</w:t>
            </w: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Liabilities for social security and payroll tax</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382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171</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387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172</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FINANCIAL LIABILITIES</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Other financial liabilities</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24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b w:val="1"/>
                <w:bCs w:val="1"/>
                <w:color w:val="auto"/>
              </w:rPr>
              <w:t>24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w:t>
            </w:r>
          </w:p>
        </w:tc>
      </w:tr>
      <w:tr>
        <w:trPr>
          <w:trHeight w:val="140"/>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411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178</w:t>
            </w:r>
          </w:p>
        </w:tc>
      </w:tr>
    </w:tbl>
    <w:p>
      <w:pPr>
        <w:spacing w:after="0" w:line="225" w:lineRule="exact"/>
        <w:rPr>
          <w:sz w:val="20"/>
          <w:szCs w:val="20"/>
          <w:color w:val="auto"/>
        </w:rPr>
      </w:pPr>
    </w:p>
    <w:p>
      <w:pPr>
        <w:ind w:left="2260" w:hanging="288"/>
        <w:spacing w:after="0"/>
        <w:tabs>
          <w:tab w:leader="none" w:pos="2260" w:val="left"/>
        </w:tabs>
        <w:numPr>
          <w:ilvl w:val="0"/>
          <w:numId w:val="177"/>
        </w:numPr>
        <w:rPr>
          <w:rFonts w:ascii="Arial" w:cs="Arial" w:eastAsia="Arial" w:hAnsi="Arial"/>
          <w:sz w:val="12"/>
          <w:szCs w:val="12"/>
          <w:b w:val="1"/>
          <w:bCs w:val="1"/>
          <w:color w:val="auto"/>
        </w:rPr>
      </w:pPr>
      <w:r>
        <w:rPr>
          <w:rFonts w:ascii="Arial" w:cs="Arial" w:eastAsia="Arial" w:hAnsi="Arial"/>
          <w:sz w:val="12"/>
          <w:szCs w:val="12"/>
          <w:b w:val="1"/>
          <w:bCs w:val="1"/>
          <w:color w:val="auto"/>
        </w:rPr>
        <w:t>Statement of Cash Flows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cash funds correspond to cash and cash equivalents as of the reporting date, comprising primarily cash on hand and bank balances.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Reconciliation of movements in liabilities to cash flows from financing activities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reconciliation of liabilities to the cash flows from financing activities required to be disclosed in accordance with IAS 7.44 is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0"/>
                <w:szCs w:val="10"/>
                <w:b w:val="1"/>
                <w:bCs w:val="1"/>
                <w:color w:val="auto"/>
                <w:w w:val="80"/>
              </w:rPr>
              <w:t>Non-cash changes</w:t>
            </w:r>
          </w:p>
        </w:tc>
        <w:tc>
          <w:tcPr>
            <w:tcW w:w="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Balance</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1"/>
              </w:rPr>
              <w:t>arising</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as of</w:t>
            </w:r>
          </w:p>
        </w:tc>
        <w:tc>
          <w:tcPr>
            <w:tcW w:w="56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760" w:type="dxa"/>
            <w:vAlign w:val="bottom"/>
            <w:vMerge w:val="restart"/>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Jan. 1,</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78"/>
              </w:rPr>
              <w:t>cash</w:t>
            </w:r>
          </w:p>
        </w:tc>
        <w:tc>
          <w:tcPr>
            <w:tcW w:w="46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9"/>
              </w:rPr>
              <w:t>Additions/</w:t>
            </w:r>
          </w:p>
        </w:tc>
        <w:tc>
          <w:tcPr>
            <w:tcW w:w="140" w:type="dxa"/>
            <w:vAlign w:val="bottom"/>
          </w:tcPr>
          <w:p>
            <w:pPr>
              <w:spacing w:after="0"/>
              <w:rPr>
                <w:sz w:val="8"/>
                <w:szCs w:val="8"/>
                <w:color w:val="auto"/>
              </w:rPr>
            </w:pPr>
          </w:p>
        </w:tc>
        <w:tc>
          <w:tcPr>
            <w:tcW w:w="48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Fair</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56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85"/>
              </w:rPr>
              <w:t>flows</w:t>
            </w:r>
          </w:p>
        </w:tc>
        <w:tc>
          <w:tcPr>
            <w:tcW w:w="46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7"/>
              </w:rPr>
              <w:t>disposals</w:t>
            </w:r>
          </w:p>
        </w:tc>
        <w:tc>
          <w:tcPr>
            <w:tcW w:w="140" w:type="dxa"/>
            <w:vAlign w:val="bottom"/>
          </w:tcPr>
          <w:p>
            <w:pPr>
              <w:spacing w:after="0"/>
              <w:rPr>
                <w:sz w:val="10"/>
                <w:szCs w:val="10"/>
                <w:color w:val="auto"/>
              </w:rPr>
            </w:pPr>
          </w:p>
        </w:tc>
        <w:tc>
          <w:tcPr>
            <w:tcW w:w="48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3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w w:val="93"/>
              </w:rPr>
              <w:t>FX</w:t>
            </w:r>
          </w:p>
        </w:tc>
        <w:tc>
          <w:tcPr>
            <w:tcW w:w="40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w w:val="78"/>
              </w:rPr>
              <w:t>value</w:t>
            </w:r>
          </w:p>
        </w:tc>
        <w:tc>
          <w:tcPr>
            <w:tcW w:w="88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Convertible bonds</w:t>
            </w: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5,000</w:t>
            </w:r>
          </w:p>
        </w:tc>
        <w:tc>
          <w:tcPr>
            <w:tcW w:w="2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w:t>
            </w: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(5,500)</w:t>
            </w:r>
          </w:p>
        </w:tc>
        <w:tc>
          <w:tcPr>
            <w:tcW w:w="2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spacing w:after="0"/>
              <w:rPr>
                <w:sz w:val="20"/>
                <w:szCs w:val="20"/>
                <w:color w:val="auto"/>
              </w:rPr>
            </w:pPr>
            <w:r>
              <w:rPr>
                <w:rFonts w:ascii="Arial" w:cs="Arial" w:eastAsia="Arial" w:hAnsi="Arial"/>
                <w:sz w:val="11"/>
                <w:szCs w:val="11"/>
                <w:color w:val="auto"/>
              </w:rPr>
              <w:t>Short-term loans</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0</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 liabilities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6,762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1,947</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1"/>
              </w:rPr>
              <w:t>(79)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7,956</w:t>
            </w: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6,762</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4,326</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1,947</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500</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1"/>
              </w:rPr>
              <w:t>(79)</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0</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(5,500)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7,956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reclassification of the convertible bond refers to the non-cash conversion of the convertible bond into shares of Mynaric AG, which are shown as prepaid share reserve at the reporting date.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w w:val="89"/>
              </w:rPr>
              <w:t>Non-cash changes</w:t>
            </w:r>
          </w:p>
        </w:tc>
        <w:tc>
          <w:tcPr>
            <w:tcW w:w="2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3"/>
              </w:rPr>
              <w:t>Balance</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arising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as of</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180" w:type="dxa"/>
            <w:vAlign w:val="bottom"/>
            <w:vMerge w:val="restart"/>
          </w:tcPr>
          <w:p>
            <w:pPr>
              <w:spacing w:after="0"/>
              <w:rPr>
                <w:sz w:val="8"/>
                <w:szCs w:val="8"/>
                <w:color w:val="auto"/>
              </w:rPr>
            </w:pPr>
          </w:p>
        </w:tc>
        <w:tc>
          <w:tcPr>
            <w:tcW w:w="6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Jan. 1,</w:t>
            </w:r>
          </w:p>
        </w:tc>
        <w:tc>
          <w:tcPr>
            <w:tcW w:w="6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78"/>
              </w:rPr>
              <w:t>cash</w:t>
            </w:r>
          </w:p>
        </w:tc>
        <w:tc>
          <w:tcPr>
            <w:tcW w:w="500" w:type="dxa"/>
            <w:vAlign w:val="bottom"/>
            <w:gridSpan w:val="2"/>
          </w:tcPr>
          <w:p>
            <w:pPr>
              <w:jc w:val="right"/>
              <w:ind w:right="80"/>
              <w:spacing w:after="0" w:line="99" w:lineRule="exact"/>
              <w:rPr>
                <w:sz w:val="20"/>
                <w:szCs w:val="20"/>
                <w:color w:val="auto"/>
              </w:rPr>
            </w:pPr>
            <w:r>
              <w:rPr>
                <w:rFonts w:ascii="Arial" w:cs="Arial" w:eastAsia="Arial" w:hAnsi="Arial"/>
                <w:sz w:val="10"/>
                <w:szCs w:val="10"/>
                <w:b w:val="1"/>
                <w:bCs w:val="1"/>
                <w:color w:val="auto"/>
                <w:w w:val="81"/>
              </w:rPr>
              <w:t>Additions/</w:t>
            </w:r>
          </w:p>
        </w:tc>
        <w:tc>
          <w:tcPr>
            <w:tcW w:w="200" w:type="dxa"/>
            <w:vAlign w:val="bottom"/>
          </w:tcPr>
          <w:p>
            <w:pPr>
              <w:spacing w:after="0"/>
              <w:rPr>
                <w:sz w:val="8"/>
                <w:szCs w:val="8"/>
                <w:color w:val="auto"/>
              </w:rPr>
            </w:pPr>
          </w:p>
        </w:tc>
        <w:tc>
          <w:tcPr>
            <w:tcW w:w="56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7"/>
              </w:rPr>
              <w:t>Fair</w:t>
            </w: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3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10"/>
                <w:szCs w:val="10"/>
                <w:color w:val="auto"/>
              </w:rPr>
            </w:pPr>
          </w:p>
        </w:tc>
        <w:tc>
          <w:tcPr>
            <w:tcW w:w="64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5"/>
              </w:rPr>
              <w:t>flows</w:t>
            </w:r>
          </w:p>
        </w:tc>
        <w:tc>
          <w:tcPr>
            <w:tcW w:w="50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w w:val="95"/>
              </w:rPr>
              <w:t>disposals</w:t>
            </w:r>
          </w:p>
        </w:tc>
        <w:tc>
          <w:tcPr>
            <w:tcW w:w="200" w:type="dxa"/>
            <w:vAlign w:val="bottom"/>
          </w:tcPr>
          <w:p>
            <w:pPr>
              <w:spacing w:after="0"/>
              <w:rPr>
                <w:sz w:val="10"/>
                <w:szCs w:val="10"/>
                <w:color w:val="auto"/>
              </w:rPr>
            </w:pPr>
          </w:p>
        </w:tc>
        <w:tc>
          <w:tcPr>
            <w:tcW w:w="5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40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3"/>
              </w:rPr>
              <w:t>FX</w:t>
            </w:r>
          </w:p>
        </w:tc>
        <w:tc>
          <w:tcPr>
            <w:tcW w:w="50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85"/>
              </w:rPr>
              <w:t>value</w:t>
            </w:r>
          </w:p>
        </w:tc>
        <w:tc>
          <w:tcPr>
            <w:tcW w:w="94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Lease liabilities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ind w:left="160"/>
              <w:spacing w:after="0" w:line="113" w:lineRule="exact"/>
              <w:rPr>
                <w:sz w:val="20"/>
                <w:szCs w:val="20"/>
                <w:color w:val="auto"/>
              </w:rPr>
            </w:pPr>
            <w:r>
              <w:rPr>
                <w:rFonts w:ascii="Arial" w:cs="Arial" w:eastAsia="Arial" w:hAnsi="Arial"/>
                <w:sz w:val="10"/>
                <w:szCs w:val="10"/>
                <w:color w:val="auto"/>
                <w:w w:val="76"/>
              </w:rPr>
              <w:t>(439)</w:t>
            </w:r>
          </w:p>
        </w:tc>
        <w:tc>
          <w:tcPr>
            <w:tcW w:w="2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7,190</w:t>
            </w:r>
          </w:p>
        </w:tc>
        <w:tc>
          <w:tcPr>
            <w:tcW w:w="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5"/>
                <w:szCs w:val="5"/>
                <w:color w:val="auto"/>
                <w:w w:val="70"/>
              </w:rPr>
              <w:t>0</w:t>
            </w:r>
          </w:p>
        </w:tc>
        <w:tc>
          <w:tcPr>
            <w:tcW w:w="2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ind w:left="80"/>
              <w:spacing w:after="0" w:line="113" w:lineRule="exact"/>
              <w:rPr>
                <w:sz w:val="20"/>
                <w:szCs w:val="20"/>
                <w:color w:val="auto"/>
              </w:rPr>
            </w:pPr>
            <w:r>
              <w:rPr>
                <w:rFonts w:ascii="Arial" w:cs="Arial" w:eastAsia="Arial" w:hAnsi="Arial"/>
                <w:sz w:val="11"/>
                <w:szCs w:val="11"/>
                <w:color w:val="auto"/>
                <w:w w:val="79"/>
              </w:rPr>
              <w:t>6,762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6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11</w:t>
            </w:r>
          </w:p>
        </w:tc>
        <w:tc>
          <w:tcPr>
            <w:tcW w:w="260" w:type="dxa"/>
            <w:vAlign w:val="bottom"/>
          </w:tcPr>
          <w:p>
            <w:pPr>
              <w:spacing w:after="0"/>
              <w:rPr>
                <w:sz w:val="12"/>
                <w:szCs w:val="12"/>
                <w:color w:val="auto"/>
              </w:rPr>
            </w:pPr>
          </w:p>
        </w:tc>
        <w:tc>
          <w:tcPr>
            <w:tcW w:w="640" w:type="dxa"/>
            <w:vAlign w:val="bottom"/>
            <w:gridSpan w:val="2"/>
          </w:tcPr>
          <w:p>
            <w:pPr>
              <w:ind w:left="160"/>
              <w:spacing w:after="0"/>
              <w:rPr>
                <w:sz w:val="20"/>
                <w:szCs w:val="20"/>
                <w:color w:val="auto"/>
              </w:rPr>
            </w:pPr>
            <w:r>
              <w:rPr>
                <w:rFonts w:ascii="Arial" w:cs="Arial" w:eastAsia="Arial" w:hAnsi="Arial"/>
                <w:sz w:val="11"/>
                <w:szCs w:val="11"/>
                <w:b w:val="1"/>
                <w:bCs w:val="1"/>
                <w:color w:val="auto"/>
              </w:rPr>
              <w:t>(439)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7,190</w:t>
            </w:r>
          </w:p>
        </w:tc>
        <w:tc>
          <w:tcPr>
            <w:tcW w:w="760" w:type="dxa"/>
            <w:vAlign w:val="bottom"/>
            <w:gridSpan w:val="3"/>
          </w:tcPr>
          <w:p>
            <w:pPr>
              <w:ind w:left="460"/>
              <w:spacing w:after="0"/>
              <w:rPr>
                <w:sz w:val="20"/>
                <w:szCs w:val="20"/>
                <w:color w:val="auto"/>
              </w:rPr>
            </w:pPr>
            <w:r>
              <w:rPr>
                <w:rFonts w:ascii="Arial" w:cs="Arial" w:eastAsia="Arial" w:hAnsi="Arial"/>
                <w:sz w:val="11"/>
                <w:szCs w:val="11"/>
                <w:b w:val="1"/>
                <w:bCs w:val="1"/>
                <w:color w:val="auto"/>
              </w:rPr>
              <w:t>0</w:t>
            </w:r>
          </w:p>
        </w:tc>
        <w:tc>
          <w:tcPr>
            <w:tcW w:w="4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500" w:type="dxa"/>
            <w:vAlign w:val="bottom"/>
            <w:gridSpan w:val="2"/>
          </w:tcPr>
          <w:p>
            <w:pPr>
              <w:ind w:left="180"/>
              <w:spacing w:after="0"/>
              <w:rPr>
                <w:sz w:val="20"/>
                <w:szCs w:val="20"/>
                <w:color w:val="auto"/>
              </w:rPr>
            </w:pPr>
            <w:r>
              <w:rPr>
                <w:rFonts w:ascii="Arial" w:cs="Arial" w:eastAsia="Arial" w:hAnsi="Arial"/>
                <w:sz w:val="11"/>
                <w:szCs w:val="11"/>
                <w:b w:val="1"/>
                <w:bCs w:val="1"/>
                <w:color w:val="auto"/>
              </w:rPr>
              <w:t>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360" w:type="dxa"/>
            <w:vAlign w:val="bottom"/>
            <w:gridSpan w:val="2"/>
          </w:tcPr>
          <w:p>
            <w:pPr>
              <w:ind w:left="80"/>
              <w:spacing w:after="0"/>
              <w:rPr>
                <w:sz w:val="20"/>
                <w:szCs w:val="20"/>
                <w:color w:val="auto"/>
              </w:rPr>
            </w:pPr>
            <w:r>
              <w:rPr>
                <w:rFonts w:ascii="Arial" w:cs="Arial" w:eastAsia="Arial" w:hAnsi="Arial"/>
                <w:sz w:val="11"/>
                <w:szCs w:val="11"/>
                <w:b w:val="1"/>
                <w:bCs w:val="1"/>
                <w:color w:val="auto"/>
                <w:w w:val="94"/>
              </w:rPr>
              <w:t>6,762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F-53</w:t>
      </w:r>
    </w:p>
    <w:p>
      <w:pPr>
        <w:sectPr>
          <w:pgSz w:w="11900" w:h="16838" w:orient="portrait"/>
          <w:cols w:equalWidth="0" w:num="1">
            <w:col w:w="10159"/>
          </w:cols>
          <w:pgMar w:left="300" w:top="354" w:right="1440" w:bottom="1440" w:gutter="0" w:footer="0" w:header="0"/>
        </w:sectPr>
      </w:pPr>
    </w:p>
    <w:bookmarkStart w:id="242" w:name="page243"/>
    <w:bookmarkEnd w:id="2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79"/>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In addition to the members of the Management Board and the Supervisory Board, related persons include Ms. Knapek. Ms. Knapek is the spouse of Markus Knapek, a former member of the management board and a significant shareholder in Mynaric AG. Ms. Knapek was a part-time employee with the Mynaric AG from June 2016 to January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Apart from the fully consolidated Group subsidiaries, the following entity is deemed a related company:</w:t>
      </w:r>
    </w:p>
    <w:p>
      <w:pPr>
        <w:spacing w:after="0" w:line="87" w:lineRule="exact"/>
        <w:rPr>
          <w:sz w:val="20"/>
          <w:szCs w:val="20"/>
          <w:color w:val="auto"/>
        </w:rPr>
      </w:pPr>
    </w:p>
    <w:p>
      <w:pPr>
        <w:ind w:left="2920" w:hanging="291"/>
        <w:spacing w:after="0"/>
        <w:tabs>
          <w:tab w:leader="none" w:pos="292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MCConsult Dr. Peschko, Gilching (previously: Adelanto management services s.I.)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Pinsent Masons LLP, Munich</w:t>
      </w:r>
    </w:p>
    <w:p>
      <w:pPr>
        <w:spacing w:after="0" w:line="150"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MCConsult Dr. Peschko is a company in which Mr. Dr. Peschko, a former Management Board member who resigned in fiscal year 2020, is a shareholder. The company provides advisory services for the companies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year ended December 31, 2020, the related party expenses involving MCConsult Dr. Peschko amounted to €825 thousand (previous year: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€274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in the amount of €591 thousand (previous year: €43 thousand).</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Pinsent Masons LLP is a law firm in which Mr. Mayrhofer, a former member of the Supervisory Board who resigned in fiscal year 2020, is a partner.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Pinsent Mason LLP provides legal advisory services for the companies of the Mynaric Group.</w:t>
      </w:r>
    </w:p>
    <w:p>
      <w:pPr>
        <w:spacing w:after="0" w:line="141"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During the year ended December 31, 2020, the related party expenses involving Pinsent Masons LLP amounted to €135 thousand (previous year: €75 thousand). Trade and other payables reported as of the reporting date include outstanding obligations from transactions with Pinsent Masons LLP in the amount of €12 thousand (previous year: €6 thousand).</w:t>
      </w:r>
    </w:p>
    <w:p>
      <w:pPr>
        <w:spacing w:after="0" w:line="122"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210" w:lineRule="exact"/>
        <w:rPr>
          <w:sz w:val="20"/>
          <w:szCs w:val="20"/>
          <w:color w:val="auto"/>
        </w:rPr>
      </w:pPr>
    </w:p>
    <w:p>
      <w:pPr>
        <w:ind w:left="2620" w:hanging="360"/>
        <w:spacing w:after="0"/>
        <w:tabs>
          <w:tab w:leader="none" w:pos="2620" w:val="left"/>
        </w:tabs>
        <w:numPr>
          <w:ilvl w:val="0"/>
          <w:numId w:val="181"/>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F-54</w:t>
      </w:r>
    </w:p>
    <w:p>
      <w:pPr>
        <w:sectPr>
          <w:pgSz w:w="11900" w:h="16838" w:orient="portrait"/>
          <w:cols w:equalWidth="0" w:num="1">
            <w:col w:w="10159"/>
          </w:cols>
          <w:pgMar w:left="300" w:top="354" w:right="1440" w:bottom="1440" w:gutter="0" w:footer="0" w:header="0"/>
        </w:sectPr>
      </w:pPr>
    </w:p>
    <w:bookmarkStart w:id="243" w:name="page244"/>
    <w:bookmarkEnd w:id="2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for Management Board members consists of three components:</w:t>
      </w:r>
    </w:p>
    <w:p>
      <w:pPr>
        <w:spacing w:after="0" w:line="87" w:lineRule="exact"/>
        <w:rPr>
          <w:sz w:val="20"/>
          <w:szCs w:val="20"/>
          <w:color w:val="auto"/>
        </w:rPr>
      </w:pPr>
    </w:p>
    <w:p>
      <w:pPr>
        <w:ind w:left="2620" w:hanging="360"/>
        <w:spacing w:after="0"/>
        <w:tabs>
          <w:tab w:leader="none" w:pos="26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a non-performance-related remuneration (fixed remuneration),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performance-related bonuses,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and stock options.</w:t>
      </w:r>
    </w:p>
    <w:p>
      <w:pPr>
        <w:spacing w:after="0" w:line="150"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Non-performance-related remuneration</w:t>
      </w:r>
    </w:p>
    <w:p>
      <w:pPr>
        <w:spacing w:after="0" w:line="150" w:lineRule="exact"/>
        <w:rPr>
          <w:sz w:val="20"/>
          <w:szCs w:val="20"/>
          <w:color w:val="auto"/>
        </w:rPr>
      </w:pPr>
    </w:p>
    <w:p>
      <w:pPr>
        <w:jc w:val="both"/>
        <w:ind w:left="1980" w:right="959"/>
        <w:spacing w:after="0" w:line="276" w:lineRule="auto"/>
        <w:rPr>
          <w:sz w:val="20"/>
          <w:szCs w:val="20"/>
          <w:color w:val="auto"/>
        </w:rPr>
      </w:pPr>
      <w:r>
        <w:rPr>
          <w:rFonts w:ascii="Arial" w:cs="Arial" w:eastAsia="Arial" w:hAnsi="Arial"/>
          <w:sz w:val="12"/>
          <w:szCs w:val="12"/>
          <w:color w:val="auto"/>
        </w:rPr>
        <w:t>The fixed, non-performance-related remuneration comprises the basic remuneration and fringe benefits that may vary over the years, depending on the person involved or the occurrence of certain events.</w:t>
      </w:r>
    </w:p>
    <w:p>
      <w:pPr>
        <w:spacing w:after="0" w:line="115"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Fringe benefits mainly include expenses for company housing for members of the Management Board. Members also receive taxable in-kind benefits.</w:t>
      </w:r>
    </w:p>
    <w:p>
      <w:pPr>
        <w:spacing w:after="0" w:line="2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Performance-related remuneration</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performance-related remuneration comprises two components: the first is agreed upon with the Supervisory Board on an annual basis, and the second is a strategic special component.</w:t>
      </w:r>
    </w:p>
    <w:p>
      <w:pPr>
        <w:spacing w:after="0" w:line="115"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strategic special component is a reward for the Management Board member’s performance in acquiring strategic investors for the Company.</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The third remuneration component comprises stock options granted to selected employees in the form of stock options from Stock Option Plans 2017, 2018, 2019, and 2020, in which the Management Board members 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28"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context of these plans, stock options were issued to the Management Board in 2019 and 2020, which entitle the holder to subscribe to Mynaric shares. Detailed information about the granted stock options are presented in Note 9. a) Share-based payments.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F-55</w:t>
      </w:r>
    </w:p>
    <w:p>
      <w:pPr>
        <w:sectPr>
          <w:pgSz w:w="11900" w:h="16838" w:orient="portrait"/>
          <w:cols w:equalWidth="0" w:num="1">
            <w:col w:w="10159"/>
          </w:cols>
          <w:pgMar w:left="300" w:top="354" w:right="1440" w:bottom="1440" w:gutter="0" w:footer="0" w:header="0"/>
        </w:sectPr>
      </w:pPr>
    </w:p>
    <w:bookmarkStart w:id="244" w:name="page245"/>
    <w:bookmarkEnd w:id="2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fiscal year 2020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w w:val="93"/>
              </w:rPr>
              <w:t>Short-term</w:t>
            </w:r>
          </w:p>
        </w:tc>
        <w:tc>
          <w:tcPr>
            <w:tcW w:w="1700" w:type="dxa"/>
            <w:vAlign w:val="bottom"/>
            <w:gridSpan w:val="4"/>
          </w:tcPr>
          <w:p>
            <w:pPr>
              <w:jc w:val="center"/>
              <w:ind w:right="38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60" w:type="dxa"/>
            <w:vAlign w:val="bottom"/>
            <w:tcBorders>
              <w:top w:val="single" w:sz="8" w:color="auto"/>
            </w:tcBorders>
            <w:gridSpan w:val="2"/>
          </w:tcPr>
          <w:p>
            <w:pPr>
              <w:jc w:val="center"/>
              <w:ind w:right="380"/>
              <w:spacing w:after="0" w:line="74" w:lineRule="exact"/>
              <w:rPr>
                <w:sz w:val="20"/>
                <w:szCs w:val="20"/>
                <w:color w:val="auto"/>
              </w:rPr>
            </w:pPr>
            <w:r>
              <w:rPr>
                <w:rFonts w:ascii="Arial" w:cs="Arial" w:eastAsia="Arial" w:hAnsi="Arial"/>
                <w:sz w:val="8"/>
                <w:szCs w:val="8"/>
                <w:b w:val="1"/>
                <w:bCs w:val="1"/>
                <w:color w:val="auto"/>
              </w:rPr>
              <w:t>Number</w:t>
            </w: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40" w:type="dxa"/>
            <w:vAlign w:val="bottom"/>
            <w:gridSpan w:val="2"/>
          </w:tcPr>
          <w:p>
            <w:pPr>
              <w:jc w:val="right"/>
              <w:ind w:right="540"/>
              <w:spacing w:after="0" w:line="99" w:lineRule="exact"/>
              <w:rPr>
                <w:sz w:val="20"/>
                <w:szCs w:val="20"/>
                <w:color w:val="auto"/>
              </w:rPr>
            </w:pPr>
            <w:r>
              <w:rPr>
                <w:rFonts w:ascii="Arial" w:cs="Arial" w:eastAsia="Arial" w:hAnsi="Arial"/>
                <w:sz w:val="10"/>
                <w:szCs w:val="10"/>
                <w:b w:val="1"/>
                <w:bCs w:val="1"/>
                <w:color w:val="auto"/>
              </w:rPr>
              <w:t>Basic</w:t>
            </w:r>
          </w:p>
        </w:tc>
        <w:tc>
          <w:tcPr>
            <w:tcW w:w="940" w:type="dxa"/>
            <w:vAlign w:val="bottom"/>
            <w:gridSpan w:val="2"/>
          </w:tcPr>
          <w:p>
            <w:pPr>
              <w:jc w:val="right"/>
              <w:ind w:right="500"/>
              <w:spacing w:after="0" w:line="99" w:lineRule="exact"/>
              <w:rPr>
                <w:sz w:val="20"/>
                <w:szCs w:val="20"/>
                <w:color w:val="auto"/>
              </w:rPr>
            </w:pPr>
            <w:r>
              <w:rPr>
                <w:rFonts w:ascii="Arial" w:cs="Arial" w:eastAsia="Arial" w:hAnsi="Arial"/>
                <w:sz w:val="10"/>
                <w:szCs w:val="10"/>
                <w:b w:val="1"/>
                <w:bCs w:val="1"/>
                <w:color w:val="auto"/>
              </w:rPr>
              <w:t>variable</w:t>
            </w:r>
          </w:p>
        </w:tc>
        <w:tc>
          <w:tcPr>
            <w:tcW w:w="76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3"/>
              </w:rPr>
              <w:t>of stock</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1"/>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Year</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76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2"/>
              </w:rPr>
              <w:t>options</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77"/>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4"/>
        </w:trPr>
        <w:tc>
          <w:tcPr>
            <w:tcW w:w="3180" w:type="dxa"/>
            <w:vAlign w:val="bottom"/>
            <w:gridSpan w:val="2"/>
            <w:vMerge w:val="continue"/>
          </w:tcPr>
          <w:p>
            <w:pPr>
              <w:spacing w:after="0"/>
              <w:rPr>
                <w:sz w:val="9"/>
                <w:szCs w:val="9"/>
                <w:color w:val="auto"/>
              </w:rPr>
            </w:pP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76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87"/>
              </w:rPr>
              <w:t>granted</w:t>
            </w:r>
          </w:p>
        </w:tc>
        <w:tc>
          <w:tcPr>
            <w:tcW w:w="94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6"/>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2020</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525</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357</w:t>
            </w:r>
          </w:p>
        </w:tc>
        <w:tc>
          <w:tcPr>
            <w:tcW w:w="3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30,000</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549</w:t>
            </w: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ind w:left="300"/>
              <w:spacing w:after="0" w:line="113" w:lineRule="exact"/>
              <w:rPr>
                <w:sz w:val="20"/>
                <w:szCs w:val="20"/>
                <w:color w:val="auto"/>
              </w:rPr>
            </w:pPr>
            <w:r>
              <w:rPr>
                <w:rFonts w:ascii="Arial" w:cs="Arial" w:eastAsia="Arial" w:hAnsi="Arial"/>
                <w:sz w:val="11"/>
                <w:szCs w:val="11"/>
                <w:color w:val="auto"/>
                <w:w w:val="79"/>
              </w:rPr>
              <w:t>1,431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180" w:type="dxa"/>
            <w:vAlign w:val="bottom"/>
            <w:gridSpan w:val="2"/>
          </w:tcPr>
          <w:p>
            <w:pPr>
              <w:spacing w:after="0"/>
              <w:rPr>
                <w:sz w:val="20"/>
                <w:szCs w:val="20"/>
                <w:color w:val="auto"/>
              </w:rPr>
            </w:pPr>
            <w:r>
              <w:rPr>
                <w:rFonts w:ascii="Arial" w:cs="Arial" w:eastAsia="Arial" w:hAnsi="Arial"/>
                <w:sz w:val="11"/>
                <w:szCs w:val="11"/>
                <w:color w:val="auto"/>
              </w:rPr>
              <w:t>2019</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581</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155</w:t>
            </w:r>
          </w:p>
        </w:tc>
        <w:tc>
          <w:tcPr>
            <w:tcW w:w="760" w:type="dxa"/>
            <w:vAlign w:val="bottom"/>
            <w:gridSpan w:val="2"/>
          </w:tcPr>
          <w:p>
            <w:pPr>
              <w:jc w:val="right"/>
              <w:ind w:right="380"/>
              <w:spacing w:after="0"/>
              <w:rPr>
                <w:sz w:val="20"/>
                <w:szCs w:val="20"/>
                <w:color w:val="auto"/>
              </w:rPr>
            </w:pPr>
            <w:r>
              <w:rPr>
                <w:rFonts w:ascii="Arial" w:cs="Arial" w:eastAsia="Arial" w:hAnsi="Arial"/>
                <w:sz w:val="11"/>
                <w:szCs w:val="11"/>
                <w:color w:val="auto"/>
                <w:w w:val="90"/>
              </w:rPr>
              <w:t>122,700</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1,072</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w w:val="94"/>
              </w:rPr>
              <w:t>1,808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A severance payment of €691 thousand was granted to Dr. Peschko, a former member of the Management Board of Mynaric AG who resigned in fiscal year 2020. Mr. Edler von Janecek, who also resigned from the Management Board in the reporting year, was granted a severance payment in the amount of €263 thousand.</w:t>
      </w:r>
    </w:p>
    <w:p>
      <w:pPr>
        <w:spacing w:after="0" w:line="122"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 of Mynaric AG.</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Loans granted to the Management Board</w:t>
      </w:r>
    </w:p>
    <w:p>
      <w:pPr>
        <w:spacing w:after="0" w:line="150" w:lineRule="exact"/>
        <w:rPr>
          <w:sz w:val="20"/>
          <w:szCs w:val="20"/>
          <w:color w:val="auto"/>
        </w:rPr>
      </w:pPr>
    </w:p>
    <w:p>
      <w:pPr>
        <w:jc w:val="both"/>
        <w:ind w:left="1980" w:right="999"/>
        <w:spacing w:after="0" w:line="276" w:lineRule="auto"/>
        <w:rPr>
          <w:sz w:val="20"/>
          <w:szCs w:val="20"/>
          <w:color w:val="auto"/>
        </w:rPr>
      </w:pPr>
      <w:r>
        <w:rPr>
          <w:rFonts w:ascii="Arial" w:cs="Arial" w:eastAsia="Arial" w:hAnsi="Arial"/>
          <w:sz w:val="12"/>
          <w:szCs w:val="12"/>
          <w:color w:val="auto"/>
        </w:rPr>
        <w:t>No loans were granted to the Management Board in fiscal years 2020 and 2019, nor were any similar benefits provided. The Management Board does not receive any remuneration for offices held in Group companies.</w:t>
      </w:r>
    </w:p>
    <w:p>
      <w:pPr>
        <w:spacing w:after="0" w:line="210" w:lineRule="exact"/>
        <w:rPr>
          <w:sz w:val="20"/>
          <w:szCs w:val="20"/>
          <w:color w:val="auto"/>
        </w:rPr>
      </w:pPr>
    </w:p>
    <w:p>
      <w:pPr>
        <w:ind w:left="2620" w:hanging="360"/>
        <w:spacing w:after="0"/>
        <w:tabs>
          <w:tab w:leader="none" w:pos="2620" w:val="left"/>
        </w:tabs>
        <w:numPr>
          <w:ilvl w:val="0"/>
          <w:numId w:val="183"/>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99"/>
        <w:spacing w:after="0" w:line="254" w:lineRule="auto"/>
        <w:rPr>
          <w:sz w:val="20"/>
          <w:szCs w:val="20"/>
          <w:color w:val="auto"/>
        </w:rPr>
      </w:pPr>
      <w:r>
        <w:rPr>
          <w:rFonts w:ascii="Arial" w:cs="Arial" w:eastAsia="Arial" w:hAnsi="Arial"/>
          <w:sz w:val="12"/>
          <w:szCs w:val="12"/>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Accordingly, the Supervisory Board members receive a fixed annual remuneration, payable after the end of the fiscal year. The remuneration amounts to €20,000 per year, with the chairman receiving twice that amount and the deputy chairman receiving one and a half times this amount. Attendance fees are not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annual remuneration for the Supervisory Board in fiscal year 2020 is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40" w:type="dxa"/>
            <w:vAlign w:val="bottom"/>
            <w:gridSpan w:val="2"/>
          </w:tcPr>
          <w:p>
            <w:pPr>
              <w:spacing w:after="0"/>
              <w:rPr>
                <w:sz w:val="20"/>
                <w:szCs w:val="20"/>
                <w:color w:val="auto"/>
              </w:rPr>
            </w:pPr>
            <w:r>
              <w:rPr>
                <w:rFonts w:ascii="Arial" w:cs="Arial" w:eastAsia="Arial" w:hAnsi="Arial"/>
                <w:sz w:val="10"/>
                <w:szCs w:val="10"/>
                <w:b w:val="1"/>
                <w:bCs w:val="1"/>
                <w:color w:val="auto"/>
              </w:rPr>
              <w:t>Annual remuneration</w:t>
            </w:r>
          </w:p>
        </w:tc>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3"/>
        </w:trPr>
        <w:tc>
          <w:tcPr>
            <w:tcW w:w="22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in € thousand</w:t>
            </w:r>
          </w:p>
        </w:tc>
        <w:tc>
          <w:tcPr>
            <w:tcW w:w="470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9"/>
                <w:szCs w:val="9"/>
                <w:color w:val="auto"/>
              </w:rPr>
            </w:pPr>
          </w:p>
        </w:tc>
        <w:tc>
          <w:tcPr>
            <w:tcW w:w="180" w:type="dxa"/>
            <w:vAlign w:val="bottom"/>
          </w:tcPr>
          <w:p>
            <w:pPr>
              <w:jc w:val="right"/>
              <w:spacing w:after="0" w:line="114" w:lineRule="exact"/>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9"/>
                <w:szCs w:val="9"/>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2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Manfred Krischke</w:t>
            </w:r>
          </w:p>
        </w:tc>
        <w:tc>
          <w:tcPr>
            <w:tcW w:w="45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20</w:t>
            </w:r>
          </w:p>
        </w:tc>
        <w:tc>
          <w:tcPr>
            <w:tcW w:w="40" w:type="dxa"/>
            <w:vAlign w:val="bottom"/>
            <w:shd w:val="clear" w:color="auto" w:fill="CCEEFF"/>
          </w:tcPr>
          <w:p>
            <w:pPr>
              <w:spacing w:after="0"/>
              <w:rPr>
                <w:sz w:val="9"/>
                <w:szCs w:val="9"/>
                <w:color w:val="auto"/>
              </w:rPr>
            </w:pP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Dr. Gerd Gruppe</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30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Thomas Billeter</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Thomas Hanke</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Thomas Mayrhofer</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9</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130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63</w:t>
            </w:r>
          </w:p>
        </w:tc>
      </w:tr>
      <w:tr>
        <w:trPr>
          <w:trHeight w:val="243"/>
        </w:trPr>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880" w:type="dxa"/>
            <w:vAlign w:val="bottom"/>
            <w:gridSpan w:val="3"/>
          </w:tcPr>
          <w:p>
            <w:pPr>
              <w:jc w:val="right"/>
              <w:ind w:right="3340"/>
              <w:spacing w:after="0"/>
              <w:rPr>
                <w:sz w:val="20"/>
                <w:szCs w:val="20"/>
                <w:color w:val="auto"/>
              </w:rPr>
            </w:pPr>
            <w:r>
              <w:rPr>
                <w:rFonts w:ascii="Arial" w:cs="Arial" w:eastAsia="Arial" w:hAnsi="Arial"/>
                <w:sz w:val="12"/>
                <w:szCs w:val="12"/>
                <w:color w:val="auto"/>
              </w:rPr>
              <w:t>F-56</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45" w:name="page246"/>
    <w:bookmarkEnd w:id="2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Shareholdings of management and supervisory board members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Based on available information, the board members have the following shareholdings: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60" w:type="dxa"/>
            <w:vAlign w:val="bottom"/>
            <w:gridSpan w:val="2"/>
          </w:tcPr>
          <w:p>
            <w:pPr>
              <w:spacing w:after="0"/>
              <w:rPr>
                <w:sz w:val="20"/>
                <w:szCs w:val="20"/>
                <w:color w:val="auto"/>
              </w:rPr>
            </w:pPr>
            <w:r>
              <w:rPr>
                <w:rFonts w:ascii="Arial" w:cs="Arial" w:eastAsia="Arial" w:hAnsi="Arial"/>
                <w:sz w:val="10"/>
                <w:szCs w:val="10"/>
                <w:b w:val="1"/>
                <w:bCs w:val="1"/>
                <w:color w:val="auto"/>
              </w:rPr>
              <w:t>Number of shares</w:t>
            </w:r>
          </w:p>
        </w:tc>
        <w:tc>
          <w:tcPr>
            <w:tcW w:w="360" w:type="dxa"/>
            <w:vAlign w:val="bottom"/>
          </w:tcPr>
          <w:p>
            <w:pPr>
              <w:jc w:val="right"/>
              <w:ind w:right="28"/>
              <w:spacing w:after="0"/>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10"/>
                <w:szCs w:val="10"/>
                <w:color w:val="auto"/>
              </w:rPr>
            </w:pPr>
          </w:p>
        </w:tc>
        <w:tc>
          <w:tcPr>
            <w:tcW w:w="380" w:type="dxa"/>
            <w:vAlign w:val="bottom"/>
          </w:tcPr>
          <w:p>
            <w:pPr>
              <w:jc w:val="right"/>
              <w:ind w:right="48"/>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0"/>
                <w:szCs w:val="10"/>
                <w:color w:val="auto"/>
              </w:rPr>
            </w:pPr>
          </w:p>
        </w:tc>
        <w:tc>
          <w:tcPr>
            <w:tcW w:w="340" w:type="dxa"/>
            <w:vAlign w:val="bottom"/>
            <w:gridSpan w:val="2"/>
          </w:tcPr>
          <w:p>
            <w:pPr>
              <w:spacing w:after="0"/>
              <w:rPr>
                <w:sz w:val="20"/>
                <w:szCs w:val="20"/>
                <w:color w:val="auto"/>
              </w:rPr>
            </w:pPr>
            <w:r>
              <w:rPr>
                <w:rFonts w:ascii="Arial" w:cs="Arial" w:eastAsia="Arial" w:hAnsi="Arial"/>
                <w:sz w:val="10"/>
                <w:szCs w:val="10"/>
                <w:b w:val="1"/>
                <w:bCs w:val="1"/>
                <w:color w:val="auto"/>
                <w:w w:val="87"/>
              </w:rPr>
              <w:t>Change</w:t>
            </w: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Wolfram Peschko</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5"/>
              </w:rPr>
              <w:t>210,089</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210,089</w:t>
            </w: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r>
      <w:tr>
        <w:trPr>
          <w:trHeight w:val="136"/>
        </w:trPr>
        <w:tc>
          <w:tcPr>
            <w:tcW w:w="576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340" w:type="dxa"/>
            <w:vAlign w:val="bottom"/>
            <w:gridSpan w:val="2"/>
          </w:tcPr>
          <w:p>
            <w:pPr>
              <w:ind w:left="260"/>
              <w:spacing w:after="0"/>
              <w:rPr>
                <w:sz w:val="20"/>
                <w:szCs w:val="20"/>
                <w:color w:val="auto"/>
              </w:rPr>
            </w:pPr>
            <w:r>
              <w:rPr>
                <w:rFonts w:ascii="Arial" w:cs="Arial" w:eastAsia="Arial" w:hAnsi="Arial"/>
                <w:sz w:val="11"/>
                <w:szCs w:val="11"/>
                <w:color w:val="auto"/>
                <w:w w:val="97"/>
              </w:rPr>
              <w:t>0</w:t>
            </w:r>
          </w:p>
        </w:tc>
      </w:tr>
    </w:tbl>
    <w:p>
      <w:pPr>
        <w:spacing w:after="0" w:line="229" w:lineRule="exact"/>
        <w:rPr>
          <w:sz w:val="20"/>
          <w:szCs w:val="20"/>
          <w:color w:val="auto"/>
        </w:rPr>
      </w:pPr>
    </w:p>
    <w:p>
      <w:pPr>
        <w:ind w:left="2260" w:hanging="288"/>
        <w:spacing w:after="0"/>
        <w:tabs>
          <w:tab w:leader="none" w:pos="2260" w:val="left"/>
        </w:tabs>
        <w:numPr>
          <w:ilvl w:val="0"/>
          <w:numId w:val="184"/>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410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700" w:type="dxa"/>
            <w:vAlign w:val="bottom"/>
            <w:gridSpan w:val="3"/>
          </w:tcPr>
          <w:p>
            <w:pPr>
              <w:spacing w:after="0"/>
              <w:rPr>
                <w:sz w:val="20"/>
                <w:szCs w:val="20"/>
                <w:color w:val="auto"/>
              </w:rPr>
            </w:pPr>
            <w:r>
              <w:rPr>
                <w:rFonts w:ascii="Arial" w:cs="Arial" w:eastAsia="Arial" w:hAnsi="Arial"/>
                <w:sz w:val="12"/>
                <w:szCs w:val="12"/>
                <w:color w:val="auto"/>
              </w:rPr>
              <w:t>The financial instruments were allocated to the following categories: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00" w:type="dxa"/>
            <w:vAlign w:val="bottom"/>
            <w:gridSpan w:val="2"/>
          </w:tcPr>
          <w:p>
            <w:pPr>
              <w:spacing w:after="0"/>
              <w:rPr>
                <w:sz w:val="20"/>
                <w:szCs w:val="20"/>
                <w:color w:val="auto"/>
              </w:rPr>
            </w:pPr>
            <w:r>
              <w:rPr>
                <w:rFonts w:ascii="Arial" w:cs="Arial" w:eastAsia="Arial" w:hAnsi="Arial"/>
                <w:sz w:val="10"/>
                <w:szCs w:val="10"/>
                <w:b w:val="1"/>
                <w:bCs w:val="1"/>
                <w:color w:val="auto"/>
                <w:w w:val="89"/>
              </w:rPr>
              <w:t>in € thousand</w:t>
            </w:r>
          </w:p>
        </w:tc>
        <w:tc>
          <w:tcPr>
            <w:tcW w:w="4100" w:type="dxa"/>
            <w:vAlign w:val="bottom"/>
          </w:tcPr>
          <w:p>
            <w:pPr>
              <w:spacing w:after="0"/>
              <w:rPr>
                <w:sz w:val="22"/>
                <w:szCs w:val="22"/>
                <w:color w:val="auto"/>
              </w:rPr>
            </w:pPr>
          </w:p>
        </w:tc>
        <w:tc>
          <w:tcPr>
            <w:tcW w:w="146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Dec. 31, 2020</w:t>
            </w:r>
          </w:p>
        </w:tc>
        <w:tc>
          <w:tcPr>
            <w:tcW w:w="118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Dec. 31, 2019</w:t>
            </w:r>
          </w:p>
        </w:tc>
      </w:tr>
      <w:tr>
        <w:trPr>
          <w:trHeight w:val="97"/>
        </w:trPr>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40" w:type="dxa"/>
            <w:vAlign w:val="bottom"/>
            <w:tcBorders>
              <w:top w:val="single" w:sz="8" w:color="auto"/>
            </w:tcBorders>
            <w:gridSpan w:val="2"/>
          </w:tcPr>
          <w:p>
            <w:pPr>
              <w:jc w:val="right"/>
              <w:ind w:right="300"/>
              <w:spacing w:after="0" w:line="97" w:lineRule="exact"/>
              <w:rPr>
                <w:sz w:val="20"/>
                <w:szCs w:val="20"/>
                <w:color w:val="auto"/>
              </w:rPr>
            </w:pPr>
            <w:r>
              <w:rPr>
                <w:rFonts w:ascii="Arial" w:cs="Arial" w:eastAsia="Arial" w:hAnsi="Arial"/>
                <w:sz w:val="10"/>
                <w:szCs w:val="10"/>
                <w:b w:val="1"/>
                <w:bCs w:val="1"/>
                <w:color w:val="auto"/>
                <w:w w:val="88"/>
              </w:rPr>
              <w:t>Current</w:t>
            </w:r>
          </w:p>
        </w:tc>
        <w:tc>
          <w:tcPr>
            <w:tcW w:w="52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7"/>
              </w:rPr>
              <w:t>Non-current</w:t>
            </w:r>
          </w:p>
        </w:tc>
        <w:tc>
          <w:tcPr>
            <w:tcW w:w="300" w:type="dxa"/>
            <w:vAlign w:val="bottom"/>
          </w:tcPr>
          <w:p>
            <w:pPr>
              <w:spacing w:after="0"/>
              <w:rPr>
                <w:sz w:val="8"/>
                <w:szCs w:val="8"/>
                <w:color w:val="auto"/>
              </w:rPr>
            </w:pPr>
          </w:p>
        </w:tc>
        <w:tc>
          <w:tcPr>
            <w:tcW w:w="640" w:type="dxa"/>
            <w:vAlign w:val="bottom"/>
            <w:tcBorders>
              <w:top w:val="single" w:sz="8" w:color="auto"/>
            </w:tcBorders>
            <w:gridSpan w:val="2"/>
          </w:tcPr>
          <w:p>
            <w:pPr>
              <w:spacing w:after="0" w:line="97" w:lineRule="exact"/>
              <w:rPr>
                <w:sz w:val="20"/>
                <w:szCs w:val="20"/>
                <w:color w:val="auto"/>
              </w:rPr>
            </w:pPr>
            <w:r>
              <w:rPr>
                <w:rFonts w:ascii="Arial" w:cs="Arial" w:eastAsia="Arial" w:hAnsi="Arial"/>
                <w:sz w:val="10"/>
                <w:szCs w:val="10"/>
                <w:b w:val="1"/>
                <w:bCs w:val="1"/>
                <w:color w:val="auto"/>
              </w:rPr>
              <w:t>Current</w:t>
            </w:r>
          </w:p>
        </w:tc>
        <w:tc>
          <w:tcPr>
            <w:tcW w:w="5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3"/>
              </w:rPr>
              <w:t>Non-current</w:t>
            </w:r>
          </w:p>
        </w:tc>
        <w:tc>
          <w:tcPr>
            <w:tcW w:w="40" w:type="dxa"/>
            <w:vAlign w:val="bottom"/>
          </w:tcPr>
          <w:p>
            <w:pPr>
              <w:spacing w:after="0"/>
              <w:rPr>
                <w:sz w:val="8"/>
                <w:szCs w:val="8"/>
                <w:color w:val="auto"/>
              </w:rPr>
            </w:pPr>
          </w:p>
        </w:tc>
      </w:tr>
      <w:tr>
        <w:trPr>
          <w:trHeight w:val="115"/>
        </w:trPr>
        <w:tc>
          <w:tcPr>
            <w:tcW w:w="470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1"/>
                <w:szCs w:val="11"/>
                <w:color w:val="auto"/>
              </w:rPr>
              <w:t>Amortized cost (AmC)</w:t>
            </w: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76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359</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43,198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550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43,824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359</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9,906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4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5,128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2,461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1,156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790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6,308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3,257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5,972</w:t>
            </w: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97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2020 in € thousand</w:t>
            </w: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2019 in € thousand</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risk management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is exposed to the following risks from the use of financial instruments:</w:t>
      </w:r>
    </w:p>
    <w:p>
      <w:pPr>
        <w:spacing w:after="0" w:line="87" w:lineRule="exact"/>
        <w:rPr>
          <w:sz w:val="20"/>
          <w:szCs w:val="20"/>
          <w:color w:val="auto"/>
        </w:rPr>
      </w:pPr>
    </w:p>
    <w:p>
      <w:pPr>
        <w:ind w:left="2920" w:hanging="291"/>
        <w:spacing w:after="0"/>
        <w:tabs>
          <w:tab w:leader="none" w:pos="292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Credit risk (see b)(i))</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F-57</w:t>
      </w:r>
    </w:p>
    <w:p>
      <w:pPr>
        <w:sectPr>
          <w:pgSz w:w="11900" w:h="16838" w:orient="portrait"/>
          <w:cols w:equalWidth="0" w:num="1">
            <w:col w:w="10159"/>
          </w:cols>
          <w:pgMar w:left="300" w:top="354" w:right="1440" w:bottom="1440" w:gutter="0" w:footer="0" w:header="0"/>
        </w:sectPr>
      </w:pPr>
    </w:p>
    <w:bookmarkStart w:id="246" w:name="page247"/>
    <w:bookmarkEnd w:id="2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91"/>
        <w:spacing w:after="0"/>
        <w:tabs>
          <w:tab w:leader="none" w:pos="29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Liquidity risk (see b)(ii))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Market risk (see b)(iii))</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Principles of risk management</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 Management Board of the Company is responsible for the structure and control of the Group’s risk management. For this purpose, the Management Board has appointed employees who are responsible for 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Capital risk management</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The Group’s primary financial objectives include increasing the enterprise value on a sustained basis, ensuring solvency at all times to safeguard the Company’s viability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2020 was 81.7% (previous year: 68.8%). The increase results mainly from contributions to subscribed capital and the capital reserves from the capital increases made in fiscal year 2020. The equity ratio was calculated as the ratio of total equity to total assets. There have been no changes in the Group’s overall strategy relative to 2019.</w:t>
      </w:r>
    </w:p>
    <w:p>
      <w:pPr>
        <w:spacing w:after="0" w:line="183"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b)(i) Credit risk</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Credit risk is the risk of financial loss if a customer or counterparty to a financial instrument fails to meet its contractual obligations. Credit risk arises principally from the Group’s trade receivables and its debt instruments held as investment securities. The carrying amounts of the financial assets and of contract assets correspond to the maximum credit risk exposure.</w:t>
      </w:r>
    </w:p>
    <w:p>
      <w:pPr>
        <w:spacing w:after="0" w:line="122"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11"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Group considers a financial asset to be in default when the debtor is unlikely to pay its credit obligations to the Group in full, without recourse by the Group to actions such as realizing security (if any is held).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Impairments of financial assets are recognized in profit or loss as follows:</w:t>
      </w:r>
    </w:p>
    <w:p>
      <w:pPr>
        <w:spacing w:after="0" w:line="249" w:lineRule="exact"/>
        <w:rPr>
          <w:sz w:val="20"/>
          <w:szCs w:val="20"/>
          <w:color w:val="auto"/>
        </w:rPr>
      </w:pPr>
    </w:p>
    <w:p>
      <w:pPr>
        <w:ind w:left="2620" w:hanging="360"/>
        <w:spacing w:after="0"/>
        <w:tabs>
          <w:tab w:leader="none" w:pos="2620" w:val="left"/>
        </w:tabs>
        <w:numPr>
          <w:ilvl w:val="0"/>
          <w:numId w:val="18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Trade receivables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F-58</w:t>
      </w:r>
    </w:p>
    <w:p>
      <w:pPr>
        <w:sectPr>
          <w:pgSz w:w="11900" w:h="16838" w:orient="portrait"/>
          <w:cols w:equalWidth="0" w:num="1">
            <w:col w:w="10159"/>
          </w:cols>
          <w:pgMar w:left="300" w:top="354" w:right="1440" w:bottom="1440" w:gutter="0" w:footer="0" w:header="0"/>
        </w:sectPr>
      </w:pPr>
    </w:p>
    <w:bookmarkStart w:id="247" w:name="page248"/>
    <w:bookmarkEnd w:id="2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Detailed disclosures concerning the concentration of revenue in particular areas/regions can be found in Note 5. Segment reporting and information on geographical areas.</w:t>
      </w:r>
    </w:p>
    <w:p>
      <w:pPr>
        <w:spacing w:after="0" w:line="115"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The Group introduced a receivables management system that facilitates initial analysis of new customer creditworthiness individually before the Group enters into a business relationship. This analysis comprises external ratings, information by credit agencies (if available), industry information, and, in some cases, information provided by banks. Sales limits are defined for each customer and are reviewed on a quarterly basis. Sales exceeding these limits require the approval of the Risk Management Committee. The Group limits its credit risk from trade receivables by determining a maximum payment term of one month.</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overall credit risk exposure is considered low.</w:t>
      </w:r>
    </w:p>
    <w:p>
      <w:pPr>
        <w:spacing w:after="0" w:line="249" w:lineRule="exact"/>
        <w:rPr>
          <w:sz w:val="20"/>
          <w:szCs w:val="20"/>
          <w:color w:val="auto"/>
        </w:rPr>
      </w:pPr>
    </w:p>
    <w:p>
      <w:pPr>
        <w:ind w:left="2620" w:hanging="360"/>
        <w:spacing w:after="0"/>
        <w:tabs>
          <w:tab w:leader="none" w:pos="2620" w:val="left"/>
        </w:tabs>
        <w:numPr>
          <w:ilvl w:val="0"/>
          <w:numId w:val="18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financial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the reporting date, other financial assets primarily include security deposits for rental agreements of the Mynaric Group.</w:t>
      </w:r>
    </w:p>
    <w:p>
      <w:pPr>
        <w:spacing w:after="0" w:line="15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credit risk exposure resulting from receivables from security deposits is considered low since the deposits are hold at separate accounts restricted from usage for other purposes.</w:t>
      </w:r>
    </w:p>
    <w:p>
      <w:pPr>
        <w:spacing w:after="0" w:line="11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the previous year this item still included bank balances subject to fixed interest in the amount of €781 thousand, which were fully received in the reporting year.</w:t>
      </w:r>
    </w:p>
    <w:p>
      <w:pPr>
        <w:spacing w:after="0" w:line="214" w:lineRule="exact"/>
        <w:rPr>
          <w:sz w:val="20"/>
          <w:szCs w:val="20"/>
          <w:color w:val="auto"/>
        </w:rPr>
      </w:pPr>
    </w:p>
    <w:p>
      <w:pPr>
        <w:ind w:left="2620" w:hanging="360"/>
        <w:spacing w:after="0"/>
        <w:tabs>
          <w:tab w:leader="none" w:pos="2620" w:val="left"/>
        </w:tabs>
        <w:numPr>
          <w:ilvl w:val="0"/>
          <w:numId w:val="19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As of December 31, 2020, the Group possessed cash and cash equivalents in the amount of €43,198 thousand (previous year: €8,914 thousand). Cash and cash equivalents are deposited at banks and financial institutions with a rating ranging from A- to BBB, based on the rating issued by the rating agency Fitch.</w:t>
      </w:r>
    </w:p>
    <w:p>
      <w:pPr>
        <w:spacing w:after="0" w:line="122"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estimated loss allowance for cash and cash equivalents was calculated based upon expected losses within 12 months and reflects the short terms to maturity. The Group assumes that its cash and cash equivalents have a low risk of default due to the external ratings of the banks and financial institutions.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Group follows an approach for determining expected losses for cash and cash equivalents that is similar to the approach used for debt instruments.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expected credit loss is not material and therefore was not recorded.</w:t>
      </w:r>
    </w:p>
    <w:p>
      <w:pPr>
        <w:spacing w:after="0" w:line="209"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 (ii) Liquidity risk</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2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uses activity-based cost accounting to calculate the costs of its product and services. This enables the Group to monitor cash requirements and to optimize cash inflows on capital employed.</w:t>
      </w:r>
    </w:p>
    <w:p>
      <w:pPr>
        <w:spacing w:after="0" w:line="11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Prudent liquidity risk management means being able to meet obligations when due at any time and, beyond that, maintaining sufficient cash and cash equivalents for unplanned expenditures. Management applies rolling forecasts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F-59</w:t>
      </w:r>
    </w:p>
    <w:p>
      <w:pPr>
        <w:sectPr>
          <w:pgSz w:w="11900" w:h="16838" w:orient="portrait"/>
          <w:cols w:equalWidth="0" w:num="1">
            <w:col w:w="10159"/>
          </w:cols>
          <w:pgMar w:left="300" w:top="354" w:right="1440" w:bottom="1440" w:gutter="0" w:footer="0" w:header="0"/>
        </w:sectPr>
      </w:pPr>
    </w:p>
    <w:bookmarkStart w:id="248" w:name="page249"/>
    <w:bookmarkEnd w:id="2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to monitor cash and cash equivalents based upon expected cash flows. This is generally done centrally for the Group. To ensure the Group’s solvency and its viability as a going concern, it is necessary to implement the adapted profit and liquidity planning for the years 2021 and 2022 and to ensure that financing is provided on an as-needed basis in the form of debt or equity capital. The capital increases and issuance of convertible bonds in the fiscal year resulted in a material improvement of liquidity and a significant reduction of the liquidity risk exposure. Under these conditions, there is sufficient liquidity to cover the financing needs that arise from time to time.</w:t>
      </w:r>
    </w:p>
    <w:p>
      <w:pPr>
        <w:spacing w:after="0" w:line="12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On September 15, 2021, we entered into a credit agreement with Formue Nord Fokus A/S, Modelio Equity AB (publ) and Munkekullen 5 förvaltning AB as lenders for a credit line of approximately €25 million until March 31, 2021. Loans can be drawn in a minimum amount of €5 million subject to a drawdown fee of 1% of the utilized amount. Outstanding loans under the credit agreement bear interest at a rate of 1% per beginning 30 days. The credit agreement also requires the Company to pay a commitment fee totaling 6% of the aggregate commitments of approximately €25 million. The commitment fee and interest on the drawn amount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w:t>
      </w:r>
    </w:p>
    <w:p>
      <w:pPr>
        <w:spacing w:after="0" w:line="115" w:lineRule="exact"/>
        <w:rPr>
          <w:sz w:val="20"/>
          <w:szCs w:val="20"/>
          <w:color w:val="auto"/>
        </w:rPr>
      </w:pPr>
    </w:p>
    <w:p>
      <w:pPr>
        <w:ind w:left="1980" w:right="879"/>
        <w:spacing w:after="0" w:line="279" w:lineRule="auto"/>
        <w:rPr>
          <w:sz w:val="20"/>
          <w:szCs w:val="20"/>
          <w:color w:val="auto"/>
        </w:rPr>
      </w:pPr>
      <w:r>
        <w:rPr>
          <w:rFonts w:ascii="Arial" w:cs="Arial" w:eastAsia="Arial" w:hAnsi="Arial"/>
          <w:sz w:val="11"/>
          <w:szCs w:val="11"/>
          <w:color w:val="auto"/>
        </w:rPr>
        <w:t>Based on management’s current operating plan, its existing cash and cash equivalents and the new credit facility, the Company has sufficient sources of financing to fund its planned operating expenses and capital expenditure requirements through the end of the second quarter 2022. Further financing is needed to fund its operations thereafter. Management is currently in discussions with various potential lenders and investors concerning additional debt and equity financing arrangements. Based on the management’s ability to obtain sufficient financing to fund its operations historically as well as the current status of negotiations with potential investors, management believes it is probable that they will be successful in signing additional financing arrangements before the end of the second quarter of 2022. In the unlikely event that such financing will not be accessible on a timely basis, management has the ability to postpone or curtail its currently planned operating and capital expenditures to conserve cash and cash equivalents. Should the Company be unable to obtain funding on a timely basis, it would be unable to achieve its current operational and development plans which may materially affect the Company’s business, financial condition and results of operations.</w:t>
      </w:r>
    </w:p>
    <w:p>
      <w:pPr>
        <w:spacing w:after="0" w:line="117"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104" w:lineRule="exact"/>
        <w:rPr>
          <w:sz w:val="20"/>
          <w:szCs w:val="20"/>
          <w:color w:val="auto"/>
        </w:rPr>
      </w:pPr>
    </w:p>
    <w:p>
      <w:pPr>
        <w:ind w:left="5360"/>
        <w:spacing w:after="0"/>
        <w:rPr>
          <w:sz w:val="20"/>
          <w:szCs w:val="20"/>
          <w:color w:val="auto"/>
        </w:rPr>
      </w:pPr>
      <w:r>
        <w:rPr>
          <w:rFonts w:ascii="Arial" w:cs="Arial" w:eastAsia="Arial" w:hAnsi="Arial"/>
          <w:sz w:val="10"/>
          <w:szCs w:val="10"/>
          <w:b w:val="1"/>
          <w:bCs w:val="1"/>
          <w:color w:val="auto"/>
        </w:rPr>
        <w:t>Dec. 31, 2020</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74"/>
        </w:trPr>
        <w:tc>
          <w:tcPr>
            <w:tcW w:w="540" w:type="dxa"/>
            <w:vAlign w:val="bottom"/>
            <w:tcBorders>
              <w:top w:val="single" w:sz="8" w:color="auto"/>
            </w:tcBorders>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gridSpan w:val="4"/>
          </w:tcPr>
          <w:p>
            <w:pPr>
              <w:jc w:val="center"/>
              <w:ind w:right="160"/>
              <w:spacing w:after="0" w:line="74" w:lineRule="exact"/>
              <w:rPr>
                <w:sz w:val="20"/>
                <w:szCs w:val="20"/>
                <w:color w:val="auto"/>
              </w:rPr>
            </w:pPr>
            <w:r>
              <w:rPr>
                <w:rFonts w:ascii="Arial" w:cs="Arial" w:eastAsia="Arial" w:hAnsi="Arial"/>
                <w:sz w:val="8"/>
                <w:szCs w:val="8"/>
                <w:b w:val="1"/>
                <w:bCs w:val="1"/>
                <w:color w:val="auto"/>
                <w:w w:val="99"/>
              </w:rPr>
              <w:t>between</w:t>
            </w:r>
          </w:p>
        </w:tc>
        <w:tc>
          <w:tcPr>
            <w:tcW w:w="520" w:type="dxa"/>
            <w:vAlign w:val="bottom"/>
            <w:tcBorders>
              <w:top w:val="single" w:sz="8" w:color="auto"/>
            </w:tcBorders>
            <w:gridSpan w:val="4"/>
          </w:tcPr>
          <w:p>
            <w:pPr>
              <w:jc w:val="center"/>
              <w:ind w:right="1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560" w:type="dxa"/>
            <w:vAlign w:val="bottom"/>
            <w:gridSpan w:val="4"/>
          </w:tcPr>
          <w:p>
            <w:pPr>
              <w:jc w:val="right"/>
              <w:ind w:right="180"/>
              <w:spacing w:after="0" w:line="99" w:lineRule="exact"/>
              <w:rPr>
                <w:sz w:val="20"/>
                <w:szCs w:val="20"/>
                <w:color w:val="auto"/>
              </w:rPr>
            </w:pPr>
            <w:r>
              <w:rPr>
                <w:rFonts w:ascii="Arial" w:cs="Arial" w:eastAsia="Arial" w:hAnsi="Arial"/>
                <w:sz w:val="10"/>
                <w:szCs w:val="10"/>
                <w:b w:val="1"/>
                <w:bCs w:val="1"/>
                <w:color w:val="auto"/>
                <w:w w:val="87"/>
              </w:rPr>
              <w:t>Carrying</w:t>
            </w:r>
          </w:p>
        </w:tc>
        <w:tc>
          <w:tcPr>
            <w:tcW w:w="52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78"/>
              </w:rPr>
              <w:t>less than</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1 and</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3 and</w:t>
            </w:r>
          </w:p>
        </w:tc>
        <w:tc>
          <w:tcPr>
            <w:tcW w:w="60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86"/>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560" w:type="dxa"/>
            <w:vAlign w:val="bottom"/>
            <w:gridSpan w:val="4"/>
          </w:tcPr>
          <w:p>
            <w:pPr>
              <w:ind w:left="40"/>
              <w:spacing w:after="0" w:line="105" w:lineRule="exact"/>
              <w:rPr>
                <w:sz w:val="20"/>
                <w:szCs w:val="20"/>
                <w:color w:val="auto"/>
              </w:rPr>
            </w:pPr>
            <w:r>
              <w:rPr>
                <w:rFonts w:ascii="Arial" w:cs="Arial" w:eastAsia="Arial" w:hAnsi="Arial"/>
                <w:sz w:val="10"/>
                <w:szCs w:val="10"/>
                <w:b w:val="1"/>
                <w:bCs w:val="1"/>
                <w:color w:val="auto"/>
              </w:rPr>
              <w:t>amount</w:t>
            </w:r>
          </w:p>
        </w:tc>
        <w:tc>
          <w:tcPr>
            <w:tcW w:w="520" w:type="dxa"/>
            <w:vAlign w:val="bottom"/>
            <w:gridSpan w:val="4"/>
          </w:tcPr>
          <w:p>
            <w:pPr>
              <w:jc w:val="right"/>
              <w:ind w:right="220"/>
              <w:spacing w:after="0" w:line="105" w:lineRule="exact"/>
              <w:rPr>
                <w:sz w:val="20"/>
                <w:szCs w:val="20"/>
                <w:color w:val="auto"/>
              </w:rPr>
            </w:pPr>
            <w:r>
              <w:rPr>
                <w:rFonts w:ascii="Arial" w:cs="Arial" w:eastAsia="Arial" w:hAnsi="Arial"/>
                <w:sz w:val="10"/>
                <w:szCs w:val="10"/>
                <w:b w:val="1"/>
                <w:bCs w:val="1"/>
                <w:color w:val="auto"/>
                <w:w w:val="96"/>
              </w:rPr>
              <w:t>1 year</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2 years</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5 years</w:t>
            </w:r>
          </w:p>
        </w:tc>
        <w:tc>
          <w:tcPr>
            <w:tcW w:w="600" w:type="dxa"/>
            <w:vAlign w:val="bottom"/>
            <w:gridSpan w:val="4"/>
          </w:tcPr>
          <w:p>
            <w:pPr>
              <w:jc w:val="right"/>
              <w:ind w:right="240"/>
              <w:spacing w:after="0" w:line="105" w:lineRule="exact"/>
              <w:rPr>
                <w:sz w:val="20"/>
                <w:szCs w:val="20"/>
                <w:color w:val="auto"/>
              </w:rPr>
            </w:pPr>
            <w:r>
              <w:rPr>
                <w:rFonts w:ascii="Arial" w:cs="Arial" w:eastAsia="Arial" w:hAnsi="Arial"/>
                <w:sz w:val="10"/>
                <w:szCs w:val="10"/>
                <w:b w:val="1"/>
                <w:bCs w:val="1"/>
                <w:color w:val="auto"/>
                <w:w w:val="98"/>
              </w:rPr>
              <w:t>5 years</w:t>
            </w:r>
          </w:p>
        </w:tc>
        <w:tc>
          <w:tcPr>
            <w:tcW w:w="380" w:type="dxa"/>
            <w:vAlign w:val="bottom"/>
            <w:gridSpan w:val="4"/>
          </w:tcPr>
          <w:p>
            <w:pPr>
              <w:ind w:left="6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8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7,956</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1,168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8,600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32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13,108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6,320</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w w:val="94"/>
              </w:rPr>
              <w:t>13,752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5"/>
          </w:tcPr>
          <w:p>
            <w:pPr>
              <w:ind w:left="980"/>
              <w:spacing w:after="0"/>
              <w:rPr>
                <w:sz w:val="20"/>
                <w:szCs w:val="20"/>
                <w:color w:val="auto"/>
              </w:rPr>
            </w:pPr>
            <w:r>
              <w:rPr>
                <w:rFonts w:ascii="Arial" w:cs="Arial" w:eastAsia="Arial" w:hAnsi="Arial"/>
                <w:sz w:val="10"/>
                <w:szCs w:val="10"/>
                <w:b w:val="1"/>
                <w:bCs w:val="1"/>
                <w:color w:val="auto"/>
              </w:rPr>
              <w:t>Dec. 31, 2019</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5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92"/>
              </w:rPr>
              <w:t>Carrying</w:t>
            </w:r>
          </w:p>
        </w:tc>
        <w:tc>
          <w:tcPr>
            <w:tcW w:w="80" w:type="dxa"/>
            <w:vAlign w:val="bottom"/>
          </w:tcPr>
          <w:p>
            <w:pPr>
              <w:spacing w:after="0"/>
              <w:rPr>
                <w:sz w:val="8"/>
                <w:szCs w:val="8"/>
                <w:color w:val="auto"/>
              </w:rPr>
            </w:pPr>
          </w:p>
        </w:tc>
        <w:tc>
          <w:tcPr>
            <w:tcW w:w="440" w:type="dxa"/>
            <w:vAlign w:val="bottom"/>
            <w:gridSpan w:val="3"/>
          </w:tcPr>
          <w:p>
            <w:pPr>
              <w:jc w:val="right"/>
              <w:ind w:right="80"/>
              <w:spacing w:after="0" w:line="99" w:lineRule="exact"/>
              <w:rPr>
                <w:sz w:val="20"/>
                <w:szCs w:val="20"/>
                <w:color w:val="auto"/>
              </w:rPr>
            </w:pPr>
            <w:r>
              <w:rPr>
                <w:rFonts w:ascii="Arial" w:cs="Arial" w:eastAsia="Arial" w:hAnsi="Arial"/>
                <w:sz w:val="10"/>
                <w:szCs w:val="10"/>
                <w:b w:val="1"/>
                <w:bCs w:val="1"/>
                <w:color w:val="auto"/>
                <w:w w:val="78"/>
              </w:rPr>
              <w:t>less than</w:t>
            </w:r>
          </w:p>
        </w:tc>
        <w:tc>
          <w:tcPr>
            <w:tcW w:w="100" w:type="dxa"/>
            <w:vAlign w:val="bottom"/>
          </w:tcPr>
          <w:p>
            <w:pPr>
              <w:spacing w:after="0"/>
              <w:rPr>
                <w:sz w:val="8"/>
                <w:szCs w:val="8"/>
                <w:color w:val="auto"/>
              </w:rPr>
            </w:pPr>
          </w:p>
        </w:tc>
        <w:tc>
          <w:tcPr>
            <w:tcW w:w="42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4"/>
              </w:rPr>
              <w:t>1 and</w:t>
            </w:r>
          </w:p>
        </w:tc>
        <w:tc>
          <w:tcPr>
            <w:tcW w:w="100" w:type="dxa"/>
            <w:vAlign w:val="bottom"/>
          </w:tcPr>
          <w:p>
            <w:pPr>
              <w:spacing w:after="0"/>
              <w:rPr>
                <w:sz w:val="8"/>
                <w:szCs w:val="8"/>
                <w:color w:val="auto"/>
              </w:rPr>
            </w:pPr>
          </w:p>
        </w:tc>
        <w:tc>
          <w:tcPr>
            <w:tcW w:w="42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91"/>
              </w:rPr>
              <w:t>3 and</w:t>
            </w:r>
          </w:p>
        </w:tc>
        <w:tc>
          <w:tcPr>
            <w:tcW w:w="80" w:type="dxa"/>
            <w:vAlign w:val="bottom"/>
          </w:tcPr>
          <w:p>
            <w:pPr>
              <w:spacing w:after="0"/>
              <w:rPr>
                <w:sz w:val="8"/>
                <w:szCs w:val="8"/>
                <w:color w:val="auto"/>
              </w:rPr>
            </w:pP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8"/>
              </w:rPr>
              <w:t>amount</w:t>
            </w:r>
          </w:p>
        </w:tc>
        <w:tc>
          <w:tcPr>
            <w:tcW w:w="80" w:type="dxa"/>
            <w:vAlign w:val="bottom"/>
          </w:tcPr>
          <w:p>
            <w:pPr>
              <w:spacing w:after="0"/>
              <w:rPr>
                <w:sz w:val="9"/>
                <w:szCs w:val="9"/>
                <w:color w:val="auto"/>
              </w:rPr>
            </w:pPr>
          </w:p>
        </w:tc>
        <w:tc>
          <w:tcPr>
            <w:tcW w:w="440" w:type="dxa"/>
            <w:vAlign w:val="bottom"/>
            <w:gridSpan w:val="3"/>
          </w:tcPr>
          <w:p>
            <w:pPr>
              <w:jc w:val="right"/>
              <w:ind w:right="120"/>
              <w:spacing w:after="0" w:line="105" w:lineRule="exact"/>
              <w:rPr>
                <w:sz w:val="20"/>
                <w:szCs w:val="20"/>
                <w:color w:val="auto"/>
              </w:rPr>
            </w:pPr>
            <w:r>
              <w:rPr>
                <w:rFonts w:ascii="Arial" w:cs="Arial" w:eastAsia="Arial" w:hAnsi="Arial"/>
                <w:sz w:val="10"/>
                <w:szCs w:val="10"/>
                <w:b w:val="1"/>
                <w:bCs w:val="1"/>
                <w:color w:val="auto"/>
              </w:rPr>
              <w:t>1 year</w:t>
            </w:r>
          </w:p>
        </w:tc>
        <w:tc>
          <w:tcPr>
            <w:tcW w:w="100" w:type="dxa"/>
            <w:vAlign w:val="bottom"/>
          </w:tcPr>
          <w:p>
            <w:pPr>
              <w:spacing w:after="0"/>
              <w:rPr>
                <w:sz w:val="9"/>
                <w:szCs w:val="9"/>
                <w:color w:val="auto"/>
              </w:rPr>
            </w:pPr>
          </w:p>
        </w:tc>
        <w:tc>
          <w:tcPr>
            <w:tcW w:w="42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6"/>
              </w:rPr>
              <w:t>2 years</w:t>
            </w:r>
          </w:p>
        </w:tc>
        <w:tc>
          <w:tcPr>
            <w:tcW w:w="100" w:type="dxa"/>
            <w:vAlign w:val="bottom"/>
          </w:tcPr>
          <w:p>
            <w:pPr>
              <w:spacing w:after="0"/>
              <w:rPr>
                <w:sz w:val="9"/>
                <w:szCs w:val="9"/>
                <w:color w:val="auto"/>
              </w:rPr>
            </w:pPr>
          </w:p>
        </w:tc>
        <w:tc>
          <w:tcPr>
            <w:tcW w:w="420" w:type="dxa"/>
            <w:vAlign w:val="bottom"/>
            <w:gridSpan w:val="3"/>
          </w:tcPr>
          <w:p>
            <w:pPr>
              <w:jc w:val="center"/>
              <w:ind w:right="100"/>
              <w:spacing w:after="0" w:line="105" w:lineRule="exact"/>
              <w:rPr>
                <w:sz w:val="20"/>
                <w:szCs w:val="20"/>
                <w:color w:val="auto"/>
              </w:rPr>
            </w:pPr>
            <w:r>
              <w:rPr>
                <w:rFonts w:ascii="Arial" w:cs="Arial" w:eastAsia="Arial" w:hAnsi="Arial"/>
                <w:sz w:val="10"/>
                <w:szCs w:val="10"/>
                <w:b w:val="1"/>
                <w:bCs w:val="1"/>
                <w:color w:val="auto"/>
                <w:w w:val="81"/>
              </w:rPr>
              <w:t>5 years</w:t>
            </w:r>
          </w:p>
        </w:tc>
        <w:tc>
          <w:tcPr>
            <w:tcW w:w="80" w:type="dxa"/>
            <w:vAlign w:val="bottom"/>
          </w:tcPr>
          <w:p>
            <w:pPr>
              <w:spacing w:after="0"/>
              <w:rPr>
                <w:sz w:val="9"/>
                <w:szCs w:val="9"/>
                <w:color w:val="auto"/>
              </w:rPr>
            </w:pPr>
          </w:p>
        </w:tc>
        <w:tc>
          <w:tcPr>
            <w:tcW w:w="520" w:type="dxa"/>
            <w:vAlign w:val="bottom"/>
            <w:gridSpan w:val="3"/>
          </w:tcPr>
          <w:p>
            <w:pPr>
              <w:jc w:val="right"/>
              <w:ind w:right="160"/>
              <w:spacing w:after="0" w:line="105" w:lineRule="exact"/>
              <w:rPr>
                <w:sz w:val="20"/>
                <w:szCs w:val="20"/>
                <w:color w:val="auto"/>
              </w:rPr>
            </w:pPr>
            <w:r>
              <w:rPr>
                <w:rFonts w:ascii="Arial" w:cs="Arial" w:eastAsia="Arial" w:hAnsi="Arial"/>
                <w:sz w:val="10"/>
                <w:szCs w:val="10"/>
                <w:b w:val="1"/>
                <w:bCs w:val="1"/>
                <w:color w:val="auto"/>
                <w:w w:val="98"/>
              </w:rPr>
              <w:t>5 years</w:t>
            </w:r>
          </w:p>
        </w:tc>
        <w:tc>
          <w:tcPr>
            <w:tcW w:w="80" w:type="dxa"/>
            <w:vAlign w:val="bottom"/>
          </w:tcPr>
          <w:p>
            <w:pPr>
              <w:spacing w:after="0"/>
              <w:rPr>
                <w:sz w:val="9"/>
                <w:szCs w:val="9"/>
                <w:color w:val="auto"/>
              </w:rPr>
            </w:pPr>
          </w:p>
        </w:tc>
        <w:tc>
          <w:tcPr>
            <w:tcW w:w="30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920" w:type="dxa"/>
            <w:vAlign w:val="bottom"/>
            <w:gridSpan w:val="2"/>
            <w:shd w:val="clear" w:color="auto" w:fill="CCEEFF"/>
          </w:tcPr>
          <w:p>
            <w:pPr>
              <w:spacing w:after="0"/>
              <w:rPr>
                <w:sz w:val="9"/>
                <w:szCs w:val="9"/>
                <w:color w:val="auto"/>
              </w:rPr>
            </w:pPr>
          </w:p>
        </w:tc>
        <w:tc>
          <w:tcPr>
            <w:tcW w:w="4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20"/>
              <w:spacing w:after="0" w:line="113" w:lineRule="exact"/>
              <w:rPr>
                <w:sz w:val="20"/>
                <w:szCs w:val="20"/>
                <w:color w:val="auto"/>
              </w:rPr>
            </w:pPr>
            <w:r>
              <w:rPr>
                <w:rFonts w:ascii="Arial" w:cs="Arial" w:eastAsia="Arial" w:hAnsi="Arial"/>
                <w:sz w:val="11"/>
                <w:szCs w:val="11"/>
                <w:color w:val="auto"/>
                <w:w w:val="87"/>
              </w:rPr>
              <w:t>2,461</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6,762</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7,398</w:t>
            </w: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400" w:type="dxa"/>
            <w:vAlign w:val="bottom"/>
            <w:gridSpan w:val="5"/>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38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9,229</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3,264</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9,865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F-60</w:t>
      </w:r>
    </w:p>
    <w:p>
      <w:pPr>
        <w:sectPr>
          <w:pgSz w:w="11900" w:h="16838" w:orient="portrait"/>
          <w:cols w:equalWidth="0" w:num="1">
            <w:col w:w="10159"/>
          </w:cols>
          <w:pgMar w:left="300" w:top="354" w:right="1440" w:bottom="1440" w:gutter="0" w:footer="0" w:header="0"/>
        </w:sectPr>
      </w:pPr>
    </w:p>
    <w:bookmarkStart w:id="249" w:name="page250"/>
    <w:bookmarkEnd w:id="2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(iii) Market risk</w:t>
      </w:r>
    </w:p>
    <w:p>
      <w:pPr>
        <w:spacing w:after="0" w:line="154"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221" w:lineRule="exact"/>
        <w:rPr>
          <w:sz w:val="20"/>
          <w:szCs w:val="20"/>
          <w:color w:val="auto"/>
        </w:rPr>
      </w:pPr>
    </w:p>
    <w:p>
      <w:pPr>
        <w:ind w:left="2620" w:hanging="360"/>
        <w:spacing w:after="0"/>
        <w:tabs>
          <w:tab w:leader="none" w:pos="2620" w:val="left"/>
        </w:tabs>
        <w:numPr>
          <w:ilvl w:val="0"/>
          <w:numId w:val="19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Currency risk</w:t>
      </w:r>
    </w:p>
    <w:p>
      <w:pPr>
        <w:spacing w:after="0" w:line="150" w:lineRule="exact"/>
        <w:rPr>
          <w:sz w:val="20"/>
          <w:szCs w:val="20"/>
          <w:color w:val="auto"/>
        </w:rPr>
      </w:pPr>
    </w:p>
    <w:p>
      <w:pPr>
        <w:jc w:val="both"/>
        <w:ind w:left="1980" w:right="879"/>
        <w:spacing w:after="0" w:line="340" w:lineRule="auto"/>
        <w:rPr>
          <w:sz w:val="20"/>
          <w:szCs w:val="20"/>
          <w:color w:val="auto"/>
        </w:rPr>
      </w:pPr>
      <w:r>
        <w:rPr>
          <w:rFonts w:ascii="Arial" w:cs="Arial" w:eastAsia="Arial" w:hAnsi="Arial"/>
          <w:sz w:val="10"/>
          <w:szCs w:val="10"/>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Effects of currency risk</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following is a summary of quantitative information about the Group’s currency risk exposure provided to Group management:</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rPr>
              <w:t>Dec. 31, 2020</w:t>
            </w: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3"/>
          </w:tcPr>
          <w:p>
            <w:pPr>
              <w:jc w:val="right"/>
              <w:ind w:right="180"/>
              <w:spacing w:after="0" w:line="79" w:lineRule="exact"/>
              <w:rPr>
                <w:sz w:val="20"/>
                <w:szCs w:val="20"/>
                <w:color w:val="auto"/>
              </w:rPr>
            </w:pPr>
            <w:r>
              <w:rPr>
                <w:rFonts w:ascii="Arial" w:cs="Arial" w:eastAsia="Arial" w:hAnsi="Arial"/>
                <w:sz w:val="8"/>
                <w:szCs w:val="8"/>
                <w:b w:val="1"/>
                <w:bCs w:val="1"/>
                <w:color w:val="auto"/>
              </w:rPr>
              <w:t>EUR</w:t>
            </w:r>
          </w:p>
        </w:tc>
        <w:tc>
          <w:tcPr>
            <w:tcW w:w="80" w:type="dxa"/>
            <w:vAlign w:val="bottom"/>
          </w:tcPr>
          <w:p>
            <w:pPr>
              <w:spacing w:after="0"/>
              <w:rPr>
                <w:sz w:val="8"/>
                <w:szCs w:val="8"/>
                <w:color w:val="auto"/>
              </w:rPr>
            </w:pPr>
          </w:p>
        </w:tc>
        <w:tc>
          <w:tcPr>
            <w:tcW w:w="36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Cash and cash equivalents</w:t>
            </w: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961</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120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Intercompany-Loan</w:t>
            </w:r>
          </w:p>
        </w:tc>
        <w:tc>
          <w:tcPr>
            <w:tcW w:w="500" w:type="dxa"/>
            <w:vAlign w:val="bottom"/>
            <w:gridSpan w:val="4"/>
          </w:tcPr>
          <w:p>
            <w:pPr>
              <w:jc w:val="right"/>
              <w:ind w:right="14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Trade payables</w:t>
            </w:r>
          </w:p>
        </w:tc>
        <w:tc>
          <w:tcPr>
            <w:tcW w:w="5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5320" w:type="dxa"/>
            <w:vAlign w:val="bottom"/>
            <w:gridSpan w:val="2"/>
          </w:tcPr>
          <w:p>
            <w:pPr>
              <w:spacing w:after="0"/>
              <w:rPr>
                <w:sz w:val="20"/>
                <w:szCs w:val="20"/>
                <w:color w:val="auto"/>
              </w:rPr>
            </w:pPr>
            <w:r>
              <w:rPr>
                <w:rFonts w:ascii="Arial" w:cs="Arial" w:eastAsia="Arial" w:hAnsi="Arial"/>
                <w:sz w:val="11"/>
                <w:szCs w:val="11"/>
                <w:color w:val="auto"/>
              </w:rPr>
              <w:t>Net statement of financial position exposure</w:t>
            </w:r>
          </w:p>
        </w:tc>
        <w:tc>
          <w:tcPr>
            <w:tcW w:w="500" w:type="dxa"/>
            <w:vAlign w:val="bottom"/>
            <w:gridSpan w:val="4"/>
          </w:tcPr>
          <w:p>
            <w:pPr>
              <w:jc w:val="right"/>
              <w:ind w:right="10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862</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(5)</w:t>
            </w:r>
          </w:p>
        </w:tc>
        <w:tc>
          <w:tcPr>
            <w:tcW w:w="420" w:type="dxa"/>
            <w:vAlign w:val="bottom"/>
            <w:gridSpan w:val="2"/>
          </w:tcPr>
          <w:p>
            <w:pPr>
              <w:jc w:val="right"/>
              <w:ind w:right="160"/>
              <w:spacing w:after="0"/>
              <w:rPr>
                <w:sz w:val="20"/>
                <w:szCs w:val="20"/>
                <w:color w:val="auto"/>
              </w:rPr>
            </w:pPr>
            <w:r>
              <w:rPr>
                <w:rFonts w:ascii="Arial" w:cs="Arial" w:eastAsia="Arial" w:hAnsi="Arial"/>
                <w:sz w:val="11"/>
                <w:szCs w:val="11"/>
                <w:color w:val="auto"/>
              </w:rPr>
              <w:t>(53)</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260"/>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Dec. 31, 2019</w:t>
            </w: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500" w:type="dxa"/>
            <w:vAlign w:val="bottom"/>
            <w:gridSpan w:val="4"/>
          </w:tcPr>
          <w:p>
            <w:pPr>
              <w:jc w:val="right"/>
              <w:ind w:right="260"/>
              <w:spacing w:after="0" w:line="79" w:lineRule="exact"/>
              <w:rPr>
                <w:sz w:val="20"/>
                <w:szCs w:val="20"/>
                <w:color w:val="auto"/>
              </w:rPr>
            </w:pPr>
            <w:r>
              <w:rPr>
                <w:rFonts w:ascii="Arial" w:cs="Arial" w:eastAsia="Arial" w:hAnsi="Arial"/>
                <w:sz w:val="8"/>
                <w:szCs w:val="8"/>
                <w:b w:val="1"/>
                <w:bCs w:val="1"/>
                <w:color w:val="auto"/>
              </w:rPr>
              <w:t>EUR</w:t>
            </w:r>
          </w:p>
        </w:tc>
        <w:tc>
          <w:tcPr>
            <w:tcW w:w="440" w:type="dxa"/>
            <w:vAlign w:val="bottom"/>
            <w:gridSpan w:val="3"/>
          </w:tcPr>
          <w:p>
            <w:pPr>
              <w:ind w:left="40"/>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Deposits</w:t>
            </w: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875</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875</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638</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Intercompany-Loan</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Trade payables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2</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7</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statement of financial position exposure</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w w:val="91"/>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1,750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Sensitivity analysis</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 potential appreciation (depreciation) of EUR, USD, CHF, and RMB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137" w:lineRule="exact"/>
        <w:rPr>
          <w:sz w:val="20"/>
          <w:szCs w:val="20"/>
          <w:color w:val="auto"/>
        </w:rPr>
      </w:pPr>
    </w:p>
    <w:p>
      <w:pPr>
        <w:ind w:left="4980"/>
        <w:spacing w:after="0"/>
        <w:rPr>
          <w:sz w:val="20"/>
          <w:szCs w:val="20"/>
          <w:color w:val="auto"/>
        </w:rPr>
      </w:pPr>
      <w:r>
        <w:rPr>
          <w:rFonts w:ascii="Arial" w:cs="Arial" w:eastAsia="Arial" w:hAnsi="Arial"/>
          <w:sz w:val="10"/>
          <w:szCs w:val="10"/>
          <w:b w:val="1"/>
          <w:bCs w:val="1"/>
          <w:color w:val="auto"/>
        </w:rPr>
        <w:t>Effects on Group profit or loss</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88"/>
        </w:trPr>
        <w:tc>
          <w:tcPr>
            <w:tcW w:w="540" w:type="dxa"/>
            <w:vAlign w:val="bottom"/>
            <w:tcBorders>
              <w:top w:val="single" w:sz="8" w:color="auto"/>
            </w:tcBorders>
          </w:tcPr>
          <w:p>
            <w:pPr>
              <w:spacing w:after="0"/>
              <w:rPr>
                <w:sz w:val="7"/>
                <w:szCs w:val="7"/>
                <w:color w:val="auto"/>
              </w:rPr>
            </w:pPr>
          </w:p>
        </w:tc>
        <w:tc>
          <w:tcPr>
            <w:tcW w:w="328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2019</w:t>
            </w:r>
          </w:p>
        </w:tc>
        <w:tc>
          <w:tcPr>
            <w:tcW w:w="560" w:type="dxa"/>
            <w:vAlign w:val="bottom"/>
            <w:tcBorders>
              <w:top w:val="single" w:sz="8" w:color="auto"/>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46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40" w:type="dxa"/>
            <w:vAlign w:val="bottom"/>
            <w:vMerge w:val="restart"/>
          </w:tcPr>
          <w:p>
            <w:pPr>
              <w:spacing w:after="0"/>
              <w:rPr>
                <w:sz w:val="20"/>
                <w:szCs w:val="20"/>
                <w:color w:val="auto"/>
              </w:rPr>
            </w:pPr>
            <w:r>
              <w:rPr>
                <w:rFonts w:ascii="Arial" w:cs="Arial" w:eastAsia="Arial" w:hAnsi="Arial"/>
                <w:sz w:val="10"/>
                <w:szCs w:val="10"/>
                <w:b w:val="1"/>
                <w:bCs w:val="1"/>
                <w:color w:val="auto"/>
                <w:w w:val="79"/>
              </w:rPr>
              <w:t>in € thousand</w:t>
            </w:r>
          </w:p>
        </w:tc>
        <w:tc>
          <w:tcPr>
            <w:tcW w:w="3280" w:type="dxa"/>
            <w:vAlign w:val="bottom"/>
          </w:tcPr>
          <w:p>
            <w:pPr>
              <w:spacing w:after="0"/>
              <w:rPr>
                <w:sz w:val="6"/>
                <w:szCs w:val="6"/>
                <w:color w:val="auto"/>
              </w:rPr>
            </w:pPr>
          </w:p>
        </w:tc>
        <w:tc>
          <w:tcPr>
            <w:tcW w:w="580" w:type="dxa"/>
            <w:vAlign w:val="bottom"/>
            <w:gridSpan w:val="2"/>
          </w:tcPr>
          <w:p>
            <w:pPr>
              <w:jc w:val="right"/>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460" w:type="dxa"/>
            <w:vAlign w:val="bottom"/>
          </w:tcPr>
          <w:p>
            <w:pPr>
              <w:spacing w:after="0"/>
              <w:rPr>
                <w:sz w:val="6"/>
                <w:szCs w:val="6"/>
                <w:color w:val="auto"/>
              </w:rPr>
            </w:pPr>
          </w:p>
        </w:tc>
        <w:tc>
          <w:tcPr>
            <w:tcW w:w="580" w:type="dxa"/>
            <w:vAlign w:val="bottom"/>
            <w:gridSpan w:val="2"/>
          </w:tcPr>
          <w:p>
            <w:pPr>
              <w:jc w:val="right"/>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40" w:type="dxa"/>
            <w:vAlign w:val="bottom"/>
            <w:tcBorders>
              <w:bottom w:val="single" w:sz="8" w:color="auto"/>
            </w:tcBorders>
            <w:vMerge w:val="continue"/>
          </w:tcPr>
          <w:p>
            <w:pPr>
              <w:spacing w:after="0"/>
              <w:rPr>
                <w:sz w:val="10"/>
                <w:szCs w:val="10"/>
                <w:color w:val="auto"/>
              </w:rPr>
            </w:pPr>
          </w:p>
        </w:tc>
        <w:tc>
          <w:tcPr>
            <w:tcW w:w="3760" w:type="dxa"/>
            <w:vAlign w:val="bottom"/>
            <w:gridSpan w:val="2"/>
          </w:tcPr>
          <w:p>
            <w:pPr>
              <w:jc w:val="right"/>
              <w:ind w:right="132"/>
              <w:spacing w:after="0" w:line="105" w:lineRule="exact"/>
              <w:rPr>
                <w:sz w:val="20"/>
                <w:szCs w:val="20"/>
                <w:color w:val="auto"/>
              </w:rPr>
            </w:pPr>
            <w:r>
              <w:rPr>
                <w:rFonts w:ascii="Arial" w:cs="Arial" w:eastAsia="Arial" w:hAnsi="Arial"/>
                <w:sz w:val="10"/>
                <w:szCs w:val="10"/>
                <w:b w:val="1"/>
                <w:bCs w:val="1"/>
                <w:color w:val="auto"/>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460" w:type="dxa"/>
            <w:vAlign w:val="bottom"/>
          </w:tcPr>
          <w:p>
            <w:pPr>
              <w:spacing w:after="0"/>
              <w:rPr>
                <w:sz w:val="10"/>
                <w:szCs w:val="10"/>
                <w:color w:val="auto"/>
              </w:rPr>
            </w:pPr>
          </w:p>
        </w:tc>
        <w:tc>
          <w:tcPr>
            <w:tcW w:w="480" w:type="dxa"/>
            <w:vAlign w:val="bottom"/>
          </w:tcPr>
          <w:p>
            <w:pPr>
              <w:jc w:val="right"/>
              <w:ind w:right="129"/>
              <w:spacing w:after="0" w:line="105" w:lineRule="exact"/>
              <w:rPr>
                <w:sz w:val="20"/>
                <w:szCs w:val="20"/>
                <w:color w:val="auto"/>
              </w:rPr>
            </w:pPr>
            <w:r>
              <w:rPr>
                <w:rFonts w:ascii="Arial" w:cs="Arial" w:eastAsia="Arial" w:hAnsi="Arial"/>
                <w:sz w:val="10"/>
                <w:szCs w:val="10"/>
                <w:b w:val="1"/>
                <w:bCs w:val="1"/>
                <w:color w:val="auto"/>
              </w:rPr>
              <w:t>5%</w:t>
            </w:r>
          </w:p>
        </w:tc>
        <w:tc>
          <w:tcPr>
            <w:tcW w:w="100" w:type="dxa"/>
            <w:vAlign w:val="bottom"/>
          </w:tcPr>
          <w:p>
            <w:pPr>
              <w:spacing w:after="0"/>
              <w:rPr>
                <w:sz w:val="10"/>
                <w:szCs w:val="10"/>
                <w:color w:val="auto"/>
              </w:rPr>
            </w:pPr>
          </w:p>
        </w:tc>
        <w:tc>
          <w:tcPr>
            <w:tcW w:w="920" w:type="dxa"/>
            <w:vAlign w:val="bottom"/>
            <w:gridSpan w:val="2"/>
          </w:tcPr>
          <w:p>
            <w:pPr>
              <w:jc w:val="right"/>
              <w:ind w:right="152"/>
              <w:spacing w:after="0" w:line="105" w:lineRule="exact"/>
              <w:rPr>
                <w:sz w:val="20"/>
                <w:szCs w:val="20"/>
                <w:color w:val="auto"/>
              </w:rPr>
            </w:pPr>
            <w:r>
              <w:rPr>
                <w:rFonts w:ascii="Arial" w:cs="Arial" w:eastAsia="Arial" w:hAnsi="Arial"/>
                <w:sz w:val="10"/>
                <w:szCs w:val="10"/>
                <w:b w:val="1"/>
                <w:bCs w:val="1"/>
                <w:color w:val="auto"/>
              </w:rPr>
              <w:t>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32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4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20"/>
                <w:szCs w:val="20"/>
                <w:color w:val="auto"/>
              </w:rPr>
            </w:pPr>
            <w:r>
              <w:rPr>
                <w:rFonts w:ascii="Arial" w:cs="Arial" w:eastAsia="Arial" w:hAnsi="Arial"/>
                <w:sz w:val="11"/>
                <w:szCs w:val="11"/>
                <w:color w:val="auto"/>
              </w:rPr>
              <w:t>USD</w:t>
            </w:r>
          </w:p>
        </w:tc>
        <w:tc>
          <w:tcPr>
            <w:tcW w:w="386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1380" w:type="dxa"/>
            <w:vAlign w:val="bottom"/>
            <w:gridSpan w:val="3"/>
          </w:tcPr>
          <w:p>
            <w:pPr>
              <w:jc w:val="right"/>
              <w:ind w:right="440"/>
              <w:spacing w:after="0"/>
              <w:rPr>
                <w:sz w:val="20"/>
                <w:szCs w:val="20"/>
                <w:color w:val="auto"/>
              </w:rPr>
            </w:pPr>
            <w:r>
              <w:rPr>
                <w:rFonts w:ascii="Arial" w:cs="Arial" w:eastAsia="Arial" w:hAnsi="Arial"/>
                <w:sz w:val="11"/>
                <w:szCs w:val="11"/>
                <w:color w:val="auto"/>
              </w:rPr>
              <w:t>(35)</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78</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color w:val="auto"/>
              </w:rPr>
              <w:t>CHF</w:t>
            </w:r>
          </w:p>
        </w:tc>
        <w:tc>
          <w:tcPr>
            <w:tcW w:w="38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1"/>
                <w:szCs w:val="11"/>
                <w:color w:val="auto"/>
              </w:rPr>
              <w:t>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20"/>
                <w:szCs w:val="20"/>
                <w:color w:val="auto"/>
              </w:rPr>
            </w:pPr>
            <w:r>
              <w:rPr>
                <w:rFonts w:ascii="Arial" w:cs="Arial" w:eastAsia="Arial" w:hAnsi="Arial"/>
                <w:sz w:val="11"/>
                <w:szCs w:val="11"/>
                <w:color w:val="auto"/>
              </w:rPr>
              <w:t>RMB</w:t>
            </w:r>
          </w:p>
        </w:tc>
        <w:tc>
          <w:tcPr>
            <w:tcW w:w="386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1380" w:type="dxa"/>
            <w:vAlign w:val="bottom"/>
            <w:gridSpan w:val="3"/>
          </w:tcPr>
          <w:p>
            <w:pPr>
              <w:jc w:val="right"/>
              <w:ind w:right="440"/>
              <w:spacing w:after="0"/>
              <w:rPr>
                <w:sz w:val="20"/>
                <w:szCs w:val="20"/>
                <w:color w:val="auto"/>
              </w:rPr>
            </w:pPr>
            <w:r>
              <w:rPr>
                <w:rFonts w:ascii="Arial" w:cs="Arial" w:eastAsia="Arial" w:hAnsi="Arial"/>
                <w:sz w:val="11"/>
                <w:szCs w:val="11"/>
                <w:color w:val="auto"/>
              </w:rPr>
              <w:t>(1)</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3</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8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(228)</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1"/>
                <w:szCs w:val="11"/>
                <w:b w:val="1"/>
                <w:bCs w:val="1"/>
                <w:color w:val="auto"/>
              </w:rPr>
              <w:t>228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F-61</w:t>
      </w:r>
    </w:p>
    <w:p>
      <w:pPr>
        <w:sectPr>
          <w:pgSz w:w="11900" w:h="16838" w:orient="portrait"/>
          <w:cols w:equalWidth="0" w:num="1">
            <w:col w:w="10159"/>
          </w:cols>
          <w:pgMar w:left="300" w:top="354" w:right="1440" w:bottom="1440" w:gutter="0" w:footer="0" w:header="0"/>
        </w:sectPr>
      </w:pPr>
    </w:p>
    <w:bookmarkStart w:id="250" w:name="page251"/>
    <w:bookmarkEnd w:id="2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120"/>
        <w:spacing w:after="0"/>
        <w:rPr>
          <w:sz w:val="20"/>
          <w:szCs w:val="20"/>
          <w:color w:val="auto"/>
        </w:rPr>
      </w:pPr>
      <w:r>
        <w:rPr>
          <w:rFonts w:ascii="Arial" w:cs="Arial" w:eastAsia="Arial" w:hAnsi="Arial"/>
          <w:sz w:val="10"/>
          <w:szCs w:val="10"/>
          <w:b w:val="1"/>
          <w:bCs w:val="1"/>
          <w:color w:val="auto"/>
        </w:rPr>
        <w:t>Effects on Group equity</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88"/>
        </w:trPr>
        <w:tc>
          <w:tcPr>
            <w:tcW w:w="540" w:type="dxa"/>
            <w:vAlign w:val="bottom"/>
            <w:tcBorders>
              <w:top w:val="single" w:sz="8" w:color="auto"/>
            </w:tcBorders>
          </w:tcPr>
          <w:p>
            <w:pPr>
              <w:spacing w:after="0"/>
              <w:rPr>
                <w:sz w:val="7"/>
                <w:szCs w:val="7"/>
                <w:color w:val="auto"/>
              </w:rPr>
            </w:pPr>
          </w:p>
        </w:tc>
        <w:tc>
          <w:tcPr>
            <w:tcW w:w="328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9"/>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Borders>
              <w:bottom w:val="single" w:sz="8" w:color="auto"/>
            </w:tcBorders>
            <w:gridSpan w:val="6"/>
          </w:tcPr>
          <w:p>
            <w:pPr>
              <w:jc w:val="right"/>
              <w:ind w:right="167"/>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3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80" w:type="dxa"/>
            <w:vAlign w:val="bottom"/>
            <w:gridSpan w:val="2"/>
          </w:tcPr>
          <w:p>
            <w:pPr>
              <w:jc w:val="right"/>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60" w:type="dxa"/>
            <w:vAlign w:val="bottom"/>
            <w:gridSpan w:val="2"/>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820" w:type="dxa"/>
            <w:vAlign w:val="bottom"/>
            <w:gridSpan w:val="2"/>
            <w:vMerge w:val="continue"/>
          </w:tcPr>
          <w:p>
            <w:pPr>
              <w:spacing w:after="0"/>
              <w:rPr>
                <w:sz w:val="10"/>
                <w:szCs w:val="10"/>
                <w:color w:val="auto"/>
              </w:rPr>
            </w:pPr>
          </w:p>
        </w:tc>
        <w:tc>
          <w:tcPr>
            <w:tcW w:w="480" w:type="dxa"/>
            <w:vAlign w:val="bottom"/>
          </w:tcPr>
          <w:p>
            <w:pPr>
              <w:jc w:val="right"/>
              <w:ind w:right="129"/>
              <w:spacing w:after="0" w:line="105" w:lineRule="exact"/>
              <w:rPr>
                <w:sz w:val="20"/>
                <w:szCs w:val="20"/>
                <w:color w:val="auto"/>
              </w:rPr>
            </w:pPr>
            <w:r>
              <w:rPr>
                <w:rFonts w:ascii="Arial" w:cs="Arial" w:eastAsia="Arial" w:hAnsi="Arial"/>
                <w:sz w:val="10"/>
                <w:szCs w:val="10"/>
                <w:b w:val="1"/>
                <w:bCs w:val="1"/>
                <w:color w:val="auto"/>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160"/>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147"/>
              <w:spacing w:after="0" w:line="105" w:lineRule="exact"/>
              <w:rPr>
                <w:sz w:val="20"/>
                <w:szCs w:val="20"/>
                <w:color w:val="auto"/>
              </w:rPr>
            </w:pPr>
            <w:r>
              <w:rPr>
                <w:rFonts w:ascii="Arial" w:cs="Arial" w:eastAsia="Arial" w:hAnsi="Arial"/>
                <w:sz w:val="10"/>
                <w:szCs w:val="10"/>
                <w:b w:val="1"/>
                <w:bCs w:val="1"/>
                <w:color w:val="auto"/>
                <w:w w:val="96"/>
              </w:rPr>
              <w:t>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32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20" w:type="dxa"/>
            <w:vAlign w:val="bottom"/>
            <w:gridSpan w:val="2"/>
          </w:tcPr>
          <w:p>
            <w:pPr>
              <w:spacing w:after="0"/>
              <w:rPr>
                <w:sz w:val="20"/>
                <w:szCs w:val="20"/>
                <w:color w:val="auto"/>
              </w:rPr>
            </w:pPr>
            <w:r>
              <w:rPr>
                <w:rFonts w:ascii="Arial" w:cs="Arial" w:eastAsia="Arial" w:hAnsi="Arial"/>
                <w:sz w:val="11"/>
                <w:szCs w:val="11"/>
                <w:color w:val="auto"/>
              </w:rPr>
              <w:t>USD</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35</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3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gridSpan w:val="2"/>
          </w:tcPr>
          <w:p>
            <w:pPr>
              <w:spacing w:after="0"/>
              <w:rPr>
                <w:sz w:val="20"/>
                <w:szCs w:val="20"/>
                <w:color w:val="auto"/>
              </w:rPr>
            </w:pPr>
            <w:r>
              <w:rPr>
                <w:rFonts w:ascii="Arial" w:cs="Arial" w:eastAsia="Arial" w:hAnsi="Arial"/>
                <w:sz w:val="11"/>
                <w:szCs w:val="11"/>
                <w:color w:val="auto"/>
              </w:rPr>
              <w:t>RMB</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38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(199)</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199</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(86)</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3820" w:type="dxa"/>
            <w:vAlign w:val="bottom"/>
            <w:gridSpan w:val="2"/>
          </w:tcPr>
          <w:p>
            <w:pPr>
              <w:spacing w:after="0"/>
              <w:rPr>
                <w:sz w:val="20"/>
                <w:szCs w:val="20"/>
                <w:color w:val="auto"/>
              </w:rPr>
            </w:pPr>
            <w:r>
              <w:rPr>
                <w:rFonts w:ascii="Arial" w:cs="Arial" w:eastAsia="Arial" w:hAnsi="Arial"/>
                <w:sz w:val="12"/>
                <w:szCs w:val="12"/>
                <w:color w:val="auto"/>
              </w:rPr>
              <w:t>The following exchange rates were used: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82"/>
              </w:rPr>
              <w:t>Spot exchange rate as</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5"/>
          </w:tcPr>
          <w:p>
            <w:pPr>
              <w:jc w:val="center"/>
              <w:ind w:right="40"/>
              <w:spacing w:after="0" w:line="99" w:lineRule="exact"/>
              <w:rPr>
                <w:sz w:val="20"/>
                <w:szCs w:val="20"/>
                <w:color w:val="auto"/>
              </w:rPr>
            </w:pPr>
            <w:r>
              <w:rPr>
                <w:rFonts w:ascii="Arial" w:cs="Arial" w:eastAsia="Arial" w:hAnsi="Arial"/>
                <w:sz w:val="10"/>
                <w:szCs w:val="10"/>
                <w:b w:val="1"/>
                <w:bCs w:val="1"/>
                <w:color w:val="auto"/>
                <w:w w:val="86"/>
              </w:rPr>
              <w:t>of the reporting</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3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4"/>
          </w:tcPr>
          <w:p>
            <w:pPr>
              <w:jc w:val="right"/>
              <w:ind w:right="280"/>
              <w:spacing w:after="0" w:line="114" w:lineRule="exact"/>
              <w:rPr>
                <w:sz w:val="20"/>
                <w:szCs w:val="20"/>
                <w:color w:val="auto"/>
              </w:rPr>
            </w:pPr>
            <w:r>
              <w:rPr>
                <w:rFonts w:ascii="Arial" w:cs="Arial" w:eastAsia="Arial" w:hAnsi="Arial"/>
                <w:sz w:val="10"/>
                <w:szCs w:val="10"/>
                <w:b w:val="1"/>
                <w:bCs w:val="1"/>
                <w:color w:val="auto"/>
              </w:rPr>
              <w:t>Average rate</w:t>
            </w:r>
          </w:p>
        </w:tc>
        <w:tc>
          <w:tcPr>
            <w:tcW w:w="380" w:type="dxa"/>
            <w:vAlign w:val="bottom"/>
          </w:tcPr>
          <w:p>
            <w:pPr>
              <w:spacing w:after="0"/>
              <w:rPr>
                <w:sz w:val="9"/>
                <w:szCs w:val="9"/>
                <w:color w:val="auto"/>
              </w:rPr>
            </w:pPr>
          </w:p>
        </w:tc>
        <w:tc>
          <w:tcPr>
            <w:tcW w:w="2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77"/>
              </w:rPr>
              <w:t>date</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82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EUR</w:t>
            </w: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24" w:lineRule="exact"/>
              <w:rPr>
                <w:sz w:val="20"/>
                <w:szCs w:val="20"/>
                <w:color w:val="auto"/>
              </w:rPr>
            </w:pPr>
            <w:r>
              <w:rPr>
                <w:rFonts w:ascii="Arial" w:cs="Arial" w:eastAsia="Arial" w:hAnsi="Arial"/>
                <w:sz w:val="11"/>
                <w:szCs w:val="11"/>
                <w:color w:val="auto"/>
                <w:w w:val="81"/>
              </w:rPr>
              <w:t>2020</w:t>
            </w:r>
          </w:p>
        </w:tc>
        <w:tc>
          <w:tcPr>
            <w:tcW w:w="460" w:type="dxa"/>
            <w:vAlign w:val="bottom"/>
            <w:tcBorders>
              <w:top w:val="single" w:sz="8" w:color="auto"/>
            </w:tcBorders>
            <w:shd w:val="clear" w:color="auto" w:fill="CCEEFF"/>
          </w:tcPr>
          <w:p>
            <w:pPr>
              <w:ind w:left="160"/>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2020</w:t>
            </w:r>
          </w:p>
        </w:tc>
        <w:tc>
          <w:tcPr>
            <w:tcW w:w="2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7"/>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20" w:type="dxa"/>
            <w:vAlign w:val="bottom"/>
            <w:gridSpan w:val="2"/>
          </w:tcPr>
          <w:p>
            <w:pPr>
              <w:spacing w:after="0"/>
              <w:rPr>
                <w:sz w:val="20"/>
                <w:szCs w:val="20"/>
                <w:color w:val="auto"/>
              </w:rPr>
            </w:pPr>
            <w:r>
              <w:rPr>
                <w:rFonts w:ascii="Arial" w:cs="Arial" w:eastAsia="Arial" w:hAnsi="Arial"/>
                <w:sz w:val="11"/>
                <w:szCs w:val="11"/>
                <w:color w:val="auto"/>
              </w:rPr>
              <w:t>USD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0.87322</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0.88258</w:t>
            </w:r>
          </w:p>
        </w:tc>
        <w:tc>
          <w:tcPr>
            <w:tcW w:w="80" w:type="dxa"/>
            <w:vAlign w:val="bottom"/>
          </w:tcPr>
          <w:p>
            <w:pPr>
              <w:spacing w:after="0"/>
              <w:rPr>
                <w:sz w:val="11"/>
                <w:szCs w:val="11"/>
                <w:color w:val="auto"/>
              </w:rPr>
            </w:pPr>
          </w:p>
        </w:tc>
        <w:tc>
          <w:tcPr>
            <w:tcW w:w="580" w:type="dxa"/>
            <w:vAlign w:val="bottom"/>
            <w:gridSpan w:val="2"/>
          </w:tcPr>
          <w:p>
            <w:pPr>
              <w:jc w:val="right"/>
              <w:ind w:right="115"/>
              <w:spacing w:after="0"/>
              <w:rPr>
                <w:sz w:val="20"/>
                <w:szCs w:val="20"/>
                <w:color w:val="auto"/>
              </w:rPr>
            </w:pPr>
            <w:r>
              <w:rPr>
                <w:rFonts w:ascii="Arial" w:cs="Arial" w:eastAsia="Arial" w:hAnsi="Arial"/>
                <w:sz w:val="11"/>
                <w:szCs w:val="11"/>
                <w:color w:val="auto"/>
              </w:rPr>
              <w:t>0.81540</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0.89160</w:t>
            </w:r>
          </w:p>
        </w:tc>
        <w:tc>
          <w:tcPr>
            <w:tcW w:w="0" w:type="dxa"/>
            <w:vAlign w:val="bottom"/>
          </w:tcPr>
          <w:p>
            <w:pPr>
              <w:spacing w:after="0"/>
              <w:rPr>
                <w:sz w:val="1"/>
                <w:szCs w:val="1"/>
                <w:color w:val="auto"/>
              </w:rPr>
            </w:pPr>
          </w:p>
        </w:tc>
      </w:tr>
      <w:tr>
        <w:trPr>
          <w:trHeight w:val="135"/>
        </w:trPr>
        <w:tc>
          <w:tcPr>
            <w:tcW w:w="3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5"/>
              </w:rPr>
              <w:t>0.93395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0.90446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15"/>
              <w:spacing w:after="0"/>
              <w:rPr>
                <w:sz w:val="20"/>
                <w:szCs w:val="20"/>
                <w:color w:val="auto"/>
              </w:rPr>
            </w:pPr>
            <w:r>
              <w:rPr>
                <w:rFonts w:ascii="Arial" w:cs="Arial" w:eastAsia="Arial" w:hAnsi="Arial"/>
                <w:sz w:val="11"/>
                <w:szCs w:val="11"/>
                <w:color w:val="auto"/>
              </w:rPr>
              <w:t>0.92390</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w w:val="90"/>
              </w:rPr>
              <w:t>0.92130</w:t>
            </w:r>
          </w:p>
        </w:tc>
        <w:tc>
          <w:tcPr>
            <w:tcW w:w="0" w:type="dxa"/>
            <w:vAlign w:val="bottom"/>
          </w:tcPr>
          <w:p>
            <w:pPr>
              <w:spacing w:after="0"/>
              <w:rPr>
                <w:sz w:val="1"/>
                <w:szCs w:val="1"/>
                <w:color w:val="auto"/>
              </w:rPr>
            </w:pPr>
          </w:p>
        </w:tc>
      </w:tr>
      <w:tr>
        <w:trPr>
          <w:trHeight w:val="136"/>
        </w:trPr>
        <w:tc>
          <w:tcPr>
            <w:tcW w:w="3820" w:type="dxa"/>
            <w:vAlign w:val="bottom"/>
            <w:gridSpan w:val="2"/>
          </w:tcPr>
          <w:p>
            <w:pPr>
              <w:spacing w:after="0"/>
              <w:rPr>
                <w:sz w:val="20"/>
                <w:szCs w:val="20"/>
                <w:color w:val="auto"/>
              </w:rPr>
            </w:pPr>
            <w:r>
              <w:rPr>
                <w:rFonts w:ascii="Arial" w:cs="Arial" w:eastAsia="Arial" w:hAnsi="Arial"/>
                <w:sz w:val="11"/>
                <w:szCs w:val="11"/>
                <w:color w:val="auto"/>
              </w:rPr>
              <w:t>RMB</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0.12689</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0.12747</w:t>
            </w:r>
          </w:p>
        </w:tc>
        <w:tc>
          <w:tcPr>
            <w:tcW w:w="80" w:type="dxa"/>
            <w:vAlign w:val="bottom"/>
          </w:tcPr>
          <w:p>
            <w:pPr>
              <w:spacing w:after="0"/>
              <w:rPr>
                <w:sz w:val="11"/>
                <w:szCs w:val="11"/>
                <w:color w:val="auto"/>
              </w:rPr>
            </w:pPr>
          </w:p>
        </w:tc>
        <w:tc>
          <w:tcPr>
            <w:tcW w:w="580" w:type="dxa"/>
            <w:vAlign w:val="bottom"/>
            <w:gridSpan w:val="2"/>
          </w:tcPr>
          <w:p>
            <w:pPr>
              <w:jc w:val="right"/>
              <w:ind w:right="115"/>
              <w:spacing w:after="0"/>
              <w:rPr>
                <w:sz w:val="20"/>
                <w:szCs w:val="20"/>
                <w:color w:val="auto"/>
              </w:rPr>
            </w:pPr>
            <w:r>
              <w:rPr>
                <w:rFonts w:ascii="Arial" w:cs="Arial" w:eastAsia="Arial" w:hAnsi="Arial"/>
                <w:sz w:val="11"/>
                <w:szCs w:val="11"/>
                <w:color w:val="auto"/>
              </w:rPr>
              <w:t>0.12481</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0.12796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20" w:hanging="360"/>
        <w:spacing w:after="0"/>
        <w:tabs>
          <w:tab w:leader="none" w:pos="2620" w:val="left"/>
        </w:tabs>
        <w:numPr>
          <w:ilvl w:val="0"/>
          <w:numId w:val="192"/>
        </w:numPr>
        <w:rPr>
          <w:rFonts w:ascii="Arial" w:cs="Arial" w:eastAsia="Arial" w:hAnsi="Arial"/>
          <w:sz w:val="12"/>
          <w:szCs w:val="12"/>
          <w:b w:val="1"/>
          <w:bCs w:val="1"/>
          <w:color w:val="auto"/>
        </w:rPr>
      </w:pPr>
      <w:r>
        <w:rPr>
          <w:rFonts w:ascii="Arial" w:cs="Arial" w:eastAsia="Arial" w:hAnsi="Arial"/>
          <w:sz w:val="12"/>
          <w:szCs w:val="12"/>
          <w:b w:val="1"/>
          <w:bCs w:val="1"/>
          <w:color w:val="auto"/>
        </w:rPr>
        <w:t>Interest rate risk</w:t>
      </w:r>
    </w:p>
    <w:p>
      <w:pPr>
        <w:spacing w:after="0" w:line="154"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As of the reporting date, the Group does not have any interest-bearing financial assets or interest-bearing financial liabilities. As a result, there are no specific interest rate risks.</w:t>
      </w:r>
    </w:p>
    <w:p>
      <w:pPr>
        <w:spacing w:after="0" w:line="210" w:lineRule="exact"/>
        <w:rPr>
          <w:sz w:val="20"/>
          <w:szCs w:val="20"/>
          <w:color w:val="auto"/>
        </w:rPr>
      </w:pPr>
    </w:p>
    <w:p>
      <w:pPr>
        <w:ind w:left="2260" w:hanging="288"/>
        <w:spacing w:after="0"/>
        <w:tabs>
          <w:tab w:leader="none" w:pos="2260" w:val="left"/>
        </w:tabs>
        <w:numPr>
          <w:ilvl w:val="0"/>
          <w:numId w:val="193"/>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 Commitments, and Other Financial Obligations</w:t>
      </w:r>
    </w:p>
    <w:p>
      <w:pPr>
        <w:spacing w:after="0" w:line="168" w:lineRule="exact"/>
        <w:rPr>
          <w:sz w:val="20"/>
          <w:szCs w:val="20"/>
          <w:color w:val="auto"/>
        </w:rPr>
      </w:pPr>
    </w:p>
    <w:p>
      <w:pPr>
        <w:ind w:left="2620" w:hanging="360"/>
        <w:spacing w:after="0"/>
        <w:tabs>
          <w:tab w:leader="none" w:pos="2620" w:val="left"/>
        </w:tabs>
        <w:numPr>
          <w:ilvl w:val="0"/>
          <w:numId w:val="194"/>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Within the course of its ordinary activities, the Group may be involved in legal disputes from time to time. Based on the assessment of the Management Board and legal counsel, there are no additional claims beyond the litigation risks reported in the provisions that may be significant in relation to the Group’s business, financial position, or performance.</w:t>
      </w:r>
    </w:p>
    <w:p>
      <w:pPr>
        <w:spacing w:after="0" w:line="217" w:lineRule="exact"/>
        <w:rPr>
          <w:sz w:val="20"/>
          <w:szCs w:val="20"/>
          <w:color w:val="auto"/>
        </w:rPr>
      </w:pPr>
    </w:p>
    <w:p>
      <w:pPr>
        <w:ind w:left="2620" w:hanging="360"/>
        <w:spacing w:after="0"/>
        <w:tabs>
          <w:tab w:leader="none" w:pos="2620" w:val="left"/>
        </w:tabs>
        <w:numPr>
          <w:ilvl w:val="0"/>
          <w:numId w:val="195"/>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in the previous year, there are no commitments arising under guarantees and sureties.</w:t>
      </w:r>
    </w:p>
    <w:p>
      <w:pPr>
        <w:spacing w:after="0" w:line="245"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540" w:type="dxa"/>
            <w:vAlign w:val="bottom"/>
          </w:tcPr>
          <w:p>
            <w:pPr>
              <w:ind w:left="280"/>
              <w:spacing w:after="0"/>
              <w:rPr>
                <w:sz w:val="20"/>
                <w:szCs w:val="20"/>
                <w:color w:val="auto"/>
              </w:rPr>
            </w:pPr>
            <w:r>
              <w:rPr>
                <w:rFonts w:ascii="Arial" w:cs="Arial" w:eastAsia="Arial" w:hAnsi="Arial"/>
                <w:sz w:val="12"/>
                <w:szCs w:val="12"/>
                <w:b w:val="1"/>
                <w:bCs w:val="1"/>
                <w:color w:val="auto"/>
              </w:rPr>
              <w:t>c)</w:t>
            </w:r>
          </w:p>
        </w:tc>
        <w:tc>
          <w:tcPr>
            <w:tcW w:w="2860" w:type="dxa"/>
            <w:vAlign w:val="bottom"/>
          </w:tcPr>
          <w:p>
            <w:pPr>
              <w:ind w:left="100"/>
              <w:spacing w:after="0"/>
              <w:rPr>
                <w:sz w:val="20"/>
                <w:szCs w:val="20"/>
                <w:color w:val="auto"/>
              </w:rPr>
            </w:pPr>
            <w:r>
              <w:rPr>
                <w:rFonts w:ascii="Arial" w:cs="Arial" w:eastAsia="Arial" w:hAnsi="Arial"/>
                <w:sz w:val="12"/>
                <w:szCs w:val="12"/>
                <w:b w:val="1"/>
                <w:bCs w:val="1"/>
                <w:color w:val="auto"/>
              </w:rPr>
              <w:t>Other financial obligations</w:t>
            </w: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3400" w:type="dxa"/>
            <w:vAlign w:val="bottom"/>
            <w:gridSpan w:val="2"/>
          </w:tcPr>
          <w:p>
            <w:pPr>
              <w:spacing w:after="0"/>
              <w:rPr>
                <w:sz w:val="20"/>
                <w:szCs w:val="20"/>
                <w:color w:val="auto"/>
              </w:rPr>
            </w:pPr>
            <w:r>
              <w:rPr>
                <w:rFonts w:ascii="Arial" w:cs="Arial" w:eastAsia="Arial" w:hAnsi="Arial"/>
                <w:sz w:val="12"/>
                <w:szCs w:val="12"/>
                <w:color w:val="auto"/>
                <w:w w:val="94"/>
              </w:rPr>
              <w:t>Other financial obligations as of December 31, 2020 are as follows:</w:t>
            </w: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1"/>
        </w:trPr>
        <w:tc>
          <w:tcPr>
            <w:tcW w:w="540" w:type="dxa"/>
            <w:vAlign w:val="bottom"/>
          </w:tcPr>
          <w:p>
            <w:pPr>
              <w:spacing w:after="0"/>
              <w:rPr>
                <w:sz w:val="20"/>
                <w:szCs w:val="20"/>
                <w:color w:val="auto"/>
              </w:rPr>
            </w:pPr>
            <w:r>
              <w:rPr>
                <w:rFonts w:ascii="Arial" w:cs="Arial" w:eastAsia="Arial" w:hAnsi="Arial"/>
                <w:sz w:val="10"/>
                <w:szCs w:val="10"/>
                <w:b w:val="1"/>
                <w:bCs w:val="1"/>
                <w:color w:val="auto"/>
                <w:w w:val="82"/>
              </w:rPr>
              <w:t>Dec. 31, 2020</w:t>
            </w:r>
          </w:p>
        </w:tc>
        <w:tc>
          <w:tcPr>
            <w:tcW w:w="28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9"/>
              </w:rPr>
              <w:t>in € thousand</w:t>
            </w:r>
          </w:p>
        </w:tc>
        <w:tc>
          <w:tcPr>
            <w:tcW w:w="2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81"/>
              </w:rPr>
              <w:t>up to 1 year</w:t>
            </w:r>
          </w:p>
        </w:tc>
        <w:tc>
          <w:tcPr>
            <w:tcW w:w="780" w:type="dxa"/>
            <w:vAlign w:val="bottom"/>
            <w:gridSpan w:val="2"/>
          </w:tcPr>
          <w:p>
            <w:pPr>
              <w:spacing w:after="0"/>
              <w:rPr>
                <w:sz w:val="20"/>
                <w:szCs w:val="20"/>
                <w:color w:val="auto"/>
              </w:rPr>
            </w:pPr>
            <w:r>
              <w:rPr>
                <w:rFonts w:ascii="Arial" w:cs="Arial" w:eastAsia="Arial" w:hAnsi="Arial"/>
                <w:sz w:val="10"/>
                <w:szCs w:val="10"/>
                <w:b w:val="1"/>
                <w:bCs w:val="1"/>
                <w:color w:val="auto"/>
              </w:rPr>
              <w:t>1 to 5 years</w:t>
            </w:r>
          </w:p>
        </w:tc>
        <w:tc>
          <w:tcPr>
            <w:tcW w:w="6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79"/>
              </w:rPr>
              <w:t>&gt;5 years</w:t>
            </w:r>
          </w:p>
        </w:tc>
        <w:tc>
          <w:tcPr>
            <w:tcW w:w="30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r>
      <w:tr>
        <w:trPr>
          <w:trHeight w:val="113"/>
        </w:trPr>
        <w:tc>
          <w:tcPr>
            <w:tcW w:w="340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Rental agreement</w:t>
            </w:r>
          </w:p>
        </w:tc>
        <w:tc>
          <w:tcPr>
            <w:tcW w:w="14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132</w:t>
            </w:r>
          </w:p>
        </w:tc>
        <w:tc>
          <w:tcPr>
            <w:tcW w:w="3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654</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304</w:t>
            </w:r>
          </w:p>
        </w:tc>
        <w:tc>
          <w:tcPr>
            <w:tcW w:w="3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1,090</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3400" w:type="dxa"/>
            <w:vAlign w:val="bottom"/>
            <w:gridSpan w:val="2"/>
          </w:tcPr>
          <w:p>
            <w:pPr>
              <w:spacing w:after="0"/>
              <w:rPr>
                <w:sz w:val="20"/>
                <w:szCs w:val="20"/>
                <w:color w:val="auto"/>
              </w:rPr>
            </w:pPr>
            <w:r>
              <w:rPr>
                <w:rFonts w:ascii="Arial" w:cs="Arial" w:eastAsia="Arial" w:hAnsi="Arial"/>
                <w:sz w:val="11"/>
                <w:szCs w:val="11"/>
                <w:color w:val="auto"/>
              </w:rPr>
              <w:t>Software and licenses</w:t>
            </w:r>
          </w:p>
        </w:tc>
        <w:tc>
          <w:tcPr>
            <w:tcW w:w="2220" w:type="dxa"/>
            <w:vAlign w:val="bottom"/>
            <w:gridSpan w:val="3"/>
          </w:tcPr>
          <w:p>
            <w:pPr>
              <w:jc w:val="right"/>
              <w:ind w:right="300"/>
              <w:spacing w:after="0"/>
              <w:rPr>
                <w:sz w:val="20"/>
                <w:szCs w:val="20"/>
                <w:color w:val="auto"/>
              </w:rPr>
            </w:pPr>
            <w:r>
              <w:rPr>
                <w:rFonts w:ascii="Arial" w:cs="Arial" w:eastAsia="Arial" w:hAnsi="Arial"/>
                <w:sz w:val="11"/>
                <w:szCs w:val="11"/>
                <w:color w:val="auto"/>
              </w:rPr>
              <w:t>1,066</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2,235</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3,301</w:t>
            </w: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286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85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7</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92</w:t>
            </w:r>
          </w:p>
        </w:tc>
      </w:tr>
      <w:tr>
        <w:trPr>
          <w:trHeight w:val="136"/>
        </w:trPr>
        <w:tc>
          <w:tcPr>
            <w:tcW w:w="540" w:type="dxa"/>
            <w:vAlign w:val="bottom"/>
          </w:tcPr>
          <w:p>
            <w:pPr>
              <w:spacing w:after="0"/>
              <w:rPr>
                <w:sz w:val="20"/>
                <w:szCs w:val="20"/>
                <w:color w:val="auto"/>
              </w:rPr>
            </w:pPr>
            <w:r>
              <w:rPr>
                <w:rFonts w:ascii="Arial" w:cs="Arial" w:eastAsia="Arial" w:hAnsi="Arial"/>
                <w:sz w:val="11"/>
                <w:szCs w:val="11"/>
                <w:color w:val="auto"/>
              </w:rPr>
              <w:t>Total</w:t>
            </w:r>
          </w:p>
        </w:tc>
        <w:tc>
          <w:tcPr>
            <w:tcW w:w="2860" w:type="dxa"/>
            <w:vAlign w:val="bottom"/>
          </w:tcPr>
          <w:p>
            <w:pPr>
              <w:spacing w:after="0"/>
              <w:rPr>
                <w:sz w:val="11"/>
                <w:szCs w:val="11"/>
                <w:color w:val="auto"/>
              </w:rPr>
            </w:pPr>
          </w:p>
        </w:tc>
        <w:tc>
          <w:tcPr>
            <w:tcW w:w="2220" w:type="dxa"/>
            <w:vAlign w:val="bottom"/>
            <w:gridSpan w:val="3"/>
          </w:tcPr>
          <w:p>
            <w:pPr>
              <w:jc w:val="right"/>
              <w:ind w:right="300"/>
              <w:spacing w:after="0"/>
              <w:rPr>
                <w:sz w:val="20"/>
                <w:szCs w:val="20"/>
                <w:color w:val="auto"/>
              </w:rPr>
            </w:pPr>
            <w:r>
              <w:rPr>
                <w:rFonts w:ascii="Arial" w:cs="Arial" w:eastAsia="Arial" w:hAnsi="Arial"/>
                <w:sz w:val="11"/>
                <w:szCs w:val="11"/>
                <w:color w:val="auto"/>
              </w:rPr>
              <w:t>1,283</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2,896</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304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4,483</w:t>
            </w:r>
          </w:p>
        </w:tc>
      </w:tr>
      <w:tr>
        <w:trPr>
          <w:trHeight w:val="242"/>
        </w:trPr>
        <w:tc>
          <w:tcPr>
            <w:tcW w:w="5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220" w:type="dxa"/>
            <w:vAlign w:val="bottom"/>
            <w:gridSpan w:val="3"/>
          </w:tcPr>
          <w:p>
            <w:pPr>
              <w:jc w:val="right"/>
              <w:ind w:right="1840"/>
              <w:spacing w:after="0"/>
              <w:rPr>
                <w:sz w:val="20"/>
                <w:szCs w:val="20"/>
                <w:color w:val="auto"/>
              </w:rPr>
            </w:pPr>
            <w:r>
              <w:rPr>
                <w:rFonts w:ascii="Arial" w:cs="Arial" w:eastAsia="Arial" w:hAnsi="Arial"/>
                <w:sz w:val="12"/>
                <w:szCs w:val="12"/>
                <w:color w:val="auto"/>
              </w:rPr>
              <w:t>F-62</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51" w:name="page252"/>
    <w:bookmarkEnd w:id="2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59"/>
        <w:spacing w:after="0" w:line="298" w:lineRule="auto"/>
        <w:rPr>
          <w:sz w:val="20"/>
          <w:szCs w:val="20"/>
          <w:color w:val="auto"/>
        </w:rPr>
      </w:pPr>
      <w:r>
        <w:rPr>
          <w:rFonts w:ascii="Arial" w:cs="Arial" w:eastAsia="Arial" w:hAnsi="Arial"/>
          <w:sz w:val="11"/>
          <w:szCs w:val="11"/>
          <w:color w:val="auto"/>
        </w:rPr>
        <w:t>The obligations from rental agreements include incidental rental costs. The future lease payments also include incidental costs agreed in the respective agreements. The significant amount in financial obligations from software and licenses includes an agreement for the implementation and use of SAP that has already been signed but will commence only in the fiscal year 2021. The other obligations are primarily service contracts.</w:t>
      </w:r>
    </w:p>
    <w:p>
      <w:pPr>
        <w:spacing w:after="0" w:line="105"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 addition, there are financial obligations from outstanding purchase orders for intangible assets and Property, plant and equipment in the following amounts: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2"/>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2,509</w:t>
            </w:r>
          </w:p>
        </w:tc>
        <w:tc>
          <w:tcPr>
            <w:tcW w:w="5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4,212</w:t>
            </w:r>
          </w:p>
        </w:tc>
        <w:tc>
          <w:tcPr>
            <w:tcW w:w="40" w:type="dxa"/>
            <w:vAlign w:val="bottom"/>
            <w:shd w:val="clear" w:color="auto" w:fill="CCEEFF"/>
          </w:tcPr>
          <w:p>
            <w:pPr>
              <w:spacing w:after="0"/>
              <w:rPr>
                <w:sz w:val="9"/>
                <w:szCs w:val="9"/>
                <w:color w:val="auto"/>
              </w:rPr>
            </w:pPr>
          </w:p>
        </w:tc>
      </w:tr>
      <w:tr>
        <w:trPr>
          <w:trHeight w:val="135"/>
        </w:trPr>
        <w:tc>
          <w:tcPr>
            <w:tcW w:w="572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1040" w:type="dxa"/>
            <w:vAlign w:val="bottom"/>
            <w:gridSpan w:val="2"/>
          </w:tcPr>
          <w:p>
            <w:pPr>
              <w:jc w:val="right"/>
              <w:ind w:right="500"/>
              <w:spacing w:after="0"/>
              <w:rPr>
                <w:sz w:val="20"/>
                <w:szCs w:val="20"/>
                <w:color w:val="auto"/>
              </w:rPr>
            </w:pPr>
            <w:r>
              <w:rPr>
                <w:rFonts w:ascii="Arial" w:cs="Arial" w:eastAsia="Arial" w:hAnsi="Arial"/>
                <w:sz w:val="11"/>
                <w:szCs w:val="11"/>
                <w:color w:val="auto"/>
              </w:rPr>
              <w:t>1,057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263</w:t>
            </w:r>
          </w:p>
        </w:tc>
      </w:tr>
      <w:tr>
        <w:trPr>
          <w:trHeight w:val="135"/>
        </w:trPr>
        <w:tc>
          <w:tcPr>
            <w:tcW w:w="5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3,566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4,475</w:t>
            </w:r>
          </w:p>
        </w:tc>
      </w:tr>
    </w:tbl>
    <w:p>
      <w:pPr>
        <w:spacing w:after="0" w:line="230" w:lineRule="exact"/>
        <w:rPr>
          <w:sz w:val="20"/>
          <w:szCs w:val="20"/>
          <w:color w:val="auto"/>
        </w:rPr>
      </w:pPr>
    </w:p>
    <w:p>
      <w:pPr>
        <w:ind w:left="2260" w:hanging="288"/>
        <w:spacing w:after="0"/>
        <w:tabs>
          <w:tab w:leader="none" w:pos="2260"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 (since June 16, 2020)</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Hubertus Edler von Janecek (degree in engineering), Munich (until July 10, 2020)</w:t>
      </w:r>
    </w:p>
    <w:p>
      <w:pPr>
        <w:spacing w:after="0" w:line="87" w:lineRule="exact"/>
        <w:rPr>
          <w:rFonts w:ascii="Arial" w:cs="Arial" w:eastAsia="Arial" w:hAnsi="Arial"/>
          <w:sz w:val="12"/>
          <w:szCs w:val="12"/>
          <w:color w:val="auto"/>
        </w:rPr>
      </w:pPr>
    </w:p>
    <w:p>
      <w:pPr>
        <w:ind w:left="2920" w:right="859" w:hanging="219"/>
        <w:spacing w:after="0" w:line="276" w:lineRule="auto"/>
        <w:tabs>
          <w:tab w:leader="none" w:pos="292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Dr. Wolfram Peschko, Management Board member responsible for Finance &amp; Administration, doctorate of natural sciences, Gauting (until May 27, 2020)</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87" w:lineRule="exact"/>
        <w:rPr>
          <w:sz w:val="20"/>
          <w:szCs w:val="20"/>
          <w:color w:val="auto"/>
        </w:rPr>
      </w:pPr>
    </w:p>
    <w:p>
      <w:pPr>
        <w:ind w:left="2920" w:hanging="219"/>
        <w:spacing w:after="0"/>
        <w:tabs>
          <w:tab w:leader="none" w:pos="292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98"/>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(since June 12, 2020)</w:t>
      </w:r>
    </w:p>
    <w:p>
      <w:pPr>
        <w:spacing w:after="0" w:line="98" w:lineRule="exact"/>
        <w:rPr>
          <w:rFonts w:ascii="Arial" w:cs="Arial" w:eastAsia="Arial" w:hAnsi="Arial"/>
          <w:sz w:val="11"/>
          <w:szCs w:val="11"/>
          <w:color w:val="auto"/>
        </w:rPr>
      </w:pPr>
    </w:p>
    <w:p>
      <w:pPr>
        <w:ind w:left="2920" w:right="1039" w:hanging="219"/>
        <w:spacing w:after="0" w:line="276" w:lineRule="auto"/>
        <w:tabs>
          <w:tab w:leader="none" w:pos="292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Thomas Mayrhofer, member of the Supervisory Board, lawyer, partner of law firm Pinsent Masons Germany LLP (until June 12, 2020)</w:t>
      </w:r>
    </w:p>
    <w:p>
      <w:pPr>
        <w:spacing w:after="0" w:line="209" w:lineRule="exact"/>
        <w:rPr>
          <w:rFonts w:ascii="Arial" w:cs="Arial" w:eastAsia="Arial" w:hAnsi="Arial"/>
          <w:sz w:val="12"/>
          <w:szCs w:val="12"/>
          <w:color w:val="auto"/>
        </w:rPr>
      </w:pPr>
    </w:p>
    <w:p>
      <w:pPr>
        <w:ind w:left="2260" w:hanging="288"/>
        <w:spacing w:after="0"/>
        <w:tabs>
          <w:tab w:leader="none" w:pos="2260" w:val="left"/>
        </w:tabs>
        <w:numPr>
          <w:ilvl w:val="0"/>
          <w:numId w:val="198"/>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Joachim Horwath was appointed to the Management Board based on a resolution adopted by the Supervisory Board on February 17, 2021.</w:t>
      </w:r>
    </w:p>
    <w:p>
      <w:pPr>
        <w:spacing w:after="0" w:line="162" w:lineRule="exact"/>
        <w:rPr>
          <w:sz w:val="20"/>
          <w:szCs w:val="20"/>
          <w:color w:val="auto"/>
        </w:rPr>
      </w:pPr>
    </w:p>
    <w:p>
      <w:pPr>
        <w:ind w:left="1980" w:right="979"/>
        <w:spacing w:after="0" w:line="313" w:lineRule="auto"/>
        <w:rPr>
          <w:sz w:val="20"/>
          <w:szCs w:val="20"/>
          <w:color w:val="auto"/>
        </w:rPr>
      </w:pPr>
      <w:r>
        <w:rPr>
          <w:rFonts w:ascii="Arial" w:cs="Arial" w:eastAsia="Arial" w:hAnsi="Arial"/>
          <w:sz w:val="10"/>
          <w:szCs w:val="10"/>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$100 million, no IPO bonus will be paid out. In the case the gross proceeds are between $100 and $150 million, the IPO bonus will increase on a linear basis starting in a range between 0.15% and 0.35% up to a range between 0.3% and 0.7%.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354" w:right="1440" w:bottom="1440" w:gutter="0" w:footer="0" w:header="0"/>
        </w:sectPr>
      </w:pPr>
    </w:p>
    <w:bookmarkStart w:id="252" w:name="page253"/>
    <w:bookmarkEnd w:id="2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 amount, which will be converted into a certain number of RSUs, which is dependent on the six-month average closing price of the shares or share certificates.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62"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F-64</w:t>
      </w:r>
    </w:p>
    <w:p>
      <w:pPr>
        <w:sectPr>
          <w:pgSz w:w="11900" w:h="16838" w:orient="portrait"/>
          <w:cols w:equalWidth="0" w:num="1">
            <w:col w:w="10159"/>
          </w:cols>
          <w:pgMar w:left="300" w:top="354" w:right="1440" w:bottom="1440" w:gutter="0" w:footer="0" w:header="0"/>
        </w:sectPr>
      </w:pPr>
    </w:p>
    <w:bookmarkStart w:id="253" w:name="page254"/>
    <w:bookmarkEnd w:id="2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87"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American Depositary Shares</w:t>
      </w:r>
    </w:p>
    <w:p>
      <w:pPr>
        <w:spacing w:after="0" w:line="134" w:lineRule="exact"/>
        <w:rPr>
          <w:sz w:val="20"/>
          <w:szCs w:val="20"/>
          <w:color w:val="auto"/>
        </w:rPr>
      </w:pPr>
    </w:p>
    <w:p>
      <w:pPr>
        <w:ind w:left="3780"/>
        <w:spacing w:after="0"/>
        <w:tabs>
          <w:tab w:leader="none" w:pos="594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216535</wp:posOffset>
            </wp:positionV>
            <wp:extent cx="98298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2553970</wp:posOffset>
            </wp:positionV>
            <wp:extent cx="98298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702310</wp:posOffset>
            </wp:positionV>
            <wp:extent cx="1062990" cy="10629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200" w:type="dxa"/>
        <w:tblCellMar>
          <w:top w:w="0" w:type="dxa"/>
          <w:left w:w="0" w:type="dxa"/>
          <w:bottom w:w="0" w:type="dxa"/>
          <w:right w:w="0" w:type="dxa"/>
        </w:tblCellMar>
      </w:tblPr>
      <w:tr>
        <w:trPr>
          <w:trHeight w:val="198"/>
        </w:trPr>
        <w:tc>
          <w:tcPr>
            <w:tcW w:w="1420" w:type="dxa"/>
            <w:vAlign w:val="bottom"/>
            <w:gridSpan w:val="2"/>
          </w:tcPr>
          <w:p>
            <w:pPr>
              <w:ind w:left="420"/>
              <w:spacing w:after="0"/>
              <w:rPr>
                <w:sz w:val="20"/>
                <w:szCs w:val="20"/>
                <w:color w:val="auto"/>
              </w:rPr>
            </w:pPr>
            <w:r>
              <w:rPr>
                <w:rFonts w:ascii="Arial" w:cs="Arial" w:eastAsia="Arial" w:hAnsi="Arial"/>
                <w:sz w:val="17"/>
                <w:szCs w:val="17"/>
                <w:b w:val="1"/>
                <w:bCs w:val="1"/>
                <w:color w:val="auto"/>
                <w:w w:val="90"/>
              </w:rPr>
              <w:t>Credit Suisse</w:t>
            </w:r>
          </w:p>
        </w:tc>
        <w:tc>
          <w:tcPr>
            <w:tcW w:w="14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Jefferies</w:t>
            </w:r>
          </w:p>
        </w:tc>
      </w:tr>
      <w:tr>
        <w:trPr>
          <w:trHeight w:val="218"/>
        </w:trPr>
        <w:tc>
          <w:tcPr>
            <w:tcW w:w="1420" w:type="dxa"/>
            <w:vAlign w:val="bottom"/>
            <w:gridSpan w:val="2"/>
          </w:tcPr>
          <w:p>
            <w:pPr>
              <w:spacing w:after="0"/>
              <w:rPr>
                <w:sz w:val="20"/>
                <w:szCs w:val="20"/>
                <w:color w:val="auto"/>
              </w:rPr>
            </w:pPr>
            <w:r>
              <w:rPr>
                <w:rFonts w:ascii="Arial" w:cs="Arial" w:eastAsia="Arial" w:hAnsi="Arial"/>
                <w:sz w:val="17"/>
                <w:szCs w:val="17"/>
                <w:b w:val="1"/>
                <w:bCs w:val="1"/>
                <w:color w:val="auto"/>
              </w:rPr>
              <w:t>William Blair</w:t>
            </w:r>
          </w:p>
        </w:tc>
        <w:tc>
          <w:tcPr>
            <w:tcW w:w="14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Canaccord Genuity</w:t>
            </w:r>
          </w:p>
        </w:tc>
      </w:tr>
      <w:tr>
        <w:trPr>
          <w:trHeight w:val="211"/>
        </w:trPr>
        <w:tc>
          <w:tcPr>
            <w:tcW w:w="6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980" w:right="899"/>
        <w:spacing w:after="0" w:line="302" w:lineRule="auto"/>
        <w:rPr>
          <w:sz w:val="20"/>
          <w:szCs w:val="20"/>
          <w:color w:val="auto"/>
        </w:rPr>
      </w:pPr>
      <w:r>
        <w:rPr>
          <w:rFonts w:ascii="Arial" w:cs="Arial" w:eastAsia="Arial" w:hAnsi="Arial"/>
          <w:sz w:val="11"/>
          <w:szCs w:val="11"/>
          <w:b w:val="1"/>
          <w:bCs w:val="1"/>
          <w:color w:val="auto"/>
        </w:rPr>
        <w:t>Through and including , 2021 (25 days after the commencement of this offering), all dealers that buy, sell or trade our ADSs,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0159"/>
          </w:cols>
          <w:pgMar w:left="300" w:top="354" w:right="1440" w:bottom="1440" w:gutter="0" w:footer="0" w:header="0"/>
        </w:sectPr>
      </w:pPr>
    </w:p>
    <w:bookmarkStart w:id="254" w:name="page255"/>
    <w:bookmarkEnd w:id="2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68"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1"/>
          <w:szCs w:val="11"/>
          <w:b w:val="1"/>
          <w:bCs w:val="1"/>
          <w:color w:val="auto"/>
        </w:rPr>
        <w:t>Indemnification of Directors and Officers</w:t>
      </w:r>
    </w:p>
    <w:p>
      <w:pPr>
        <w:spacing w:after="0" w:line="154" w:lineRule="exact"/>
        <w:rPr>
          <w:sz w:val="20"/>
          <w:szCs w:val="20"/>
          <w:color w:val="auto"/>
        </w:rPr>
      </w:pPr>
    </w:p>
    <w:p>
      <w:pPr>
        <w:ind w:left="1980" w:right="1079" w:firstLine="294"/>
        <w:spacing w:after="0" w:line="340" w:lineRule="auto"/>
        <w:rPr>
          <w:sz w:val="20"/>
          <w:szCs w:val="20"/>
          <w:color w:val="auto"/>
        </w:rPr>
      </w:pPr>
      <w:r>
        <w:rPr>
          <w:rFonts w:ascii="Arial" w:cs="Arial" w:eastAsia="Arial" w:hAnsi="Arial"/>
          <w:sz w:val="10"/>
          <w:szCs w:val="10"/>
          <w:color w:val="auto"/>
        </w:rPr>
        <w:t>Under German law, we may not, as a general matter, indemnify members of our management board and supervisory board. Certain limited exceptions may apply if the indemnification is in the legitimate interest of our company. We will indemnify our management board and supervisory board members, to the extent permissible under German law, from and against any liabilities arising out of or in connection with their services to us.</w:t>
      </w:r>
    </w:p>
    <w:p>
      <w:pPr>
        <w:spacing w:after="0" w:line="87"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We provide directors’ and officers’ liability insurance for the members of our management and supervisory boards against civil liabilities, which they may incur in connection with their activities on behalf of our company. We intend to expand our insurance coverage against such liabilities, including by providing for coverage against liabilities under the Securities Act.</w:t>
      </w:r>
    </w:p>
    <w:p>
      <w:pPr>
        <w:spacing w:after="0" w:line="122" w:lineRule="exact"/>
        <w:rPr>
          <w:sz w:val="20"/>
          <w:szCs w:val="20"/>
          <w:color w:val="auto"/>
        </w:rPr>
      </w:pPr>
    </w:p>
    <w:p>
      <w:pPr>
        <w:ind w:left="1980" w:right="1059" w:firstLine="294"/>
        <w:spacing w:after="0" w:line="289" w:lineRule="auto"/>
        <w:rPr>
          <w:sz w:val="20"/>
          <w:szCs w:val="20"/>
          <w:color w:val="auto"/>
        </w:rPr>
      </w:pPr>
      <w:r>
        <w:rPr>
          <w:rFonts w:ascii="Arial" w:cs="Arial" w:eastAsia="Arial" w:hAnsi="Arial"/>
          <w:sz w:val="11"/>
          <w:szCs w:val="11"/>
          <w:color w:val="auto"/>
        </w:rPr>
        <w:t>In the underwriting agreement, the form of which is filed as Exhibit 1.1 to this registration statement, the underwriters will agree to indemnify, under certain conditions, us, the members of our management board and persons who control our company within the meaning of the Securities Act, against certain liabilities, but only to the extent that such liabilities arise out of or are based upon certain information relating to the underwriters furnished to us in writing expressly for use in this Registration Statement and certain other disclosure documents.</w:t>
      </w:r>
    </w:p>
    <w:p>
      <w:pPr>
        <w:spacing w:after="0" w:line="206"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Recent Sales of Unregistered Securities</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Set forth below are the sales of all securities sold by Mynaric AG within the past three years (</w:t>
      </w:r>
      <w:r>
        <w:rPr>
          <w:rFonts w:ascii="Arial" w:cs="Arial" w:eastAsia="Arial" w:hAnsi="Arial"/>
          <w:sz w:val="12"/>
          <w:szCs w:val="12"/>
          <w:i w:val="1"/>
          <w:iCs w:val="1"/>
          <w:color w:val="auto"/>
        </w:rPr>
        <w:t>i.e.</w:t>
      </w:r>
      <w:r>
        <w:rPr>
          <w:rFonts w:ascii="Arial" w:cs="Arial" w:eastAsia="Arial" w:hAnsi="Arial"/>
          <w:sz w:val="12"/>
          <w:szCs w:val="12"/>
          <w:color w:val="auto"/>
        </w:rPr>
        <w:t>, since January 1, 2018 up to the date of this registration statement) which were not registered under the Securities Act:</w:t>
      </w:r>
    </w:p>
    <w:p>
      <w:pPr>
        <w:spacing w:after="0" w:line="52" w:lineRule="exact"/>
        <w:rPr>
          <w:sz w:val="20"/>
          <w:szCs w:val="20"/>
          <w:color w:val="auto"/>
        </w:rPr>
      </w:pPr>
    </w:p>
    <w:p>
      <w:pPr>
        <w:ind w:left="2620" w:right="919" w:hanging="360"/>
        <w:spacing w:after="0" w:line="289" w:lineRule="auto"/>
        <w:tabs>
          <w:tab w:leader="none" w:pos="2620" w:val="left"/>
        </w:tabs>
        <w:numPr>
          <w:ilvl w:val="0"/>
          <w:numId w:val="200"/>
        </w:numPr>
        <w:rPr>
          <w:rFonts w:ascii="Arial" w:cs="Arial" w:eastAsia="Arial" w:hAnsi="Arial"/>
          <w:sz w:val="11"/>
          <w:szCs w:val="11"/>
          <w:color w:val="auto"/>
        </w:rPr>
      </w:pPr>
      <w:r>
        <w:rPr>
          <w:rFonts w:ascii="Arial" w:cs="Arial" w:eastAsia="Arial" w:hAnsi="Arial"/>
          <w:sz w:val="11"/>
          <w:szCs w:val="11"/>
          <w:color w:val="auto"/>
        </w:rPr>
        <w:t>On May 14, 2019, we issued 200,000 bearer shares with a nominal value of €1.00 out of authorized capital to Alliance One Investment Singapore PTE Ltd at a subscription price of €55.00 per ordinary share, raising gross proceeds of €11,000,000.00 million in a private placement. Accordingly, our share capital as registered with the commercial register was increased by €200,000.00 from €2,704,304.00 to €2,904,304.00. The subscription rights of existing shareholders were excluded.</w:t>
      </w:r>
    </w:p>
    <w:p>
      <w:pPr>
        <w:spacing w:after="0" w:line="47" w:lineRule="exact"/>
        <w:rPr>
          <w:rFonts w:ascii="Arial" w:cs="Arial" w:eastAsia="Arial" w:hAnsi="Arial"/>
          <w:sz w:val="11"/>
          <w:szCs w:val="11"/>
          <w:color w:val="auto"/>
        </w:rPr>
      </w:pPr>
    </w:p>
    <w:p>
      <w:pPr>
        <w:ind w:left="2620" w:right="879" w:hanging="360"/>
        <w:spacing w:after="0" w:line="283" w:lineRule="auto"/>
        <w:tabs>
          <w:tab w:leader="none" w:pos="2620" w:val="left"/>
        </w:tabs>
        <w:numPr>
          <w:ilvl w:val="0"/>
          <w:numId w:val="200"/>
        </w:numPr>
        <w:rPr>
          <w:rFonts w:ascii="Arial" w:cs="Arial" w:eastAsia="Arial" w:hAnsi="Arial"/>
          <w:sz w:val="11"/>
          <w:szCs w:val="11"/>
          <w:color w:val="auto"/>
        </w:rPr>
      </w:pPr>
      <w:r>
        <w:rPr>
          <w:rFonts w:ascii="Arial" w:cs="Arial" w:eastAsia="Arial" w:hAnsi="Arial"/>
          <w:sz w:val="11"/>
          <w:szCs w:val="11"/>
          <w:color w:val="auto"/>
        </w:rPr>
        <w:t>On February 7, 2020, we issued 290,430 bearer shares with a nominal value of €1.00 out of authorized capital to institutional investors in an accelerated book building transaction at a subscription price of €42.50 per ordinary share, raising gross proceeds of €12,343,275.00 million. The subscription rights of existing shareholders were excluded. The shares were placed by Hauck &amp; Aufhäuser Privatbankiers AG, Frankfurt am Main, by way of a private placement to qualified investors in Germany and by Beech Hill Securities, Inc. in the United States in accordance with Rule 144A of the Securities Act. Through this offering, our share capital as registered with the commercial register was increased by €290,430.00 from €2,904,304.00 by to €3,194,734.00</w:t>
      </w:r>
    </w:p>
    <w:p>
      <w:pPr>
        <w:spacing w:after="0" w:line="50" w:lineRule="exact"/>
        <w:rPr>
          <w:rFonts w:ascii="Arial" w:cs="Arial" w:eastAsia="Arial" w:hAnsi="Arial"/>
          <w:sz w:val="11"/>
          <w:szCs w:val="11"/>
          <w:color w:val="auto"/>
        </w:rPr>
      </w:pPr>
    </w:p>
    <w:p>
      <w:pPr>
        <w:ind w:left="2620" w:right="859" w:hanging="360"/>
        <w:spacing w:after="0" w:line="320" w:lineRule="auto"/>
        <w:tabs>
          <w:tab w:leader="none" w:pos="2620" w:val="left"/>
        </w:tabs>
        <w:numPr>
          <w:ilvl w:val="0"/>
          <w:numId w:val="200"/>
        </w:numPr>
        <w:rPr>
          <w:rFonts w:ascii="Arial" w:cs="Arial" w:eastAsia="Arial" w:hAnsi="Arial"/>
          <w:sz w:val="10"/>
          <w:szCs w:val="10"/>
          <w:color w:val="auto"/>
        </w:rPr>
      </w:pPr>
      <w:r>
        <w:rPr>
          <w:rFonts w:ascii="Arial" w:cs="Arial" w:eastAsia="Arial" w:hAnsi="Arial"/>
          <w:sz w:val="10"/>
          <w:szCs w:val="10"/>
          <w:color w:val="auto"/>
        </w:rPr>
        <w:t>On October 13, 2020, we issued 800,000 bearer shares with a nominal value of €1.00 out of authorized capital to existing shareholders and institutional investors at a subscription price of €66.00 per ordinary share, raising gross proceeds of €52,800,000.00 million. The amount was initially placed by Hauck &amp; Aufhäuser Privatbankiers AG, Frankfurt am Main, during a pre-placement with institutional investors while full allocation was conditional on the completion of a subscription rights offering to existing shareholders. Through this offering, our share capital as registered with the commercial register was increased by €800,000.00 from €3,194,734.00 to €3,994,734.00.</w:t>
      </w:r>
    </w:p>
    <w:p>
      <w:pPr>
        <w:spacing w:after="0" w:line="34" w:lineRule="exact"/>
        <w:rPr>
          <w:rFonts w:ascii="Arial" w:cs="Arial" w:eastAsia="Arial" w:hAnsi="Arial"/>
          <w:sz w:val="10"/>
          <w:szCs w:val="10"/>
          <w:color w:val="auto"/>
        </w:rPr>
      </w:pPr>
    </w:p>
    <w:p>
      <w:pPr>
        <w:ind w:left="2620" w:hanging="360"/>
        <w:spacing w:after="0"/>
        <w:tabs>
          <w:tab w:leader="none" w:pos="2620" w:val="left"/>
        </w:tabs>
        <w:numPr>
          <w:ilvl w:val="0"/>
          <w:numId w:val="200"/>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255" w:name="page256"/>
    <w:bookmarkEnd w:id="2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offers, sales and issuances of the securities described in the preceding paragraphs were exempt from registration either (a) under Section 4(a)</w:t>
      </w:r>
    </w:p>
    <w:p>
      <w:pPr>
        <w:spacing w:after="0" w:line="38" w:lineRule="exact"/>
        <w:rPr>
          <w:sz w:val="20"/>
          <w:szCs w:val="20"/>
          <w:color w:val="auto"/>
        </w:rPr>
      </w:pPr>
    </w:p>
    <w:p>
      <w:pPr>
        <w:ind w:left="1980" w:right="899" w:hanging="8"/>
        <w:spacing w:after="0" w:line="284" w:lineRule="auto"/>
        <w:tabs>
          <w:tab w:leader="none" w:pos="2150" w:val="left"/>
        </w:tabs>
        <w:numPr>
          <w:ilvl w:val="0"/>
          <w:numId w:val="201"/>
        </w:numPr>
        <w:rPr>
          <w:rFonts w:ascii="Arial" w:cs="Arial" w:eastAsia="Arial" w:hAnsi="Arial"/>
          <w:sz w:val="11"/>
          <w:szCs w:val="11"/>
          <w:color w:val="auto"/>
        </w:rPr>
      </w:pPr>
      <w:r>
        <w:rPr>
          <w:rFonts w:ascii="Arial" w:cs="Arial" w:eastAsia="Arial" w:hAnsi="Arial"/>
          <w:sz w:val="11"/>
          <w:szCs w:val="11"/>
          <w:color w:val="auto"/>
        </w:rPr>
        <w:t>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and/or (c) under Regulation S promulgated under the Securities Act in that offers, sales and issuances were not made to persons in the United States and no directed selling efforts were made in the United States.</w:t>
      </w:r>
    </w:p>
    <w:p>
      <w:pPr>
        <w:spacing w:after="0" w:line="207"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0"/>
          <w:szCs w:val="10"/>
          <w:b w:val="1"/>
          <w:bCs w:val="1"/>
          <w:color w:val="auto"/>
        </w:rPr>
        <w:t>Exhibits and Financial Statement Schedule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exhibits listed in the exhibit index, appearing elsewhere in this registration statement, have been filed as a part of this registration statement.</w:t>
      </w:r>
    </w:p>
    <w:p>
      <w:pPr>
        <w:spacing w:after="0" w:line="16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All schedules have been omitted since they are not required or are not applicable or the required information is shown in the audited consolidated financial statements or notes thereto.</w:t>
      </w:r>
    </w:p>
    <w:p>
      <w:pPr>
        <w:spacing w:after="0" w:line="210"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Undertakings</w:t>
      </w:r>
    </w:p>
    <w:p>
      <w:pPr>
        <w:spacing w:after="0" w:line="154" w:lineRule="exact"/>
        <w:rPr>
          <w:sz w:val="20"/>
          <w:szCs w:val="20"/>
          <w:color w:val="auto"/>
        </w:rPr>
      </w:pPr>
    </w:p>
    <w:p>
      <w:pPr>
        <w:ind w:left="1980" w:right="919" w:firstLine="286"/>
        <w:spacing w:after="0" w:line="323" w:lineRule="auto"/>
        <w:tabs>
          <w:tab w:leader="none" w:pos="2443" w:val="left"/>
        </w:tabs>
        <w:numPr>
          <w:ilvl w:val="1"/>
          <w:numId w:val="202"/>
        </w:numPr>
        <w:rPr>
          <w:rFonts w:ascii="Arial" w:cs="Arial" w:eastAsia="Arial" w:hAnsi="Arial"/>
          <w:sz w:val="11"/>
          <w:szCs w:val="11"/>
          <w:color w:val="auto"/>
        </w:rPr>
      </w:pPr>
      <w:r>
        <w:rPr>
          <w:rFonts w:ascii="Arial" w:cs="Arial" w:eastAsia="Arial" w:hAnsi="Arial"/>
          <w:sz w:val="11"/>
          <w:szCs w:val="11"/>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91" w:lineRule="exact"/>
        <w:rPr>
          <w:rFonts w:ascii="Arial" w:cs="Arial" w:eastAsia="Arial" w:hAnsi="Arial"/>
          <w:sz w:val="11"/>
          <w:szCs w:val="11"/>
          <w:color w:val="auto"/>
        </w:rPr>
      </w:pPr>
    </w:p>
    <w:p>
      <w:pPr>
        <w:ind w:left="1980" w:right="839" w:firstLine="286"/>
        <w:spacing w:after="0" w:line="280" w:lineRule="auto"/>
        <w:tabs>
          <w:tab w:leader="none" w:pos="2443" w:val="left"/>
        </w:tabs>
        <w:numPr>
          <w:ilvl w:val="1"/>
          <w:numId w:val="202"/>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5" w:lineRule="exact"/>
        <w:rPr>
          <w:rFonts w:ascii="Arial" w:cs="Arial" w:eastAsia="Arial" w:hAnsi="Arial"/>
          <w:sz w:val="11"/>
          <w:szCs w:val="11"/>
          <w:color w:val="auto"/>
        </w:rPr>
      </w:pPr>
    </w:p>
    <w:p>
      <w:pPr>
        <w:ind w:left="2440" w:hanging="174"/>
        <w:spacing w:after="0"/>
        <w:tabs>
          <w:tab w:leader="none" w:pos="2440" w:val="left"/>
        </w:tabs>
        <w:numPr>
          <w:ilvl w:val="1"/>
          <w:numId w:val="202"/>
        </w:numPr>
        <w:rPr>
          <w:rFonts w:ascii="Arial" w:cs="Arial" w:eastAsia="Arial" w:hAnsi="Arial"/>
          <w:sz w:val="12"/>
          <w:szCs w:val="12"/>
          <w:color w:val="auto"/>
        </w:rPr>
      </w:pPr>
      <w:r>
        <w:rPr>
          <w:rFonts w:ascii="Arial" w:cs="Arial" w:eastAsia="Arial" w:hAnsi="Arial"/>
          <w:sz w:val="12"/>
          <w:szCs w:val="12"/>
          <w:color w:val="auto"/>
        </w:rPr>
        <w:t>The undersigned registrant hereby undertakes that:</w:t>
      </w:r>
    </w:p>
    <w:p>
      <w:pPr>
        <w:spacing w:after="0" w:line="87" w:lineRule="exact"/>
        <w:rPr>
          <w:rFonts w:ascii="Arial" w:cs="Arial" w:eastAsia="Arial" w:hAnsi="Arial"/>
          <w:sz w:val="12"/>
          <w:szCs w:val="12"/>
          <w:color w:val="auto"/>
        </w:rPr>
      </w:pPr>
    </w:p>
    <w:p>
      <w:pPr>
        <w:ind w:left="2620" w:right="879" w:hanging="360"/>
        <w:spacing w:after="0" w:line="298" w:lineRule="auto"/>
        <w:tabs>
          <w:tab w:leader="none" w:pos="262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1" w:lineRule="exact"/>
        <w:rPr>
          <w:rFonts w:ascii="Arial" w:cs="Arial" w:eastAsia="Arial" w:hAnsi="Arial"/>
          <w:sz w:val="11"/>
          <w:szCs w:val="11"/>
          <w:color w:val="auto"/>
        </w:rPr>
      </w:pPr>
    </w:p>
    <w:p>
      <w:pPr>
        <w:ind w:left="2620" w:right="939" w:hanging="360"/>
        <w:spacing w:after="0" w:line="263" w:lineRule="auto"/>
        <w:tabs>
          <w:tab w:leader="none" w:pos="26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II-ii</w:t>
      </w:r>
    </w:p>
    <w:p>
      <w:pPr>
        <w:sectPr>
          <w:pgSz w:w="11900" w:h="16838" w:orient="portrait"/>
          <w:cols w:equalWidth="0" w:num="1">
            <w:col w:w="10159"/>
          </w:cols>
          <w:pgMar w:left="300" w:top="354" w:right="1440" w:bottom="1440" w:gutter="0" w:footer="0" w:header="0"/>
        </w:sectPr>
      </w:pPr>
    </w:p>
    <w:bookmarkStart w:id="256" w:name="page257"/>
    <w:bookmarkEnd w:id="2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80" w:type="dxa"/>
            <w:vAlign w:val="bottom"/>
          </w:tcPr>
          <w:p>
            <w:pPr>
              <w:ind w:left="2440"/>
              <w:spacing w:after="0"/>
              <w:rPr>
                <w:sz w:val="20"/>
                <w:szCs w:val="20"/>
                <w:color w:val="auto"/>
              </w:rPr>
            </w:pPr>
            <w:r>
              <w:rPr>
                <w:rFonts w:ascii="Arial" w:cs="Arial" w:eastAsia="Arial" w:hAnsi="Arial"/>
                <w:sz w:val="12"/>
                <w:szCs w:val="12"/>
                <w:b w:val="1"/>
                <w:bCs w:val="1"/>
                <w:color w:val="auto"/>
              </w:rPr>
              <w:t>EXHIBIT INDEX</w:t>
            </w:r>
          </w:p>
        </w:tc>
      </w:tr>
      <w:tr>
        <w:trPr>
          <w:trHeight w:val="247"/>
        </w:trPr>
        <w:tc>
          <w:tcPr>
            <w:tcW w:w="340" w:type="dxa"/>
            <w:vAlign w:val="bottom"/>
          </w:tcPr>
          <w:p>
            <w:pPr>
              <w:ind w:left="20"/>
              <w:spacing w:after="0"/>
              <w:rPr>
                <w:sz w:val="20"/>
                <w:szCs w:val="20"/>
                <w:color w:val="auto"/>
              </w:rPr>
            </w:pPr>
            <w:r>
              <w:rPr>
                <w:rFonts w:ascii="Arial" w:cs="Arial" w:eastAsia="Arial" w:hAnsi="Arial"/>
                <w:sz w:val="10"/>
                <w:szCs w:val="10"/>
                <w:b w:val="1"/>
                <w:bCs w:val="1"/>
                <w:color w:val="auto"/>
                <w:w w:val="89"/>
              </w:rPr>
              <w:t>Exhibit</w:t>
            </w:r>
          </w:p>
        </w:tc>
        <w:tc>
          <w:tcPr>
            <w:tcW w:w="420" w:type="dxa"/>
            <w:vAlign w:val="bottom"/>
          </w:tcPr>
          <w:p>
            <w:pPr>
              <w:spacing w:after="0"/>
              <w:rPr>
                <w:sz w:val="21"/>
                <w:szCs w:val="21"/>
                <w:color w:val="auto"/>
              </w:rPr>
            </w:pPr>
          </w:p>
        </w:tc>
        <w:tc>
          <w:tcPr>
            <w:tcW w:w="6580" w:type="dxa"/>
            <w:vAlign w:val="bottom"/>
          </w:tcPr>
          <w:p>
            <w:pPr>
              <w:spacing w:after="0"/>
              <w:rPr>
                <w:sz w:val="21"/>
                <w:szCs w:val="21"/>
                <w:color w:val="auto"/>
              </w:rPr>
            </w:pPr>
          </w:p>
        </w:tc>
      </w:tr>
      <w:tr>
        <w:trPr>
          <w:trHeight w:val="113"/>
        </w:trPr>
        <w:tc>
          <w:tcPr>
            <w:tcW w:w="3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w w:val="84"/>
              </w:rPr>
              <w:t>Number</w:t>
            </w:r>
          </w:p>
        </w:tc>
        <w:tc>
          <w:tcPr>
            <w:tcW w:w="420" w:type="dxa"/>
            <w:vAlign w:val="bottom"/>
          </w:tcPr>
          <w:p>
            <w:pPr>
              <w:spacing w:after="0"/>
              <w:rPr>
                <w:sz w:val="9"/>
                <w:szCs w:val="9"/>
                <w:color w:val="auto"/>
              </w:rPr>
            </w:pPr>
          </w:p>
        </w:tc>
        <w:tc>
          <w:tcPr>
            <w:tcW w:w="6580" w:type="dxa"/>
            <w:vAlign w:val="bottom"/>
            <w:tcBorders>
              <w:bottom w:val="single" w:sz="8" w:color="auto"/>
            </w:tcBorders>
          </w:tcPr>
          <w:p>
            <w:pPr>
              <w:ind w:left="2840"/>
              <w:spacing w:after="0" w:line="114" w:lineRule="exact"/>
              <w:rPr>
                <w:sz w:val="20"/>
                <w:szCs w:val="20"/>
                <w:color w:val="auto"/>
              </w:rPr>
            </w:pPr>
            <w:r>
              <w:rPr>
                <w:rFonts w:ascii="Arial" w:cs="Arial" w:eastAsia="Arial" w:hAnsi="Arial"/>
                <w:sz w:val="10"/>
                <w:szCs w:val="10"/>
                <w:b w:val="1"/>
                <w:bCs w:val="1"/>
                <w:color w:val="auto"/>
              </w:rPr>
              <w:t>Description of Exhibit</w:t>
            </w:r>
          </w:p>
        </w:tc>
      </w:tr>
      <w:tr>
        <w:trPr>
          <w:trHeight w:val="205"/>
        </w:trPr>
        <w:tc>
          <w:tcPr>
            <w:tcW w:w="340" w:type="dxa"/>
            <w:vAlign w:val="bottom"/>
          </w:tcPr>
          <w:p>
            <w:pPr>
              <w:spacing w:after="0"/>
              <w:rPr>
                <w:sz w:val="20"/>
                <w:szCs w:val="20"/>
                <w:color w:val="auto"/>
              </w:rPr>
            </w:pPr>
            <w:r>
              <w:rPr>
                <w:rFonts w:ascii="Arial" w:cs="Arial" w:eastAsia="Arial" w:hAnsi="Arial"/>
                <w:sz w:val="12"/>
                <w:szCs w:val="12"/>
                <w:color w:val="auto"/>
              </w:rPr>
              <w:t>1.1*</w:t>
            </w:r>
          </w:p>
        </w:tc>
        <w:tc>
          <w:tcPr>
            <w:tcW w:w="42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Form of Underwriting Agreement</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3.1*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Articles of Association of Mynaric AG (translated into English)</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3.2*</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Rules of Procedure of the Management Board of Mynaric AG</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3.3*</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Rules of Procedure of the Supervisory Board of Mynaric AG</w:t>
            </w:r>
          </w:p>
        </w:tc>
      </w:tr>
      <w:tr>
        <w:trPr>
          <w:trHeight w:val="207"/>
        </w:trPr>
        <w:tc>
          <w:tcPr>
            <w:tcW w:w="340" w:type="dxa"/>
            <w:vAlign w:val="bottom"/>
          </w:tcPr>
          <w:p>
            <w:pPr>
              <w:spacing w:after="0"/>
              <w:rPr>
                <w:sz w:val="20"/>
                <w:szCs w:val="20"/>
                <w:color w:val="auto"/>
              </w:rPr>
            </w:pPr>
            <w:r>
              <w:rPr>
                <w:rFonts w:ascii="Arial" w:cs="Arial" w:eastAsia="Arial" w:hAnsi="Arial"/>
                <w:sz w:val="12"/>
                <w:szCs w:val="12"/>
                <w:color w:val="auto"/>
              </w:rPr>
              <w:t>4.1*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w w:val="91"/>
              </w:rPr>
              <w:t>Form of Deposit Agreement between the Registrant, the depositary and holders of American Depositary Shares evidenced by American</w:t>
            </w:r>
          </w:p>
        </w:tc>
      </w:tr>
      <w:tr>
        <w:trPr>
          <w:trHeight w:val="153"/>
        </w:trPr>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Depositary receipts issued thereunder</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4.2*</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Form of American Depositary Receipt evidencing American Depositary Shares (included in Exhibit 4.1)</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5.1*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Opinion of Sullivan &amp; Cromwell LLP as to the validity of the ordinary shares</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8.1*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Opinion of Sullivan &amp; Cromwell LLP as to U.S. tax matters</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8.2*</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Opinion of Sullivan &amp; Cromwell LLP as to German tax matters (included in Exhibit 5.1)</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10.1*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Mynaric AG, Stock Option Program 2017</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10.2*</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Mynaric AG, Stock Option Program 2019</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10.3*</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Mynaric AG, Stock Option Program 2020</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10.4*</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Mynaric AG, Stock Option Program 2021</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10.5*</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Mynaric AG, Restricted Stock Units Program 2021</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21.1*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List of Subsidiaries of the Registrant</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23.1*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Consent of KPMG AG Wirtschaftsprüfungsgesellschaft</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23.2*</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Consent of Sullivan &amp; Cromwell LLP (included in Exhibits 5.1, 8.1 and 8.2)</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24.1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Powers of Attorney (included on signature page to the registration statement)</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 To be filed by amendment.</w:t>
            </w:r>
          </w:p>
        </w:tc>
      </w:tr>
      <w:tr>
        <w:trPr>
          <w:trHeight w:val="243"/>
        </w:trPr>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580" w:type="dxa"/>
            <w:vAlign w:val="bottom"/>
          </w:tcPr>
          <w:p>
            <w:pPr>
              <w:ind w:left="2800"/>
              <w:spacing w:after="0"/>
              <w:rPr>
                <w:sz w:val="20"/>
                <w:szCs w:val="20"/>
                <w:color w:val="auto"/>
              </w:rPr>
            </w:pPr>
            <w:r>
              <w:rPr>
                <w:rFonts w:ascii="Arial" w:cs="Arial" w:eastAsia="Arial" w:hAnsi="Arial"/>
                <w:sz w:val="12"/>
                <w:szCs w:val="12"/>
                <w:color w:val="auto"/>
              </w:rPr>
              <w:t>II-iii</w:t>
            </w:r>
          </w:p>
        </w:tc>
      </w:tr>
    </w:tbl>
    <w:p>
      <w:pPr>
        <w:sectPr>
          <w:pgSz w:w="11900" w:h="16838" w:orient="portrait"/>
          <w:cols w:equalWidth="0" w:num="1">
            <w:col w:w="10159"/>
          </w:cols>
          <w:pgMar w:left="300" w:top="354" w:right="1440" w:bottom="1440" w:gutter="0" w:footer="0" w:header="0"/>
        </w:sectPr>
      </w:pPr>
    </w:p>
    <w:bookmarkStart w:id="257" w:name="page258"/>
    <w:bookmarkEnd w:id="2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w:t>
      </w:r>
    </w:p>
    <w:tbl>
      <w:tblPr>
        <w:tblLayout w:type="fixed"/>
        <w:tblInd w:w="1980" w:type="dxa"/>
        <w:tblCellMar>
          <w:top w:w="0" w:type="dxa"/>
          <w:left w:w="0" w:type="dxa"/>
          <w:bottom w:w="0" w:type="dxa"/>
          <w:right w:w="0" w:type="dxa"/>
        </w:tblCellMar>
      </w:tblPr>
      <w:tr>
        <w:trPr>
          <w:trHeight w:val="118"/>
        </w:trPr>
        <w:tc>
          <w:tcPr>
            <w:tcW w:w="3440" w:type="dxa"/>
            <w:vAlign w:val="bottom"/>
          </w:tcPr>
          <w:p>
            <w:pPr>
              <w:spacing w:after="0" w:line="118" w:lineRule="exact"/>
              <w:rPr>
                <w:sz w:val="20"/>
                <w:szCs w:val="20"/>
                <w:color w:val="auto"/>
              </w:rPr>
            </w:pPr>
            <w:r>
              <w:rPr>
                <w:rFonts w:ascii="Arial" w:cs="Arial" w:eastAsia="Arial" w:hAnsi="Arial"/>
                <w:sz w:val="12"/>
                <w:szCs w:val="12"/>
                <w:color w:val="auto"/>
                <w:w w:val="92"/>
              </w:rPr>
              <w:t>authorized, in the City of Munich, the Federal Republic of Germany on</w:t>
            </w:r>
          </w:p>
        </w:tc>
        <w:tc>
          <w:tcPr>
            <w:tcW w:w="1200" w:type="dxa"/>
            <w:vAlign w:val="bottom"/>
            <w:gridSpan w:val="2"/>
          </w:tcPr>
          <w:p>
            <w:pPr>
              <w:jc w:val="right"/>
              <w:ind w:right="440"/>
              <w:spacing w:after="0" w:line="118" w:lineRule="exact"/>
              <w:rPr>
                <w:sz w:val="20"/>
                <w:szCs w:val="20"/>
                <w:color w:val="auto"/>
              </w:rPr>
            </w:pPr>
            <w:r>
              <w:rPr>
                <w:rFonts w:ascii="Arial" w:cs="Arial" w:eastAsia="Arial" w:hAnsi="Arial"/>
                <w:sz w:val="12"/>
                <w:szCs w:val="12"/>
                <w:color w:val="auto"/>
              </w:rPr>
              <w:t>, 2021.</w:t>
            </w:r>
          </w:p>
        </w:tc>
        <w:tc>
          <w:tcPr>
            <w:tcW w:w="320" w:type="dxa"/>
            <w:vAlign w:val="bottom"/>
          </w:tcPr>
          <w:p>
            <w:pPr>
              <w:spacing w:after="0"/>
              <w:rPr>
                <w:sz w:val="10"/>
                <w:szCs w:val="10"/>
                <w:color w:val="auto"/>
              </w:rPr>
            </w:pPr>
          </w:p>
        </w:tc>
        <w:tc>
          <w:tcPr>
            <w:tcW w:w="2380" w:type="dxa"/>
            <w:vAlign w:val="bottom"/>
          </w:tcPr>
          <w:p>
            <w:pPr>
              <w:spacing w:after="0"/>
              <w:rPr>
                <w:sz w:val="10"/>
                <w:szCs w:val="10"/>
                <w:color w:val="auto"/>
              </w:rPr>
            </w:pPr>
          </w:p>
        </w:tc>
      </w:tr>
      <w:tr>
        <w:trPr>
          <w:trHeight w:val="313"/>
        </w:trPr>
        <w:tc>
          <w:tcPr>
            <w:tcW w:w="34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540" w:type="dxa"/>
            <w:vAlign w:val="bottom"/>
            <w:gridSpan w:val="3"/>
          </w:tcPr>
          <w:p>
            <w:pPr>
              <w:ind w:left="600"/>
              <w:spacing w:after="0"/>
              <w:rPr>
                <w:sz w:val="20"/>
                <w:szCs w:val="20"/>
                <w:color w:val="auto"/>
              </w:rPr>
            </w:pPr>
            <w:r>
              <w:rPr>
                <w:rFonts w:ascii="Arial" w:cs="Arial" w:eastAsia="Arial" w:hAnsi="Arial"/>
                <w:sz w:val="12"/>
                <w:szCs w:val="12"/>
                <w:b w:val="1"/>
                <w:bCs w:val="1"/>
                <w:color w:val="auto"/>
              </w:rPr>
              <w:t>Mynaric AG</w:t>
            </w:r>
          </w:p>
        </w:tc>
      </w:tr>
      <w:tr>
        <w:trPr>
          <w:trHeight w:val="288"/>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ind w:left="600"/>
              <w:spacing w:after="0"/>
              <w:rPr>
                <w:sz w:val="20"/>
                <w:szCs w:val="20"/>
                <w:color w:val="auto"/>
              </w:rPr>
            </w:pPr>
            <w:r>
              <w:rPr>
                <w:rFonts w:ascii="Arial" w:cs="Arial" w:eastAsia="Arial" w:hAnsi="Arial"/>
                <w:sz w:val="12"/>
                <w:szCs w:val="12"/>
                <w:color w:val="auto"/>
              </w:rPr>
              <w:t>By</w:t>
            </w:r>
          </w:p>
        </w:tc>
        <w:tc>
          <w:tcPr>
            <w:tcW w:w="2380" w:type="dxa"/>
            <w:vAlign w:val="bottom"/>
          </w:tcPr>
          <w:p>
            <w:pPr>
              <w:spacing w:after="0"/>
              <w:rPr>
                <w:sz w:val="24"/>
                <w:szCs w:val="24"/>
                <w:color w:val="auto"/>
              </w:rPr>
            </w:pPr>
          </w:p>
        </w:tc>
      </w:tr>
      <w:tr>
        <w:trPr>
          <w:trHeight w:val="133"/>
        </w:trPr>
        <w:tc>
          <w:tcPr>
            <w:tcW w:w="3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70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2"/>
                <w:szCs w:val="12"/>
                <w:color w:val="auto"/>
              </w:rPr>
              <w:t>Name: Bulent Altan</w:t>
            </w:r>
          </w:p>
        </w:tc>
      </w:tr>
      <w:tr>
        <w:trPr>
          <w:trHeight w:val="153"/>
        </w:trPr>
        <w:tc>
          <w:tcPr>
            <w:tcW w:w="3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Title:</w:t>
            </w:r>
          </w:p>
        </w:tc>
        <w:tc>
          <w:tcPr>
            <w:tcW w:w="2380" w:type="dxa"/>
            <w:vAlign w:val="bottom"/>
          </w:tcPr>
          <w:p>
            <w:pPr>
              <w:ind w:left="60"/>
              <w:spacing w:after="0"/>
              <w:rPr>
                <w:sz w:val="20"/>
                <w:szCs w:val="20"/>
                <w:color w:val="auto"/>
              </w:rPr>
            </w:pPr>
            <w:r>
              <w:rPr>
                <w:rFonts w:ascii="Arial" w:cs="Arial" w:eastAsia="Arial" w:hAnsi="Arial"/>
                <w:sz w:val="12"/>
                <w:szCs w:val="12"/>
                <w:color w:val="auto"/>
              </w:rPr>
              <w:t>Chief Executive Officer</w:t>
            </w:r>
          </w:p>
        </w:tc>
      </w:tr>
      <w:tr>
        <w:trPr>
          <w:trHeight w:val="288"/>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ind w:left="600"/>
              <w:spacing w:after="0"/>
              <w:rPr>
                <w:sz w:val="20"/>
                <w:szCs w:val="20"/>
                <w:color w:val="auto"/>
              </w:rPr>
            </w:pPr>
            <w:r>
              <w:rPr>
                <w:rFonts w:ascii="Arial" w:cs="Arial" w:eastAsia="Arial" w:hAnsi="Arial"/>
                <w:sz w:val="12"/>
                <w:szCs w:val="12"/>
                <w:color w:val="auto"/>
              </w:rPr>
              <w:t>By</w:t>
            </w:r>
          </w:p>
        </w:tc>
        <w:tc>
          <w:tcPr>
            <w:tcW w:w="2380" w:type="dxa"/>
            <w:vAlign w:val="bottom"/>
          </w:tcPr>
          <w:p>
            <w:pPr>
              <w:spacing w:after="0"/>
              <w:rPr>
                <w:sz w:val="24"/>
                <w:szCs w:val="24"/>
                <w:color w:val="auto"/>
              </w:rPr>
            </w:pPr>
          </w:p>
        </w:tc>
      </w:tr>
      <w:tr>
        <w:trPr>
          <w:trHeight w:val="133"/>
        </w:trPr>
        <w:tc>
          <w:tcPr>
            <w:tcW w:w="3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70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2"/>
                <w:szCs w:val="12"/>
                <w:color w:val="auto"/>
              </w:rPr>
              <w:t>Name: Stefan Berndt-von Bülow</w:t>
            </w:r>
          </w:p>
        </w:tc>
      </w:tr>
      <w:tr>
        <w:trPr>
          <w:trHeight w:val="153"/>
        </w:trPr>
        <w:tc>
          <w:tcPr>
            <w:tcW w:w="3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Title:</w:t>
            </w:r>
          </w:p>
        </w:tc>
        <w:tc>
          <w:tcPr>
            <w:tcW w:w="2380" w:type="dxa"/>
            <w:vAlign w:val="bottom"/>
          </w:tcPr>
          <w:p>
            <w:pPr>
              <w:ind w:left="60"/>
              <w:spacing w:after="0"/>
              <w:rPr>
                <w:sz w:val="20"/>
                <w:szCs w:val="20"/>
                <w:color w:val="auto"/>
              </w:rPr>
            </w:pPr>
            <w:r>
              <w:rPr>
                <w:rFonts w:ascii="Arial" w:cs="Arial" w:eastAsia="Arial" w:hAnsi="Arial"/>
                <w:sz w:val="12"/>
                <w:szCs w:val="12"/>
                <w:color w:val="auto"/>
              </w:rPr>
              <w:t>Chief Financial Officer</w:t>
            </w:r>
          </w:p>
        </w:tc>
      </w:tr>
    </w:tbl>
    <w:p>
      <w:pPr>
        <w:spacing w:after="0" w:line="275" w:lineRule="exact"/>
        <w:rPr>
          <w:sz w:val="20"/>
          <w:szCs w:val="20"/>
          <w:color w:val="auto"/>
        </w:rPr>
      </w:pPr>
    </w:p>
    <w:p>
      <w:pPr>
        <w:ind w:left="4960"/>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KNOW ALL PERSONS BY THESE PRESENTS, that each person whose signature appears below does hereby constitute and</w:t>
      </w:r>
    </w:p>
    <w:p>
      <w:pPr>
        <w:spacing w:after="0" w:line="15" w:lineRule="exact"/>
        <w:rPr>
          <w:sz w:val="20"/>
          <w:szCs w:val="20"/>
          <w:color w:val="auto"/>
        </w:rPr>
      </w:pPr>
    </w:p>
    <w:p>
      <w:pPr>
        <w:ind w:left="1980" w:right="899"/>
        <w:spacing w:after="0" w:line="277" w:lineRule="auto"/>
        <w:rPr>
          <w:sz w:val="20"/>
          <w:szCs w:val="20"/>
          <w:color w:val="auto"/>
        </w:rPr>
      </w:pPr>
      <w:r>
        <w:rPr>
          <w:rFonts w:ascii="Arial" w:cs="Arial" w:eastAsia="Arial" w:hAnsi="Arial"/>
          <w:sz w:val="11"/>
          <w:szCs w:val="11"/>
          <w:color w:val="auto"/>
        </w:rPr>
        <w:t>appoint and ,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19"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in the capacities and on the dates indicated.</w:t>
      </w:r>
    </w:p>
    <w:p>
      <w:pPr>
        <w:spacing w:after="0" w:line="126" w:lineRule="exact"/>
        <w:rPr>
          <w:sz w:val="20"/>
          <w:szCs w:val="20"/>
          <w:color w:val="auto"/>
        </w:rPr>
      </w:pPr>
    </w:p>
    <w:tbl>
      <w:tblPr>
        <w:tblLayout w:type="fixed"/>
        <w:tblInd w:w="2080" w:type="dxa"/>
        <w:tblCellMar>
          <w:top w:w="0" w:type="dxa"/>
          <w:left w:w="0" w:type="dxa"/>
          <w:bottom w:w="0" w:type="dxa"/>
          <w:right w:w="0" w:type="dxa"/>
        </w:tblCellMar>
      </w:tblPr>
      <w:tr>
        <w:trPr>
          <w:trHeight w:val="115"/>
        </w:trPr>
        <w:tc>
          <w:tcPr>
            <w:tcW w:w="110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6"/>
              </w:rPr>
              <w:t>Signature</w:t>
            </w: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0" w:type="dxa"/>
            <w:vAlign w:val="bottom"/>
          </w:tcPr>
          <w:p>
            <w:pPr>
              <w:jc w:val="center"/>
              <w:spacing w:after="0"/>
              <w:rPr>
                <w:sz w:val="20"/>
                <w:szCs w:val="20"/>
                <w:color w:val="auto"/>
              </w:rPr>
            </w:pPr>
            <w:r>
              <w:rPr>
                <w:rFonts w:ascii="Arial" w:cs="Arial" w:eastAsia="Arial" w:hAnsi="Arial"/>
                <w:sz w:val="10"/>
                <w:szCs w:val="10"/>
                <w:b w:val="1"/>
                <w:bCs w:val="1"/>
                <w:color w:val="auto"/>
                <w:w w:val="87"/>
              </w:rPr>
              <w:t>Title</w:t>
            </w:r>
          </w:p>
        </w:tc>
        <w:tc>
          <w:tcPr>
            <w:tcW w:w="1800" w:type="dxa"/>
            <w:vAlign w:val="bottom"/>
          </w:tcPr>
          <w:p>
            <w:pPr>
              <w:spacing w:after="0"/>
              <w:rPr>
                <w:sz w:val="10"/>
                <w:szCs w:val="10"/>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560" w:type="dxa"/>
            <w:vAlign w:val="bottom"/>
            <w:gridSpan w:val="3"/>
            <w:vMerge w:val="restart"/>
          </w:tcPr>
          <w:p>
            <w:pPr>
              <w:jc w:val="center"/>
              <w:ind w:right="240"/>
              <w:spacing w:after="0"/>
              <w:rPr>
                <w:sz w:val="20"/>
                <w:szCs w:val="20"/>
                <w:color w:val="auto"/>
              </w:rPr>
            </w:pPr>
            <w:r>
              <w:rPr>
                <w:rFonts w:ascii="Arial" w:cs="Arial" w:eastAsia="Arial" w:hAnsi="Arial"/>
                <w:sz w:val="12"/>
                <w:szCs w:val="12"/>
                <w:color w:val="auto"/>
                <w:w w:val="91"/>
              </w:rPr>
              <w:t>Chief Executive Officer and Member of the Management Board</w:t>
            </w:r>
          </w:p>
        </w:tc>
        <w:tc>
          <w:tcPr>
            <w:tcW w:w="500" w:type="dxa"/>
            <w:vAlign w:val="bottom"/>
            <w:gridSpan w:val="2"/>
            <w:vMerge w:val="restart"/>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w w:val="77"/>
              </w:rPr>
              <w:t>, 2021</w:t>
            </w:r>
          </w:p>
        </w:tc>
        <w:tc>
          <w:tcPr>
            <w:tcW w:w="0" w:type="dxa"/>
            <w:vAlign w:val="bottom"/>
          </w:tcPr>
          <w:p>
            <w:pPr>
              <w:spacing w:after="0"/>
              <w:rPr>
                <w:sz w:val="1"/>
                <w:szCs w:val="1"/>
                <w:color w:val="auto"/>
              </w:rPr>
            </w:pPr>
          </w:p>
        </w:tc>
      </w:tr>
      <w:tr>
        <w:trPr>
          <w:trHeight w:val="111"/>
        </w:trPr>
        <w:tc>
          <w:tcPr>
            <w:tcW w:w="2700" w:type="dxa"/>
            <w:vAlign w:val="bottom"/>
            <w:gridSpan w:val="3"/>
          </w:tcPr>
          <w:p>
            <w:pPr>
              <w:jc w:val="center"/>
              <w:ind w:right="100"/>
              <w:spacing w:after="0" w:line="97" w:lineRule="exact"/>
              <w:rPr>
                <w:sz w:val="20"/>
                <w:szCs w:val="20"/>
                <w:color w:val="auto"/>
              </w:rPr>
            </w:pPr>
            <w:r>
              <w:rPr>
                <w:rFonts w:ascii="Arial" w:cs="Arial" w:eastAsia="Arial" w:hAnsi="Arial"/>
                <w:sz w:val="11"/>
                <w:szCs w:val="11"/>
                <w:color w:val="auto"/>
              </w:rPr>
              <w:t>Bulent Altan</w:t>
            </w:r>
          </w:p>
        </w:tc>
        <w:tc>
          <w:tcPr>
            <w:tcW w:w="3560" w:type="dxa"/>
            <w:vAlign w:val="bottom"/>
            <w:gridSpan w:val="3"/>
            <w:vMerge w:val="continue"/>
          </w:tcPr>
          <w:p>
            <w:pPr>
              <w:spacing w:after="0"/>
              <w:rPr>
                <w:sz w:val="9"/>
                <w:szCs w:val="9"/>
                <w:color w:val="auto"/>
              </w:rPr>
            </w:pPr>
          </w:p>
        </w:tc>
        <w:tc>
          <w:tcPr>
            <w:tcW w:w="500" w:type="dxa"/>
            <w:vAlign w:val="bottom"/>
            <w:tcBorders>
              <w:bottom w:val="single" w:sz="8" w:color="auto"/>
            </w:tcBorders>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560" w:type="dxa"/>
            <w:vAlign w:val="bottom"/>
            <w:gridSpan w:val="3"/>
            <w:vMerge w:val="restart"/>
          </w:tcPr>
          <w:p>
            <w:pPr>
              <w:jc w:val="center"/>
              <w:ind w:right="240"/>
              <w:spacing w:after="0"/>
              <w:rPr>
                <w:sz w:val="20"/>
                <w:szCs w:val="20"/>
                <w:color w:val="auto"/>
              </w:rPr>
            </w:pPr>
            <w:r>
              <w:rPr>
                <w:rFonts w:ascii="Arial" w:cs="Arial" w:eastAsia="Arial" w:hAnsi="Arial"/>
                <w:sz w:val="12"/>
                <w:szCs w:val="12"/>
                <w:color w:val="auto"/>
                <w:w w:val="91"/>
              </w:rPr>
              <w:t>Chief Financial Officer and Member of the Management Board</w:t>
            </w:r>
          </w:p>
        </w:tc>
        <w:tc>
          <w:tcPr>
            <w:tcW w:w="500" w:type="dxa"/>
            <w:vAlign w:val="bottom"/>
            <w:gridSpan w:val="2"/>
            <w:vMerge w:val="restart"/>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w w:val="77"/>
              </w:rPr>
              <w:t>, 2021</w:t>
            </w:r>
          </w:p>
        </w:tc>
        <w:tc>
          <w:tcPr>
            <w:tcW w:w="0" w:type="dxa"/>
            <w:vAlign w:val="bottom"/>
          </w:tcPr>
          <w:p>
            <w:pPr>
              <w:spacing w:after="0"/>
              <w:rPr>
                <w:sz w:val="1"/>
                <w:szCs w:val="1"/>
                <w:color w:val="auto"/>
              </w:rPr>
            </w:pPr>
          </w:p>
        </w:tc>
      </w:tr>
      <w:tr>
        <w:trPr>
          <w:trHeight w:val="120"/>
        </w:trPr>
        <w:tc>
          <w:tcPr>
            <w:tcW w:w="2700" w:type="dxa"/>
            <w:vAlign w:val="bottom"/>
            <w:gridSpan w:val="3"/>
          </w:tcPr>
          <w:p>
            <w:pPr>
              <w:jc w:val="center"/>
              <w:ind w:right="100"/>
              <w:spacing w:after="0" w:line="115" w:lineRule="exact"/>
              <w:rPr>
                <w:sz w:val="20"/>
                <w:szCs w:val="20"/>
                <w:color w:val="auto"/>
              </w:rPr>
            </w:pPr>
            <w:r>
              <w:rPr>
                <w:rFonts w:ascii="Arial" w:cs="Arial" w:eastAsia="Arial" w:hAnsi="Arial"/>
                <w:sz w:val="12"/>
                <w:szCs w:val="12"/>
                <w:color w:val="auto"/>
                <w:w w:val="93"/>
              </w:rPr>
              <w:t>Stefan Berndt-von Bülow</w:t>
            </w:r>
          </w:p>
        </w:tc>
        <w:tc>
          <w:tcPr>
            <w:tcW w:w="3560" w:type="dxa"/>
            <w:vAlign w:val="bottom"/>
            <w:gridSpan w:val="3"/>
            <w:vMerge w:val="continue"/>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560" w:type="dxa"/>
            <w:vAlign w:val="bottom"/>
            <w:gridSpan w:val="3"/>
            <w:vMerge w:val="restart"/>
          </w:tcPr>
          <w:p>
            <w:pPr>
              <w:jc w:val="center"/>
              <w:ind w:right="240"/>
              <w:spacing w:after="0"/>
              <w:rPr>
                <w:sz w:val="20"/>
                <w:szCs w:val="20"/>
                <w:color w:val="auto"/>
              </w:rPr>
            </w:pPr>
            <w:r>
              <w:rPr>
                <w:rFonts w:ascii="Arial" w:cs="Arial" w:eastAsia="Arial" w:hAnsi="Arial"/>
                <w:sz w:val="12"/>
                <w:szCs w:val="12"/>
                <w:color w:val="auto"/>
                <w:w w:val="91"/>
              </w:rPr>
              <w:t>Chief Technology Officer and Member of the Management Board</w:t>
            </w:r>
          </w:p>
        </w:tc>
        <w:tc>
          <w:tcPr>
            <w:tcW w:w="780" w:type="dxa"/>
            <w:vAlign w:val="bottom"/>
            <w:gridSpan w:val="3"/>
            <w:vMerge w:val="restart"/>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15"/>
        </w:trPr>
        <w:tc>
          <w:tcPr>
            <w:tcW w:w="2700" w:type="dxa"/>
            <w:vAlign w:val="bottom"/>
            <w:gridSpan w:val="3"/>
          </w:tcPr>
          <w:p>
            <w:pPr>
              <w:jc w:val="center"/>
              <w:ind w:right="100"/>
              <w:spacing w:after="0" w:line="115" w:lineRule="exact"/>
              <w:rPr>
                <w:sz w:val="20"/>
                <w:szCs w:val="20"/>
                <w:color w:val="auto"/>
              </w:rPr>
            </w:pPr>
            <w:r>
              <w:rPr>
                <w:rFonts w:ascii="Arial" w:cs="Arial" w:eastAsia="Arial" w:hAnsi="Arial"/>
                <w:sz w:val="12"/>
                <w:szCs w:val="12"/>
                <w:color w:val="auto"/>
                <w:w w:val="90"/>
              </w:rPr>
              <w:t>Joachim Horwath</w:t>
            </w:r>
          </w:p>
        </w:tc>
        <w:tc>
          <w:tcPr>
            <w:tcW w:w="3560" w:type="dxa"/>
            <w:vAlign w:val="bottom"/>
            <w:gridSpan w:val="3"/>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560" w:type="dxa"/>
            <w:vAlign w:val="bottom"/>
            <w:gridSpan w:val="3"/>
          </w:tcPr>
          <w:p>
            <w:pPr>
              <w:ind w:left="760"/>
              <w:spacing w:after="0"/>
              <w:rPr>
                <w:sz w:val="20"/>
                <w:szCs w:val="20"/>
                <w:color w:val="auto"/>
              </w:rPr>
            </w:pPr>
            <w:r>
              <w:rPr>
                <w:rFonts w:ascii="Arial" w:cs="Arial" w:eastAsia="Arial" w:hAnsi="Arial"/>
                <w:sz w:val="12"/>
                <w:szCs w:val="12"/>
                <w:color w:val="auto"/>
              </w:rPr>
              <w:t>II-iv</w:t>
            </w:r>
          </w:p>
        </w:tc>
        <w:tc>
          <w:tcPr>
            <w:tcW w:w="3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58" w:name="page259"/>
    <w:bookmarkEnd w:id="2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 OF AUTHORIZED REPRESENTATIVE IN THE UNITED STATES</w:t>
      </w:r>
    </w:p>
    <w:p>
      <w:pPr>
        <w:spacing w:after="0" w:line="154" w:lineRule="exact"/>
        <w:rPr>
          <w:sz w:val="20"/>
          <w:szCs w:val="20"/>
          <w:color w:val="auto"/>
        </w:rPr>
      </w:pPr>
    </w:p>
    <w:p>
      <w:pPr>
        <w:jc w:val="right"/>
        <w:ind w:right="1039"/>
        <w:spacing w:after="0"/>
        <w:rPr>
          <w:sz w:val="20"/>
          <w:szCs w:val="20"/>
          <w:color w:val="auto"/>
        </w:rPr>
      </w:pPr>
      <w:r>
        <w:rPr>
          <w:rFonts w:ascii="Arial" w:cs="Arial" w:eastAsia="Arial" w:hAnsi="Arial"/>
          <w:sz w:val="12"/>
          <w:szCs w:val="12"/>
          <w:color w:val="auto"/>
        </w:rPr>
        <w:t>Pursuant to the Securities Act of 1933, as amended, the undersigned, the duly appointed representative in the United States of Mynaric AG has</w:t>
      </w:r>
    </w:p>
    <w:tbl>
      <w:tblPr>
        <w:tblLayout w:type="fixed"/>
        <w:tblInd w:w="1980" w:type="dxa"/>
        <w:tblCellMar>
          <w:top w:w="0" w:type="dxa"/>
          <w:left w:w="0" w:type="dxa"/>
          <w:bottom w:w="0" w:type="dxa"/>
          <w:right w:w="0" w:type="dxa"/>
        </w:tblCellMar>
      </w:tblPr>
      <w:tr>
        <w:trPr>
          <w:trHeight w:val="132"/>
        </w:trPr>
        <w:tc>
          <w:tcPr>
            <w:tcW w:w="3320" w:type="dxa"/>
            <w:vAlign w:val="bottom"/>
          </w:tcPr>
          <w:p>
            <w:pPr>
              <w:spacing w:after="0" w:line="132" w:lineRule="exact"/>
              <w:rPr>
                <w:sz w:val="20"/>
                <w:szCs w:val="20"/>
                <w:color w:val="auto"/>
              </w:rPr>
            </w:pPr>
            <w:r>
              <w:rPr>
                <w:rFonts w:ascii="Arial" w:cs="Arial" w:eastAsia="Arial" w:hAnsi="Arial"/>
                <w:sz w:val="12"/>
                <w:szCs w:val="12"/>
                <w:color w:val="auto"/>
                <w:w w:val="90"/>
              </w:rPr>
              <w:t>signed this registration statement or amendment thereto in the city of</w:t>
            </w:r>
          </w:p>
        </w:tc>
        <w:tc>
          <w:tcPr>
            <w:tcW w:w="1080" w:type="dxa"/>
            <w:vAlign w:val="bottom"/>
          </w:tcPr>
          <w:p>
            <w:pPr>
              <w:spacing w:after="0"/>
              <w:rPr>
                <w:sz w:val="11"/>
                <w:szCs w:val="11"/>
                <w:color w:val="auto"/>
              </w:rPr>
            </w:pPr>
          </w:p>
        </w:tc>
        <w:tc>
          <w:tcPr>
            <w:tcW w:w="460" w:type="dxa"/>
            <w:vAlign w:val="bottom"/>
          </w:tcPr>
          <w:p>
            <w:pPr>
              <w:spacing w:after="0" w:line="132" w:lineRule="exact"/>
              <w:rPr>
                <w:sz w:val="20"/>
                <w:szCs w:val="20"/>
                <w:color w:val="auto"/>
              </w:rPr>
            </w:pPr>
            <w:r>
              <w:rPr>
                <w:rFonts w:ascii="Arial" w:cs="Arial" w:eastAsia="Arial" w:hAnsi="Arial"/>
                <w:sz w:val="12"/>
                <w:szCs w:val="12"/>
                <w:color w:val="auto"/>
                <w:w w:val="91"/>
              </w:rPr>
              <w:t>, State of</w:t>
            </w:r>
          </w:p>
        </w:tc>
        <w:tc>
          <w:tcPr>
            <w:tcW w:w="600" w:type="dxa"/>
            <w:vAlign w:val="bottom"/>
          </w:tcPr>
          <w:p>
            <w:pPr>
              <w:spacing w:after="0"/>
              <w:rPr>
                <w:sz w:val="11"/>
                <w:szCs w:val="11"/>
                <w:color w:val="auto"/>
              </w:rPr>
            </w:pPr>
          </w:p>
        </w:tc>
        <w:tc>
          <w:tcPr>
            <w:tcW w:w="580" w:type="dxa"/>
            <w:vAlign w:val="bottom"/>
          </w:tcPr>
          <w:p>
            <w:pPr>
              <w:ind w:left="40"/>
              <w:spacing w:after="0" w:line="132" w:lineRule="exact"/>
              <w:rPr>
                <w:sz w:val="20"/>
                <w:szCs w:val="20"/>
                <w:color w:val="auto"/>
              </w:rPr>
            </w:pPr>
            <w:r>
              <w:rPr>
                <w:rFonts w:ascii="Arial" w:cs="Arial" w:eastAsia="Arial" w:hAnsi="Arial"/>
                <w:sz w:val="12"/>
                <w:szCs w:val="12"/>
                <w:color w:val="auto"/>
              </w:rPr>
              <w:t>on</w:t>
            </w:r>
          </w:p>
        </w:tc>
        <w:tc>
          <w:tcPr>
            <w:tcW w:w="8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 2021.</w:t>
            </w:r>
          </w:p>
        </w:tc>
      </w:tr>
      <w:tr>
        <w:trPr>
          <w:trHeight w:val="20"/>
        </w:trPr>
        <w:tc>
          <w:tcPr>
            <w:tcW w:w="3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13"/>
        </w:trPr>
        <w:tc>
          <w:tcPr>
            <w:tcW w:w="3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w w:val="96"/>
              </w:rPr>
              <w:t>Puglisi &amp; Associates</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8"/>
        </w:trPr>
        <w:tc>
          <w:tcPr>
            <w:tcW w:w="3320" w:type="dxa"/>
            <w:vAlign w:val="bottom"/>
          </w:tcPr>
          <w:p>
            <w:pPr>
              <w:spacing w:after="0"/>
              <w:rPr>
                <w:sz w:val="24"/>
                <w:szCs w:val="24"/>
                <w:color w:val="auto"/>
              </w:rPr>
            </w:pPr>
          </w:p>
        </w:tc>
        <w:tc>
          <w:tcPr>
            <w:tcW w:w="2140" w:type="dxa"/>
            <w:vAlign w:val="bottom"/>
            <w:gridSpan w:val="3"/>
          </w:tcPr>
          <w:p>
            <w:pPr>
              <w:ind w:left="1080"/>
              <w:spacing w:after="0"/>
              <w:rPr>
                <w:sz w:val="20"/>
                <w:szCs w:val="20"/>
                <w:color w:val="auto"/>
              </w:rPr>
            </w:pPr>
            <w:r>
              <w:rPr>
                <w:rFonts w:ascii="Arial" w:cs="Arial" w:eastAsia="Arial" w:hAnsi="Arial"/>
                <w:sz w:val="12"/>
                <w:szCs w:val="12"/>
                <w:color w:val="auto"/>
              </w:rPr>
              <w:t>By</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0</wp:posOffset>
            </wp:positionV>
            <wp:extent cx="170878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Title:</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II-v</w:t>
      </w:r>
    </w:p>
    <w:sectPr>
      <w:pgSz w:w="11900" w:h="16838" w:orient="portrait"/>
      <w:cols w:equalWidth="0" w:num="1">
        <w:col w:w="10159"/>
      </w:cols>
      <w:pgMar w:left="300" w:top="3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1)"/>
      <w:numFmt w:val="decimal"/>
      <w:start w:val="1"/>
    </w:lvl>
  </w:abstractNum>
  <w:abstractNum w:abstractNumId="2">
    <w:nsid w:val="3FA62ACA"/>
    <w:multiLevelType w:val="hybridMultilevel"/>
    <w:lvl w:ilvl="0">
      <w:lvlJc w:val="left"/>
      <w:lvlText w:val="(%1)"/>
      <w:numFmt w:val="decimal"/>
      <w:start w:val="2"/>
    </w:lvl>
  </w:abstractNum>
  <w:abstractNum w:abstractNumId="3">
    <w:nsid w:val="14FCE74E"/>
    <w:multiLevelType w:val="hybridMultilevel"/>
    <w:lvl w:ilvl="0">
      <w:lvlJc w:val="left"/>
      <w:lvlText w:val="(%1)"/>
      <w:numFmt w:val="decimal"/>
      <w:start w:val="1"/>
    </w:lvl>
  </w:abstractNum>
  <w:abstractNum w:abstractNumId="4">
    <w:nsid w:val="6A3DD3E8"/>
    <w:multiLevelType w:val="hybridMultilevel"/>
    <w:lvl w:ilvl="0">
      <w:lvlJc w:val="left"/>
      <w:lvlText w:val="•"/>
      <w:numFmt w:val="bullet"/>
      <w:start w:val="1"/>
    </w:lvl>
  </w:abstractNum>
  <w:abstractNum w:abstractNumId="5">
    <w:nsid w:val="71C91298"/>
    <w:multiLevelType w:val="hybridMultilevel"/>
    <w:lvl w:ilvl="0">
      <w:lvlJc w:val="left"/>
      <w:lvlText w:val="•"/>
      <w:numFmt w:val="bullet"/>
      <w:start w:val="1"/>
    </w:lvl>
  </w:abstractNum>
  <w:abstractNum w:abstractNumId="6">
    <w:nsid w:val="9DAF632"/>
    <w:multiLevelType w:val="hybridMultilevel"/>
    <w:lvl w:ilvl="0">
      <w:lvlJc w:val="left"/>
      <w:lvlText w:val="•"/>
      <w:numFmt w:val="bullet"/>
      <w:start w:val="1"/>
    </w:lvl>
  </w:abstractNum>
  <w:abstractNum w:abstractNumId="7">
    <w:nsid w:val="53299938"/>
    <w:multiLevelType w:val="hybridMultilevel"/>
    <w:lvl w:ilvl="0">
      <w:lvlJc w:val="left"/>
      <w:lvlText w:val="•"/>
      <w:numFmt w:val="bullet"/>
      <w:start w:val="1"/>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
      <w:numFmt w:val="bullet"/>
      <w:start w:val="1"/>
    </w:lvl>
  </w:abstractNum>
  <w:abstractNum w:abstractNumId="10">
    <w:nsid w:val="1D545C4D"/>
    <w:multiLevelType w:val="hybridMultilevel"/>
    <w:lvl w:ilvl="0">
      <w:lvlJc w:val="left"/>
      <w:lvlText w:val="(%1)"/>
      <w:numFmt w:val="decimal"/>
    </w:lvl>
  </w:abstractNum>
  <w:abstractNum w:abstractNumId="11">
    <w:nsid w:val="59ADEA3D"/>
    <w:multiLevelType w:val="hybridMultilevel"/>
    <w:lvl w:ilvl="0">
      <w:lvlJc w:val="left"/>
      <w:lvlText w:val="•"/>
      <w:numFmt w:val="bullet"/>
      <w:start w:val="1"/>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1)"/>
      <w:numFmt w:val="decimal"/>
      <w:start w:val="1"/>
    </w:lvl>
  </w:abstractNum>
  <w:abstractNum w:abstractNumId="16">
    <w:nsid w:val="51088277"/>
    <w:multiLevelType w:val="hybridMultilevel"/>
    <w:lvl w:ilvl="0">
      <w:lvlJc w:val="left"/>
      <w:lvlText w:val="(%1)"/>
      <w:numFmt w:val="decimal"/>
      <w:start w:val="1"/>
    </w:lvl>
  </w:abstractNum>
  <w:abstractNum w:abstractNumId="17">
    <w:nsid w:val="1CA0C5FA"/>
    <w:multiLevelType w:val="hybridMultilevel"/>
    <w:lvl w:ilvl="0">
      <w:lvlJc w:val="left"/>
      <w:lvlText w:val="•"/>
      <w:numFmt w:val="bullet"/>
      <w:start w:val="1"/>
    </w:lvl>
  </w:abstractNum>
  <w:abstractNum w:abstractNumId="18">
    <w:nsid w:val="53584BCB"/>
    <w:multiLevelType w:val="hybridMultilevel"/>
    <w:lvl w:ilvl="0">
      <w:lvlJc w:val="left"/>
      <w:lvlText w:val="•"/>
      <w:numFmt w:val="bullet"/>
      <w:start w:val="1"/>
    </w:lvl>
  </w:abstractNum>
  <w:abstractNum w:abstractNumId="19">
    <w:nsid w:val="415E286C"/>
    <w:multiLevelType w:val="hybridMultilevel"/>
    <w:lvl w:ilvl="0">
      <w:lvlJc w:val="left"/>
      <w:lvlText w:val="•"/>
      <w:numFmt w:val="bullet"/>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1)"/>
      <w:numFmt w:val="lowerRoman"/>
      <w:start w:val="2"/>
    </w:lvl>
  </w:abstractNum>
  <w:abstractNum w:abstractNumId="22">
    <w:nsid w:val="45E6D486"/>
    <w:multiLevelType w:val="hybridMultilevel"/>
    <w:lvl w:ilvl="0">
      <w:lvlJc w:val="left"/>
      <w:lvlText w:val="•"/>
      <w:numFmt w:val="bullet"/>
      <w:start w:val="1"/>
    </w:lvl>
  </w:abstractNum>
  <w:abstractNum w:abstractNumId="23">
    <w:nsid w:val="5C10FE21"/>
    <w:multiLevelType w:val="hybridMultilevel"/>
    <w:lvl w:ilvl="0">
      <w:lvlJc w:val="left"/>
      <w:lvlText w:val="•"/>
      <w:numFmt w:val="bullet"/>
      <w:start w:val="1"/>
    </w:lvl>
  </w:abstractNum>
  <w:abstractNum w:abstractNumId="24">
    <w:nsid w:val="E7FFA2B"/>
    <w:multiLevelType w:val="hybridMultilevel"/>
    <w:lvl w:ilvl="0">
      <w:lvlJc w:val="left"/>
      <w:lvlText w:val="•"/>
      <w:numFmt w:val="bullet"/>
      <w:start w:val="1"/>
    </w:lvl>
  </w:abstractNum>
  <w:abstractNum w:abstractNumId="25">
    <w:nsid w:val="3C5991AA"/>
    <w:multiLevelType w:val="hybridMultilevel"/>
    <w:lvl w:ilvl="0">
      <w:lvlJc w:val="left"/>
      <w:lvlText w:val="•"/>
      <w:numFmt w:val="bullet"/>
      <w:start w:val="1"/>
    </w:lvl>
  </w:abstractNum>
  <w:abstractNum w:abstractNumId="26">
    <w:nsid w:val="4BD8591A"/>
    <w:multiLevelType w:val="hybridMultilevel"/>
    <w:lvl w:ilvl="0">
      <w:lvlJc w:val="left"/>
      <w:lvlText w:val="•"/>
      <w:numFmt w:val="bullet"/>
      <w:start w:val="1"/>
    </w:lvl>
  </w:abstractNum>
  <w:abstractNum w:abstractNumId="27">
    <w:nsid w:val="78DF6A55"/>
    <w:multiLevelType w:val="hybridMultilevel"/>
    <w:lvl w:ilvl="0">
      <w:lvlJc w:val="left"/>
      <w:lvlText w:val="•"/>
      <w:numFmt w:val="bullet"/>
      <w:start w:val="1"/>
    </w:lvl>
  </w:abstractNum>
  <w:abstractNum w:abstractNumId="28">
    <w:nsid w:val="39B7AAA2"/>
    <w:multiLevelType w:val="hybridMultilevel"/>
    <w:lvl w:ilvl="0">
      <w:lvlJc w:val="left"/>
      <w:lvlText w:val="•"/>
      <w:numFmt w:val="bullet"/>
      <w:start w:val="1"/>
    </w:lvl>
  </w:abstractNum>
  <w:abstractNum w:abstractNumId="29">
    <w:nsid w:val="2B0D8DBE"/>
    <w:multiLevelType w:val="hybridMultilevel"/>
    <w:lvl w:ilvl="0">
      <w:lvlJc w:val="left"/>
      <w:lvlText w:val="$"/>
      <w:numFmt w:val="bullet"/>
      <w:start w:val="1"/>
    </w:lvl>
  </w:abstractNum>
  <w:abstractNum w:abstractNumId="30">
    <w:nsid w:val="6C80EC70"/>
    <w:multiLevelType w:val="hybridMultilevel"/>
    <w:lvl w:ilvl="0">
      <w:lvlJc w:val="left"/>
      <w:lvlText w:val="$"/>
      <w:numFmt w:val="bullet"/>
      <w:start w:val="1"/>
    </w:lvl>
  </w:abstractNum>
  <w:abstractNum w:abstractNumId="31">
    <w:nsid w:val="379E21B5"/>
    <w:multiLevelType w:val="hybridMultilevel"/>
    <w:lvl w:ilvl="0">
      <w:lvlJc w:val="left"/>
      <w:lvlText w:val="(%1)"/>
      <w:numFmt w:val="decimal"/>
      <w:start w:val="1"/>
    </w:lvl>
  </w:abstractNum>
  <w:abstractNum w:abstractNumId="32">
    <w:nsid w:val="69E373"/>
    <w:multiLevelType w:val="hybridMultilevel"/>
    <w:lvl w:ilvl="0">
      <w:lvlJc w:val="left"/>
      <w:lvlText w:val="(%1)"/>
      <w:numFmt w:val="decimal"/>
      <w:start w:val="1"/>
    </w:lvl>
  </w:abstractNum>
  <w:abstractNum w:abstractNumId="33">
    <w:nsid w:val="2C27173B"/>
    <w:multiLevelType w:val="hybridMultilevel"/>
    <w:lvl w:ilvl="0">
      <w:lvlJc w:val="left"/>
      <w:lvlText w:val="•"/>
      <w:numFmt w:val="bullet"/>
      <w:start w:val="1"/>
    </w:lvl>
  </w:abstractNum>
  <w:abstractNum w:abstractNumId="34">
    <w:nsid w:val="4C9B0904"/>
    <w:multiLevelType w:val="hybridMultilevel"/>
    <w:lvl w:ilvl="0">
      <w:lvlJc w:val="left"/>
      <w:lvlText w:val="•"/>
      <w:numFmt w:val="bullet"/>
      <w:start w:val="1"/>
    </w:lvl>
  </w:abstractNum>
  <w:abstractNum w:abstractNumId="35">
    <w:nsid w:val="6AA7B75C"/>
    <w:multiLevelType w:val="hybridMultilevel"/>
    <w:lvl w:ilvl="0">
      <w:lvlJc w:val="left"/>
      <w:lvlText w:val="•"/>
      <w:numFmt w:val="bullet"/>
      <w:start w:val="1"/>
    </w:lvl>
  </w:abstractNum>
  <w:abstractNum w:abstractNumId="36">
    <w:nsid w:val="1DF029D3"/>
    <w:multiLevelType w:val="hybridMultilevel"/>
    <w:lvl w:ilvl="0">
      <w:lvlJc w:val="left"/>
      <w:lvlText w:val="•"/>
      <w:numFmt w:val="bullet"/>
      <w:start w:val="1"/>
    </w:lvl>
  </w:abstractNum>
  <w:abstractNum w:abstractNumId="37">
    <w:nsid w:val="5675FF36"/>
    <w:multiLevelType w:val="hybridMultilevel"/>
    <w:lvl w:ilvl="0">
      <w:lvlJc w:val="left"/>
      <w:lvlText w:val="(%1)"/>
      <w:numFmt w:val="lowerRoman"/>
      <w:start w:val="4"/>
    </w:lvl>
  </w:abstractNum>
  <w:abstractNum w:abstractNumId="38">
    <w:nsid w:val="3DD15094"/>
    <w:multiLevelType w:val="hybridMultilevel"/>
    <w:lvl w:ilvl="0">
      <w:lvlJc w:val="left"/>
      <w:lvlText w:val="•"/>
      <w:numFmt w:val="bullet"/>
      <w:start w:val="1"/>
    </w:lvl>
  </w:abstractNum>
  <w:abstractNum w:abstractNumId="39">
    <w:nsid w:val="3DB012B3"/>
    <w:multiLevelType w:val="hybridMultilevel"/>
    <w:lvl w:ilvl="0">
      <w:lvlJc w:val="left"/>
      <w:lvlText w:val="•"/>
      <w:numFmt w:val="bullet"/>
      <w:start w:val="1"/>
    </w:lvl>
  </w:abstractNum>
  <w:abstractNum w:abstractNumId="40">
    <w:nsid w:val="2708C9AF"/>
    <w:multiLevelType w:val="hybridMultilevel"/>
    <w:lvl w:ilvl="0">
      <w:lvlJc w:val="left"/>
      <w:lvlText w:val="•"/>
      <w:numFmt w:val="bullet"/>
      <w:start w:val="1"/>
    </w:lvl>
  </w:abstractNum>
  <w:abstractNum w:abstractNumId="41">
    <w:nsid w:val="5B25ACE2"/>
    <w:multiLevelType w:val="hybridMultilevel"/>
    <w:lvl w:ilvl="0">
      <w:lvlJc w:val="left"/>
      <w:lvlText w:val="(%1)"/>
      <w:numFmt w:val="decimal"/>
      <w:start w:val="1"/>
    </w:lvl>
  </w:abstractNum>
  <w:abstractNum w:abstractNumId="42">
    <w:nsid w:val="175DFCF0"/>
    <w:multiLevelType w:val="hybridMultilevel"/>
    <w:lvl w:ilvl="0">
      <w:lvlJc w:val="left"/>
      <w:lvlText w:val="(%1)"/>
      <w:numFmt w:val="decimal"/>
      <w:start w:val="6"/>
    </w:lvl>
  </w:abstractNum>
  <w:abstractNum w:abstractNumId="43">
    <w:nsid w:val="4F97E3E4"/>
    <w:multiLevelType w:val="hybridMultilevel"/>
    <w:lvl w:ilvl="0">
      <w:lvlJc w:val="left"/>
      <w:lvlText w:val="•"/>
      <w:numFmt w:val="bullet"/>
      <w:start w:val="1"/>
    </w:lvl>
  </w:abstractNum>
  <w:abstractNum w:abstractNumId="44">
    <w:nsid w:val="53B0A9E"/>
    <w:multiLevelType w:val="hybridMultilevel"/>
    <w:lvl w:ilvl="0">
      <w:lvlJc w:val="left"/>
      <w:lvlText w:val="•"/>
      <w:numFmt w:val="bullet"/>
      <w:start w:val="1"/>
    </w:lvl>
  </w:abstractNum>
  <w:abstractNum w:abstractNumId="45">
    <w:nsid w:val="34FD6B4F"/>
    <w:multiLevelType w:val="hybridMultilevel"/>
    <w:lvl w:ilvl="0">
      <w:lvlJc w:val="left"/>
      <w:lvlText w:val="•"/>
      <w:numFmt w:val="bullet"/>
      <w:start w:val="1"/>
    </w:lvl>
  </w:abstractNum>
  <w:abstractNum w:abstractNumId="46">
    <w:nsid w:val="5915FF32"/>
    <w:multiLevelType w:val="hybridMultilevel"/>
    <w:lvl w:ilvl="0">
      <w:lvlJc w:val="left"/>
      <w:lvlText w:val="•"/>
      <w:numFmt w:val="bullet"/>
      <w:start w:val="1"/>
    </w:lvl>
  </w:abstractNum>
  <w:abstractNum w:abstractNumId="47">
    <w:nsid w:val="56438D15"/>
    <w:multiLevelType w:val="hybridMultilevel"/>
    <w:lvl w:ilvl="0">
      <w:lvlJc w:val="left"/>
      <w:lvlText w:val="•"/>
      <w:numFmt w:val="bullet"/>
      <w:start w:val="1"/>
    </w:lvl>
  </w:abstractNum>
  <w:abstractNum w:abstractNumId="48">
    <w:nsid w:val="519E3149"/>
    <w:multiLevelType w:val="hybridMultilevel"/>
    <w:lvl w:ilvl="0">
      <w:lvlJc w:val="left"/>
      <w:lvlText w:val="•"/>
      <w:numFmt w:val="bullet"/>
      <w:start w:val="1"/>
    </w:lvl>
  </w:abstractNum>
  <w:abstractNum w:abstractNumId="49">
    <w:nsid w:val="2C6E4AFD"/>
    <w:multiLevelType w:val="hybridMultilevel"/>
    <w:lvl w:ilvl="0">
      <w:lvlJc w:val="left"/>
      <w:lvlText w:val="*"/>
      <w:numFmt w:val="bullet"/>
      <w:start w:val="1"/>
    </w:lvl>
  </w:abstractNum>
  <w:abstractNum w:abstractNumId="50">
    <w:nsid w:val="17A1B582"/>
    <w:multiLevelType w:val="hybridMultilevel"/>
    <w:lvl w:ilvl="0">
      <w:lvlJc w:val="left"/>
      <w:lvlText w:val="(%1)"/>
      <w:numFmt w:val="decimal"/>
      <w:start w:val="1"/>
    </w:lvl>
  </w:abstractNum>
  <w:abstractNum w:abstractNumId="51">
    <w:nsid w:val="4DF72E4E"/>
    <w:multiLevelType w:val="hybridMultilevel"/>
    <w:lvl w:ilvl="0">
      <w:lvlJc w:val="left"/>
      <w:lvlText w:val="(%1)"/>
      <w:numFmt w:val="lowerRoman"/>
      <w:start w:val="2"/>
    </w:lvl>
  </w:abstractNum>
  <w:abstractNum w:abstractNumId="52">
    <w:nsid w:val="5046B5A9"/>
    <w:multiLevelType w:val="hybridMultilevel"/>
    <w:lvl w:ilvl="0">
      <w:lvlJc w:val="left"/>
      <w:lvlText w:val="•"/>
      <w:numFmt w:val="bullet"/>
      <w:start w:val="1"/>
    </w:lvl>
  </w:abstractNum>
  <w:abstractNum w:abstractNumId="53">
    <w:nsid w:val="5D888A08"/>
    <w:multiLevelType w:val="hybridMultilevel"/>
    <w:lvl w:ilvl="0">
      <w:lvlJc w:val="left"/>
      <w:lvlText w:val=","/>
      <w:numFmt w:val="bullet"/>
      <w:start w:val="1"/>
    </w:lvl>
  </w:abstractNum>
  <w:abstractNum w:abstractNumId="54">
    <w:nsid w:val="2A082C70"/>
    <w:multiLevelType w:val="hybridMultilevel"/>
    <w:lvl w:ilvl="0">
      <w:lvlJc w:val="left"/>
      <w:lvlText w:val="(%1)"/>
      <w:numFmt w:val="decimal"/>
      <w:start w:val="1"/>
    </w:lvl>
  </w:abstractNum>
  <w:abstractNum w:abstractNumId="55">
    <w:nsid w:val="5EC6AFD4"/>
    <w:multiLevelType w:val="hybridMultilevel"/>
    <w:lvl w:ilvl="0">
      <w:lvlJc w:val="left"/>
      <w:lvlText w:val="•"/>
      <w:numFmt w:val="bullet"/>
      <w:start w:val="1"/>
    </w:lvl>
  </w:abstractNum>
  <w:abstractNum w:abstractNumId="56">
    <w:nsid w:val="19E21BB2"/>
    <w:multiLevelType w:val="hybridMultilevel"/>
    <w:lvl w:ilvl="0">
      <w:lvlJc w:val="left"/>
      <w:lvlText w:val="•"/>
      <w:numFmt w:val="bullet"/>
      <w:start w:val="1"/>
    </w:lvl>
  </w:abstractNum>
  <w:abstractNum w:abstractNumId="57">
    <w:nsid w:val="75E0858A"/>
    <w:multiLevelType w:val="hybridMultilevel"/>
    <w:lvl w:ilvl="0">
      <w:lvlJc w:val="left"/>
      <w:lvlText w:val="•"/>
      <w:numFmt w:val="bullet"/>
      <w:start w:val="1"/>
    </w:lvl>
  </w:abstractNum>
  <w:abstractNum w:abstractNumId="58">
    <w:nsid w:val="57A61A29"/>
    <w:multiLevelType w:val="hybridMultilevel"/>
    <w:lvl w:ilvl="0">
      <w:lvlJc w:val="left"/>
      <w:lvlText w:val="(%1)"/>
      <w:numFmt w:val="lowerRoman"/>
      <w:start w:val="2"/>
    </w:lvl>
  </w:abstractNum>
  <w:abstractNum w:abstractNumId="59">
    <w:nsid w:val="5399C654"/>
    <w:multiLevelType w:val="hybridMultilevel"/>
    <w:lvl w:ilvl="0">
      <w:lvlJc w:val="left"/>
      <w:lvlText w:val="•"/>
      <w:numFmt w:val="bullet"/>
      <w:start w:val="1"/>
    </w:lvl>
  </w:abstractNum>
  <w:abstractNum w:abstractNumId="60">
    <w:nsid w:val="20EE1348"/>
    <w:multiLevelType w:val="hybridMultilevel"/>
    <w:lvl w:ilvl="0">
      <w:lvlJc w:val="left"/>
      <w:lvlText w:val="•"/>
      <w:numFmt w:val="bullet"/>
      <w:start w:val="1"/>
    </w:lvl>
  </w:abstractNum>
  <w:abstractNum w:abstractNumId="61">
    <w:nsid w:val="4427069A"/>
    <w:multiLevelType w:val="hybridMultilevel"/>
    <w:lvl w:ilvl="0">
      <w:lvlJc w:val="left"/>
      <w:lvlText w:val="•"/>
      <w:numFmt w:val="bullet"/>
      <w:start w:val="1"/>
    </w:lvl>
  </w:abstractNum>
  <w:abstractNum w:abstractNumId="62">
    <w:nsid w:val="B37E80A"/>
    <w:multiLevelType w:val="hybridMultilevel"/>
    <w:lvl w:ilvl="0">
      <w:lvlJc w:val="left"/>
      <w:lvlText w:val="•"/>
      <w:numFmt w:val="bullet"/>
      <w:start w:val="1"/>
    </w:lvl>
  </w:abstractNum>
  <w:abstractNum w:abstractNumId="63">
    <w:nsid w:val="2157F6BC"/>
    <w:multiLevelType w:val="hybridMultilevel"/>
    <w:lvl w:ilvl="0">
      <w:lvlJc w:val="left"/>
      <w:lvlText w:val="•"/>
      <w:numFmt w:val="bullet"/>
      <w:start w:val="1"/>
    </w:lvl>
  </w:abstractNum>
  <w:abstractNum w:abstractNumId="64">
    <w:nsid w:val="704E1DD5"/>
    <w:multiLevelType w:val="hybridMultilevel"/>
    <w:lvl w:ilvl="0">
      <w:lvlJc w:val="left"/>
      <w:lvlText w:val="•"/>
      <w:numFmt w:val="bullet"/>
      <w:start w:val="1"/>
    </w:lvl>
  </w:abstractNum>
  <w:abstractNum w:abstractNumId="65">
    <w:nsid w:val="57D2F10E"/>
    <w:multiLevelType w:val="hybridMultilevel"/>
    <w:lvl w:ilvl="0">
      <w:lvlJc w:val="left"/>
      <w:lvlText w:val="•"/>
      <w:numFmt w:val="bullet"/>
      <w:start w:val="1"/>
    </w:lvl>
  </w:abstractNum>
  <w:abstractNum w:abstractNumId="66">
    <w:nsid w:val="BFFAE18"/>
    <w:multiLevelType w:val="hybridMultilevel"/>
    <w:lvl w:ilvl="0">
      <w:lvlJc w:val="left"/>
      <w:lvlText w:val="•"/>
      <w:numFmt w:val="bullet"/>
      <w:start w:val="1"/>
    </w:lvl>
  </w:abstractNum>
  <w:abstractNum w:abstractNumId="67">
    <w:nsid w:val="E3E47A8"/>
    <w:multiLevelType w:val="hybridMultilevel"/>
    <w:lvl w:ilvl="0">
      <w:lvlJc w:val="left"/>
      <w:lvlText w:val="•"/>
      <w:numFmt w:val="bullet"/>
      <w:start w:val="1"/>
    </w:lvl>
  </w:abstractNum>
  <w:abstractNum w:abstractNumId="68">
    <w:nsid w:val="2E48F044"/>
    <w:multiLevelType w:val="hybridMultilevel"/>
    <w:lvl w:ilvl="0">
      <w:lvlJc w:val="left"/>
      <w:lvlText w:val="(%1)"/>
      <w:numFmt w:val="lowerRoman"/>
      <w:start w:val="1"/>
    </w:lvl>
  </w:abstractNum>
  <w:abstractNum w:abstractNumId="69">
    <w:nsid w:val="49D0FEAC"/>
    <w:multiLevelType w:val="hybridMultilevel"/>
    <w:lvl w:ilvl="0">
      <w:lvlJc w:val="left"/>
      <w:lvlText w:val="•"/>
      <w:numFmt w:val="bullet"/>
      <w:start w:val="1"/>
    </w:lvl>
  </w:abstractNum>
  <w:abstractNum w:abstractNumId="70">
    <w:nsid w:val="4BEE5A5B"/>
    <w:multiLevelType w:val="hybridMultilevel"/>
    <w:lvl w:ilvl="0">
      <w:lvlJc w:val="left"/>
      <w:lvlText w:val="•"/>
      <w:numFmt w:val="bullet"/>
      <w:start w:val="1"/>
    </w:lvl>
  </w:abstractNum>
  <w:abstractNum w:abstractNumId="71">
    <w:nsid w:val="5551B9F3"/>
    <w:multiLevelType w:val="hybridMultilevel"/>
    <w:lvl w:ilvl="0">
      <w:lvlJc w:val="left"/>
      <w:lvlText w:val="•"/>
      <w:numFmt w:val="bullet"/>
      <w:start w:val="1"/>
    </w:lvl>
  </w:abstractNum>
  <w:abstractNum w:abstractNumId="72">
    <w:nsid w:val="24F6AB8E"/>
    <w:multiLevelType w:val="hybridMultilevel"/>
    <w:lvl w:ilvl="0">
      <w:lvlJc w:val="left"/>
      <w:lvlText w:val="(%1)"/>
      <w:numFmt w:val="lowerRoman"/>
      <w:start w:val="2"/>
    </w:lvl>
  </w:abstractNum>
  <w:abstractNum w:abstractNumId="73">
    <w:nsid w:val="634C574C"/>
    <w:multiLevelType w:val="hybridMultilevel"/>
    <w:lvl w:ilvl="0">
      <w:lvlJc w:val="left"/>
      <w:lvlText w:val="(%1)"/>
      <w:numFmt w:val="lowerRoman"/>
      <w:start w:val="1"/>
    </w:lvl>
  </w:abstractNum>
  <w:abstractNum w:abstractNumId="74">
    <w:nsid w:val="24E99DD7"/>
    <w:multiLevelType w:val="hybridMultilevel"/>
    <w:lvl w:ilvl="0">
      <w:lvlJc w:val="left"/>
      <w:lvlText w:val="•"/>
      <w:numFmt w:val="bullet"/>
      <w:start w:val="1"/>
    </w:lvl>
  </w:abstractNum>
  <w:abstractNum w:abstractNumId="75">
    <w:nsid w:val="2A31B62D"/>
    <w:multiLevelType w:val="hybridMultilevel"/>
    <w:lvl w:ilvl="0">
      <w:lvlJc w:val="left"/>
      <w:lvlText w:val="•"/>
      <w:numFmt w:val="bullet"/>
      <w:start w:val="1"/>
    </w:lvl>
  </w:abstractNum>
  <w:abstractNum w:abstractNumId="76">
    <w:nsid w:val="1849C29B"/>
    <w:multiLevelType w:val="hybridMultilevel"/>
    <w:lvl w:ilvl="0">
      <w:lvlJc w:val="left"/>
      <w:lvlText w:val="•"/>
      <w:numFmt w:val="bullet"/>
      <w:start w:val="1"/>
    </w:lvl>
  </w:abstractNum>
  <w:abstractNum w:abstractNumId="77">
    <w:nsid w:val="7DFF9D09"/>
    <w:multiLevelType w:val="hybridMultilevel"/>
    <w:lvl w:ilvl="0">
      <w:lvlJc w:val="left"/>
      <w:lvlText w:val="•"/>
      <w:numFmt w:val="bullet"/>
      <w:start w:val="1"/>
    </w:lvl>
  </w:abstractNum>
  <w:abstractNum w:abstractNumId="78">
    <w:nsid w:val="754342"/>
    <w:multiLevelType w:val="hybridMultilevel"/>
    <w:lvl w:ilvl="0">
      <w:lvlJc w:val="left"/>
      <w:lvlText w:val="•"/>
      <w:numFmt w:val="bullet"/>
      <w:start w:val="1"/>
    </w:lvl>
  </w:abstractNum>
  <w:abstractNum w:abstractNumId="79">
    <w:nsid w:val="69E7F3E5"/>
    <w:multiLevelType w:val="hybridMultilevel"/>
    <w:lvl w:ilvl="0">
      <w:lvlJc w:val="left"/>
      <w:lvlText w:val="•"/>
      <w:numFmt w:val="bullet"/>
      <w:start w:val="1"/>
    </w:lvl>
  </w:abstractNum>
  <w:abstractNum w:abstractNumId="80">
    <w:nsid w:val="2A6DE806"/>
    <w:multiLevelType w:val="hybridMultilevel"/>
    <w:lvl w:ilvl="0">
      <w:lvlJc w:val="left"/>
      <w:lvlText w:val="•"/>
      <w:numFmt w:val="bullet"/>
      <w:start w:val="1"/>
    </w:lvl>
  </w:abstractNum>
  <w:abstractNum w:abstractNumId="81">
    <w:nsid w:val="1816F8C4"/>
    <w:multiLevelType w:val="hybridMultilevel"/>
    <w:lvl w:ilvl="0">
      <w:lvlJc w:val="left"/>
      <w:lvlText w:val="•"/>
      <w:numFmt w:val="bullet"/>
      <w:start w:val="1"/>
    </w:lvl>
  </w:abstractNum>
  <w:abstractNum w:abstractNumId="82">
    <w:nsid w:val="37DF2233"/>
    <w:multiLevelType w:val="hybridMultilevel"/>
    <w:lvl w:ilvl="0">
      <w:lvlJc w:val="left"/>
      <w:lvlText w:val="•"/>
      <w:numFmt w:val="bullet"/>
      <w:start w:val="1"/>
    </w:lvl>
  </w:abstractNum>
  <w:abstractNum w:abstractNumId="83">
    <w:nsid w:val="7AB49DAF"/>
    <w:multiLevelType w:val="hybridMultilevel"/>
    <w:lvl w:ilvl="0">
      <w:lvlJc w:val="left"/>
      <w:lvlText w:val="(%1)"/>
      <w:numFmt w:val="lowerLetter"/>
      <w:start w:val="1"/>
    </w:lvl>
  </w:abstractNum>
  <w:abstractNum w:abstractNumId="84">
    <w:nsid w:val="759F82CD"/>
    <w:multiLevelType w:val="hybridMultilevel"/>
    <w:lvl w:ilvl="0">
      <w:lvlJc w:val="left"/>
      <w:lvlText w:val="(%1)"/>
      <w:numFmt w:val="lowerLetter"/>
      <w:start w:val="1"/>
    </w:lvl>
  </w:abstractNum>
  <w:abstractNum w:abstractNumId="85">
    <w:nsid w:val="61E74EA3"/>
    <w:multiLevelType w:val="hybridMultilevel"/>
    <w:lvl w:ilvl="0">
      <w:lvlJc w:val="left"/>
      <w:lvlText w:val="(%1)"/>
      <w:numFmt w:val="lowerRoman"/>
      <w:start w:val="1"/>
    </w:lvl>
  </w:abstractNum>
  <w:abstractNum w:abstractNumId="86">
    <w:nsid w:val="597B4D84"/>
    <w:multiLevelType w:val="hybridMultilevel"/>
    <w:lvl w:ilvl="0">
      <w:lvlJc w:val="left"/>
      <w:lvlText w:val="(%1)"/>
      <w:numFmt w:val="lowerLetter"/>
      <w:start w:val="1"/>
    </w:lvl>
  </w:abstractNum>
  <w:abstractNum w:abstractNumId="87">
    <w:nsid w:val="F819E7F"/>
    <w:multiLevelType w:val="hybridMultilevel"/>
    <w:lvl w:ilvl="0">
      <w:lvlJc w:val="left"/>
      <w:lvlText w:val="(%1)"/>
      <w:numFmt w:val="lowerRoman"/>
      <w:start w:val="1"/>
    </w:lvl>
  </w:abstractNum>
  <w:abstractNum w:abstractNumId="88">
    <w:nsid w:val="57C7D42D"/>
    <w:multiLevelType w:val="hybridMultilevel"/>
    <w:lvl w:ilvl="0">
      <w:lvlJc w:val="left"/>
      <w:lvlText w:val="*"/>
      <w:numFmt w:val="bullet"/>
      <w:start w:val="1"/>
    </w:lvl>
  </w:abstractNum>
  <w:abstractNum w:abstractNumId="89">
    <w:nsid w:val="312167AD"/>
    <w:multiLevelType w:val="hybridMultilevel"/>
    <w:lvl w:ilvl="0">
      <w:lvlJc w:val="left"/>
      <w:lvlText w:val="%1."/>
      <w:numFmt w:val="decimal"/>
      <w:start w:val="1"/>
    </w:lvl>
  </w:abstractNum>
  <w:abstractNum w:abstractNumId="90">
    <w:nsid w:val="631B64D4"/>
    <w:multiLevelType w:val="hybridMultilevel"/>
    <w:lvl w:ilvl="0">
      <w:lvlJc w:val="left"/>
      <w:lvlText w:val="%1."/>
      <w:numFmt w:val="decimal"/>
      <w:start w:val="2"/>
    </w:lvl>
  </w:abstractNum>
  <w:abstractNum w:abstractNumId="91">
    <w:nsid w:val="78B5E776"/>
    <w:multiLevelType w:val="hybridMultilevel"/>
    <w:lvl w:ilvl="0">
      <w:lvlJc w:val="left"/>
      <w:lvlText w:val="%1."/>
      <w:numFmt w:val="decimal"/>
      <w:start w:val="3"/>
    </w:lvl>
  </w:abstractNum>
  <w:abstractNum w:abstractNumId="92">
    <w:nsid w:val="75486E47"/>
    <w:multiLevelType w:val="hybridMultilevel"/>
    <w:lvl w:ilvl="0">
      <w:lvlJc w:val="left"/>
      <w:lvlText w:val="%1."/>
      <w:numFmt w:val="decimal"/>
      <w:start w:val="4"/>
    </w:lvl>
  </w:abstractNum>
  <w:abstractNum w:abstractNumId="93">
    <w:nsid w:val="6E534CDE"/>
    <w:multiLevelType w:val="hybridMultilevel"/>
    <w:lvl w:ilvl="0">
      <w:lvlJc w:val="left"/>
      <w:lvlText w:val="%1."/>
      <w:numFmt w:val="decimal"/>
      <w:start w:val="5"/>
    </w:lvl>
  </w:abstractNum>
  <w:abstractNum w:abstractNumId="94">
    <w:nsid w:val="1A0DDE32"/>
    <w:multiLevelType w:val="hybridMultilevel"/>
    <w:lvl w:ilvl="0">
      <w:lvlJc w:val="left"/>
      <w:lvlText w:val="%1."/>
      <w:numFmt w:val="decimal"/>
      <w:start w:val="6"/>
    </w:lvl>
  </w:abstractNum>
  <w:abstractNum w:abstractNumId="95">
    <w:nsid w:val="65968C1C"/>
    <w:multiLevelType w:val="hybridMultilevel"/>
    <w:lvl w:ilvl="0">
      <w:lvlJc w:val="left"/>
      <w:lvlText w:val="1"/>
      <w:numFmt w:val="bullet"/>
      <w:start w:val="1"/>
    </w:lvl>
  </w:abstractNum>
  <w:abstractNum w:abstractNumId="96">
    <w:nsid w:val="46263DEC"/>
    <w:multiLevelType w:val="hybridMultilevel"/>
    <w:lvl w:ilvl="0">
      <w:lvlJc w:val="left"/>
      <w:lvlText w:val="2"/>
      <w:numFmt w:val="bullet"/>
      <w:start w:val="1"/>
    </w:lvl>
  </w:abstractNum>
  <w:abstractNum w:abstractNumId="97">
    <w:nsid w:val="260D8C4A"/>
    <w:multiLevelType w:val="hybridMultilevel"/>
    <w:lvl w:ilvl="0">
      <w:lvlJc w:val="left"/>
      <w:lvlText w:val="%1."/>
      <w:numFmt w:val="decimal"/>
      <w:start w:val="7"/>
    </w:lvl>
  </w:abstractNum>
  <w:abstractNum w:abstractNumId="98">
    <w:nsid w:val="73D4D3C4"/>
    <w:multiLevelType w:val="hybridMultilevel"/>
    <w:lvl w:ilvl="0">
      <w:lvlJc w:val="left"/>
      <w:lvlText w:val="%1)"/>
      <w:numFmt w:val="lowerLetter"/>
      <w:start w:val="1"/>
    </w:lvl>
  </w:abstractNum>
  <w:abstractNum w:abstractNumId="99">
    <w:nsid w:val="746F2E30"/>
    <w:multiLevelType w:val="hybridMultilevel"/>
    <w:lvl w:ilvl="0">
      <w:lvlJc w:val="left"/>
      <w:lvlText w:val="%1)"/>
      <w:numFmt w:val="lowerLetter"/>
      <w:start w:val="2"/>
    </w:lvl>
  </w:abstractNum>
  <w:abstractNum w:abstractNumId="100">
    <w:nsid w:val="6FDE8AF6"/>
    <w:multiLevelType w:val="hybridMultilevel"/>
    <w:lvl w:ilvl="0">
      <w:lvlJc w:val="left"/>
      <w:lvlText w:val="%1."/>
      <w:numFmt w:val="decimal"/>
      <w:start w:val="8"/>
    </w:lvl>
  </w:abstractNum>
  <w:abstractNum w:abstractNumId="101">
    <w:nsid w:val="3FC32E20"/>
    <w:multiLevelType w:val="hybridMultilevel"/>
    <w:lvl w:ilvl="0">
      <w:lvlJc w:val="left"/>
      <w:lvlText w:val="%1."/>
      <w:numFmt w:val="decimal"/>
      <w:start w:val="9"/>
    </w:lvl>
  </w:abstractNum>
  <w:abstractNum w:abstractNumId="102">
    <w:nsid w:val="49C0E823"/>
    <w:multiLevelType w:val="hybridMultilevel"/>
    <w:lvl w:ilvl="0">
      <w:lvlJc w:val="left"/>
      <w:lvlText w:val="%1."/>
      <w:numFmt w:val="decimal"/>
      <w:start w:val="10"/>
    </w:lvl>
  </w:abstractNum>
  <w:abstractNum w:abstractNumId="103">
    <w:nsid w:val="14D53685"/>
    <w:multiLevelType w:val="hybridMultilevel"/>
    <w:lvl w:ilvl="0">
      <w:lvlJc w:val="left"/>
      <w:lvlText w:val="%1."/>
      <w:numFmt w:val="decimal"/>
      <w:start w:val="11"/>
    </w:lvl>
  </w:abstractNum>
  <w:abstractNum w:abstractNumId="104">
    <w:nsid w:val="230F856C"/>
    <w:multiLevelType w:val="hybridMultilevel"/>
    <w:lvl w:ilvl="0">
      <w:lvlJc w:val="left"/>
      <w:lvlText w:val="%1)"/>
      <w:numFmt w:val="lowerLetter"/>
      <w:start w:val="1"/>
    </w:lvl>
  </w:abstractNum>
  <w:abstractNum w:abstractNumId="105">
    <w:nsid w:val="6EAA85FB"/>
    <w:multiLevelType w:val="hybridMultilevel"/>
    <w:lvl w:ilvl="0">
      <w:lvlJc w:val="left"/>
      <w:lvlText w:val="%1)"/>
      <w:numFmt w:val="lowerLetter"/>
      <w:start w:val="2"/>
    </w:lvl>
  </w:abstractNum>
  <w:abstractNum w:abstractNumId="106">
    <w:nsid w:val="3F06ECB2"/>
    <w:multiLevelType w:val="hybridMultilevel"/>
    <w:lvl w:ilvl="0">
      <w:lvlJc w:val="left"/>
      <w:lvlText w:val="%1."/>
      <w:numFmt w:val="decimal"/>
      <w:start w:val="12"/>
    </w:lvl>
  </w:abstractNum>
  <w:abstractNum w:abstractNumId="107">
    <w:nsid w:val="3B594807"/>
    <w:multiLevelType w:val="hybridMultilevel"/>
    <w:lvl w:ilvl="0">
      <w:lvlJc w:val="left"/>
      <w:lvlText w:val="%1)"/>
      <w:numFmt w:val="lowerLetter"/>
      <w:start w:val="1"/>
    </w:lvl>
  </w:abstractNum>
  <w:abstractNum w:abstractNumId="108">
    <w:nsid w:val="6CAA2304"/>
    <w:multiLevelType w:val="hybridMultilevel"/>
    <w:lvl w:ilvl="0">
      <w:lvlJc w:val="left"/>
      <w:lvlText w:val="%1)"/>
      <w:numFmt w:val="lowerLetter"/>
      <w:start w:val="2"/>
    </w:lvl>
  </w:abstractNum>
  <w:abstractNum w:abstractNumId="109">
    <w:nsid w:val="3F7C2FF4"/>
    <w:multiLevelType w:val="hybridMultilevel"/>
    <w:lvl w:ilvl="0">
      <w:lvlJc w:val="left"/>
      <w:lvlText w:val="%1."/>
      <w:numFmt w:val="decimal"/>
      <w:start w:val="13"/>
    </w:lvl>
  </w:abstractNum>
  <w:abstractNum w:abstractNumId="110">
    <w:nsid w:val="25413BEC"/>
    <w:multiLevelType w:val="hybridMultilevel"/>
    <w:lvl w:ilvl="0">
      <w:lvlJc w:val="left"/>
      <w:lvlText w:val="%1."/>
      <w:numFmt w:val="decimal"/>
      <w:start w:val="14"/>
    </w:lvl>
  </w:abstractNum>
  <w:abstractNum w:abstractNumId="111">
    <w:nsid w:val="17180B0B"/>
    <w:multiLevelType w:val="hybridMultilevel"/>
    <w:lvl w:ilvl="0">
      <w:lvlJc w:val="left"/>
      <w:lvlText w:val="%1."/>
      <w:numFmt w:val="decimal"/>
      <w:start w:val="15"/>
    </w:lvl>
  </w:abstractNum>
  <w:abstractNum w:abstractNumId="112">
    <w:nsid w:val="579328B9"/>
    <w:multiLevelType w:val="hybridMultilevel"/>
    <w:lvl w:ilvl="0">
      <w:lvlJc w:val="left"/>
      <w:lvlText w:val="%1)"/>
      <w:numFmt w:val="lowerLetter"/>
      <w:start w:val="1"/>
    </w:lvl>
  </w:abstractNum>
  <w:abstractNum w:abstractNumId="113">
    <w:nsid w:val="5D205E20"/>
    <w:multiLevelType w:val="hybridMultilevel"/>
    <w:lvl w:ilvl="0">
      <w:lvlJc w:val="left"/>
      <w:lvlText w:val="•"/>
      <w:numFmt w:val="bullet"/>
      <w:start w:val="1"/>
    </w:lvl>
  </w:abstractNum>
  <w:abstractNum w:abstractNumId="114">
    <w:nsid w:val="11CCA8BA"/>
    <w:multiLevelType w:val="hybridMultilevel"/>
    <w:lvl w:ilvl="0">
      <w:lvlJc w:val="left"/>
      <w:lvlText w:val="%1)"/>
      <w:numFmt w:val="lowerLetter"/>
      <w:start w:val="2"/>
    </w:lvl>
  </w:abstractNum>
  <w:abstractNum w:abstractNumId="115">
    <w:nsid w:val="4D32AB86"/>
    <w:multiLevelType w:val="hybridMultilevel"/>
    <w:lvl w:ilvl="0">
      <w:lvlJc w:val="left"/>
      <w:lvlText w:val="%1)"/>
      <w:numFmt w:val="lowerLetter"/>
      <w:start w:val="3"/>
    </w:lvl>
  </w:abstractNum>
  <w:abstractNum w:abstractNumId="116">
    <w:nsid w:val="3F07ACC3"/>
    <w:multiLevelType w:val="hybridMultilevel"/>
    <w:lvl w:ilvl="0">
      <w:lvlJc w:val="left"/>
      <w:lvlText w:val="%1."/>
      <w:numFmt w:val="decimal"/>
      <w:start w:val="16"/>
    </w:lvl>
  </w:abstractNum>
  <w:abstractNum w:abstractNumId="117">
    <w:nsid w:val="6B47F63E"/>
    <w:multiLevelType w:val="hybridMultilevel"/>
    <w:lvl w:ilvl="0">
      <w:lvlJc w:val="left"/>
      <w:lvlText w:val="%1)"/>
      <w:numFmt w:val="lowerLetter"/>
      <w:start w:val="1"/>
    </w:lvl>
  </w:abstractNum>
  <w:abstractNum w:abstractNumId="118">
    <w:nsid w:val="5CB44A05"/>
    <w:multiLevelType w:val="hybridMultilevel"/>
    <w:lvl w:ilvl="0">
      <w:lvlJc w:val="left"/>
      <w:lvlText w:val="%1)"/>
      <w:numFmt w:val="lowerLetter"/>
      <w:start w:val="2"/>
    </w:lvl>
  </w:abstractNum>
  <w:abstractNum w:abstractNumId="119">
    <w:nsid w:val="16CF80F1"/>
    <w:multiLevelType w:val="hybridMultilevel"/>
    <w:lvl w:ilvl="0">
      <w:lvlJc w:val="left"/>
      <w:lvlText w:val="%1)"/>
      <w:numFmt w:val="lowerLetter"/>
      <w:start w:val="3"/>
    </w:lvl>
  </w:abstractNum>
  <w:abstractNum w:abstractNumId="120">
    <w:nsid w:val="1C695DEC"/>
    <w:multiLevelType w:val="hybridMultilevel"/>
    <w:lvl w:ilvl="0">
      <w:lvlJc w:val="left"/>
      <w:lvlText w:val="%1."/>
      <w:numFmt w:val="decimal"/>
      <w:start w:val="17"/>
    </w:lvl>
  </w:abstractNum>
  <w:abstractNum w:abstractNumId="121">
    <w:nsid w:val="3FCFAED9"/>
    <w:multiLevelType w:val="hybridMultilevel"/>
    <w:lvl w:ilvl="0">
      <w:lvlJc w:val="left"/>
      <w:lvlText w:val="%1)"/>
      <w:numFmt w:val="lowerLetter"/>
      <w:start w:val="2"/>
    </w:lvl>
  </w:abstractNum>
  <w:abstractNum w:abstractNumId="122">
    <w:nsid w:val="F856867"/>
    <w:multiLevelType w:val="hybridMultilevel"/>
    <w:lvl w:ilvl="0">
      <w:lvlJc w:val="left"/>
      <w:lvlText w:val="%1."/>
      <w:numFmt w:val="decimal"/>
      <w:start w:val="18"/>
    </w:lvl>
  </w:abstractNum>
  <w:abstractNum w:abstractNumId="123">
    <w:nsid w:val="11B1CC33"/>
    <w:multiLevelType w:val="hybridMultilevel"/>
    <w:lvl w:ilvl="0">
      <w:lvlJc w:val="left"/>
      <w:lvlText w:val="•"/>
      <w:numFmt w:val="bullet"/>
      <w:start w:val="1"/>
    </w:lvl>
  </w:abstractNum>
  <w:abstractNum w:abstractNumId="124">
    <w:nsid w:val="2E22FBB7"/>
    <w:multiLevelType w:val="hybridMultilevel"/>
    <w:lvl w:ilvl="0">
      <w:lvlJc w:val="left"/>
      <w:lvlText w:val="%1."/>
      <w:numFmt w:val="decimal"/>
      <w:start w:val="18"/>
    </w:lvl>
    <w:lvl w:ilvl="1">
      <w:lvlJc w:val="left"/>
      <w:lvlText w:val="•"/>
      <w:numFmt w:val="bullet"/>
      <w:start w:val="1"/>
    </w:lvl>
  </w:abstractNum>
  <w:abstractNum w:abstractNumId="125">
    <w:nsid w:val="29934699"/>
    <w:multiLevelType w:val="hybridMultilevel"/>
    <w:lvl w:ilvl="0">
      <w:lvlJc w:val="left"/>
      <w:lvlText w:val="•"/>
      <w:numFmt w:val="bullet"/>
      <w:start w:val="1"/>
    </w:lvl>
  </w:abstractNum>
  <w:abstractNum w:abstractNumId="126">
    <w:nsid w:val="77485850"/>
    <w:multiLevelType w:val="hybridMultilevel"/>
    <w:lvl w:ilvl="0">
      <w:lvlJc w:val="left"/>
      <w:lvlText w:val="%1."/>
      <w:numFmt w:val="decimal"/>
      <w:start w:val="1"/>
    </w:lvl>
  </w:abstractNum>
  <w:abstractNum w:abstractNumId="127">
    <w:nsid w:val="744939A3"/>
    <w:multiLevelType w:val="hybridMultilevel"/>
    <w:lvl w:ilvl="0">
      <w:lvlJc w:val="left"/>
      <w:lvlText w:val="%1."/>
      <w:numFmt w:val="decimal"/>
      <w:start w:val="2"/>
    </w:lvl>
  </w:abstractNum>
  <w:abstractNum w:abstractNumId="128">
    <w:nsid w:val="4FA0D2E3"/>
    <w:multiLevelType w:val="hybridMultilevel"/>
    <w:lvl w:ilvl="0">
      <w:lvlJc w:val="left"/>
      <w:lvlText w:val="%1."/>
      <w:numFmt w:val="decimal"/>
      <w:start w:val="3"/>
    </w:lvl>
  </w:abstractNum>
  <w:abstractNum w:abstractNumId="129">
    <w:nsid w:val="6B1D2C14"/>
    <w:multiLevelType w:val="hybridMultilevel"/>
    <w:lvl w:ilvl="0">
      <w:lvlJc w:val="left"/>
      <w:lvlText w:val="3.%1."/>
      <w:numFmt w:val="decimal"/>
      <w:start w:val="1"/>
    </w:lvl>
  </w:abstractNum>
  <w:abstractNum w:abstractNumId="130">
    <w:nsid w:val="68B867D3"/>
    <w:multiLevelType w:val="hybridMultilevel"/>
    <w:lvl w:ilvl="0">
      <w:lvlJc w:val="left"/>
      <w:lvlText w:val="%1)"/>
      <w:numFmt w:val="lowerLetter"/>
      <w:start w:val="1"/>
    </w:lvl>
  </w:abstractNum>
  <w:abstractNum w:abstractNumId="131">
    <w:nsid w:val="3F7F5DD9"/>
    <w:multiLevelType w:val="hybridMultilevel"/>
    <w:lvl w:ilvl="0">
      <w:lvlJc w:val="left"/>
      <w:lvlText w:val="%1)"/>
      <w:numFmt w:val="lowerLetter"/>
      <w:start w:val="2"/>
    </w:lvl>
  </w:abstractNum>
  <w:abstractNum w:abstractNumId="132">
    <w:nsid w:val="2AE05A34"/>
    <w:multiLevelType w:val="hybridMultilevel"/>
    <w:lvl w:ilvl="0">
      <w:lvlJc w:val="left"/>
      <w:lvlText w:val="•"/>
      <w:numFmt w:val="bullet"/>
      <w:start w:val="1"/>
    </w:lvl>
  </w:abstractNum>
  <w:abstractNum w:abstractNumId="133">
    <w:nsid w:val="32794FF7"/>
    <w:multiLevelType w:val="hybridMultilevel"/>
    <w:lvl w:ilvl="0">
      <w:lvlJc w:val="left"/>
      <w:lvlText w:val="%1)"/>
      <w:numFmt w:val="lowerLetter"/>
      <w:start w:val="3"/>
    </w:lvl>
  </w:abstractNum>
  <w:abstractNum w:abstractNumId="134">
    <w:nsid w:val="5454945E"/>
    <w:multiLevelType w:val="hybridMultilevel"/>
    <w:lvl w:ilvl="0">
      <w:lvlJc w:val="left"/>
      <w:lvlText w:val="%1)"/>
      <w:numFmt w:val="lowerLetter"/>
      <w:start w:val="4"/>
    </w:lvl>
  </w:abstractNum>
  <w:abstractNum w:abstractNumId="135">
    <w:nsid w:val="4DEFDFA0"/>
    <w:multiLevelType w:val="hybridMultilevel"/>
    <w:lvl w:ilvl="0">
      <w:lvlJc w:val="left"/>
      <w:lvlText w:val="%1)"/>
      <w:numFmt w:val="lowerLetter"/>
      <w:start w:val="5"/>
    </w:lvl>
  </w:abstractNum>
  <w:abstractNum w:abstractNumId="136">
    <w:nsid w:val="2123D5F2"/>
    <w:multiLevelType w:val="hybridMultilevel"/>
    <w:lvl w:ilvl="0">
      <w:lvlJc w:val="left"/>
      <w:lvlText w:val="%1)"/>
      <w:numFmt w:val="lowerLetter"/>
      <w:start w:val="6"/>
    </w:lvl>
  </w:abstractNum>
  <w:abstractNum w:abstractNumId="137">
    <w:nsid w:val="135B8110"/>
    <w:multiLevelType w:val="hybridMultilevel"/>
    <w:lvl w:ilvl="0">
      <w:lvlJc w:val="left"/>
      <w:lvlText w:val="%1)"/>
      <w:numFmt w:val="lowerLetter"/>
      <w:start w:val="7"/>
    </w:lvl>
  </w:abstractNum>
  <w:abstractNum w:abstractNumId="138">
    <w:nsid w:val="94927A8"/>
    <w:multiLevelType w:val="hybridMultilevel"/>
    <w:lvl w:ilvl="0">
      <w:lvlJc w:val="left"/>
      <w:lvlText w:val="%1)"/>
      <w:numFmt w:val="lowerLetter"/>
      <w:start w:val="8"/>
    </w:lvl>
  </w:abstractNum>
  <w:abstractNum w:abstractNumId="139">
    <w:nsid w:val="DCDF8F6"/>
    <w:multiLevelType w:val="hybridMultilevel"/>
    <w:lvl w:ilvl="0">
      <w:lvlJc w:val="left"/>
      <w:lvlText w:val="%1)"/>
      <w:numFmt w:val="lowerRoman"/>
      <w:start w:val="1"/>
    </w:lvl>
  </w:abstractNum>
  <w:abstractNum w:abstractNumId="140">
    <w:nsid w:val="52D7B105"/>
    <w:multiLevelType w:val="hybridMultilevel"/>
    <w:lvl w:ilvl="0">
      <w:lvlJc w:val="left"/>
      <w:lvlText w:val="%1)"/>
      <w:numFmt w:val="lowerLetter"/>
      <w:start w:val="10"/>
    </w:lvl>
  </w:abstractNum>
  <w:abstractNum w:abstractNumId="141">
    <w:nsid w:val="2E8A6394"/>
    <w:multiLevelType w:val="hybridMultilevel"/>
    <w:lvl w:ilvl="0">
      <w:lvlJc w:val="left"/>
      <w:lvlText w:val="•"/>
      <w:numFmt w:val="bullet"/>
      <w:start w:val="1"/>
    </w:lvl>
  </w:abstractNum>
  <w:abstractNum w:abstractNumId="142">
    <w:nsid w:val="24E60401"/>
    <w:multiLevelType w:val="hybridMultilevel"/>
    <w:lvl w:ilvl="0">
      <w:lvlJc w:val="left"/>
      <w:lvlText w:val="%1)"/>
      <w:numFmt w:val="lowerLetter"/>
      <w:start w:val="11"/>
    </w:lvl>
  </w:abstractNum>
  <w:abstractNum w:abstractNumId="143">
    <w:nsid w:val="2A6AD9BE"/>
    <w:multiLevelType w:val="hybridMultilevel"/>
    <w:lvl w:ilvl="0">
      <w:lvlJc w:val="left"/>
      <w:lvlText w:val="•"/>
      <w:numFmt w:val="bullet"/>
      <w:start w:val="1"/>
    </w:lvl>
  </w:abstractNum>
  <w:abstractNum w:abstractNumId="144">
    <w:nsid w:val="BAAC1B4"/>
    <w:multiLevelType w:val="hybridMultilevel"/>
    <w:lvl w:ilvl="0">
      <w:lvlJc w:val="left"/>
      <w:lvlText w:val="%1)"/>
      <w:numFmt w:val="lowerLetter"/>
      <w:start w:val="12"/>
    </w:lvl>
  </w:abstractNum>
  <w:abstractNum w:abstractNumId="145">
    <w:nsid w:val="36B2ACBC"/>
    <w:multiLevelType w:val="hybridMultilevel"/>
    <w:lvl w:ilvl="0">
      <w:lvlJc w:val="left"/>
      <w:lvlText w:val="%1)"/>
      <w:numFmt w:val="lowerLetter"/>
      <w:start w:val="13"/>
    </w:lvl>
  </w:abstractNum>
  <w:abstractNum w:abstractNumId="146">
    <w:nsid w:val="779D8544"/>
    <w:multiLevelType w:val="hybridMultilevel"/>
    <w:lvl w:ilvl="0">
      <w:lvlJc w:val="left"/>
      <w:lvlText w:val="%1)"/>
      <w:numFmt w:val="lowerLetter"/>
      <w:start w:val="14"/>
    </w:lvl>
  </w:abstractNum>
  <w:abstractNum w:abstractNumId="147">
    <w:nsid w:val="4AB26E78"/>
    <w:multiLevelType w:val="hybridMultilevel"/>
    <w:lvl w:ilvl="0">
      <w:lvlJc w:val="left"/>
      <w:lvlText w:val="%1)"/>
      <w:numFmt w:val="lowerLetter"/>
      <w:start w:val="15"/>
    </w:lvl>
  </w:abstractNum>
  <w:abstractNum w:abstractNumId="148">
    <w:nsid w:val="21FAA2FA"/>
    <w:multiLevelType w:val="hybridMultilevel"/>
    <w:lvl w:ilvl="0">
      <w:lvlJc w:val="left"/>
      <w:lvlText w:val="%1)"/>
      <w:numFmt w:val="lowerLetter"/>
      <w:start w:val="16"/>
    </w:lvl>
  </w:abstractNum>
  <w:abstractNum w:abstractNumId="149">
    <w:nsid w:val="5451CF49"/>
    <w:multiLevelType w:val="hybridMultilevel"/>
    <w:lvl w:ilvl="0">
      <w:lvlJc w:val="left"/>
      <w:lvlText w:val="•"/>
      <w:numFmt w:val="bullet"/>
      <w:start w:val="1"/>
    </w:lvl>
  </w:abstractNum>
  <w:abstractNum w:abstractNumId="150">
    <w:nsid w:val="6181EF69"/>
    <w:multiLevelType w:val="hybridMultilevel"/>
    <w:lvl w:ilvl="0">
      <w:lvlJc w:val="left"/>
      <w:lvlText w:val="%1)"/>
      <w:numFmt w:val="lowerLetter"/>
      <w:start w:val="1"/>
    </w:lvl>
  </w:abstractNum>
  <w:abstractNum w:abstractNumId="151">
    <w:nsid w:val="3E6400E6"/>
    <w:multiLevelType w:val="hybridMultilevel"/>
    <w:lvl w:ilvl="0">
      <w:lvlJc w:val="left"/>
      <w:lvlText w:val="•"/>
      <w:numFmt w:val="bullet"/>
      <w:start w:val="1"/>
    </w:lvl>
  </w:abstractNum>
  <w:abstractNum w:abstractNumId="152">
    <w:nsid w:val="14217E23"/>
    <w:multiLevelType w:val="hybridMultilevel"/>
    <w:lvl w:ilvl="0">
      <w:lvlJc w:val="left"/>
      <w:lvlText w:val="%1)"/>
      <w:numFmt w:val="lowerLetter"/>
      <w:start w:val="2"/>
    </w:lvl>
  </w:abstractNum>
  <w:abstractNum w:abstractNumId="153">
    <w:nsid w:val="710757D0"/>
    <w:multiLevelType w:val="hybridMultilevel"/>
    <w:lvl w:ilvl="0">
      <w:lvlJc w:val="left"/>
      <w:lvlText w:val="%1)"/>
      <w:numFmt w:val="lowerLetter"/>
      <w:start w:val="3"/>
    </w:lvl>
  </w:abstractNum>
  <w:abstractNum w:abstractNumId="154">
    <w:nsid w:val="5015CD1A"/>
    <w:multiLevelType w:val="hybridMultilevel"/>
    <w:lvl w:ilvl="0">
      <w:lvlJc w:val="left"/>
      <w:lvlText w:val="•"/>
      <w:numFmt w:val="bullet"/>
      <w:start w:val="1"/>
    </w:lvl>
  </w:abstractNum>
  <w:abstractNum w:abstractNumId="155">
    <w:nsid w:val="424479DA"/>
    <w:multiLevelType w:val="hybridMultilevel"/>
    <w:lvl w:ilvl="0">
      <w:lvlJc w:val="left"/>
      <w:lvlText w:val="%1."/>
      <w:numFmt w:val="decimal"/>
      <w:start w:val="4"/>
    </w:lvl>
  </w:abstractNum>
  <w:abstractNum w:abstractNumId="156">
    <w:nsid w:val="1A9A9E69"/>
    <w:multiLevelType w:val="hybridMultilevel"/>
    <w:lvl w:ilvl="0">
      <w:lvlJc w:val="left"/>
      <w:lvlText w:val="%1)"/>
      <w:numFmt w:val="lowerLetter"/>
      <w:start w:val="1"/>
    </w:lvl>
  </w:abstractNum>
  <w:abstractNum w:abstractNumId="157">
    <w:nsid w:val="475E256A"/>
    <w:multiLevelType w:val="hybridMultilevel"/>
    <w:lvl w:ilvl="0">
      <w:lvlJc w:val="left"/>
      <w:lvlText w:val="%1)"/>
      <w:numFmt w:val="lowerLetter"/>
      <w:start w:val="2"/>
    </w:lvl>
  </w:abstractNum>
  <w:abstractNum w:abstractNumId="158">
    <w:nsid w:val="368DB37E"/>
    <w:multiLevelType w:val="hybridMultilevel"/>
    <w:lvl w:ilvl="0">
      <w:lvlJc w:val="left"/>
      <w:lvlText w:val="%1."/>
      <w:numFmt w:val="decimal"/>
      <w:start w:val="5"/>
    </w:lvl>
  </w:abstractNum>
  <w:abstractNum w:abstractNumId="159">
    <w:nsid w:val="6A3B714C"/>
    <w:multiLevelType w:val="hybridMultilevel"/>
    <w:lvl w:ilvl="0">
      <w:lvlJc w:val="left"/>
      <w:lvlText w:val="1"/>
      <w:numFmt w:val="bullet"/>
      <w:start w:val="1"/>
    </w:lvl>
  </w:abstractNum>
  <w:abstractNum w:abstractNumId="160">
    <w:nsid w:val="327B517E"/>
    <w:multiLevelType w:val="hybridMultilevel"/>
    <w:lvl w:ilvl="0">
      <w:lvlJc w:val="left"/>
      <w:lvlText w:val="%1."/>
      <w:numFmt w:val="decimal"/>
      <w:start w:val="6"/>
    </w:lvl>
  </w:abstractNum>
  <w:abstractNum w:abstractNumId="161">
    <w:nsid w:val="1F461B51"/>
    <w:multiLevelType w:val="hybridMultilevel"/>
    <w:lvl w:ilvl="0">
      <w:lvlJc w:val="left"/>
      <w:lvlText w:val="%1)"/>
      <w:numFmt w:val="lowerLetter"/>
      <w:start w:val="1"/>
    </w:lvl>
  </w:abstractNum>
  <w:abstractNum w:abstractNumId="162">
    <w:nsid w:val="29BACF25"/>
    <w:multiLevelType w:val="hybridMultilevel"/>
    <w:lvl w:ilvl="0">
      <w:lvlJc w:val="left"/>
      <w:lvlText w:val="%1."/>
      <w:numFmt w:val="decimal"/>
      <w:start w:val="12"/>
    </w:lvl>
  </w:abstractNum>
  <w:abstractNum w:abstractNumId="163">
    <w:nsid w:val="5D5BABB3"/>
    <w:multiLevelType w:val="hybridMultilevel"/>
    <w:lvl w:ilvl="0">
      <w:lvlJc w:val="left"/>
      <w:lvlText w:val="%1."/>
      <w:numFmt w:val="decimal"/>
      <w:start w:val="13"/>
    </w:lvl>
  </w:abstractNum>
  <w:abstractNum w:abstractNumId="164">
    <w:nsid w:val="51BF6B48"/>
    <w:multiLevelType w:val="hybridMultilevel"/>
    <w:lvl w:ilvl="0">
      <w:lvlJc w:val="left"/>
      <w:lvlText w:val="%1."/>
      <w:numFmt w:val="decimal"/>
      <w:start w:val="16"/>
    </w:lvl>
  </w:abstractNum>
  <w:abstractNum w:abstractNumId="165">
    <w:nsid w:val="7E0F6384"/>
    <w:multiLevelType w:val="hybridMultilevel"/>
    <w:lvl w:ilvl="0">
      <w:lvlJc w:val="left"/>
      <w:lvlText w:val="%1."/>
      <w:numFmt w:val="decimal"/>
      <w:start w:val="18"/>
    </w:lvl>
  </w:abstractNum>
  <w:abstractNum w:abstractNumId="166">
    <w:nsid w:val="2B4B8B53"/>
    <w:multiLevelType w:val="hybridMultilevel"/>
    <w:lvl w:ilvl="0">
      <w:lvlJc w:val="left"/>
      <w:lvlText w:val="%1."/>
      <w:numFmt w:val="decimal"/>
      <w:start w:val="21"/>
    </w:lvl>
  </w:abstractNum>
  <w:abstractNum w:abstractNumId="167">
    <w:nsid w:val="72E3413A"/>
    <w:multiLevelType w:val="hybridMultilevel"/>
    <w:lvl w:ilvl="0">
      <w:lvlJc w:val="left"/>
      <w:lvlText w:val="%1."/>
      <w:numFmt w:val="decimal"/>
      <w:start w:val="23"/>
    </w:lvl>
  </w:abstractNum>
  <w:abstractNum w:abstractNumId="168">
    <w:nsid w:val="116AE494"/>
    <w:multiLevelType w:val="hybridMultilevel"/>
    <w:lvl w:ilvl="0">
      <w:lvlJc w:val="left"/>
      <w:lvlText w:val="%1."/>
      <w:numFmt w:val="decimal"/>
      <w:start w:val="24"/>
    </w:lvl>
  </w:abstractNum>
  <w:abstractNum w:abstractNumId="169">
    <w:nsid w:val="3494B2FB"/>
    <w:multiLevelType w:val="hybridMultilevel"/>
    <w:lvl w:ilvl="0">
      <w:lvlJc w:val="left"/>
      <w:lvlText w:val="•"/>
      <w:numFmt w:val="bullet"/>
      <w:start w:val="1"/>
    </w:lvl>
  </w:abstractNum>
  <w:abstractNum w:abstractNumId="170">
    <w:nsid w:val="B13A31"/>
    <w:multiLevelType w:val="hybridMultilevel"/>
    <w:lvl w:ilvl="0">
      <w:lvlJc w:val="left"/>
      <w:lvlText w:val="%1)"/>
      <w:numFmt w:val="lowerLetter"/>
      <w:start w:val="1"/>
    </w:lvl>
  </w:abstractNum>
  <w:abstractNum w:abstractNumId="171">
    <w:nsid w:val="64429599"/>
    <w:multiLevelType w:val="hybridMultilevel"/>
    <w:lvl w:ilvl="0">
      <w:lvlJc w:val="left"/>
      <w:lvlText w:val="%1)"/>
      <w:numFmt w:val="lowerLetter"/>
      <w:start w:val="2"/>
    </w:lvl>
  </w:abstractNum>
  <w:abstractNum w:abstractNumId="172">
    <w:nsid w:val="631F1690"/>
    <w:multiLevelType w:val="hybridMultilevel"/>
    <w:lvl w:ilvl="0">
      <w:lvlJc w:val="left"/>
      <w:lvlText w:val="%1."/>
      <w:numFmt w:val="decimal"/>
      <w:start w:val="25"/>
    </w:lvl>
  </w:abstractNum>
  <w:abstractNum w:abstractNumId="173">
    <w:nsid w:val="25973E32"/>
    <w:multiLevelType w:val="hybridMultilevel"/>
    <w:lvl w:ilvl="0">
      <w:lvlJc w:val="left"/>
      <w:lvlText w:val="%1."/>
      <w:numFmt w:val="decimal"/>
      <w:start w:val="26"/>
    </w:lvl>
  </w:abstractNum>
  <w:abstractNum w:abstractNumId="174">
    <w:nsid w:val="EAD6F57"/>
    <w:multiLevelType w:val="hybridMultilevel"/>
    <w:lvl w:ilvl="0">
      <w:lvlJc w:val="left"/>
      <w:lvlText w:val="%1."/>
      <w:numFmt w:val="decimal"/>
      <w:start w:val="26"/>
    </w:lvl>
    <w:lvl w:ilvl="1">
      <w:lvlJc w:val="left"/>
      <w:lvlText w:val="•"/>
      <w:numFmt w:val="bullet"/>
      <w:start w:val="1"/>
    </w:lvl>
  </w:abstractNum>
  <w:abstractNum w:abstractNumId="175">
    <w:nsid w:val="6EC9D844"/>
    <w:multiLevelType w:val="hybridMultilevel"/>
    <w:lvl w:ilvl="0">
      <w:lvlJc w:val="left"/>
      <w:lvlText w:val="%1."/>
      <w:numFmt w:val="decimal"/>
      <w:start w:val="29"/>
    </w:lvl>
  </w:abstractNum>
  <w:abstractNum w:abstractNumId="176">
    <w:nsid w:val="5C49EAEE"/>
    <w:multiLevelType w:val="hybridMultilevel"/>
    <w:lvl w:ilvl="0">
      <w:lvlJc w:val="left"/>
      <w:lvlText w:val="%1."/>
      <w:numFmt w:val="decimal"/>
      <w:start w:val="32"/>
    </w:lvl>
  </w:abstractNum>
  <w:abstractNum w:abstractNumId="177">
    <w:nsid w:val="64AF49B"/>
    <w:multiLevelType w:val="hybridMultilevel"/>
    <w:lvl w:ilvl="0">
      <w:lvlJc w:val="left"/>
      <w:lvlText w:val="%1."/>
      <w:numFmt w:val="decimal"/>
      <w:start w:val="33"/>
    </w:lvl>
  </w:abstractNum>
  <w:abstractNum w:abstractNumId="178">
    <w:nsid w:val="397C46BC"/>
    <w:multiLevelType w:val="hybridMultilevel"/>
    <w:lvl w:ilvl="0">
      <w:lvlJc w:val="left"/>
      <w:lvlText w:val="%1)"/>
      <w:numFmt w:val="lowerLetter"/>
      <w:start w:val="1"/>
    </w:lvl>
  </w:abstractNum>
  <w:abstractNum w:abstractNumId="179">
    <w:nsid w:val="7E448DE9"/>
    <w:multiLevelType w:val="hybridMultilevel"/>
    <w:lvl w:ilvl="0">
      <w:lvlJc w:val="left"/>
      <w:lvlText w:val="•"/>
      <w:numFmt w:val="bullet"/>
      <w:start w:val="1"/>
    </w:lvl>
  </w:abstractNum>
  <w:abstractNum w:abstractNumId="180">
    <w:nsid w:val="5A9CC3E5"/>
    <w:multiLevelType w:val="hybridMultilevel"/>
    <w:lvl w:ilvl="0">
      <w:lvlJc w:val="left"/>
      <w:lvlText w:val="%1)"/>
      <w:numFmt w:val="lowerLetter"/>
      <w:start w:val="2"/>
    </w:lvl>
  </w:abstractNum>
  <w:abstractNum w:abstractNumId="181">
    <w:nsid w:val="1AFE3625"/>
    <w:multiLevelType w:val="hybridMultilevel"/>
    <w:lvl w:ilvl="0">
      <w:lvlJc w:val="left"/>
      <w:lvlText w:val="•"/>
      <w:numFmt w:val="bullet"/>
      <w:start w:val="1"/>
    </w:lvl>
  </w:abstractNum>
  <w:abstractNum w:abstractNumId="182">
    <w:nsid w:val="3CA88ECF"/>
    <w:multiLevelType w:val="hybridMultilevel"/>
    <w:lvl w:ilvl="0">
      <w:lvlJc w:val="left"/>
      <w:lvlText w:val="%1)"/>
      <w:numFmt w:val="lowerLetter"/>
      <w:start w:val="3"/>
    </w:lvl>
  </w:abstractNum>
  <w:abstractNum w:abstractNumId="183">
    <w:nsid w:val="6EBE4208"/>
    <w:multiLevelType w:val="hybridMultilevel"/>
    <w:lvl w:ilvl="0">
      <w:lvlJc w:val="left"/>
      <w:lvlText w:val="%1."/>
      <w:numFmt w:val="decimal"/>
      <w:start w:val="34"/>
    </w:lvl>
  </w:abstractNum>
  <w:abstractNum w:abstractNumId="184">
    <w:nsid w:val="C058DF5"/>
    <w:multiLevelType w:val="hybridMultilevel"/>
    <w:lvl w:ilvl="0">
      <w:lvlJc w:val="left"/>
      <w:lvlText w:val="%1)"/>
      <w:numFmt w:val="lowerLetter"/>
      <w:start w:val="2"/>
    </w:lvl>
  </w:abstractNum>
  <w:abstractNum w:abstractNumId="185">
    <w:nsid w:val="CBE5BE9"/>
    <w:multiLevelType w:val="hybridMultilevel"/>
    <w:lvl w:ilvl="0">
      <w:lvlJc w:val="left"/>
      <w:lvlText w:val="•"/>
      <w:numFmt w:val="bullet"/>
      <w:start w:val="1"/>
    </w:lvl>
  </w:abstractNum>
  <w:abstractNum w:abstractNumId="186">
    <w:nsid w:val="3102BBE2"/>
    <w:multiLevelType w:val="hybridMultilevel"/>
    <w:lvl w:ilvl="0">
      <w:lvlJc w:val="left"/>
      <w:lvlText w:val="•"/>
      <w:numFmt w:val="bullet"/>
      <w:start w:val="1"/>
    </w:lvl>
  </w:abstractNum>
  <w:abstractNum w:abstractNumId="187">
    <w:nsid w:val="26A02C5E"/>
    <w:multiLevelType w:val="hybridMultilevel"/>
    <w:lvl w:ilvl="0">
      <w:lvlJc w:val="left"/>
      <w:lvlText w:val="(%1)"/>
      <w:numFmt w:val="lowerRoman"/>
      <w:start w:val="1"/>
    </w:lvl>
  </w:abstractNum>
  <w:abstractNum w:abstractNumId="188">
    <w:nsid w:val="541C8153"/>
    <w:multiLevelType w:val="hybridMultilevel"/>
    <w:lvl w:ilvl="0">
      <w:lvlJc w:val="left"/>
      <w:lvlText w:val="(%1)"/>
      <w:numFmt w:val="lowerRoman"/>
      <w:start w:val="2"/>
    </w:lvl>
  </w:abstractNum>
  <w:abstractNum w:abstractNumId="189">
    <w:nsid w:val="67906F60"/>
    <w:multiLevelType w:val="hybridMultilevel"/>
    <w:lvl w:ilvl="0">
      <w:lvlJc w:val="left"/>
      <w:lvlText w:val="(%1)"/>
      <w:numFmt w:val="lowerRoman"/>
      <w:start w:val="3"/>
    </w:lvl>
  </w:abstractNum>
  <w:abstractNum w:abstractNumId="190">
    <w:nsid w:val="10DB9DAA"/>
    <w:multiLevelType w:val="hybridMultilevel"/>
    <w:lvl w:ilvl="0">
      <w:lvlJc w:val="left"/>
      <w:lvlText w:val="(%1)"/>
      <w:numFmt w:val="lowerRoman"/>
      <w:start w:val="1"/>
    </w:lvl>
  </w:abstractNum>
  <w:abstractNum w:abstractNumId="191">
    <w:nsid w:val="697D2D2"/>
    <w:multiLevelType w:val="hybridMultilevel"/>
    <w:lvl w:ilvl="0">
      <w:lvlJc w:val="left"/>
      <w:lvlText w:val="(%1)"/>
      <w:numFmt w:val="lowerRoman"/>
      <w:start w:val="2"/>
    </w:lvl>
  </w:abstractNum>
  <w:abstractNum w:abstractNumId="192">
    <w:nsid w:val="6D68AB2"/>
    <w:multiLevelType w:val="hybridMultilevel"/>
    <w:lvl w:ilvl="0">
      <w:lvlJc w:val="left"/>
      <w:lvlText w:val="%1."/>
      <w:numFmt w:val="decimal"/>
      <w:start w:val="35"/>
    </w:lvl>
  </w:abstractNum>
  <w:abstractNum w:abstractNumId="193">
    <w:nsid w:val="3A966CD0"/>
    <w:multiLevelType w:val="hybridMultilevel"/>
    <w:lvl w:ilvl="0">
      <w:lvlJc w:val="left"/>
      <w:lvlText w:val="%1)"/>
      <w:numFmt w:val="lowerLetter"/>
      <w:start w:val="1"/>
    </w:lvl>
  </w:abstractNum>
  <w:abstractNum w:abstractNumId="194">
    <w:nsid w:val="63F37E85"/>
    <w:multiLevelType w:val="hybridMultilevel"/>
    <w:lvl w:ilvl="0">
      <w:lvlJc w:val="left"/>
      <w:lvlText w:val="%1)"/>
      <w:numFmt w:val="lowerLetter"/>
      <w:start w:val="2"/>
    </w:lvl>
  </w:abstractNum>
  <w:abstractNum w:abstractNumId="195">
    <w:nsid w:val="5895F5FA"/>
    <w:multiLevelType w:val="hybridMultilevel"/>
    <w:lvl w:ilvl="0">
      <w:lvlJc w:val="left"/>
      <w:lvlText w:val="%1."/>
      <w:numFmt w:val="decimal"/>
      <w:start w:val="36"/>
    </w:lvl>
  </w:abstractNum>
  <w:abstractNum w:abstractNumId="196">
    <w:nsid w:val="38A5D054"/>
    <w:multiLevelType w:val="hybridMultilevel"/>
    <w:lvl w:ilvl="0">
      <w:lvlJc w:val="left"/>
      <w:lvlText w:val="•"/>
      <w:numFmt w:val="bullet"/>
      <w:start w:val="1"/>
    </w:lvl>
  </w:abstractNum>
  <w:abstractNum w:abstractNumId="197">
    <w:nsid w:val="F3F09D8"/>
    <w:multiLevelType w:val="hybridMultilevel"/>
    <w:lvl w:ilvl="0">
      <w:lvlJc w:val="left"/>
      <w:lvlText w:val="%1."/>
      <w:numFmt w:val="decimal"/>
      <w:start w:val="36"/>
    </w:lvl>
    <w:lvl w:ilvl="1">
      <w:lvlJc w:val="left"/>
      <w:lvlText w:val="•"/>
      <w:numFmt w:val="bullet"/>
      <w:start w:val="1"/>
    </w:lvl>
  </w:abstractNum>
  <w:abstractNum w:abstractNumId="198">
    <w:nsid w:val="4B793735"/>
    <w:multiLevelType w:val="hybridMultilevel"/>
    <w:lvl w:ilvl="0">
      <w:lvlJc w:val="left"/>
      <w:lvlText w:val="•"/>
      <w:numFmt w:val="bullet"/>
      <w:start w:val="1"/>
    </w:lvl>
  </w:abstractNum>
  <w:abstractNum w:abstractNumId="199">
    <w:nsid w:val="4A10B4E8"/>
    <w:multiLevelType w:val="hybridMultilevel"/>
    <w:lvl w:ilvl="0">
      <w:lvlJc w:val="left"/>
      <w:lvlText w:val="•"/>
      <w:numFmt w:val="bullet"/>
      <w:start w:val="1"/>
    </w:lvl>
  </w:abstractNum>
  <w:abstractNum w:abstractNumId="200">
    <w:nsid w:val="43D3BCD4"/>
    <w:multiLevelType w:val="hybridMultilevel"/>
    <w:lvl w:ilvl="0">
      <w:lvlJc w:val="left"/>
      <w:lvlText w:val="(%1)"/>
      <w:numFmt w:val="decimal"/>
      <w:start w:val="2"/>
    </w:lvl>
  </w:abstractNum>
  <w:abstractNum w:abstractNumId="201">
    <w:nsid w:val="4C2A7166"/>
    <w:multiLevelType w:val="hybridMultilevel"/>
    <w:lvl w:ilvl="0">
      <w:lvlJc w:val="left"/>
      <w:lvlText w:val="%1"/>
      <w:numFmt w:val="lowerLetter"/>
      <w:start w:val="1"/>
    </w:lvl>
    <w:lvl w:ilvl="1">
      <w:lvlJc w:val="left"/>
      <w:lvlText w:val="(%2)"/>
      <w:numFmt w:val="decimal"/>
      <w:start w:val="1"/>
    </w:lvl>
  </w:abstractNum>
  <w:abstractNum w:abstractNumId="202">
    <w:nsid w:val="2E534A82"/>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2021-10-20T01:14:06Z</dcterms:created>
  <dcterms:modified xsi:type="dcterms:W3CDTF">2021-10-20T01:14:06Z</dcterms:modified>
</cp:coreProperties>
</file>