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March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tabs>
          <w:tab w:leader="none" w:pos="9620" w:val="left"/>
        </w:tabs>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Form 40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March 14, 2024, Mynaric AG issued an Ad-Hoc. A copy of the Ad-Hoc is furnished as Exhibit 99.1 hereto.</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gridSpan w:val="2"/>
          </w:tcPr>
          <w:p>
            <w:pPr>
              <w:jc w:val="center"/>
              <w:ind w:left="1950"/>
              <w:spacing w:after="0"/>
              <w:rPr>
                <w:sz w:val="20"/>
                <w:szCs w:val="20"/>
                <w:color w:val="auto"/>
              </w:rPr>
            </w:pPr>
            <w:r>
              <w:rPr>
                <w:rFonts w:ascii="Times New Roman" w:cs="Times New Roman" w:eastAsia="Times New Roman" w:hAnsi="Times New Roman"/>
                <w:sz w:val="18"/>
                <w:szCs w:val="18"/>
                <w:color w:val="auto"/>
                <w:w w:val="88"/>
              </w:rPr>
              <w:t>2</w:t>
            </w:r>
          </w:p>
        </w:tc>
        <w:tc>
          <w:tcPr>
            <w:tcW w:w="3260" w:type="dxa"/>
            <w:vAlign w:val="bottom"/>
            <w:tcBorders>
              <w:bottom w:val="single" w:sz="8" w:color="auto"/>
            </w:tcBorders>
          </w:tcPr>
          <w:p>
            <w:pPr>
              <w:spacing w:after="0"/>
              <w:rPr>
                <w:sz w:val="20"/>
                <w:szCs w:val="20"/>
                <w:color w:val="auto"/>
              </w:rPr>
            </w:pPr>
          </w:p>
        </w:tc>
      </w:tr>
      <w:tr>
        <w:trPr>
          <w:trHeight w:val="844"/>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0" w:type="dxa"/>
            <w:vAlign w:val="bottom"/>
            <w:gridSpan w:val="2"/>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DOCUMENTS INCLUDED AS PART OF THIS FORM 6-K</w:t>
            </w:r>
          </w:p>
        </w:tc>
      </w:tr>
      <w:tr>
        <w:trPr>
          <w:trHeight w:val="391"/>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37"/>
        </w:trPr>
        <w:tc>
          <w:tcPr>
            <w:tcW w:w="3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514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196"/>
        </w:trPr>
        <w:tc>
          <w:tcPr>
            <w:tcW w:w="5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680" w:type="dxa"/>
            <w:vAlign w:val="bottom"/>
            <w:shd w:val="clear" w:color="auto" w:fill="CCEEFF"/>
          </w:tcPr>
          <w:p>
            <w:pPr>
              <w:spacing w:after="0"/>
              <w:rPr>
                <w:sz w:val="17"/>
                <w:szCs w:val="17"/>
                <w:color w:val="auto"/>
              </w:rPr>
            </w:pPr>
          </w:p>
        </w:tc>
        <w:tc>
          <w:tcPr>
            <w:tcW w:w="100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Mynaric increases USD 75 million borrowing capacity on loan agreement by USD 20 million</w:t>
            </w:r>
          </w:p>
        </w:tc>
      </w:tr>
      <w:tr>
        <w:trPr>
          <w:trHeight w:val="648"/>
        </w:trPr>
        <w:tc>
          <w:tcPr>
            <w:tcW w:w="3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6760" w:type="dxa"/>
            <w:vAlign w:val="bottom"/>
            <w:tcBorders>
              <w:top w:val="single" w:sz="8" w:color="0000EE"/>
              <w:bottom w:val="single" w:sz="8" w:color="auto"/>
            </w:tcBorders>
            <w:gridSpan w:val="2"/>
          </w:tcPr>
          <w:p>
            <w:pPr>
              <w:jc w:val="center"/>
              <w:ind w:left="1950"/>
              <w:spacing w:after="0"/>
              <w:rPr>
                <w:sz w:val="20"/>
                <w:szCs w:val="20"/>
                <w:color w:val="auto"/>
              </w:rPr>
            </w:pPr>
            <w:r>
              <w:rPr>
                <w:rFonts w:ascii="Times New Roman" w:cs="Times New Roman" w:eastAsia="Times New Roman" w:hAnsi="Times New Roman"/>
                <w:sz w:val="18"/>
                <w:szCs w:val="18"/>
                <w:color w:val="auto"/>
                <w:w w:val="88"/>
              </w:rPr>
              <w:t>3</w:t>
            </w:r>
          </w:p>
        </w:tc>
        <w:tc>
          <w:tcPr>
            <w:tcW w:w="3260" w:type="dxa"/>
            <w:vAlign w:val="bottom"/>
            <w:tcBorders>
              <w:top w:val="single" w:sz="8" w:color="CCEEFF"/>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00" w:lineRule="exact"/>
        <w:rPr>
          <w:sz w:val="24"/>
          <w:szCs w:val="24"/>
          <w:color w:val="auto"/>
        </w:rPr>
      </w:pPr>
    </w:p>
    <w:p>
      <w:pPr>
        <w:spacing w:after="0" w:line="245"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3" w:lineRule="exact"/>
        <w:rPr>
          <w:sz w:val="24"/>
          <w:szCs w:val="24"/>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4"/>
          <w:szCs w:val="24"/>
          <w:color w:val="auto"/>
        </w:rPr>
      </w:pPr>
    </w:p>
    <w:p>
      <w:pPr>
        <w:spacing w:after="0" w:line="223"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Felix Hacke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Felix Hacke</w:t>
      </w:r>
    </w:p>
    <w:p>
      <w:pPr>
        <w:spacing w:after="0" w:line="23" w:lineRule="exact"/>
        <w:rPr>
          <w:sz w:val="24"/>
          <w:szCs w:val="24"/>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Representative</w:t>
      </w:r>
    </w:p>
    <w:p>
      <w:pPr>
        <w:sectPr>
          <w:pgSz w:w="11900" w:h="16838" w:orient="portrait"/>
          <w:cols w:equalWidth="0" w:num="1">
            <w:col w:w="11240"/>
          </w:cols>
          <w:pgMar w:left="320" w:top="671"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Date: March 14, 2024</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Mynaric increases USD 75 million borrowing capacity on loan agreement by USD 20 million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14-March-2024 / 10:34 CET/CEST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of an inside information acc. to Article 17 MAR of the Regulation (EU) No 596/2014, transmitted by EQS News - a service of EQS Group AG.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is solely responsible for the content of this announcement.</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MUNICH, March 14, 2024 – Mynaric AG (NASDAQ: MYNA; ISIN: US62857X1019) (FRA: M0YN; ISIN: DE000A31C305) (the “Company”) today decided on an amendment to its existing US$75 million loan agreement with its US-based lenders, which are funds affiliated with a U.S.-based global investment management firm (the “Lenders”), to increase the borrowing capacity on the loan agreement by US$20 million utilizing a delayed draw facility provided on substantially the same terms and conditions as the existing term loan facility. As is the case for the existing term loan facility, the borrower under the delayed draw facility will be the Company’s wholly-owned subsidiary, Mynaric USA Inc.</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US$20 million delayed draw facility is available until September 2025 and, as is the case for the existing term loan facility, loans drawn thereunder will be guaranteed by the Company and each of its subsidiaries, and will be secured by a security interest in substantially all of the assets of the borrower and each of the guarantors. Loans under the delayed draw facility will bear interest at the same rate as is applicable to loans under the existing term loan facility, namely a rate equal to the Term Secured Overnight Financing Rate (SOFR) for a 3-month tenor or, at the option of the borrower, a certain alternative base rate (subject, in each case, to a 2% floor), plus a margin of 10% or 9%, respectively, and just as is the case for the existing term facility, up to 300 basis points of interest payable on or prior to the first interest payment date occurring on or after April 25, 2025 may be paid in kind by increasing the principal amount of the loans.</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additional liquidity under the amended loan agreement that is expected to become effective today will be fully available thereafter (subject to satisfaction of customary drawdown conditions at the time of any draw, including payment of a 2% original issue discount at the time of any such draw) and is expected to be drawn down as needed to support the Company’s working capital requirements and other general corporate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Mynaric</w:t>
      </w:r>
    </w:p>
    <w:p>
      <w:pPr>
        <w:spacing w:after="0" w:line="22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mynaric.com.</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8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ectPr>
          <w:pgSz w:w="11900" w:h="16838" w:orient="portrait"/>
          <w:cols w:equalWidth="0" w:num="1">
            <w:col w:w="11240"/>
          </w:cols>
          <w:pgMar w:left="320" w:top="117" w:right="339" w:bottom="140" w:gutter="0" w:footer="0" w:header="0"/>
        </w:sectPr>
      </w:pPr>
    </w:p>
    <w:bookmarkStart w:id="3" w:name="page4"/>
    <w:bookmarkEnd w:id="3"/>
    <w:p>
      <w:pPr>
        <w:spacing w:after="0" w:line="258" w:lineRule="auto"/>
        <w:rPr>
          <w:sz w:val="20"/>
          <w:szCs w:val="20"/>
          <w:color w:val="auto"/>
        </w:rPr>
      </w:pPr>
      <w:r>
        <w:rPr>
          <w:rFonts w:ascii="Times New Roman" w:cs="Times New Roman" w:eastAsia="Times New Roman" w:hAnsi="Times New Roman"/>
          <w:sz w:val="18"/>
          <w:szCs w:val="18"/>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spacing w:after="0" w:line="3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20"/>
      </w:cols>
      <w:pgMar w:left="320" w:top="12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2024-03-14T13:51:20Z</dcterms:created>
  <dcterms:modified xsi:type="dcterms:W3CDTF">2024-03-14T13:51:20Z</dcterms:modified>
</cp:coreProperties>
</file>