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NOTIFICATION OF LATE FILING</w:t>
      </w:r>
    </w:p>
    <w:p>
      <w:pPr>
        <w:spacing w:after="0" w:line="2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 File Number: 001-41045</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Number: 62857X101</w:t>
      </w:r>
    </w:p>
    <w:p>
      <w:pPr>
        <w:spacing w:after="0" w:line="166" w:lineRule="exact"/>
        <w:rPr>
          <w:sz w:val="24"/>
          <w:szCs w:val="24"/>
          <w:color w:val="auto"/>
        </w:rPr>
      </w:pPr>
    </w:p>
    <w:tbl>
      <w:tblPr>
        <w:tblLayout w:type="fixed"/>
        <w:tblInd w:w="192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(Check One)</w:t>
            </w:r>
          </w:p>
        </w:tc>
        <w:tc>
          <w:tcPr>
            <w:tcW w:w="136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w:t>
            </w:r>
          </w:p>
        </w:tc>
        <w:tc>
          <w:tcPr>
            <w:tcW w:w="3580" w:type="dxa"/>
            <w:vAlign w:val="bottom"/>
            <w:gridSpan w:val="4"/>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w:t>
            </w:r>
          </w:p>
        </w:tc>
      </w:tr>
      <w:tr>
        <w:trPr>
          <w:trHeight w:val="303"/>
        </w:trPr>
        <w:tc>
          <w:tcPr>
            <w:tcW w:w="1160" w:type="dxa"/>
            <w:vAlign w:val="bottom"/>
          </w:tcPr>
          <w:p>
            <w:pPr>
              <w:spacing w:after="0"/>
              <w:rPr>
                <w:sz w:val="24"/>
                <w:szCs w:val="24"/>
                <w:color w:val="auto"/>
              </w:rPr>
            </w:pPr>
          </w:p>
        </w:tc>
        <w:tc>
          <w:tcPr>
            <w:tcW w:w="136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w:t>
            </w:r>
          </w:p>
        </w:tc>
        <w:tc>
          <w:tcPr>
            <w:tcW w:w="1460" w:type="dxa"/>
            <w:vAlign w:val="bottom"/>
            <w:gridSpan w:val="2"/>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N-SAR</w:t>
            </w:r>
          </w:p>
        </w:tc>
        <w:tc>
          <w:tcPr>
            <w:tcW w:w="2120" w:type="dxa"/>
            <w:vAlign w:val="bottom"/>
            <w:gridSpan w:val="2"/>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tc>
      </w:tr>
      <w:tr>
        <w:trPr>
          <w:trHeight w:val="296"/>
        </w:trPr>
        <w:tc>
          <w:tcPr>
            <w:tcW w:w="1160" w:type="dxa"/>
            <w:vAlign w:val="bottom"/>
          </w:tcPr>
          <w:p>
            <w:pPr>
              <w:spacing w:after="0"/>
              <w:rPr>
                <w:sz w:val="24"/>
                <w:szCs w:val="24"/>
                <w:color w:val="auto"/>
              </w:rPr>
            </w:pPr>
          </w:p>
        </w:tc>
        <w:tc>
          <w:tcPr>
            <w:tcW w:w="2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For Period Ended:   December 31,</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4"/>
              </w:rPr>
              <w:t>2023</w:t>
            </w:r>
          </w:p>
        </w:tc>
        <w:tc>
          <w:tcPr>
            <w:tcW w:w="172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57" w:lineRule="exact"/>
        <w:rPr>
          <w:sz w:val="24"/>
          <w:szCs w:val="24"/>
          <w:color w:val="auto"/>
        </w:rPr>
      </w:pPr>
    </w:p>
    <w:p>
      <w:pPr>
        <w:ind w:left="3540" w:hanging="252"/>
        <w:spacing w:after="0"/>
        <w:tabs>
          <w:tab w:leader="none" w:pos="3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42" w:lineRule="exact"/>
        <w:rPr>
          <w:rFonts w:ascii="MS PGothic" w:cs="MS PGothic" w:eastAsia="MS PGothic" w:hAnsi="MS PGothic"/>
          <w:sz w:val="18"/>
          <w:szCs w:val="18"/>
          <w:color w:val="auto"/>
        </w:rPr>
      </w:pPr>
    </w:p>
    <w:p>
      <w:pPr>
        <w:ind w:left="3540" w:hanging="252"/>
        <w:spacing w:after="0"/>
        <w:tabs>
          <w:tab w:leader="none" w:pos="3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22" w:lineRule="exact"/>
        <w:rPr>
          <w:rFonts w:ascii="MS PGothic" w:cs="MS PGothic" w:eastAsia="MS PGothic" w:hAnsi="MS PGothic"/>
          <w:sz w:val="18"/>
          <w:szCs w:val="18"/>
          <w:color w:val="auto"/>
        </w:rPr>
      </w:pPr>
    </w:p>
    <w:p>
      <w:pPr>
        <w:ind w:left="3540" w:hanging="252"/>
        <w:spacing w:after="0"/>
        <w:tabs>
          <w:tab w:leader="none" w:pos="3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22" w:lineRule="exact"/>
        <w:rPr>
          <w:rFonts w:ascii="MS PGothic" w:cs="MS PGothic" w:eastAsia="MS PGothic" w:hAnsi="MS PGothic"/>
          <w:sz w:val="18"/>
          <w:szCs w:val="18"/>
          <w:color w:val="auto"/>
        </w:rPr>
      </w:pPr>
    </w:p>
    <w:p>
      <w:pPr>
        <w:ind w:left="3540" w:hanging="252"/>
        <w:spacing w:after="0"/>
        <w:tabs>
          <w:tab w:leader="none" w:pos="3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2" w:lineRule="exact"/>
        <w:rPr>
          <w:rFonts w:ascii="MS PGothic" w:cs="MS PGothic" w:eastAsia="MS PGothic" w:hAnsi="MS PGothic"/>
          <w:sz w:val="18"/>
          <w:szCs w:val="18"/>
          <w:color w:val="auto"/>
        </w:rPr>
      </w:pPr>
    </w:p>
    <w:p>
      <w:pPr>
        <w:ind w:left="3540" w:hanging="252"/>
        <w:spacing w:after="0"/>
        <w:tabs>
          <w:tab w:leader="none" w:pos="3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N-SAR</w:t>
      </w:r>
    </w:p>
    <w:p>
      <w:pPr>
        <w:spacing w:after="0" w:line="13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161290</wp:posOffset>
            </wp:positionV>
            <wp:extent cx="7136130" cy="313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3130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70" w:lineRule="exact"/>
        <w:rPr>
          <w:sz w:val="24"/>
          <w:szCs w:val="24"/>
          <w:color w:val="auto"/>
        </w:rPr>
      </w:pPr>
    </w:p>
    <w:p>
      <w:pPr>
        <w:ind w:left="520" w:right="2780"/>
        <w:spacing w:after="0" w:line="282" w:lineRule="auto"/>
        <w:rPr>
          <w:sz w:val="20"/>
          <w:szCs w:val="20"/>
          <w:color w:val="auto"/>
        </w:rPr>
      </w:pPr>
      <w:r>
        <w:rPr>
          <w:rFonts w:ascii="Times New Roman" w:cs="Times New Roman" w:eastAsia="Times New Roman" w:hAnsi="Times New Roman"/>
          <w:sz w:val="18"/>
          <w:szCs w:val="18"/>
          <w:color w:val="auto"/>
        </w:rPr>
        <w:t xml:space="preserve">If the notification relates to a portion of the filing checked above, identify the Item(s) to which the notification relates: </w:t>
      </w:r>
      <w:r>
        <w:rPr>
          <w:rFonts w:ascii="Times New Roman" w:cs="Times New Roman" w:eastAsia="Times New Roman" w:hAnsi="Times New Roman"/>
          <w:sz w:val="18"/>
          <w:szCs w:val="18"/>
          <w:u w:val="single" w:color="auto"/>
          <w:color w:val="auto"/>
        </w:rPr>
        <w:t>Not Applicable</w:t>
      </w: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(Former Name if Applicable)</w:t>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Bertha-Kipfmüller-Str. 2-8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 (</w:t>
      </w:r>
      <w:r>
        <w:rPr>
          <w:rFonts w:ascii="Times New Roman" w:cs="Times New Roman" w:eastAsia="Times New Roman" w:hAnsi="Times New Roman"/>
          <w:sz w:val="13"/>
          <w:szCs w:val="13"/>
          <w:i w:val="1"/>
          <w:iCs w:val="1"/>
          <w:color w:val="auto"/>
        </w:rPr>
        <w:t>Street and Number</w:t>
      </w:r>
      <w:r>
        <w:rPr>
          <w:rFonts w:ascii="Times New Roman" w:cs="Times New Roman" w:eastAsia="Times New Roman" w:hAnsi="Times New Roman"/>
          <w:sz w:val="13"/>
          <w:szCs w:val="13"/>
          <w:color w:val="auto"/>
        </w:rPr>
        <w:t>))</w:t>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81249 Munich, Germany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175"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48" w:lineRule="exact"/>
        <w:rPr>
          <w:sz w:val="20"/>
          <w:szCs w:val="20"/>
          <w:color w:val="auto"/>
        </w:rPr>
      </w:pPr>
    </w:p>
    <w:p>
      <w:pPr>
        <w:ind w:left="1420" w:hanging="697"/>
        <w:spacing w:after="0"/>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184" w:lineRule="exact"/>
        <w:rPr>
          <w:rFonts w:ascii="Times New Roman" w:cs="Times New Roman" w:eastAsia="Times New Roman" w:hAnsi="Times New Roman"/>
          <w:sz w:val="18"/>
          <w:szCs w:val="18"/>
          <w:color w:val="auto"/>
        </w:rPr>
      </w:pPr>
    </w:p>
    <w:p>
      <w:pPr>
        <w:ind w:left="1420" w:hanging="697"/>
        <w:spacing w:after="0"/>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w:t>
      </w:r>
    </w:p>
    <w:p>
      <w:pPr>
        <w:spacing w:after="0" w:line="27" w:lineRule="exact"/>
        <w:rPr>
          <w:rFonts w:ascii="Times New Roman" w:cs="Times New Roman" w:eastAsia="Times New Roman" w:hAnsi="Times New Roman"/>
          <w:sz w:val="18"/>
          <w:szCs w:val="18"/>
          <w:color w:val="auto"/>
        </w:rPr>
      </w:pPr>
    </w:p>
    <w:p>
      <w:pPr>
        <w:ind w:left="1420" w:hanging="1278"/>
        <w:spacing w:after="0" w:line="200" w:lineRule="auto"/>
        <w:tabs>
          <w:tab w:leader="none" w:pos="142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60" w:lineRule="exact"/>
        <w:rPr>
          <w:rFonts w:ascii="MS PGothic" w:cs="MS PGothic" w:eastAsia="MS PGothic" w:hAnsi="MS PGothic"/>
          <w:sz w:val="36"/>
          <w:szCs w:val="36"/>
          <w:color w:val="auto"/>
          <w:vertAlign w:val="subscript"/>
        </w:rPr>
      </w:pPr>
    </w:p>
    <w:p>
      <w:pPr>
        <w:ind w:left="1420" w:hanging="697"/>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-1028065</wp:posOffset>
            </wp:positionV>
            <wp:extent cx="8255" cy="1054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1054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27"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the reasons why Forms 10-K, 20-F, 11-K, 10-Q, 10-D, N-CEN, N-CSR, or the transition report or portion thereof, could not be filed within the prescribed time period.</w:t>
      </w:r>
    </w:p>
    <w:p>
      <w:pPr>
        <w:spacing w:after="0" w:line="3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Mynaric AG (the “Company”) has determined that it is unable, without unreasonable effort or expense, to file its Annual Report on Form 20-F for the fiscal year ended December 31, 2023 (the “Form 20-F”) by the prescribed due date. The Company requires additional time to finalize its financial statements for the fiscal year ended December 31, 2023, in order to complete the audit of its 2023 financial statements, and to complete the required discussion and analysis of the registrant’s business in the Form 20-F. The registrant anticipates that it will file the Form 20-F within the fifteen-day grace period provided by Exchange Act Rule 12b-25.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00" w:lineRule="exact"/>
        <w:rPr>
          <w:sz w:val="20"/>
          <w:szCs w:val="20"/>
          <w:color w:val="auto"/>
        </w:rPr>
      </w:pPr>
    </w:p>
    <w:p>
      <w:pPr>
        <w:spacing w:after="0" w:line="259" w:lineRule="exact"/>
        <w:rPr>
          <w:sz w:val="20"/>
          <w:szCs w:val="20"/>
          <w:color w:val="auto"/>
        </w:rPr>
      </w:pPr>
    </w:p>
    <w:p>
      <w:pPr>
        <w:ind w:left="540" w:hanging="519"/>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Stefan Berndt-von Bülow</w:t>
            </w:r>
          </w:p>
        </w:tc>
        <w:tc>
          <w:tcPr>
            <w:tcW w:w="260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+49 (0) 89</w:t>
            </w:r>
          </w:p>
        </w:tc>
        <w:tc>
          <w:tcPr>
            <w:tcW w:w="4000" w:type="dxa"/>
            <w:vAlign w:val="bottom"/>
            <w:gridSpan w:val="2"/>
          </w:tcPr>
          <w:p>
            <w:pPr>
              <w:jc w:val="right"/>
              <w:ind w:right="1188"/>
              <w:spacing w:after="0"/>
              <w:rPr>
                <w:sz w:val="20"/>
                <w:szCs w:val="20"/>
                <w:color w:val="auto"/>
              </w:rPr>
            </w:pPr>
            <w:r>
              <w:rPr>
                <w:rFonts w:ascii="Times New Roman" w:cs="Times New Roman" w:eastAsia="Times New Roman" w:hAnsi="Times New Roman"/>
                <w:sz w:val="18"/>
                <w:szCs w:val="18"/>
                <w:b w:val="1"/>
                <w:bCs w:val="1"/>
                <w:color w:val="auto"/>
              </w:rPr>
              <w:t>5589 428 106</w:t>
            </w:r>
          </w:p>
        </w:tc>
      </w:tr>
      <w:tr>
        <w:trPr>
          <w:trHeight w:val="190"/>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tcPr>
          <w:p>
            <w:pPr>
              <w:spacing w:after="0"/>
              <w:rPr>
                <w:sz w:val="16"/>
                <w:szCs w:val="16"/>
                <w:color w:val="auto"/>
              </w:rPr>
            </w:pPr>
          </w:p>
        </w:tc>
        <w:tc>
          <w:tcPr>
            <w:tcW w:w="208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(Area Code)</w:t>
            </w:r>
          </w:p>
        </w:tc>
        <w:tc>
          <w:tcPr>
            <w:tcW w:w="500" w:type="dxa"/>
            <w:vAlign w:val="bottom"/>
          </w:tcPr>
          <w:p>
            <w:pPr>
              <w:spacing w:after="0"/>
              <w:rPr>
                <w:sz w:val="16"/>
                <w:szCs w:val="16"/>
                <w:color w:val="auto"/>
              </w:rPr>
            </w:pPr>
          </w:p>
        </w:tc>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w:t>
            </w:r>
          </w:p>
        </w:tc>
      </w:tr>
    </w:tbl>
    <w:p>
      <w:pPr>
        <w:spacing w:after="0" w:line="183" w:lineRule="exact"/>
        <w:rPr>
          <w:sz w:val="20"/>
          <w:szCs w:val="20"/>
          <w:color w:val="auto"/>
        </w:rPr>
      </w:pPr>
    </w:p>
    <w:p>
      <w:pPr>
        <w:ind w:left="540" w:right="20" w:hanging="519"/>
        <w:spacing w:after="0" w:line="257"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 w:lineRule="exact"/>
        <w:rPr>
          <w:rFonts w:ascii="Times New Roman" w:cs="Times New Roman" w:eastAsia="Times New Roman" w:hAnsi="Times New Roman"/>
          <w:sz w:val="18"/>
          <w:szCs w:val="18"/>
          <w:color w:val="auto"/>
        </w:rPr>
      </w:pPr>
    </w:p>
    <w:p>
      <w:pPr>
        <w:ind w:left="10320" w:hanging="279"/>
        <w:spacing w:after="0" w:line="207" w:lineRule="exact"/>
        <w:tabs>
          <w:tab w:leader="none" w:pos="10320" w:val="left"/>
        </w:tabs>
        <w:numPr>
          <w:ilvl w:val="2"/>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0" w:lineRule="exact"/>
        <w:rPr>
          <w:rFonts w:ascii="MS PGothic" w:cs="MS PGothic" w:eastAsia="MS PGothic" w:hAnsi="MS PGothic"/>
          <w:sz w:val="18"/>
          <w:szCs w:val="18"/>
          <w:color w:val="auto"/>
        </w:rPr>
      </w:pPr>
    </w:p>
    <w:p>
      <w:pPr>
        <w:ind w:left="540" w:right="360" w:hanging="519"/>
        <w:spacing w:after="0" w:line="261"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ind w:left="10220" w:hanging="251"/>
        <w:spacing w:after="0" w:line="207" w:lineRule="exact"/>
        <w:tabs>
          <w:tab w:leader="none" w:pos="10220" w:val="left"/>
        </w:tabs>
        <w:numPr>
          <w:ilvl w:val="1"/>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20" w:lineRule="exact"/>
        <w:rPr>
          <w:sz w:val="20"/>
          <w:szCs w:val="20"/>
          <w:color w:val="auto"/>
        </w:rPr>
      </w:pPr>
    </w:p>
    <w:p>
      <w:pPr>
        <w:ind w:left="520" w:right="38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 w:name="page5"/>
    <w:bookmarkEnd w:id="4"/>
    <w:p>
      <w:pPr>
        <w:ind w:left="52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Mynaric has caused this notification to be signed on its behalf by the undersigned hereunto duly authorized.</w:t>
      </w:r>
    </w:p>
    <w:p>
      <w:pPr>
        <w:sectPr>
          <w:pgSz w:w="11900" w:h="16838" w:orient="portrait"/>
          <w:cols w:equalWidth="0" w:num="1">
            <w:col w:w="10139"/>
          </w:cols>
          <w:pgMar w:left="320" w:top="9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82" w:lineRule="exact"/>
        <w:rPr>
          <w:sz w:val="20"/>
          <w:szCs w:val="20"/>
          <w:color w:val="auto"/>
        </w:rPr>
      </w:pPr>
    </w:p>
    <w:p>
      <w:pPr>
        <w:ind w:left="420"/>
        <w:spacing w:after="0"/>
        <w:tabs>
          <w:tab w:leader="none" w:pos="1000" w:val="left"/>
        </w:tabs>
        <w:rPr>
          <w:sz w:val="20"/>
          <w:szCs w:val="20"/>
          <w:color w:val="auto"/>
        </w:rPr>
      </w:pPr>
      <w:r>
        <w:rPr>
          <w:rFonts w:ascii="Times New Roman" w:cs="Times New Roman" w:eastAsia="Times New Roman" w:hAnsi="Times New Roman"/>
          <w:sz w:val="18"/>
          <w:szCs w:val="18"/>
          <w:color w:val="auto"/>
        </w:rPr>
        <w:t>Date</w:t>
        <w:tab/>
        <w:t>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Mustafa Veziroglu</w:t>
      </w:r>
    </w:p>
    <w:p>
      <w:pPr>
        <w:spacing w:after="0" w:line="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Mustafa Veziroglu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26403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Stefan Berndt-von Bülow</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26403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Title:</w:t>
        <w:tab/>
        <w:t>Chief Financial Officer</w:t>
      </w:r>
    </w:p>
    <w:sectPr>
      <w:pgSz w:w="11900" w:h="16838" w:orient="portrait"/>
      <w:cols w:equalWidth="0" w:num="2">
        <w:col w:w="6220" w:space="480"/>
        <w:col w:w="3439"/>
      </w:cols>
      <w:pgMar w:left="320" w:top="98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2024-04-30T09:05:13Z</dcterms:created>
  <dcterms:modified xsi:type="dcterms:W3CDTF">2024-04-30T09:05:13Z</dcterms:modified>
</cp:coreProperties>
</file>