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REPORT OF FOREIGN PRIVATE ISSUER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16 OR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MONTH OF November 2023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001-41045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24130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Registrant’s name</w:t>
      </w:r>
      <w:r>
        <w:rPr>
          <w:rFonts w:ascii="Arial" w:cs="Arial" w:eastAsia="Arial" w:hAnsi="Arial"/>
          <w:sz w:val="18"/>
          <w:szCs w:val="18"/>
          <w:color w:val="auto"/>
        </w:rPr>
        <w:t>)</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Dornierstraße 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82205 Gilching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Germany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+49 (0) 8105 79990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 of principal executive offices</w:t>
      </w:r>
      <w:r>
        <w:rPr>
          <w:rFonts w:ascii="Arial" w:cs="Arial" w:eastAsia="Arial" w:hAnsi="Arial"/>
          <w:sz w:val="18"/>
          <w:szCs w:val="18"/>
          <w:color w:val="auto"/>
        </w:rPr>
        <w:t>)</w:t>
      </w:r>
    </w:p>
    <w:p>
      <w:pPr>
        <w:spacing w:after="0" w:line="166" w:lineRule="exact"/>
        <w:rPr>
          <w:sz w:val="24"/>
          <w:szCs w:val="24"/>
          <w:color w:val="auto"/>
        </w:rPr>
      </w:pPr>
    </w:p>
    <w:p>
      <w:pPr>
        <w:spacing w:after="0" w:line="207" w:lineRule="exact"/>
        <w:tabs>
          <w:tab w:leader="none" w:pos="9600" w:val="left"/>
        </w:tabs>
        <w:rPr>
          <w:sz w:val="20"/>
          <w:szCs w:val="20"/>
          <w:color w:val="auto"/>
        </w:rPr>
      </w:pPr>
      <w:r>
        <w:rPr>
          <w:rFonts w:ascii="Arial" w:cs="Arial" w:eastAsia="Arial" w:hAnsi="Arial"/>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Arial" w:cs="Arial" w:eastAsia="Arial" w:hAnsi="Arial"/>
          <w:sz w:val="18"/>
          <w:szCs w:val="18"/>
          <w:color w:val="auto"/>
        </w:rPr>
        <w:t>F or Form 40</w:t>
      </w:r>
      <w:r>
        <w:rPr>
          <w:rFonts w:ascii="MS PGothic" w:cs="MS PGothic" w:eastAsia="MS PGothic" w:hAnsi="MS PGothic"/>
          <w:sz w:val="18"/>
          <w:szCs w:val="18"/>
          <w:color w:val="auto"/>
        </w:rPr>
        <w:t>‑</w:t>
      </w:r>
      <w:r>
        <w:rPr>
          <w:rFonts w:ascii="Arial" w:cs="Arial" w:eastAsia="Arial" w:hAnsi="Arial"/>
          <w:sz w:val="18"/>
          <w:szCs w:val="18"/>
          <w:color w:val="auto"/>
        </w:rPr>
        <w:t>F: Form 20</w:t>
      </w:r>
      <w:r>
        <w:rPr>
          <w:rFonts w:ascii="MS PGothic" w:cs="MS PGothic" w:eastAsia="MS PGothic" w:hAnsi="MS PGothic"/>
          <w:sz w:val="18"/>
          <w:szCs w:val="18"/>
          <w:color w:val="auto"/>
        </w:rPr>
        <w:t>‑</w:t>
      </w:r>
      <w:r>
        <w:rPr>
          <w:rFonts w:ascii="Arial" w:cs="Arial" w:eastAsia="Arial" w:hAnsi="Arial"/>
          <w:sz w:val="18"/>
          <w:szCs w:val="18"/>
          <w:color w:val="auto"/>
        </w:rPr>
        <w:t xml:space="preserve">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w:t>
      </w:r>
      <w:r>
        <w:rPr>
          <w:rFonts w:ascii="MS PGothic" w:cs="MS PGothic" w:eastAsia="MS PGothic" w:hAnsi="MS PGothic"/>
          <w:sz w:val="16"/>
          <w:szCs w:val="16"/>
          <w:color w:val="auto"/>
        </w:rPr>
        <w:t>‑</w:t>
      </w:r>
      <w:r>
        <w:rPr>
          <w:rFonts w:ascii="Arial" w:cs="Arial" w:eastAsia="Arial" w:hAnsi="Arial"/>
          <w:sz w:val="16"/>
          <w:szCs w:val="16"/>
          <w:color w:val="auto"/>
        </w:rPr>
        <w:t xml:space="preserve">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if the registrant is submitting the Form 6</w:t>
      </w:r>
      <w:r>
        <w:rPr>
          <w:rFonts w:ascii="MS PGothic" w:cs="MS PGothic" w:eastAsia="MS PGothic" w:hAnsi="MS PGothic"/>
          <w:sz w:val="18"/>
          <w:szCs w:val="18"/>
          <w:color w:val="auto"/>
        </w:rPr>
        <w:t>‑</w:t>
      </w:r>
      <w:r>
        <w:rPr>
          <w:rFonts w:ascii="Arial" w:cs="Arial" w:eastAsia="Arial" w:hAnsi="Arial"/>
          <w:sz w:val="18"/>
          <w:szCs w:val="18"/>
          <w:color w:val="auto"/>
        </w:rPr>
        <w:t>K in paper as permitted by Regulation S</w:t>
      </w:r>
      <w:r>
        <w:rPr>
          <w:rFonts w:ascii="MS PGothic" w:cs="MS PGothic" w:eastAsia="MS PGothic" w:hAnsi="MS PGothic"/>
          <w:sz w:val="18"/>
          <w:szCs w:val="18"/>
          <w:color w:val="auto"/>
        </w:rPr>
        <w:t>‑</w:t>
      </w:r>
      <w:r>
        <w:rPr>
          <w:rFonts w:ascii="Arial" w:cs="Arial" w:eastAsia="Arial" w:hAnsi="Arial"/>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if the registrant is submitting the Form 6</w:t>
      </w:r>
      <w:r>
        <w:rPr>
          <w:rFonts w:ascii="MS PGothic" w:cs="MS PGothic" w:eastAsia="MS PGothic" w:hAnsi="MS PGothic"/>
          <w:sz w:val="18"/>
          <w:szCs w:val="18"/>
          <w:color w:val="auto"/>
        </w:rPr>
        <w:t>‑</w:t>
      </w:r>
      <w:r>
        <w:rPr>
          <w:rFonts w:ascii="Arial" w:cs="Arial" w:eastAsia="Arial" w:hAnsi="Arial"/>
          <w:sz w:val="18"/>
          <w:szCs w:val="18"/>
          <w:color w:val="auto"/>
        </w:rPr>
        <w:t>K in paper as permitted by Regulation S</w:t>
      </w:r>
      <w:r>
        <w:rPr>
          <w:rFonts w:ascii="MS PGothic" w:cs="MS PGothic" w:eastAsia="MS PGothic" w:hAnsi="MS PGothic"/>
          <w:sz w:val="18"/>
          <w:szCs w:val="18"/>
          <w:color w:val="auto"/>
        </w:rPr>
        <w:t>‑</w:t>
      </w:r>
      <w:r>
        <w:rPr>
          <w:rFonts w:ascii="Arial" w:cs="Arial" w:eastAsia="Arial" w:hAnsi="Arial"/>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214630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266065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On November 9, 2023, Mynaric AG issued an ad-hoc news. A copy of the Ad-hoc News is furnished as Exhibit 99.1.</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Exhibit</w:t>
            </w:r>
          </w:p>
        </w:tc>
        <w:tc>
          <w:tcPr>
            <w:tcW w:w="220" w:type="dxa"/>
            <w:vAlign w:val="bottom"/>
          </w:tcPr>
          <w:p>
            <w:pPr>
              <w:spacing w:after="0"/>
              <w:rPr>
                <w:sz w:val="20"/>
                <w:szCs w:val="20"/>
                <w:color w:val="auto"/>
              </w:rPr>
            </w:pPr>
          </w:p>
        </w:tc>
        <w:tc>
          <w:tcPr>
            <w:tcW w:w="10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Description of Exhibit</w:t>
            </w:r>
          </w:p>
        </w:tc>
      </w:tr>
      <w:tr>
        <w:trPr>
          <w:trHeight w:val="169"/>
        </w:trPr>
        <w:tc>
          <w:tcPr>
            <w:tcW w:w="100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220" w:type="dxa"/>
            <w:vAlign w:val="bottom"/>
            <w:shd w:val="clear" w:color="auto" w:fill="CCEEFF"/>
          </w:tcPr>
          <w:p>
            <w:pPr>
              <w:spacing w:after="0"/>
              <w:rPr>
                <w:sz w:val="14"/>
                <w:szCs w:val="14"/>
                <w:color w:val="auto"/>
              </w:rPr>
            </w:pPr>
          </w:p>
        </w:tc>
        <w:tc>
          <w:tcPr>
            <w:tcW w:w="1002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0000EE"/>
              </w:rPr>
              <w:t>Press Release</w:t>
            </w:r>
          </w:p>
        </w:tc>
      </w:tr>
      <w:tr>
        <w:trPr>
          <w:trHeight w:val="21"/>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90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jc w:val="both"/>
        <w:ind w:firstLine="60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4"/>
          <w:szCs w:val="24"/>
          <w:color w:val="auto"/>
        </w:rPr>
      </w:pPr>
    </w:p>
    <w:p>
      <w:pPr>
        <w:ind w:left="5740"/>
        <w:spacing w:after="0"/>
        <w:rPr>
          <w:sz w:val="20"/>
          <w:szCs w:val="20"/>
          <w:color w:val="auto"/>
        </w:rPr>
      </w:pPr>
      <w:r>
        <w:rPr>
          <w:rFonts w:ascii="Arial" w:cs="Arial" w:eastAsia="Arial" w:hAnsi="Arial"/>
          <w:sz w:val="18"/>
          <w:szCs w:val="18"/>
          <w:b w:val="1"/>
          <w:bCs w:val="1"/>
          <w:color w:val="auto"/>
        </w:rPr>
        <w:t>Mynaric AG</w:t>
      </w:r>
    </w:p>
    <w:p>
      <w:pPr>
        <w:spacing w:after="0" w:line="229" w:lineRule="exact"/>
        <w:rPr>
          <w:sz w:val="24"/>
          <w:szCs w:val="24"/>
          <w:color w:val="auto"/>
        </w:rPr>
      </w:pPr>
    </w:p>
    <w:p>
      <w:pPr>
        <w:ind w:left="5740"/>
        <w:spacing w:after="0"/>
        <w:rPr>
          <w:sz w:val="20"/>
          <w:szCs w:val="20"/>
          <w:color w:val="auto"/>
        </w:rPr>
      </w:pPr>
      <w:r>
        <w:rPr>
          <w:rFonts w:ascii="Arial" w:cs="Arial" w:eastAsia="Arial" w:hAnsi="Arial"/>
          <w:sz w:val="18"/>
          <w:szCs w:val="18"/>
          <w:color w:val="auto"/>
        </w:rPr>
        <w:t>By /s/ Stefan Berndt-von Bülow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5457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3"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Name: Stefan Berndt-von Bülow</w:t>
      </w:r>
    </w:p>
    <w:p>
      <w:pPr>
        <w:spacing w:after="0" w:line="23" w:lineRule="exact"/>
        <w:rPr>
          <w:sz w:val="24"/>
          <w:szCs w:val="24"/>
          <w:color w:val="auto"/>
        </w:rPr>
      </w:pPr>
    </w:p>
    <w:p>
      <w:pPr>
        <w:ind w:left="606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4"/>
          <w:szCs w:val="24"/>
          <w:color w:val="auto"/>
        </w:rPr>
      </w:pPr>
    </w:p>
    <w:p>
      <w:pPr>
        <w:ind w:left="5740"/>
        <w:spacing w:after="0"/>
        <w:rPr>
          <w:sz w:val="20"/>
          <w:szCs w:val="20"/>
          <w:color w:val="auto"/>
        </w:rPr>
      </w:pPr>
      <w:r>
        <w:rPr>
          <w:rFonts w:ascii="Arial" w:cs="Arial" w:eastAsia="Arial" w:hAnsi="Arial"/>
          <w:sz w:val="18"/>
          <w:szCs w:val="18"/>
          <w:color w:val="auto"/>
        </w:rPr>
        <w:t>By /s/ Felix Hacke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5457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3"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Name: Felix Hacke</w:t>
      </w:r>
    </w:p>
    <w:p>
      <w:pPr>
        <w:spacing w:after="0" w:line="23" w:lineRule="exact"/>
        <w:rPr>
          <w:sz w:val="24"/>
          <w:szCs w:val="24"/>
          <w:color w:val="auto"/>
        </w:rPr>
      </w:pPr>
    </w:p>
    <w:p>
      <w:pPr>
        <w:ind w:left="606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Representative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Date: November 9, 2023</w:t>
      </w:r>
    </w:p>
    <w:p>
      <w:pPr>
        <w:sectPr>
          <w:pgSz w:w="11900" w:h="16838" w:orient="portrait"/>
          <w:cols w:equalWidth="0" w:num="1">
            <w:col w:w="11240"/>
          </w:cols>
          <w:pgMar w:left="320" w:top="666" w:right="339" w:bottom="0" w:gutter="0" w:footer="0" w:header="0"/>
        </w:sectPr>
      </w:pPr>
    </w:p>
    <w:bookmarkStart w:id="1" w:name="page2"/>
    <w:bookmarkEnd w:id="1"/>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 w:name="page3"/>
    <w:bookmarkEnd w:id="2"/>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Mynaric updates guidance for 2023</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Munich, Germany November 09, 2023 </w:t>
      </w:r>
      <w:r>
        <w:rPr>
          <w:rFonts w:ascii="Arial" w:cs="Arial" w:eastAsia="Arial" w:hAnsi="Arial"/>
          <w:sz w:val="18"/>
          <w:szCs w:val="18"/>
          <w:color w:val="auto"/>
        </w:rPr>
        <w:t>– Mynaric (NASDAQ: MYNA) (FRA: M0YN) has today announced an update to full-year 2023 guidance for its</w:t>
      </w:r>
      <w:r>
        <w:rPr>
          <w:rFonts w:ascii="Arial" w:cs="Arial" w:eastAsia="Arial" w:hAnsi="Arial"/>
          <w:sz w:val="18"/>
          <w:szCs w:val="18"/>
          <w:b w:val="1"/>
          <w:bCs w:val="1"/>
          <w:color w:val="auto"/>
        </w:rPr>
        <w:t xml:space="preserve"> </w:t>
      </w:r>
      <w:r>
        <w:rPr>
          <w:rFonts w:ascii="Arial" w:cs="Arial" w:eastAsia="Arial" w:hAnsi="Arial"/>
          <w:sz w:val="18"/>
          <w:szCs w:val="18"/>
          <w:color w:val="auto"/>
        </w:rPr>
        <w:t>key financial performance metrics:</w:t>
      </w:r>
    </w:p>
    <w:p>
      <w:pPr>
        <w:spacing w:after="0" w:line="166" w:lineRule="exact"/>
        <w:rPr>
          <w:sz w:val="20"/>
          <w:szCs w:val="20"/>
          <w:color w:val="auto"/>
        </w:rPr>
      </w:pPr>
    </w:p>
    <w:p>
      <w:pPr>
        <w:ind w:left="920" w:right="60" w:hanging="467"/>
        <w:spacing w:after="0" w:line="259" w:lineRule="auto"/>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Optical Communications Terminal Backlog(1): the company now expects more than 500 units in backlog by the end of 2023, based on today’s existing orders, compared to the previously communicated guidance of a significant increase relative to the 256 units reported at year-end 2022. The guidance is increased due to program wins throughout 2023 with multiple customers in both the government and commercial markets and delayed deliveries of terminals already in backlog.</w:t>
      </w:r>
    </w:p>
    <w:p>
      <w:pPr>
        <w:spacing w:after="0" w:line="186" w:lineRule="exact"/>
        <w:rPr>
          <w:rFonts w:ascii="MS PGothic" w:cs="MS PGothic" w:eastAsia="MS PGothic" w:hAnsi="MS PGothic"/>
          <w:sz w:val="18"/>
          <w:szCs w:val="18"/>
          <w:color w:val="auto"/>
        </w:rPr>
      </w:pPr>
    </w:p>
    <w:p>
      <w:pPr>
        <w:ind w:left="920" w:right="320" w:hanging="467"/>
        <w:spacing w:after="0" w:line="311" w:lineRule="auto"/>
        <w:tabs>
          <w:tab w:leader="none" w:pos="9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Cash-In from Customer Contracts(2): the company now expects full-year 2023 guidance of more than EUR 30 million compared to the previously communicated guidance of a significant increase relative to the EUR 18.3 million reported for fiscal year 2022 for cash-in from customer contracts. The guidance is increased due to new program wins and achievement of existing program milestones throughout 2023.</w:t>
      </w:r>
    </w:p>
    <w:p>
      <w:pPr>
        <w:spacing w:after="0" w:line="148" w:lineRule="exact"/>
        <w:rPr>
          <w:rFonts w:ascii="MS PGothic" w:cs="MS PGothic" w:eastAsia="MS PGothic" w:hAnsi="MS PGothic"/>
          <w:sz w:val="16"/>
          <w:szCs w:val="16"/>
          <w:color w:val="auto"/>
        </w:rPr>
      </w:pPr>
    </w:p>
    <w:p>
      <w:pPr>
        <w:ind w:left="920" w:right="140" w:hanging="467"/>
        <w:spacing w:after="0" w:line="311" w:lineRule="auto"/>
        <w:tabs>
          <w:tab w:leader="none" w:pos="9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IFRS-15 revenue: the company now expects full-year 2023 IFRS-15 revenue to remain around the same level as 2022 revenue of EUR 4.4 million compared to previous guidance of a significant increase. The guidance decrease is due to the production delay of CONDOR Mk3 that was previously scheduled to start in Q4 2023. Volume production and shipments of these units are now expected to start in Q1 2024.</w:t>
      </w:r>
    </w:p>
    <w:p>
      <w:pPr>
        <w:spacing w:after="0" w:line="148" w:lineRule="exact"/>
        <w:rPr>
          <w:rFonts w:ascii="MS PGothic" w:cs="MS PGothic" w:eastAsia="MS PGothic" w:hAnsi="MS PGothic"/>
          <w:sz w:val="16"/>
          <w:szCs w:val="16"/>
          <w:color w:val="auto"/>
        </w:rPr>
      </w:pPr>
    </w:p>
    <w:p>
      <w:pPr>
        <w:jc w:val="both"/>
        <w:ind w:left="920" w:hanging="467"/>
        <w:spacing w:after="0" w:line="263" w:lineRule="auto"/>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Operating loss: the company now expects full-year 2023 operating loss to be around the same level as last year compared to previous guidance of a moderate decrease relative to the EUR 73.8 million operating loss reported for full-year 2022. This change in guidance is mainly driven by write-downs related to first generation product.</w:t>
      </w:r>
    </w:p>
    <w:p>
      <w:pPr>
        <w:spacing w:after="0" w:line="224" w:lineRule="exact"/>
        <w:rPr>
          <w:rFonts w:ascii="MS PGothic" w:cs="MS PGothic" w:eastAsia="MS PGothic" w:hAnsi="MS PGothic"/>
          <w:sz w:val="18"/>
          <w:szCs w:val="18"/>
          <w:color w:val="auto"/>
        </w:rPr>
      </w:pPr>
    </w:p>
    <w:p>
      <w:pPr>
        <w:ind w:left="1220" w:right="500" w:firstLine="3"/>
        <w:spacing w:after="0" w:line="221" w:lineRule="auto"/>
        <w:tabs>
          <w:tab w:leader="none" w:pos="1440" w:val="left"/>
        </w:tabs>
        <w:numPr>
          <w:ilvl w:val="1"/>
          <w:numId w:val="1"/>
        </w:numPr>
        <w:rPr>
          <w:rFonts w:ascii="Arial" w:cs="Arial" w:eastAsia="Arial" w:hAnsi="Arial"/>
          <w:sz w:val="26"/>
          <w:szCs w:val="26"/>
          <w:color w:val="auto"/>
          <w:vertAlign w:val="superscript"/>
        </w:rPr>
      </w:pPr>
      <w:r>
        <w:rPr>
          <w:rFonts w:ascii="Arial" w:cs="Arial" w:eastAsia="Arial" w:hAnsi="Arial"/>
          <w:sz w:val="16"/>
          <w:szCs w:val="16"/>
          <w:color w:val="auto"/>
        </w:rPr>
        <w:t>Optical communications terminal backlog represents the quantity of all open optical communications terminal deliverables in the context of signed customer programs at the end of a reporting period.</w:t>
      </w:r>
    </w:p>
    <w:p>
      <w:pPr>
        <w:spacing w:after="0" w:line="27" w:lineRule="exact"/>
        <w:rPr>
          <w:rFonts w:ascii="Arial" w:cs="Arial" w:eastAsia="Arial" w:hAnsi="Arial"/>
          <w:sz w:val="26"/>
          <w:szCs w:val="26"/>
          <w:color w:val="auto"/>
          <w:vertAlign w:val="superscript"/>
        </w:rPr>
      </w:pPr>
    </w:p>
    <w:p>
      <w:pPr>
        <w:ind w:left="1220" w:right="320" w:firstLine="3"/>
        <w:spacing w:after="0" w:line="232" w:lineRule="auto"/>
        <w:tabs>
          <w:tab w:leader="none" w:pos="1432" w:val="left"/>
        </w:tabs>
        <w:numPr>
          <w:ilvl w:val="1"/>
          <w:numId w:val="1"/>
        </w:numPr>
        <w:rPr>
          <w:rFonts w:ascii="Arial" w:cs="Arial" w:eastAsia="Arial" w:hAnsi="Arial"/>
          <w:sz w:val="25"/>
          <w:szCs w:val="25"/>
          <w:color w:val="auto"/>
          <w:vertAlign w:val="superscript"/>
        </w:rPr>
      </w:pPr>
      <w:r>
        <w:rPr>
          <w:rFonts w:ascii="Arial" w:cs="Arial" w:eastAsia="Arial" w:hAnsi="Arial"/>
          <w:sz w:val="15"/>
          <w:szCs w:val="15"/>
          <w:color w:val="auto"/>
        </w:rPr>
        <w:t>Cash-In from Customer Contracts includes payments from customers under purchase orders and other signed agreements, including accrued payment milestones under customer programs.</w:t>
      </w:r>
    </w:p>
    <w:p>
      <w:pPr>
        <w:spacing w:after="0" w:line="203" w:lineRule="exact"/>
        <w:rPr>
          <w:sz w:val="20"/>
          <w:szCs w:val="20"/>
          <w:color w:val="auto"/>
        </w:rPr>
      </w:pPr>
    </w:p>
    <w:p>
      <w:pPr>
        <w:ind w:left="620" w:right="720"/>
        <w:spacing w:after="0" w:line="277" w:lineRule="auto"/>
        <w:rPr>
          <w:sz w:val="20"/>
          <w:szCs w:val="20"/>
          <w:color w:val="auto"/>
        </w:rPr>
      </w:pPr>
      <w:r>
        <w:rPr>
          <w:rFonts w:ascii="Arial" w:cs="Arial" w:eastAsia="Arial" w:hAnsi="Arial"/>
          <w:sz w:val="18"/>
          <w:szCs w:val="18"/>
          <w:color w:val="auto"/>
        </w:rPr>
        <w:t>Further explanations about how Mynaric uses these metrics can be found in Mynaric’s Annual Report 2022, which has been published on Mynaric’s investor relations website.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Mynaric</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Mynaric (NASDAQ: MYNA) (FRA: M0Y)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mynaric.com.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w:t>
      </w:r>
    </w:p>
    <w:p>
      <w:pPr>
        <w:spacing w:after="0" w:line="22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164"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forward-looking statements included in this release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forward-looking statements. These risks, uncertainties and assumptions include, but are not limited to (i) the impact of any geopolitical tensions and hostilities or the global COVID-19 pandemic on the 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w:t>
      </w:r>
    </w:p>
    <w:p>
      <w:pPr>
        <w:spacing w:after="0" w:line="6" w:lineRule="exact"/>
        <w:rPr>
          <w:sz w:val="20"/>
          <w:szCs w:val="20"/>
          <w:color w:val="auto"/>
        </w:rPr>
      </w:pPr>
    </w:p>
    <w:p>
      <w:pPr>
        <w:ind w:firstLine="8"/>
        <w:spacing w:after="0" w:line="268" w:lineRule="auto"/>
        <w:tabs>
          <w:tab w:leader="none" w:pos="355" w:val="left"/>
        </w:tabs>
        <w:numPr>
          <w:ilvl w:val="0"/>
          <w:numId w:val="2"/>
        </w:numPr>
        <w:rPr>
          <w:rFonts w:ascii="Arial" w:cs="Arial" w:eastAsia="Arial" w:hAnsi="Arial"/>
          <w:sz w:val="17"/>
          <w:szCs w:val="17"/>
          <w:color w:val="auto"/>
        </w:rPr>
      </w:pPr>
      <w:r>
        <w:rPr>
          <w:rFonts w:ascii="Arial" w:cs="Arial" w:eastAsia="Arial" w:hAnsi="Arial"/>
          <w:sz w:val="17"/>
          <w:szCs w:val="17"/>
          <w:color w:val="auto"/>
        </w:rPr>
        <w:t>effects of competition and the development of the market for laser communication technology in general, (viii) risks related to our ability to manage 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18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forward-looking statements included in this release are made only as of the date hereof. Although we believe that the expectations reflected in the forward-looking statements are reasonable, we cannot guarantee that the future results, levels of activity, performance or events and circumstances reflected</w:t>
      </w:r>
    </w:p>
    <w:p>
      <w:pPr>
        <w:sectPr>
          <w:pgSz w:w="11900" w:h="16888" w:orient="portrait"/>
          <w:cols w:equalWidth="0" w:num="1">
            <w:col w:w="11240"/>
          </w:cols>
          <w:pgMar w:left="320" w:top="121" w:right="339" w:bottom="0" w:gutter="0" w:footer="0" w:header="0"/>
        </w:sectPr>
      </w:pPr>
    </w:p>
    <w:bookmarkStart w:id="3" w:name="page4"/>
    <w:bookmarkEnd w:id="3"/>
    <w:p>
      <w:pPr>
        <w:spacing w:after="0" w:line="301" w:lineRule="auto"/>
        <w:rPr>
          <w:sz w:val="20"/>
          <w:szCs w:val="20"/>
          <w:color w:val="auto"/>
        </w:rPr>
      </w:pPr>
      <w:r>
        <w:rPr>
          <w:rFonts w:ascii="Arial" w:cs="Arial" w:eastAsia="Arial" w:hAnsi="Arial"/>
          <w:sz w:val="16"/>
          <w:szCs w:val="16"/>
          <w:color w:val="auto"/>
        </w:rPr>
        <w:t>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spacing w:after="0" w:line="1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This release may include certain financial measures not presented in accordance with IFRS. Such financial measures are not measures of financial performance in accordance with IFRS and may exclude items that are significant in understanding and assessing our financial results. Therefore, these measures should not be considered in isolation or as an alternative to loss for the period or other measures of profitability, liquidity or performance under IFRS. You should be aware that our presentation of these measures may not be comparable to similarly titled measures used by other companies, which may be defined and calculated differently.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20"/>
      </w:cols>
      <w:pgMar w:left="320" w:top="12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2)"/>
      <w:numFmt w:val="decimal"/>
      <w:start w:val="1"/>
    </w:lvl>
  </w:abstractNum>
  <w:abstractNum w:abstractNumId="1">
    <w:nsid w:val="66334873"/>
    <w:multiLevelType w:val="hybridMultilevel"/>
    <w:lvl w:ilvl="0">
      <w:lvlJc w:val="left"/>
      <w:lvlText w:val="(%1)"/>
      <w:numFmt w:val="lowerRoman"/>
      <w:start w:val="7"/>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2023-11-13T05:21:20Z</dcterms:created>
  <dcterms:modified xsi:type="dcterms:W3CDTF">2023-11-13T05:21:20Z</dcterms:modified>
</cp:coreProperties>
</file>