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191770</wp:posOffset>
            </wp:positionV>
            <wp:extent cx="709803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268605</wp:posOffset>
            </wp:positionV>
            <wp:extent cx="709803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June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Mynaric AG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27940</wp:posOffset>
            </wp:positionV>
            <wp:extent cx="28460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Registrant’s name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Dornierstraße 19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+49 (0) 8105 79990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8500" w:val="left"/>
          <w:tab w:leader="none" w:pos="9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 or 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F:</w:t>
        <w:tab/>
        <w:t>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>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214630</wp:posOffset>
            </wp:positionV>
            <wp:extent cx="709803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266065</wp:posOffset>
            </wp:positionV>
            <wp:extent cx="7098030" cy="43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13th, 2024, Mynaric AG issued a corporate news. A copy of the Corporate News is furnished as Exhibit 99.1.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360" w:type="dxa"/>
            <w:vAlign w:val="bottom"/>
            <w:gridSpan w:val="2"/>
          </w:tcPr>
          <w:p>
            <w:pPr>
              <w:jc w:val="center"/>
              <w:ind w:right="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DOCUMENTS INCLUDED AS PART OF THIS FORM 6-K</w:t>
            </w:r>
          </w:p>
        </w:tc>
      </w:tr>
      <w:tr>
        <w:trPr>
          <w:trHeight w:val="432"/>
        </w:trPr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Exhibit</w:t>
            </w:r>
          </w:p>
        </w:tc>
      </w:tr>
      <w:tr>
        <w:trPr>
          <w:trHeight w:val="190"/>
        </w:trPr>
        <w:tc>
          <w:tcPr>
            <w:tcW w:w="660" w:type="dxa"/>
            <w:vAlign w:val="bottom"/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10580" w:type="dxa"/>
            <w:vAlign w:val="bottom"/>
            <w:gridSpan w:val="3"/>
            <w:shd w:val="clear" w:color="auto" w:fill="CCEEFF"/>
          </w:tcPr>
          <w:p>
            <w:pPr>
              <w:ind w:left="2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Preliminary Full-Year 2023 Financial Results Webcast</w:t>
            </w:r>
          </w:p>
        </w:tc>
      </w:tr>
      <w:tr>
        <w:trPr>
          <w:trHeight w:val="648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jc w:val="right"/>
              <w:ind w:right="5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  /s/ Stefan Berndt-von Bülow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Stefan Berndt-von Bülow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-130810</wp:posOffset>
            </wp:positionV>
            <wp:extent cx="2494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8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  /s/ Felix Hacke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17145</wp:posOffset>
            </wp:positionV>
            <wp:extent cx="249428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Felix Hacke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98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Authorized Representative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June 13, 2023</w:t>
      </w:r>
    </w:p>
    <w:p>
      <w:pPr>
        <w:sectPr>
          <w:pgSz w:w="11900" w:h="16838" w:orient="portrait"/>
          <w:cols w:equalWidth="0" w:num="1">
            <w:col w:w="11240"/>
          </w:cols>
          <w:pgMar w:left="320" w:top="671" w:right="339" w:bottom="0" w:gutter="0" w:footer="0" w:header="0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31750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37" w:right="1440" w:bottom="1440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Mynaric Announces Date of Preliminary Full-Year 2023 Financial Results Webcast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36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MUNICH, June 13, 2024 –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Mynaric (NASDAQ: MYNA) (FRA: M0YN), a leading provider of industrialized, cost-effective and scalable laser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communications products, today announced it has scheduled a webcast to discuss its preliminary full-year 2023 financial results for Thursday, June 20, 2024, at 12:00 p.m. Eastern Daylight Time (6:00 p.m. Central European Summer Time).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Prior to the webcast on June 20, 2024, Mynaric will release preliminary full-year 2023 financial results in the Investor Relations section on mynaric.com.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6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webcast will include a presentation of these preliminary results along with a Q&amp;A session with members of the management board of Mynaric including CEO, Mustafa Veziroglu and CFO, Stefan Berndt-von Bülow.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right="1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Interested parties may listen to the webcast on the Investor Relations section of mynaric.com by pre-registering at the following registration link: Mynaric Full-Year 2023 Earnings Webcast Registration.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 archived version of the webcast along with corresponding slides will be available on the Investor Relations section on mynaric.com.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Mynaric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Mynaric (NASDAQ: MYNA) (FRA: M0YN) is leading the industrial revolution of laser communications by producing optical communications terminals for air, space and mobile applications. Laser communication networks provide connectivity from the sky, allowing for ultra-high data rates and secure, long-distance data transmission between moving objects for wireless terrestrial, mobility, airborne- and space-based applications. The company is headquartered in Munich, Germany, with additional locations in Los Angeles, California, and Washington, D.C. For more information, visit mynaric.com.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116205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13.06.2024 CET/CEST Dissemination of a Corporate News, transmitted by EQS News - a service of EQS Group AG.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issuer is solely responsible for the content of this announcement.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EQS Distribution Services include Regulatory Announcements, Financial/Corporate News and Press Releases.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Archive at www.eqs-news.com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7" w:right="3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Language: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Company: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Phone: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E-mail: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Internet: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ISIN: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WKN: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Indices: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Listed: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EQS News ID: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English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Mynaric AG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Bertha-Kipfmüller-Str. 2-8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81249 München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Germany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+49 8105 7999 0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comms@mynaric.com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www.mynaric.com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DE000A31C305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A31C30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Scale 30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Regulated Unofficial Market in Berlin, Dusseldorf, Frankfurt (Scale), Hamburg, Munich, Stuttgart, Tradegate Exchange; Nasdaq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1923909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80" w:space="600"/>
            <w:col w:w="9560"/>
          </w:cols>
          <w:pgMar w:left="320" w:top="117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End of News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EQS News Service</w:t>
      </w:r>
    </w:p>
    <w:sectPr>
      <w:pgSz w:w="11900" w:h="16838" w:orient="portrait"/>
      <w:cols w:equalWidth="0" w:num="2">
        <w:col w:w="3220" w:space="720"/>
        <w:col w:w="7300"/>
      </w:cols>
      <w:pgMar w:left="320" w:top="117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2024-06-13T12:17:19Z</dcterms:created>
  <dcterms:modified xsi:type="dcterms:W3CDTF">2024-06-13T12:17:19Z</dcterms:modified>
</cp:coreProperties>
</file>