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4"/>
          <w:szCs w:val="24"/>
          <w:color w:val="auto"/>
        </w:rPr>
      </w:pPr>
    </w:p>
    <w:p>
      <w:pPr>
        <w:ind w:left="3780"/>
        <w:spacing w:after="0"/>
        <w:rPr>
          <w:sz w:val="20"/>
          <w:szCs w:val="20"/>
          <w:color w:val="auto"/>
        </w:rPr>
      </w:pPr>
      <w:r>
        <w:rPr>
          <w:rFonts w:ascii="Arial" w:cs="Arial" w:eastAsia="Arial" w:hAnsi="Arial"/>
          <w:sz w:val="11"/>
          <w:szCs w:val="11"/>
          <w:b w:val="1"/>
          <w:bCs w:val="1"/>
          <w:color w:val="auto"/>
        </w:rPr>
        <w:t>As filed with the U.S. Securities and Exchange Commission on November 2, 2021</w:t>
      </w:r>
    </w:p>
    <w:p>
      <w:pPr>
        <w:spacing w:after="0" w:line="149" w:lineRule="exact"/>
        <w:rPr>
          <w:sz w:val="24"/>
          <w:szCs w:val="24"/>
          <w:color w:val="auto"/>
        </w:rPr>
      </w:pPr>
    </w:p>
    <w:p>
      <w:pPr>
        <w:jc w:val="right"/>
        <w:ind w:right="839"/>
        <w:spacing w:after="0"/>
        <w:rPr>
          <w:sz w:val="20"/>
          <w:szCs w:val="20"/>
          <w:color w:val="auto"/>
        </w:rPr>
      </w:pPr>
      <w:r>
        <w:rPr>
          <w:rFonts w:ascii="Arial" w:cs="Arial" w:eastAsia="Arial" w:hAnsi="Arial"/>
          <w:sz w:val="12"/>
          <w:szCs w:val="12"/>
          <w:b w:val="1"/>
          <w:bCs w:val="1"/>
          <w:color w:val="auto"/>
        </w:rPr>
        <w:t>Registration No. 333-260357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69215</wp:posOffset>
            </wp:positionV>
            <wp:extent cx="46634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114935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82"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AMENDMENT NO. 2</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TO</w:t>
      </w:r>
    </w:p>
    <w:p>
      <w:pPr>
        <w:spacing w:after="0" w:line="57"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FORM F-1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MYNARIC AG</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39" w:lineRule="exact"/>
        <w:rPr>
          <w:sz w:val="24"/>
          <w:szCs w:val="24"/>
          <w:color w:val="auto"/>
        </w:rPr>
      </w:pPr>
    </w:p>
    <w:tbl>
      <w:tblPr>
        <w:tblLayout w:type="fixed"/>
        <w:tblInd w:w="2520" w:type="dxa"/>
        <w:tblCellMar>
          <w:top w:w="0" w:type="dxa"/>
          <w:left w:w="0" w:type="dxa"/>
          <w:bottom w:w="0" w:type="dxa"/>
          <w:right w:w="0" w:type="dxa"/>
        </w:tblCellMar>
      </w:tblPr>
      <w:tr>
        <w:trPr>
          <w:trHeight w:val="144"/>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89"/>
              </w:rPr>
              <w:t>Federal Republic of</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9"/>
              </w:rPr>
              <w:t>4899</w:t>
            </w:r>
          </w:p>
        </w:tc>
        <w:tc>
          <w:tcPr>
            <w:tcW w:w="1700" w:type="dxa"/>
            <w:vAlign w:val="bottom"/>
          </w:tcPr>
          <w:p>
            <w:pPr>
              <w:jc w:val="center"/>
              <w:ind w:left="520"/>
              <w:spacing w:after="0"/>
              <w:rPr>
                <w:sz w:val="20"/>
                <w:szCs w:val="20"/>
                <w:color w:val="auto"/>
              </w:rPr>
            </w:pPr>
            <w:r>
              <w:rPr>
                <w:rFonts w:ascii="Arial" w:cs="Arial" w:eastAsia="Arial" w:hAnsi="Arial"/>
                <w:sz w:val="12"/>
                <w:szCs w:val="12"/>
                <w:b w:val="1"/>
                <w:bCs w:val="1"/>
                <w:color w:val="auto"/>
                <w:w w:val="96"/>
              </w:rPr>
              <w:t>N/A</w:t>
            </w:r>
          </w:p>
        </w:tc>
      </w:tr>
      <w:tr>
        <w:trPr>
          <w:trHeight w:val="148"/>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92"/>
              </w:rPr>
              <w:t>Germany</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2"/>
              </w:rPr>
              <w:t>(IRS Employer</w:t>
            </w:r>
          </w:p>
        </w:tc>
      </w:tr>
      <w:tr>
        <w:trPr>
          <w:trHeight w:val="153"/>
        </w:trPr>
        <w:tc>
          <w:tcPr>
            <w:tcW w:w="1940" w:type="dxa"/>
            <w:vAlign w:val="bottom"/>
          </w:tcPr>
          <w:p>
            <w:pPr>
              <w:jc w:val="center"/>
              <w:ind w:right="480"/>
              <w:spacing w:after="0"/>
              <w:rPr>
                <w:sz w:val="20"/>
                <w:szCs w:val="20"/>
                <w:color w:val="auto"/>
              </w:rPr>
            </w:pPr>
            <w:r>
              <w:rPr>
                <w:rFonts w:ascii="Arial" w:cs="Arial" w:eastAsia="Arial" w:hAnsi="Arial"/>
                <w:sz w:val="12"/>
                <w:szCs w:val="12"/>
                <w:color w:val="auto"/>
                <w:w w:val="93"/>
              </w:rPr>
              <w:t>(State or other jurisdiction of</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5"/>
              </w:rPr>
              <w:t>Identification Number)</w:t>
            </w:r>
          </w:p>
        </w:tc>
      </w:tr>
    </w:tbl>
    <w:p>
      <w:pPr>
        <w:ind w:left="2500"/>
        <w:spacing w:after="0"/>
        <w:rPr>
          <w:sz w:val="20"/>
          <w:szCs w:val="20"/>
          <w:color w:val="auto"/>
        </w:rPr>
      </w:pPr>
      <w:r>
        <w:rPr>
          <w:rFonts w:ascii="Arial" w:cs="Arial" w:eastAsia="Arial" w:hAnsi="Arial"/>
          <w:sz w:val="12"/>
          <w:szCs w:val="12"/>
          <w:color w:val="auto"/>
        </w:rPr>
        <w:t>incorporation or organization)</w:t>
      </w:r>
    </w:p>
    <w:p>
      <w:pPr>
        <w:spacing w:after="0" w:line="137"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Dornierstraße 19</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82205 Gilching, Germany</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+49 (0) 8105 79990</w:t>
      </w:r>
    </w:p>
    <w:p>
      <w:pPr>
        <w:jc w:val="center"/>
        <w:ind w:right="-114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Puglisi &amp; Associates</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850 Library Avenue, Suite 204</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Newark, Delaware 19711</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+1 (302) 738-6680</w:t>
      </w:r>
    </w:p>
    <w:p>
      <w:pPr>
        <w:jc w:val="center"/>
        <w:ind w:right="-114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Copies of all communications, including communications</w:t>
      </w:r>
    </w:p>
    <w:p>
      <w:pPr>
        <w:spacing w:after="0" w:line="1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sent to agent for service, should be sent to:</w:t>
      </w:r>
    </w:p>
    <w:p>
      <w:pPr>
        <w:spacing w:after="0" w:line="159" w:lineRule="exact"/>
        <w:rPr>
          <w:sz w:val="24"/>
          <w:szCs w:val="24"/>
          <w:color w:val="auto"/>
        </w:rPr>
      </w:pPr>
    </w:p>
    <w:tbl>
      <w:tblPr>
        <w:tblLayout w:type="fixed"/>
        <w:tblInd w:w="3200" w:type="dxa"/>
        <w:tblCellMar>
          <w:top w:w="0" w:type="dxa"/>
          <w:left w:w="0" w:type="dxa"/>
          <w:bottom w:w="0" w:type="dxa"/>
          <w:right w:w="0" w:type="dxa"/>
        </w:tblCellMar>
      </w:tblP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3"/>
              </w:rPr>
              <w:t>Krystian M. Czerniecki</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1"/>
              </w:rPr>
              <w:t>Craig F. Arcella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4"/>
              </w:rPr>
              <w:t>Sullivan &amp; Cromwell LLP</w:t>
            </w:r>
          </w:p>
        </w:tc>
        <w:tc>
          <w:tcPr>
            <w:tcW w:w="2640" w:type="dxa"/>
            <w:vAlign w:val="bottom"/>
          </w:tcPr>
          <w:p>
            <w:pPr>
              <w:jc w:val="center"/>
              <w:ind w:left="1146"/>
              <w:spacing w:after="0"/>
              <w:rPr>
                <w:sz w:val="20"/>
                <w:szCs w:val="20"/>
                <w:color w:val="auto"/>
              </w:rPr>
            </w:pPr>
            <w:r>
              <w:rPr>
                <w:rFonts w:ascii="Arial" w:cs="Arial" w:eastAsia="Arial" w:hAnsi="Arial"/>
                <w:sz w:val="11"/>
                <w:szCs w:val="11"/>
                <w:b w:val="1"/>
                <w:bCs w:val="1"/>
                <w:color w:val="auto"/>
                <w:w w:val="88"/>
              </w:rPr>
              <w:t>Sasha Rosenthal-Larrea</w:t>
            </w:r>
          </w:p>
        </w:tc>
      </w:tr>
      <w:tr>
        <w:trPr>
          <w:trHeight w:val="135"/>
        </w:trPr>
        <w:tc>
          <w:tcPr>
            <w:tcW w:w="2420" w:type="dxa"/>
            <w:vAlign w:val="bottom"/>
          </w:tcPr>
          <w:p>
            <w:pPr>
              <w:jc w:val="center"/>
              <w:ind w:right="1126"/>
              <w:spacing w:after="0"/>
              <w:rPr>
                <w:sz w:val="20"/>
                <w:szCs w:val="20"/>
                <w:color w:val="auto"/>
              </w:rPr>
            </w:pPr>
            <w:r>
              <w:rPr>
                <w:rFonts w:ascii="Arial" w:cs="Arial" w:eastAsia="Arial" w:hAnsi="Arial"/>
                <w:sz w:val="11"/>
                <w:szCs w:val="11"/>
                <w:b w:val="1"/>
                <w:bCs w:val="1"/>
                <w:color w:val="auto"/>
                <w:w w:val="90"/>
              </w:rPr>
              <w:t>Neue Mainzer Straße 52</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Cravath, Swaine &amp; Moore LLP</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2"/>
              </w:rPr>
              <w:t>60311 Frankfurt, Germany</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Worldwide Plaza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89"/>
              </w:rPr>
              <w:t>+49 (69) 4272 5200</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7"/>
              </w:rPr>
              <w:t>825 Eighth Avenue</w:t>
            </w:r>
          </w:p>
        </w:tc>
      </w:tr>
      <w:tr>
        <w:trPr>
          <w:trHeight w:val="135"/>
        </w:trPr>
        <w:tc>
          <w:tcPr>
            <w:tcW w:w="2420" w:type="dxa"/>
            <w:vAlign w:val="bottom"/>
          </w:tcPr>
          <w:p>
            <w:pPr>
              <w:spacing w:after="0"/>
              <w:rPr>
                <w:sz w:val="11"/>
                <w:szCs w:val="11"/>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New York, New York 10019</w:t>
            </w:r>
          </w:p>
        </w:tc>
      </w:tr>
      <w:tr>
        <w:trPr>
          <w:trHeight w:val="140"/>
        </w:trPr>
        <w:tc>
          <w:tcPr>
            <w:tcW w:w="2420" w:type="dxa"/>
            <w:vAlign w:val="bottom"/>
          </w:tcPr>
          <w:p>
            <w:pPr>
              <w:spacing w:after="0"/>
              <w:rPr>
                <w:sz w:val="12"/>
                <w:szCs w:val="12"/>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0"/>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71120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becomes effective.</w:t>
      </w:r>
    </w:p>
    <w:p>
      <w:pPr>
        <w:spacing w:after="0" w:line="105"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24" w:lineRule="exact"/>
        <w:rPr>
          <w:sz w:val="24"/>
          <w:szCs w:val="24"/>
          <w:color w:val="auto"/>
        </w:rPr>
      </w:pPr>
    </w:p>
    <w:p>
      <w:pPr>
        <w:ind w:left="1980" w:right="1019" w:firstLine="294"/>
        <w:spacing w:after="0" w:line="15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3"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128" w:lineRule="exact"/>
        <w:rPr>
          <w:sz w:val="20"/>
          <w:szCs w:val="20"/>
          <w:color w:val="auto"/>
        </w:rPr>
      </w:pPr>
    </w:p>
    <w:p>
      <w:pPr>
        <w:ind w:left="2260"/>
        <w:spacing w:after="0" w:line="138" w:lineRule="exact"/>
        <w:tabs>
          <w:tab w:leader="none" w:pos="39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0"/>
          <w:szCs w:val="20"/>
          <w:color w:val="auto"/>
        </w:rPr>
      </w:pPr>
    </w:p>
    <w:p>
      <w:pPr>
        <w:ind w:left="1980" w:right="919" w:firstLine="294"/>
        <w:spacing w:after="0" w:line="151"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61" w:lineRule="exact"/>
        <w:rPr>
          <w:sz w:val="20"/>
          <w:szCs w:val="20"/>
          <w:color w:val="auto"/>
        </w:rPr>
      </w:pPr>
    </w:p>
    <w:p>
      <w:pPr>
        <w:ind w:left="2260" w:right="1399" w:hanging="288"/>
        <w:spacing w:after="0" w:line="276" w:lineRule="auto"/>
        <w:tabs>
          <w:tab w:leader="none" w:pos="2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34925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0" w:lineRule="exact"/>
        <w:rPr>
          <w:sz w:val="20"/>
          <w:szCs w:val="20"/>
          <w:color w:val="auto"/>
        </w:rPr>
      </w:pPr>
    </w:p>
    <w:tbl>
      <w:tblPr>
        <w:tblLayout w:type="fixed"/>
        <w:tblInd w:w="1990" w:type="dxa"/>
        <w:tblCellMar>
          <w:top w:w="0" w:type="dxa"/>
          <w:left w:w="0" w:type="dxa"/>
          <w:bottom w:w="0" w:type="dxa"/>
          <w:right w:w="0" w:type="dxa"/>
        </w:tblCellMar>
      </w:tblPr>
      <w:tr>
        <w:trPr>
          <w:trHeight w:val="135"/>
        </w:trPr>
        <w:tc>
          <w:tcPr>
            <w:tcW w:w="1840" w:type="dxa"/>
            <w:vAlign w:val="bottom"/>
            <w:tcBorders>
              <w:top w:val="single" w:sz="8" w:color="auto"/>
              <w:left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Proposed Maximum</w:t>
            </w:r>
          </w:p>
        </w:tc>
        <w:tc>
          <w:tcPr>
            <w:tcW w:w="1860" w:type="dxa"/>
            <w:vAlign w:val="bottom"/>
            <w:tcBorders>
              <w:top w:val="single" w:sz="8" w:color="auto"/>
              <w:right w:val="single" w:sz="8" w:color="auto"/>
            </w:tcBorders>
          </w:tcPr>
          <w:p>
            <w:pPr>
              <w:spacing w:after="0"/>
              <w:rPr>
                <w:sz w:val="11"/>
                <w:szCs w:val="11"/>
                <w:color w:val="auto"/>
              </w:rPr>
            </w:pPr>
          </w:p>
        </w:tc>
      </w:tr>
      <w:tr>
        <w:trPr>
          <w:trHeight w:val="135"/>
        </w:trPr>
        <w:tc>
          <w:tcPr>
            <w:tcW w:w="184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8"/>
              </w:rPr>
              <w:t>Title of Each Class of</w:t>
            </w:r>
          </w:p>
        </w:tc>
        <w:tc>
          <w:tcPr>
            <w:tcW w:w="170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Amount of</w:t>
            </w:r>
          </w:p>
        </w:tc>
      </w:tr>
      <w:tr>
        <w:trPr>
          <w:trHeight w:val="142"/>
        </w:trPr>
        <w:tc>
          <w:tcPr>
            <w:tcW w:w="184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6"/>
              </w:rPr>
              <w:t>Securities to be Registered(1)</w:t>
            </w:r>
          </w:p>
        </w:tc>
        <w:tc>
          <w:tcPr>
            <w:tcW w:w="17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Offering Price(2)(3)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Registration Fee(4)</w:t>
            </w:r>
          </w:p>
        </w:tc>
      </w:tr>
      <w:tr>
        <w:trPr>
          <w:trHeight w:val="135"/>
        </w:trPr>
        <w:tc>
          <w:tcPr>
            <w:tcW w:w="1840" w:type="dxa"/>
            <w:vAlign w:val="bottom"/>
            <w:tcBorders>
              <w:left w:val="single" w:sz="8" w:color="auto"/>
              <w:bottom w:val="single" w:sz="8" w:color="auto"/>
              <w:right w:val="single" w:sz="8" w:color="auto"/>
            </w:tcBorders>
          </w:tcPr>
          <w:p>
            <w:pPr>
              <w:ind w:left="100"/>
              <w:spacing w:after="0" w:line="135" w:lineRule="exact"/>
              <w:rPr>
                <w:sz w:val="20"/>
                <w:szCs w:val="20"/>
                <w:color w:val="auto"/>
              </w:rPr>
            </w:pPr>
            <w:r>
              <w:rPr>
                <w:rFonts w:ascii="Arial" w:cs="Arial" w:eastAsia="Arial" w:hAnsi="Arial"/>
                <w:sz w:val="12"/>
                <w:szCs w:val="12"/>
                <w:color w:val="auto"/>
              </w:rPr>
              <w:t>Ordinary shares, no par value</w:t>
            </w:r>
          </w:p>
        </w:tc>
        <w:tc>
          <w:tcPr>
            <w:tcW w:w="170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$60,000,000</w:t>
            </w:r>
          </w:p>
        </w:tc>
        <w:tc>
          <w:tcPr>
            <w:tcW w:w="18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2"/>
              </w:rPr>
              <w:t>$5,562</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60" w:right="899" w:hanging="288"/>
        <w:spacing w:after="0" w:line="274" w:lineRule="auto"/>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All ordinary shares will be represented by American Depositary Shares (“ADSs”), with every ADSs representing one ordinary share. ADSs issuable upon deposit of the ordinary shares registered hereby will be registered under a separate registration statement on Form F-6.</w:t>
      </w:r>
    </w:p>
    <w:p>
      <w:pPr>
        <w:spacing w:after="0" w:line="62"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aggregate offering price of additional ordinary shares, represented by ADSs, that the underwriters have the option to purchase.</w:t>
      </w:r>
    </w:p>
    <w:p>
      <w:pPr>
        <w:spacing w:after="0" w:line="89"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Estimated solely for the purpose of determining the amount of registration fee in accordance with Rule 457(o) under the Securities Act of 1933, as amended.</w:t>
      </w:r>
    </w:p>
    <w:p>
      <w:pPr>
        <w:spacing w:after="0" w:line="101" w:lineRule="exact"/>
        <w:rPr>
          <w:rFonts w:ascii="Arial" w:cs="Arial" w:eastAsia="Arial" w:hAnsi="Arial"/>
          <w:sz w:val="10"/>
          <w:szCs w:val="10"/>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Previously paid.</w:t>
      </w:r>
    </w:p>
    <w:p>
      <w:pPr>
        <w:spacing w:after="0" w:line="73" w:lineRule="exact"/>
        <w:rPr>
          <w:sz w:val="20"/>
          <w:szCs w:val="20"/>
          <w:color w:val="auto"/>
        </w:rPr>
      </w:pPr>
    </w:p>
    <w:p>
      <w:pPr>
        <w:ind w:left="1980" w:right="859" w:firstLine="294"/>
        <w:spacing w:after="0" w:line="29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217170</wp:posOffset>
            </wp:positionV>
            <wp:extent cx="46634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2286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919"/>
        <w:spacing w:after="0" w:line="266" w:lineRule="auto"/>
        <w:rPr>
          <w:sz w:val="20"/>
          <w:szCs w:val="20"/>
          <w:color w:val="auto"/>
        </w:rPr>
      </w:pPr>
      <w:r>
        <w:rPr>
          <w:rFonts w:ascii="Arial" w:cs="Arial" w:eastAsia="Arial" w:hAnsi="Arial"/>
          <w:sz w:val="12"/>
          <w:szCs w:val="12"/>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PROSPECTUS (Subject to Completion)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Dated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106680</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American Depositary Shares</w:t>
      </w:r>
    </w:p>
    <w:p>
      <w:pPr>
        <w:spacing w:after="0" w:line="62"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113665</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2" w:lineRule="exact"/>
        <w:rPr>
          <w:sz w:val="20"/>
          <w:szCs w:val="20"/>
          <w:color w:val="auto"/>
        </w:rPr>
      </w:pPr>
    </w:p>
    <w:p>
      <w:pPr>
        <w:jc w:val="center"/>
        <w:ind w:right="-880"/>
        <w:spacing w:after="0"/>
        <w:rPr>
          <w:sz w:val="20"/>
          <w:szCs w:val="20"/>
          <w:color w:val="auto"/>
        </w:rPr>
      </w:pPr>
      <w:r>
        <w:rPr>
          <w:rFonts w:ascii="Arial" w:cs="Arial" w:eastAsia="Arial" w:hAnsi="Arial"/>
          <w:sz w:val="12"/>
          <w:szCs w:val="12"/>
          <w:color w:val="auto"/>
        </w:rPr>
        <w:t>This is the initial public offering of American depositary shares (“ADS”), representing ordinary shares of Mynaric AG, a German stock</w:t>
      </w:r>
    </w:p>
    <w:p>
      <w:pPr>
        <w:spacing w:after="0" w:line="15" w:lineRule="exact"/>
        <w:rPr>
          <w:sz w:val="20"/>
          <w:szCs w:val="20"/>
          <w:color w:val="auto"/>
        </w:rPr>
      </w:pPr>
    </w:p>
    <w:p>
      <w:pPr>
        <w:ind w:left="1980" w:right="1059"/>
        <w:spacing w:after="0" w:line="260" w:lineRule="auto"/>
        <w:rPr>
          <w:sz w:val="20"/>
          <w:szCs w:val="20"/>
          <w:color w:val="auto"/>
        </w:rPr>
      </w:pPr>
      <w:r>
        <w:rPr>
          <w:rFonts w:ascii="Arial" w:cs="Arial" w:eastAsia="Arial" w:hAnsi="Arial"/>
          <w:sz w:val="12"/>
          <w:szCs w:val="12"/>
          <w:color w:val="auto"/>
        </w:rPr>
        <w:t>corporation. We are offering ADSs. Every ADSs will represent one ordinary share with a notional value of €1.00 per share. We have applied to list the ADSs on Nasdaq under the symbol “MYNA.”</w:t>
      </w:r>
    </w:p>
    <w:p>
      <w:pPr>
        <w:spacing w:after="0" w:line="5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Our ordinary shares are listed on the Frankfurt Stock Exchange under the symbol “M0Y.” On , 2021, the last closing price of our ordinary shares on the Frankfurt Stock Exchange was € per ordinary share, equivalent to a price of $ per ADS, after giving effect to the Euro/U.S. dollar exchange rate of €1.00 to $ as of , 2021, and an ADS to share ratio of to . The initial public</w:t>
      </w:r>
    </w:p>
    <w:p>
      <w:pPr>
        <w:spacing w:after="0" w:line="1" w:lineRule="exact"/>
        <w:rPr>
          <w:sz w:val="20"/>
          <w:szCs w:val="20"/>
          <w:color w:val="auto"/>
        </w:rPr>
      </w:pPr>
    </w:p>
    <w:p>
      <w:pPr>
        <w:ind w:left="1980" w:right="859"/>
        <w:spacing w:after="0" w:line="260" w:lineRule="auto"/>
        <w:rPr>
          <w:sz w:val="20"/>
          <w:szCs w:val="20"/>
          <w:color w:val="auto"/>
        </w:rPr>
      </w:pPr>
      <w:r>
        <w:rPr>
          <w:rFonts w:ascii="Arial" w:cs="Arial" w:eastAsia="Arial" w:hAnsi="Arial"/>
          <w:sz w:val="12"/>
          <w:szCs w:val="12"/>
          <w:color w:val="auto"/>
        </w:rPr>
        <w:t>offering price for the ADSs will be determined through discussions between us and the representatives of the underwriters and will be based in large part on the closing price of our ordinary shares on the Frankfurt Stock Exchange.</w:t>
      </w:r>
    </w:p>
    <w:p>
      <w:pPr>
        <w:spacing w:after="0" w:line="52"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Bulent Altan, our Chief Executive Officer and a member of our management board, has indicated an interest in purchasing an aggregate of up to $75 thousand of ADSs in this offering at the initial public offering price.</w:t>
      </w:r>
    </w:p>
    <w:p>
      <w:pPr>
        <w:spacing w:after="0" w:line="43"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0"/>
          <w:szCs w:val="20"/>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the ADSs involves risks. See “</w:t>
      </w:r>
      <w:hyperlink w:anchor="page31">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PRICE $</w:t>
            </w:r>
          </w:p>
        </w:tc>
        <w:tc>
          <w:tcPr>
            <w:tcW w:w="3380" w:type="dxa"/>
            <w:vAlign w:val="bottom"/>
            <w:gridSpan w:val="4"/>
          </w:tcPr>
          <w:p>
            <w:pPr>
              <w:ind w:left="200"/>
              <w:spacing w:after="0"/>
              <w:rPr>
                <w:sz w:val="20"/>
                <w:szCs w:val="20"/>
                <w:color w:val="auto"/>
              </w:rPr>
            </w:pPr>
            <w:r>
              <w:rPr>
                <w:rFonts w:ascii="Arial" w:cs="Arial" w:eastAsia="Arial" w:hAnsi="Arial"/>
                <w:sz w:val="12"/>
                <w:szCs w:val="12"/>
                <w:b w:val="1"/>
                <w:bCs w:val="1"/>
                <w:color w:val="auto"/>
              </w:rPr>
              <w:t>PER ADS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Per ADS</w:t>
            </w:r>
          </w:p>
        </w:tc>
        <w:tc>
          <w:tcPr>
            <w:tcW w:w="3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2800" w:type="dxa"/>
            <w:vAlign w:val="bottom"/>
            <w:tcBorders>
              <w:top w:val="single" w:sz="8" w:color="CCEEFF"/>
            </w:tcBorders>
            <w:gridSpan w:val="2"/>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3200" w:type="dxa"/>
            <w:vAlign w:val="bottom"/>
            <w:gridSpan w:val="3"/>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3200" w:type="dxa"/>
            <w:vAlign w:val="bottom"/>
            <w:gridSpan w:val="3"/>
            <w:shd w:val="clear" w:color="auto" w:fill="CCEEFF"/>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3"/>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ectPr>
          <w:pgSz w:w="11900" w:h="16838" w:orient="portrait"/>
          <w:cols w:equalWidth="0" w:num="1">
            <w:col w:w="10159"/>
          </w:cols>
          <w:pgMar w:left="300" w:top="354" w:right="1440" w:bottom="1440" w:gutter="0" w:footer="0" w:header="0"/>
        </w:sectPr>
      </w:pPr>
    </w:p>
    <w:p>
      <w:pPr>
        <w:spacing w:after="0" w:line="60" w:lineRule="exact"/>
        <w:rPr>
          <w:sz w:val="20"/>
          <w:szCs w:val="20"/>
          <w:color w:val="auto"/>
        </w:rPr>
      </w:pPr>
    </w:p>
    <w:p>
      <w:pPr>
        <w:jc w:val="both"/>
        <w:ind w:left="1980" w:firstLine="294"/>
        <w:spacing w:after="0" w:line="375" w:lineRule="auto"/>
        <w:rPr>
          <w:sz w:val="20"/>
          <w:szCs w:val="20"/>
          <w:color w:val="auto"/>
        </w:rPr>
      </w:pPr>
      <w:r>
        <w:rPr>
          <w:rFonts w:ascii="Arial" w:cs="Arial" w:eastAsia="Arial" w:hAnsi="Arial"/>
          <w:sz w:val="10"/>
          <w:szCs w:val="10"/>
          <w:color w:val="auto"/>
        </w:rPr>
        <w:t>The underwriters have the option to purchase up to an additional discount, until the date that is 30 days after the date of this prospectus.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ADSs from us at the initial public offering price, less the underwriting</w:t>
      </w:r>
    </w:p>
    <w:p>
      <w:pPr>
        <w:spacing w:after="0" w:line="233" w:lineRule="exact"/>
        <w:rPr>
          <w:sz w:val="20"/>
          <w:szCs w:val="20"/>
          <w:color w:val="auto"/>
        </w:rPr>
      </w:pPr>
    </w:p>
    <w:p>
      <w:pPr>
        <w:sectPr>
          <w:pgSz w:w="11900" w:h="16838" w:orient="portrait"/>
          <w:cols w:equalWidth="0" w:num="2">
            <w:col w:w="5360" w:space="420"/>
            <w:col w:w="4379"/>
          </w:cols>
          <w:pgMar w:left="300" w:top="354" w:right="1440" w:bottom="1440" w:gutter="0" w:footer="0" w:header="0"/>
          <w:type w:val="continuous"/>
        </w:sect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2"/>
                <w:szCs w:val="12"/>
                <w:color w:val="auto"/>
                <w:w w:val="97"/>
              </w:rPr>
              <w:t>The underwriters expect to deliver the ADSs to purchasers on or about</w:t>
            </w:r>
          </w:p>
        </w:tc>
        <w:tc>
          <w:tcPr>
            <w:tcW w:w="60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97155</wp:posOffset>
            </wp:positionV>
            <wp:extent cx="9829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0"/>
          <w:szCs w:val="20"/>
          <w:color w:val="auto"/>
        </w:rPr>
      </w:pPr>
    </w:p>
    <w:tbl>
      <w:tblPr>
        <w:tblLayout w:type="fixed"/>
        <w:tblInd w:w="2460" w:type="dxa"/>
        <w:tblCellMar>
          <w:top w:w="0" w:type="dxa"/>
          <w:left w:w="0" w:type="dxa"/>
          <w:bottom w:w="0" w:type="dxa"/>
          <w:right w:w="0" w:type="dxa"/>
        </w:tblCellMar>
      </w:tblPr>
      <w:tr>
        <w:trPr>
          <w:trHeight w:val="198"/>
        </w:trPr>
        <w:tc>
          <w:tcPr>
            <w:tcW w:w="2400" w:type="dxa"/>
            <w:vAlign w:val="bottom"/>
          </w:tcPr>
          <w:p>
            <w:pPr>
              <w:jc w:val="right"/>
              <w:ind w:right="508"/>
              <w:spacing w:after="0"/>
              <w:rPr>
                <w:sz w:val="20"/>
                <w:szCs w:val="20"/>
                <w:color w:val="auto"/>
              </w:rPr>
            </w:pPr>
            <w:r>
              <w:rPr>
                <w:rFonts w:ascii="Arial" w:cs="Arial" w:eastAsia="Arial" w:hAnsi="Arial"/>
                <w:sz w:val="17"/>
                <w:szCs w:val="17"/>
                <w:b w:val="1"/>
                <w:bCs w:val="1"/>
                <w:color w:val="auto"/>
              </w:rPr>
              <w:t>Credit Suisse</w:t>
            </w:r>
          </w:p>
        </w:tc>
        <w:tc>
          <w:tcPr>
            <w:tcW w:w="1560" w:type="dxa"/>
            <w:vAlign w:val="bottom"/>
          </w:tcPr>
          <w:p>
            <w:pPr>
              <w:spacing w:after="0"/>
              <w:rPr>
                <w:sz w:val="17"/>
                <w:szCs w:val="17"/>
                <w:color w:val="auto"/>
              </w:rPr>
            </w:pPr>
          </w:p>
        </w:tc>
        <w:tc>
          <w:tcPr>
            <w:tcW w:w="1220" w:type="dxa"/>
            <w:vAlign w:val="bottom"/>
          </w:tcPr>
          <w:p>
            <w:pPr>
              <w:ind w:left="600"/>
              <w:spacing w:after="0"/>
              <w:rPr>
                <w:sz w:val="20"/>
                <w:szCs w:val="20"/>
                <w:color w:val="auto"/>
              </w:rPr>
            </w:pPr>
            <w:r>
              <w:rPr>
                <w:rFonts w:ascii="Arial" w:cs="Arial" w:eastAsia="Arial" w:hAnsi="Arial"/>
                <w:sz w:val="17"/>
                <w:szCs w:val="17"/>
                <w:b w:val="1"/>
                <w:bCs w:val="1"/>
                <w:color w:val="auto"/>
                <w:w w:val="85"/>
              </w:rPr>
              <w:t>Jefferies</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18"/>
                <w:szCs w:val="18"/>
                <w:color w:val="auto"/>
              </w:rPr>
            </w:pPr>
          </w:p>
        </w:tc>
        <w:tc>
          <w:tcPr>
            <w:tcW w:w="27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89"/>
              </w:rPr>
              <w:t>Canaccord Genuity</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7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87"/>
              </w:rPr>
              <w:t>Beech Hill Securities</w:t>
            </w:r>
          </w:p>
        </w:tc>
        <w:tc>
          <w:tcPr>
            <w:tcW w:w="0" w:type="dxa"/>
            <w:vAlign w:val="bottom"/>
          </w:tcPr>
          <w:p>
            <w:pPr>
              <w:spacing w:after="0"/>
              <w:rPr>
                <w:sz w:val="1"/>
                <w:szCs w:val="1"/>
                <w:color w:val="auto"/>
              </w:rPr>
            </w:pPr>
          </w:p>
        </w:tc>
      </w:tr>
      <w:tr>
        <w:trPr>
          <w:trHeight w:val="175"/>
        </w:trPr>
        <w:tc>
          <w:tcPr>
            <w:tcW w:w="2400" w:type="dxa"/>
            <w:vAlign w:val="bottom"/>
            <w:vMerge w:val="restart"/>
          </w:tcPr>
          <w:p>
            <w:pPr>
              <w:jc w:val="right"/>
              <w:ind w:right="2028"/>
              <w:spacing w:after="0"/>
              <w:rPr>
                <w:sz w:val="20"/>
                <w:szCs w:val="20"/>
                <w:color w:val="auto"/>
              </w:rPr>
            </w:pPr>
            <w:r>
              <w:rPr>
                <w:rFonts w:ascii="Arial" w:cs="Arial" w:eastAsia="Arial" w:hAnsi="Arial"/>
                <w:sz w:val="12"/>
                <w:szCs w:val="12"/>
                <w:color w:val="auto"/>
                <w:w w:val="83"/>
              </w:rPr>
              <w:t>, 2021</w:t>
            </w:r>
          </w:p>
        </w:tc>
        <w:tc>
          <w:tcPr>
            <w:tcW w:w="156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type w:val="continuous"/>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109">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9">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16">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105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10">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36">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125</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11">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38">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12">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40">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129</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5">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59">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8">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67">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156</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31">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20</w:t>
            </w:r>
          </w:p>
        </w:tc>
        <w:tc>
          <w:tcPr>
            <w:tcW w:w="3340" w:type="dxa"/>
            <w:vAlign w:val="bottom"/>
            <w:gridSpan w:val="14"/>
          </w:tcPr>
          <w:p>
            <w:pPr>
              <w:spacing w:after="0" w:line="124" w:lineRule="exact"/>
              <w:rPr>
                <w:rFonts w:ascii="Arial" w:cs="Arial" w:eastAsia="Arial" w:hAnsi="Arial"/>
                <w:sz w:val="12"/>
                <w:szCs w:val="12"/>
                <w:color w:val="0000EE"/>
              </w:rPr>
            </w:pPr>
            <w:hyperlink w:anchor="page169">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2">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51</w:t>
            </w:r>
          </w:p>
        </w:tc>
        <w:tc>
          <w:tcPr>
            <w:tcW w:w="3340" w:type="dxa"/>
            <w:vAlign w:val="bottom"/>
            <w:gridSpan w:val="14"/>
          </w:tcPr>
          <w:p>
            <w:pPr>
              <w:spacing w:after="0" w:line="124" w:lineRule="exact"/>
              <w:rPr>
                <w:rFonts w:ascii="Arial" w:cs="Arial" w:eastAsia="Arial" w:hAnsi="Arial"/>
                <w:sz w:val="12"/>
                <w:szCs w:val="12"/>
                <w:color w:val="0000EE"/>
              </w:rPr>
            </w:pPr>
            <w:hyperlink w:anchor="page170">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65">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3340" w:type="dxa"/>
            <w:vAlign w:val="bottom"/>
            <w:gridSpan w:val="14"/>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6">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3340" w:type="dxa"/>
            <w:vAlign w:val="bottom"/>
            <w:gridSpan w:val="14"/>
          </w:tcPr>
          <w:p>
            <w:pPr>
              <w:spacing w:after="0" w:line="124" w:lineRule="exact"/>
              <w:rPr>
                <w:rFonts w:ascii="Arial" w:cs="Arial" w:eastAsia="Arial" w:hAnsi="Arial"/>
                <w:sz w:val="12"/>
                <w:szCs w:val="12"/>
                <w:color w:val="0000EE"/>
              </w:rPr>
            </w:pPr>
            <w:hyperlink w:anchor="page192">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181</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56</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93">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182</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8">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57</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94">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70">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95">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70">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59</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96">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185</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97">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w:t>
      </w:r>
    </w:p>
    <w:p>
      <w:pPr>
        <w:spacing w:after="0" w:line="1" w:lineRule="exact"/>
        <w:rPr>
          <w:sz w:val="20"/>
          <w:szCs w:val="20"/>
          <w:color w:val="auto"/>
        </w:rPr>
      </w:pPr>
    </w:p>
    <w:p>
      <w:pPr>
        <w:ind w:left="1980"/>
        <w:spacing w:after="0"/>
        <w:tabs>
          <w:tab w:leader="none" w:pos="6700" w:val="left"/>
          <w:tab w:leader="none" w:pos="8560" w:val="left"/>
        </w:tabs>
        <w:rPr>
          <w:sz w:val="20"/>
          <w:szCs w:val="20"/>
          <w:color w:val="auto"/>
        </w:rPr>
      </w:pPr>
      <w:r>
        <w:rPr>
          <w:rFonts w:ascii="Arial" w:cs="Arial" w:eastAsia="Arial" w:hAnsi="Arial"/>
          <w:sz w:val="12"/>
          <w:szCs w:val="12"/>
          <w:color w:val="auto"/>
        </w:rPr>
        <w:t>based on the Euro/U.S. dollar exchange rate published by the European Central Bank on</w:t>
      </w:r>
      <w:r>
        <w:rPr>
          <w:sz w:val="20"/>
          <w:szCs w:val="20"/>
          <w:color w:val="auto"/>
        </w:rPr>
        <w:tab/>
      </w:r>
      <w:r>
        <w:rPr>
          <w:rFonts w:ascii="Arial" w:cs="Arial" w:eastAsia="Arial" w:hAnsi="Arial"/>
          <w:sz w:val="12"/>
          <w:szCs w:val="12"/>
          <w:color w:val="auto"/>
        </w:rPr>
        <w:t>, 2021, which was €1.00 to $</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4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the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1019" w:firstLine="28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Most recently, on October 31, 2021, we entered into a strategic agreement with Northrop Grumman International Trading, Inc.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10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3910330"/>
                    </a:xfrm>
                    <a:prstGeom prst="rect">
                      <a:avLst/>
                    </a:prstGeom>
                    <a:noFill/>
                  </pic:spPr>
                </pic:pic>
              </a:graphicData>
            </a:graphic>
          </wp:anchor>
        </w:drawing>
      </w:r>
    </w:p>
    <w:p>
      <w:pPr>
        <w:spacing w:after="0" w:line="312" w:lineRule="exact"/>
        <w:rPr>
          <w:sz w:val="20"/>
          <w:szCs w:val="20"/>
          <w:color w:val="auto"/>
        </w:rPr>
      </w:pPr>
    </w:p>
    <w:p>
      <w:pPr>
        <w:ind w:left="2100" w:right="1059"/>
        <w:spacing w:after="0" w:line="285" w:lineRule="auto"/>
        <w:rPr>
          <w:sz w:val="20"/>
          <w:szCs w:val="20"/>
          <w:color w:val="auto"/>
        </w:rPr>
      </w:pPr>
      <w:r>
        <w:rPr>
          <w:rFonts w:ascii="Arial" w:cs="Arial" w:eastAsia="Arial" w:hAnsi="Arial"/>
          <w:sz w:val="11"/>
          <w:szCs w:val="11"/>
          <w:color w:val="auto"/>
        </w:rPr>
        <w:t>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959" w:firstLine="28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99" w:firstLine="284"/>
        <w:spacing w:after="0" w:line="259"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61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70425" cy="3961765"/>
                    </a:xfrm>
                    <a:prstGeom prst="rect">
                      <a:avLst/>
                    </a:prstGeom>
                    <a:noFill/>
                  </pic:spPr>
                </pic:pic>
              </a:graphicData>
            </a:graphic>
          </wp:anchor>
        </w:drawing>
      </w:r>
    </w:p>
    <w:p>
      <w:pPr>
        <w:spacing w:after="0" w:line="312" w:lineRule="exact"/>
        <w:rPr>
          <w:sz w:val="20"/>
          <w:szCs w:val="20"/>
          <w:color w:val="auto"/>
        </w:rPr>
      </w:pPr>
    </w:p>
    <w:p>
      <w:pPr>
        <w:ind w:left="2100" w:right="1059"/>
        <w:spacing w:after="0" w:line="379" w:lineRule="auto"/>
        <w:rPr>
          <w:sz w:val="20"/>
          <w:szCs w:val="20"/>
          <w:color w:val="auto"/>
        </w:rPr>
      </w:pPr>
      <w:r>
        <w:rPr>
          <w:rFonts w:ascii="Arial" w:cs="Arial" w:eastAsia="Arial" w:hAnsi="Arial"/>
          <w:sz w:val="10"/>
          <w:szCs w:val="10"/>
          <w:color w:val="auto"/>
        </w:rPr>
        <w:t>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69" w:lineRule="exact"/>
        <w:rPr>
          <w:sz w:val="20"/>
          <w:szCs w:val="20"/>
          <w:color w:val="auto"/>
        </w:rPr>
      </w:pPr>
    </w:p>
    <w:p>
      <w:pPr>
        <w:ind w:left="2100" w:right="999" w:firstLine="28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99" w:hanging="275"/>
        <w:spacing w:after="0" w:line="263" w:lineRule="auto"/>
        <w:tabs>
          <w:tab w:leader="none" w:pos="272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7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0425" cy="3973195"/>
                    </a:xfrm>
                    <a:prstGeom prst="rect">
                      <a:avLst/>
                    </a:prstGeom>
                    <a:noFill/>
                  </pic:spPr>
                </pic:pic>
              </a:graphicData>
            </a:graphic>
          </wp:anchor>
        </w:drawing>
      </w:r>
    </w:p>
    <w:p>
      <w:pPr>
        <w:spacing w:after="0" w:line="312" w:lineRule="exact"/>
        <w:rPr>
          <w:sz w:val="20"/>
          <w:szCs w:val="20"/>
          <w:color w:val="auto"/>
        </w:rPr>
      </w:pPr>
    </w:p>
    <w:p>
      <w:pPr>
        <w:jc w:val="both"/>
        <w:ind w:left="2720" w:right="979"/>
        <w:spacing w:after="0" w:line="263" w:lineRule="auto"/>
        <w:rPr>
          <w:sz w:val="20"/>
          <w:szCs w:val="20"/>
          <w:color w:val="auto"/>
        </w:rPr>
      </w:pPr>
      <w:r>
        <w:rPr>
          <w:rFonts w:ascii="Arial" w:cs="Arial" w:eastAsia="Arial" w:hAnsi="Arial"/>
          <w:sz w:val="12"/>
          <w:szCs w:val="12"/>
          <w:color w:val="auto"/>
        </w:rPr>
        <w:t>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59" w:lineRule="exact"/>
        <w:rPr>
          <w:sz w:val="20"/>
          <w:szCs w:val="20"/>
          <w:color w:val="auto"/>
        </w:rPr>
      </w:pPr>
    </w:p>
    <w:p>
      <w:pPr>
        <w:ind w:left="2720" w:right="979" w:hanging="275"/>
        <w:spacing w:after="0" w:line="280"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bespoke 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2" w:lineRule="exact"/>
        <w:rPr>
          <w:rFonts w:ascii="Arial" w:cs="Arial" w:eastAsia="Arial" w:hAnsi="Arial"/>
          <w:sz w:val="11"/>
          <w:szCs w:val="11"/>
          <w:color w:val="auto"/>
        </w:rPr>
      </w:pPr>
    </w:p>
    <w:p>
      <w:pPr>
        <w:ind w:left="2720" w:right="979" w:hanging="275"/>
        <w:spacing w:after="0" w:line="283"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1379" w:firstLine="284"/>
        <w:spacing w:after="0" w:line="276"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70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0425" cy="3870325"/>
                    </a:xfrm>
                    <a:prstGeom prst="rect">
                      <a:avLst/>
                    </a:prstGeom>
                    <a:noFill/>
                  </pic:spPr>
                </pic:pic>
              </a:graphicData>
            </a:graphic>
          </wp:anchor>
        </w:drawing>
      </w:r>
    </w:p>
    <w:p>
      <w:pPr>
        <w:spacing w:after="0" w:line="312" w:lineRule="exact"/>
        <w:rPr>
          <w:sz w:val="20"/>
          <w:szCs w:val="20"/>
          <w:color w:val="auto"/>
        </w:rPr>
      </w:pPr>
    </w:p>
    <w:p>
      <w:pPr>
        <w:ind w:left="2100" w:right="979"/>
        <w:spacing w:after="0" w:line="278" w:lineRule="auto"/>
        <w:rPr>
          <w:sz w:val="20"/>
          <w:szCs w:val="20"/>
          <w:color w:val="auto"/>
        </w:rPr>
      </w:pPr>
      <w:r>
        <w:rPr>
          <w:rFonts w:ascii="Arial" w:cs="Arial" w:eastAsia="Arial" w:hAnsi="Arial"/>
          <w:sz w:val="11"/>
          <w:szCs w:val="11"/>
          <w:color w:val="auto"/>
        </w:rPr>
        <w:t>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6"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80"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w:t>
      </w:r>
      <w:r>
        <w:rPr>
          <w:rFonts w:ascii="Arial" w:cs="Arial" w:eastAsia="Arial" w:hAnsi="Arial"/>
          <w:sz w:val="11"/>
          <w:szCs w:val="11"/>
          <w:b w:val="1"/>
          <w:bCs w:val="1"/>
          <w:color w:val="auto"/>
        </w:rPr>
        <w:t xml:space="preserve"> </w:t>
      </w:r>
      <w:r>
        <w:rPr>
          <w:rFonts w:ascii="Arial" w:cs="Arial" w:eastAsia="Arial" w:hAnsi="Arial"/>
          <w:sz w:val="11"/>
          <w:szCs w:val="11"/>
          <w:color w:val="auto"/>
        </w:rPr>
        <w:t>layers will 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70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0425" cy="3870325"/>
                    </a:xfrm>
                    <a:prstGeom prst="rect">
                      <a:avLst/>
                    </a:prstGeom>
                    <a:noFill/>
                  </pic:spPr>
                </pic:pic>
              </a:graphicData>
            </a:graphic>
          </wp:anchor>
        </w:drawing>
      </w:r>
    </w:p>
    <w:p>
      <w:pPr>
        <w:spacing w:after="0" w:line="312" w:lineRule="exact"/>
        <w:rPr>
          <w:sz w:val="20"/>
          <w:szCs w:val="20"/>
          <w:color w:val="auto"/>
        </w:rPr>
      </w:pPr>
    </w:p>
    <w:p>
      <w:pPr>
        <w:jc w:val="both"/>
        <w:ind w:left="2720" w:right="1179"/>
        <w:spacing w:after="0" w:line="263" w:lineRule="auto"/>
        <w:rPr>
          <w:sz w:val="20"/>
          <w:szCs w:val="20"/>
          <w:color w:val="auto"/>
        </w:rPr>
      </w:pPr>
      <w:r>
        <w:rPr>
          <w:rFonts w:ascii="Arial" w:cs="Arial" w:eastAsia="Arial" w:hAnsi="Arial"/>
          <w:sz w:val="12"/>
          <w:szCs w:val="12"/>
          <w:color w:val="auto"/>
        </w:rPr>
        <w:t>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55" w:lineRule="exact"/>
        <w:rPr>
          <w:sz w:val="20"/>
          <w:szCs w:val="20"/>
          <w:color w:val="auto"/>
        </w:rPr>
      </w:pPr>
    </w:p>
    <w:p>
      <w:pPr>
        <w:ind w:left="2720" w:right="1039" w:hanging="275"/>
        <w:spacing w:after="0" w:line="255"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30"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2100" w:right="1159" w:firstLine="284"/>
        <w:spacing w:after="0" w:line="254"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100" w:right="1059" w:firstLine="284"/>
        <w:spacing w:after="0" w:line="316" w:lineRule="auto"/>
        <w:rPr>
          <w:sz w:val="20"/>
          <w:szCs w:val="20"/>
          <w:color w:val="auto"/>
        </w:rPr>
      </w:pPr>
      <w:r>
        <w:rPr>
          <w:rFonts w:ascii="Arial" w:cs="Arial" w:eastAsia="Arial" w:hAnsi="Arial"/>
          <w:sz w:val="10"/>
          <w:szCs w:val="10"/>
          <w:color w:val="auto"/>
        </w:rPr>
        <w:t>In October 2020, we were selected by Telesat to supply multiple units of our CONDOR terminals for Telesat’s work on DARPA’s Blackjack program. Our CONDOR terminals are scheduled to be delivered late 2021 to Telesat’s system integrator, with the satellites scheduled to launch in late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00" w:lineRule="exact"/>
        <w:rPr>
          <w:sz w:val="20"/>
          <w:szCs w:val="20"/>
          <w:color w:val="auto"/>
        </w:rPr>
      </w:pPr>
    </w:p>
    <w:p>
      <w:pPr>
        <w:ind w:left="2100" w:right="1039" w:firstLine="284"/>
        <w:spacing w:after="0" w:line="285" w:lineRule="auto"/>
        <w:rPr>
          <w:sz w:val="20"/>
          <w:szCs w:val="20"/>
          <w:color w:val="auto"/>
        </w:rPr>
      </w:pPr>
      <w:r>
        <w:rPr>
          <w:rFonts w:ascii="Arial" w:cs="Arial" w:eastAsia="Arial" w:hAnsi="Arial"/>
          <w:sz w:val="11"/>
          <w:szCs w:val="11"/>
          <w:color w:val="auto"/>
        </w:rPr>
        <w:t>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w:t>
      </w:r>
    </w:p>
    <w:p>
      <w:pPr>
        <w:spacing w:after="0" w:line="113" w:lineRule="exact"/>
        <w:rPr>
          <w:sz w:val="20"/>
          <w:szCs w:val="20"/>
          <w:color w:val="auto"/>
        </w:rPr>
      </w:pPr>
    </w:p>
    <w:p>
      <w:pPr>
        <w:ind w:left="2100" w:right="999" w:firstLine="284"/>
        <w:spacing w:after="0" w:line="289" w:lineRule="auto"/>
        <w:rPr>
          <w:sz w:val="20"/>
          <w:szCs w:val="20"/>
          <w:color w:val="auto"/>
        </w:rPr>
      </w:pPr>
      <w:r>
        <w:rPr>
          <w:rFonts w:ascii="Arial" w:cs="Arial" w:eastAsia="Arial" w:hAnsi="Arial"/>
          <w:sz w:val="11"/>
          <w:szCs w:val="11"/>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w:t>
      </w:r>
    </w:p>
    <w:p>
      <w:pPr>
        <w:spacing w:after="0" w:line="111"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2100" w:right="1039" w:firstLine="284"/>
        <w:spacing w:after="0" w:line="289"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636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70425" cy="3636010"/>
                    </a:xfrm>
                    <a:prstGeom prst="rect">
                      <a:avLst/>
                    </a:prstGeom>
                    <a:noFill/>
                  </pic:spPr>
                </pic:pic>
              </a:graphicData>
            </a:graphic>
          </wp:anchor>
        </w:drawing>
      </w:r>
    </w:p>
    <w:p>
      <w:pPr>
        <w:spacing w:after="0" w:line="312" w:lineRule="exact"/>
        <w:rPr>
          <w:sz w:val="20"/>
          <w:szCs w:val="20"/>
          <w:color w:val="auto"/>
        </w:rPr>
      </w:pPr>
    </w:p>
    <w:p>
      <w:pPr>
        <w:ind w:left="2100" w:right="979"/>
        <w:spacing w:after="0" w:line="254" w:lineRule="auto"/>
        <w:rPr>
          <w:sz w:val="20"/>
          <w:szCs w:val="20"/>
          <w:color w:val="auto"/>
        </w:rPr>
      </w:pPr>
      <w:r>
        <w:rPr>
          <w:rFonts w:ascii="Arial" w:cs="Arial" w:eastAsia="Arial" w:hAnsi="Arial"/>
          <w:sz w:val="12"/>
          <w:szCs w:val="12"/>
          <w:color w:val="auto"/>
        </w:rPr>
        <w:t>On July 30, 2021, we entered into a definitive agreement with SpaceLink Corp.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30" w:lineRule="exact"/>
        <w:rPr>
          <w:sz w:val="20"/>
          <w:szCs w:val="20"/>
          <w:color w:val="auto"/>
        </w:rPr>
      </w:pPr>
    </w:p>
    <w:p>
      <w:pPr>
        <w:ind w:left="2100" w:right="959" w:firstLine="28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ind w:left="2100" w:right="1019" w:firstLine="28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ind w:left="2100" w:right="979" w:firstLine="284"/>
        <w:spacing w:after="0" w:line="283" w:lineRule="auto"/>
        <w:rPr>
          <w:sz w:val="20"/>
          <w:szCs w:val="20"/>
          <w:color w:val="auto"/>
        </w:rPr>
      </w:pPr>
      <w:r>
        <w:rPr>
          <w:rFonts w:ascii="Arial" w:cs="Arial" w:eastAsia="Arial" w:hAnsi="Arial"/>
          <w:sz w:val="11"/>
          <w:szCs w:val="11"/>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78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0425" cy="4378960"/>
                    </a:xfrm>
                    <a:prstGeom prst="rect">
                      <a:avLst/>
                    </a:prstGeom>
                    <a:noFill/>
                  </pic:spPr>
                </pic:pic>
              </a:graphicData>
            </a:graphic>
          </wp:anchor>
        </w:drawing>
      </w:r>
    </w:p>
    <w:p>
      <w:pPr>
        <w:spacing w:after="0" w:line="312"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59" w:firstLine="284"/>
        <w:spacing w:after="0" w:line="323" w:lineRule="auto"/>
        <w:rPr>
          <w:sz w:val="20"/>
          <w:szCs w:val="20"/>
          <w:color w:val="auto"/>
        </w:rPr>
      </w:pPr>
      <w:r>
        <w:rPr>
          <w:rFonts w:ascii="Arial" w:cs="Arial" w:eastAsia="Arial" w:hAnsi="Arial"/>
          <w:sz w:val="11"/>
          <w:szCs w:val="11"/>
          <w:color w:val="auto"/>
        </w:rPr>
        <w:t>Investing in the ADSs entails numerous risks, as is more fully described in the section entitled “Risk Factors.” You should read these risks before you invest in the ADSs. In particular, risks associated with investing in the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720" w:right="10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110" w:lineRule="exact"/>
        <w:rPr>
          <w:rFonts w:ascii="Arial" w:cs="Arial" w:eastAsia="Arial" w:hAnsi="Arial"/>
          <w:sz w:val="10"/>
          <w:szCs w:val="10"/>
          <w:color w:val="auto"/>
        </w:rPr>
      </w:pPr>
    </w:p>
    <w:p>
      <w:pPr>
        <w:ind w:left="2720" w:right="11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7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0425" cy="4087495"/>
                    </a:xfrm>
                    <a:prstGeom prst="rect">
                      <a:avLst/>
                    </a:prstGeom>
                    <a:noFill/>
                  </pic:spPr>
                </pic:pic>
              </a:graphicData>
            </a:graphic>
          </wp:anchor>
        </w:drawing>
      </w:r>
    </w:p>
    <w:p>
      <w:pPr>
        <w:spacing w:after="0" w:line="312" w:lineRule="exact"/>
        <w:rPr>
          <w:sz w:val="20"/>
          <w:szCs w:val="20"/>
          <w:color w:val="auto"/>
        </w:rPr>
      </w:pPr>
    </w:p>
    <w:p>
      <w:pPr>
        <w:ind w:left="2720" w:right="10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720" w:right="10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720" w:right="11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10"/>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the ADSs.</w:t>
      </w:r>
    </w:p>
    <w:p>
      <w:pPr>
        <w:spacing w:after="0" w:line="127"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47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312"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7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three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51" w:lineRule="exact"/>
        <w:rPr>
          <w:rFonts w:ascii="Arial" w:cs="Arial" w:eastAsia="Arial" w:hAnsi="Arial"/>
          <w:sz w:val="12"/>
          <w:szCs w:val="12"/>
          <w:color w:val="auto"/>
        </w:rPr>
      </w:pPr>
    </w:p>
    <w:p>
      <w:pPr>
        <w:ind w:left="2720" w:right="1259" w:hanging="275"/>
        <w:spacing w:after="0" w:line="263"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01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3801745"/>
                    </a:xfrm>
                    <a:prstGeom prst="rect">
                      <a:avLst/>
                    </a:prstGeom>
                    <a:noFill/>
                  </pic:spPr>
                </pic:pic>
              </a:graphicData>
            </a:graphic>
          </wp:anchor>
        </w:drawing>
      </w:r>
    </w:p>
    <w:p>
      <w:pPr>
        <w:spacing w:after="0" w:line="312"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requirements of holding a non-binding advisory vote on executive compensation, including golden parachute compensation; and</w:t>
      </w:r>
    </w:p>
    <w:p>
      <w:pPr>
        <w:spacing w:after="0" w:line="99" w:lineRule="exact"/>
        <w:rPr>
          <w:sz w:val="20"/>
          <w:szCs w:val="20"/>
          <w:color w:val="auto"/>
        </w:rPr>
      </w:pPr>
    </w:p>
    <w:p>
      <w:pPr>
        <w:ind w:left="2720" w:right="1019" w:hanging="275"/>
        <w:spacing w:after="0" w:line="25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9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527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52705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Indication of interest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307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307205"/>
                    </a:xfrm>
                    <a:prstGeom prst="rect">
                      <a:avLst/>
                    </a:prstGeom>
                    <a:noFill/>
                  </pic:spPr>
                </pic:pic>
              </a:graphicData>
            </a:graphic>
          </wp:anchor>
        </w:drawing>
      </w:r>
    </w:p>
    <w:p>
      <w:pPr>
        <w:spacing w:after="0" w:line="152"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2"/>
          <w:szCs w:val="12"/>
          <w:color w:val="auto"/>
        </w:rPr>
        <w:t>ADSs; every</w:t>
      </w:r>
      <w:r>
        <w:rPr>
          <w:sz w:val="20"/>
          <w:szCs w:val="20"/>
          <w:color w:val="auto"/>
        </w:rPr>
        <w:tab/>
      </w:r>
      <w:r>
        <w:rPr>
          <w:rFonts w:ascii="Arial" w:cs="Arial" w:eastAsia="Arial" w:hAnsi="Arial"/>
          <w:sz w:val="10"/>
          <w:szCs w:val="10"/>
          <w:color w:val="auto"/>
        </w:rPr>
        <w:t>ADSs represent one ordinary share.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ADSs, assuming no exercise of the underwriters’ option to purchase additional</w:t>
      </w:r>
    </w:p>
    <w:p>
      <w:pPr>
        <w:spacing w:after="0" w:line="26" w:lineRule="exact"/>
        <w:rPr>
          <w:sz w:val="20"/>
          <w:szCs w:val="20"/>
          <w:color w:val="auto"/>
        </w:rPr>
      </w:pPr>
    </w:p>
    <w:p>
      <w:pPr>
        <w:ind w:right="1099"/>
        <w:spacing w:after="0" w:line="260" w:lineRule="auto"/>
        <w:rPr>
          <w:sz w:val="20"/>
          <w:szCs w:val="20"/>
          <w:color w:val="auto"/>
        </w:rPr>
      </w:pPr>
      <w:r>
        <w:rPr>
          <w:rFonts w:ascii="Arial" w:cs="Arial" w:eastAsia="Arial" w:hAnsi="Arial"/>
          <w:sz w:val="12"/>
          <w:szCs w:val="12"/>
          <w:color w:val="auto"/>
        </w:rPr>
        <w:t>ADSs; or ADSs, assuming full exercise of the underwriters’ option to purchase additional ADSs within 30 days from the date of this prospectus.</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ordinary shares, assuming no exercise of the underwriters’ option to purchase</w:t>
      </w:r>
    </w:p>
    <w:p>
      <w:pPr>
        <w:spacing w:after="0" w:line="26" w:lineRule="exact"/>
        <w:rPr>
          <w:sz w:val="20"/>
          <w:szCs w:val="20"/>
          <w:color w:val="auto"/>
        </w:rPr>
      </w:pPr>
    </w:p>
    <w:p>
      <w:pPr>
        <w:ind w:right="1059"/>
        <w:spacing w:after="0" w:line="260" w:lineRule="auto"/>
        <w:rPr>
          <w:sz w:val="20"/>
          <w:szCs w:val="20"/>
          <w:color w:val="auto"/>
        </w:rPr>
      </w:pPr>
      <w:r>
        <w:rPr>
          <w:rFonts w:ascii="Arial" w:cs="Arial" w:eastAsia="Arial" w:hAnsi="Arial"/>
          <w:sz w:val="12"/>
          <w:szCs w:val="12"/>
          <w:color w:val="auto"/>
        </w:rPr>
        <w:t>additional ADSs; or ordinary shares, assuming full exercise of the underwriters’ option to purchase additional ADSs.</w:t>
      </w:r>
    </w:p>
    <w:p>
      <w:pPr>
        <w:spacing w:after="0" w:line="142" w:lineRule="exact"/>
        <w:rPr>
          <w:sz w:val="20"/>
          <w:szCs w:val="20"/>
          <w:color w:val="auto"/>
        </w:rPr>
      </w:pPr>
    </w:p>
    <w:p>
      <w:pPr>
        <w:ind w:right="979"/>
        <w:spacing w:after="0" w:line="306" w:lineRule="auto"/>
        <w:rPr>
          <w:sz w:val="20"/>
          <w:szCs w:val="20"/>
          <w:color w:val="auto"/>
        </w:rPr>
      </w:pPr>
      <w:r>
        <w:rPr>
          <w:rFonts w:ascii="Arial" w:cs="Arial" w:eastAsia="Arial" w:hAnsi="Arial"/>
          <w:sz w:val="10"/>
          <w:szCs w:val="10"/>
          <w:color w:val="auto"/>
        </w:rPr>
        <w:t>Our founders, members of our management and supervisory boards and known five percent shareholders, together with their affiliates, collectively own approximately 17.6% of our outstanding share capital, and following the completion of this offering will collectively</w:t>
      </w:r>
    </w:p>
    <w:p>
      <w:pPr>
        <w:spacing w:after="0" w:line="1" w:lineRule="exact"/>
        <w:rPr>
          <w:sz w:val="20"/>
          <w:szCs w:val="20"/>
          <w:color w:val="auto"/>
        </w:rPr>
      </w:pPr>
    </w:p>
    <w:p>
      <w:pPr>
        <w:ind w:right="979"/>
        <w:spacing w:after="0" w:line="284" w:lineRule="auto"/>
        <w:rPr>
          <w:sz w:val="20"/>
          <w:szCs w:val="20"/>
          <w:color w:val="auto"/>
        </w:rPr>
      </w:pPr>
      <w:r>
        <w:rPr>
          <w:rFonts w:ascii="Arial" w:cs="Arial" w:eastAsia="Arial" w:hAnsi="Arial"/>
          <w:sz w:val="11"/>
          <w:szCs w:val="11"/>
          <w:color w:val="auto"/>
        </w:rPr>
        <w:t>own approximately % of our outstanding share capital (or approximately %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30" w:lineRule="exact"/>
        <w:rPr>
          <w:sz w:val="20"/>
          <w:szCs w:val="20"/>
          <w:color w:val="auto"/>
        </w:rPr>
      </w:pPr>
    </w:p>
    <w:p>
      <w:pPr>
        <w:ind w:right="979"/>
        <w:spacing w:after="0" w:line="256" w:lineRule="auto"/>
        <w:rPr>
          <w:sz w:val="20"/>
          <w:szCs w:val="20"/>
          <w:color w:val="auto"/>
        </w:rPr>
      </w:pPr>
      <w:r>
        <w:rPr>
          <w:rFonts w:ascii="Arial" w:cs="Arial" w:eastAsia="Arial" w:hAnsi="Arial"/>
          <w:sz w:val="12"/>
          <w:szCs w:val="12"/>
          <w:color w:val="auto"/>
        </w:rPr>
        <w:t>Bulent Altan, our Chief Executive Officer and a member of our management board, has indicated an interest in purchasing an aggregate of up to $75 thousand of ADSs in this offering at the initial public offering price. The underwriters will receive the same discount with respect to the ADSs sold to Mr. Altan as they will with respect to any other ADSs sold in this offering.</w:t>
      </w:r>
    </w:p>
    <w:p>
      <w:pPr>
        <w:spacing w:after="0" w:line="146" w:lineRule="exact"/>
        <w:rPr>
          <w:sz w:val="20"/>
          <w:szCs w:val="20"/>
          <w:color w:val="auto"/>
        </w:rPr>
      </w:pPr>
    </w:p>
    <w:p>
      <w:pPr>
        <w:spacing w:after="0"/>
        <w:tabs>
          <w:tab w:leader="none" w:pos="3520" w:val="left"/>
        </w:tabs>
        <w:rPr>
          <w:sz w:val="20"/>
          <w:szCs w:val="20"/>
          <w:color w:val="auto"/>
        </w:rPr>
      </w:pPr>
      <w:r>
        <w:rPr>
          <w:rFonts w:ascii="Arial" w:cs="Arial" w:eastAsia="Arial" w:hAnsi="Arial"/>
          <w:sz w:val="12"/>
          <w:szCs w:val="12"/>
          <w:color w:val="auto"/>
        </w:rPr>
        <w:t>We intend to grant the underwriters an option to purchase up to</w:t>
      </w:r>
      <w:r>
        <w:rPr>
          <w:sz w:val="20"/>
          <w:szCs w:val="20"/>
          <w:color w:val="auto"/>
        </w:rPr>
        <w:tab/>
      </w:r>
      <w:r>
        <w:rPr>
          <w:rFonts w:ascii="Arial" w:cs="Arial" w:eastAsia="Arial" w:hAnsi="Arial"/>
          <w:sz w:val="11"/>
          <w:szCs w:val="11"/>
          <w:color w:val="auto"/>
        </w:rPr>
        <w:t>additional ADSs</w:t>
      </w:r>
    </w:p>
    <w:p>
      <w:pPr>
        <w:spacing w:after="0" w:line="15"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color w:val="auto"/>
        </w:rPr>
        <w:t>from us, representing</w:t>
      </w:r>
      <w:r>
        <w:rPr>
          <w:sz w:val="20"/>
          <w:szCs w:val="20"/>
          <w:color w:val="auto"/>
        </w:rPr>
        <w:tab/>
      </w:r>
      <w:r>
        <w:rPr>
          <w:rFonts w:ascii="Arial" w:cs="Arial" w:eastAsia="Arial" w:hAnsi="Arial"/>
          <w:sz w:val="10"/>
          <w:szCs w:val="10"/>
          <w:color w:val="auto"/>
        </w:rPr>
        <w:t>ordinary shares, for a period of 30 days from the date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underwriters will deliver ADSs representing our ordinary shares. Every</w:t>
      </w:r>
    </w:p>
    <w:p>
      <w:pPr>
        <w:spacing w:after="0" w:line="15" w:lineRule="exact"/>
        <w:rPr>
          <w:sz w:val="20"/>
          <w:szCs w:val="20"/>
          <w:color w:val="auto"/>
        </w:rPr>
      </w:pPr>
    </w:p>
    <w:p>
      <w:pPr>
        <w:ind w:right="1119" w:firstLine="473"/>
        <w:spacing w:after="0" w:line="260" w:lineRule="auto"/>
        <w:rPr>
          <w:sz w:val="20"/>
          <w:szCs w:val="20"/>
          <w:color w:val="auto"/>
        </w:rPr>
      </w:pPr>
      <w:r>
        <w:rPr>
          <w:rFonts w:ascii="Arial" w:cs="Arial" w:eastAsia="Arial" w:hAnsi="Arial"/>
          <w:sz w:val="12"/>
          <w:szCs w:val="12"/>
          <w:color w:val="auto"/>
        </w:rPr>
        <w:t>ADSs, which may be evidenced by an American Depositary Receipt (“ADR”), represent one of our ordinary shares.</w:t>
      </w:r>
    </w:p>
    <w:p>
      <w:pPr>
        <w:spacing w:after="0" w:line="142" w:lineRule="exact"/>
        <w:rPr>
          <w:sz w:val="20"/>
          <w:szCs w:val="20"/>
          <w:color w:val="auto"/>
        </w:rPr>
      </w:pPr>
    </w:p>
    <w:p>
      <w:pPr>
        <w:ind w:right="999"/>
        <w:spacing w:after="0" w:line="255" w:lineRule="auto"/>
        <w:rPr>
          <w:sz w:val="20"/>
          <w:szCs w:val="20"/>
          <w:color w:val="auto"/>
        </w:rPr>
      </w:pPr>
      <w:r>
        <w:rPr>
          <w:rFonts w:ascii="Arial" w:cs="Arial" w:eastAsia="Arial" w:hAnsi="Arial"/>
          <w:sz w:val="12"/>
          <w:szCs w:val="12"/>
          <w:color w:val="auto"/>
        </w:rPr>
        <w:t>As an ADS holder, you will not be treated as one of our shareholders and you will not have shareholder rights. The depositary, The Bank of New York Mellon, or the custodian, The Bank of New York Mellon SA/NV, will be the holder of the ordinary shares underlying your ADSs. You will have rights as provided in the deposit agreement. You may surrender your ADSs and withdraw the underlying ordinary shares as provided, and subject to the limitations set forth in, the</w:t>
      </w:r>
    </w:p>
    <w:p>
      <w:pPr>
        <w:spacing w:after="0" w:line="200"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spacing w:after="0" w:line="54"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9" w:lineRule="exact"/>
        <w:rPr>
          <w:sz w:val="20"/>
          <w:szCs w:val="20"/>
          <w:color w:val="auto"/>
        </w:rPr>
      </w:pPr>
    </w:p>
    <w:tbl>
      <w:tblPr>
        <w:tblLayout w:type="fixed"/>
        <w:tblInd w:w="1970" w:type="dxa"/>
        <w:tblCellMar>
          <w:top w:w="0" w:type="dxa"/>
          <w:left w:w="0" w:type="dxa"/>
          <w:bottom w:w="0" w:type="dxa"/>
          <w:right w:w="0" w:type="dxa"/>
        </w:tblCellMar>
      </w:tblPr>
      <w:tr>
        <w:trPr>
          <w:trHeight w:val="267"/>
        </w:trPr>
        <w:tc>
          <w:tcPr>
            <w:tcW w:w="1880" w:type="dxa"/>
            <w:vAlign w:val="bottom"/>
            <w:tcBorders>
              <w:top w:val="single" w:sz="8" w:color="auto"/>
              <w:left w:val="single" w:sz="8" w:color="auto"/>
            </w:tcBorders>
          </w:tcPr>
          <w:p>
            <w:pPr>
              <w:spacing w:after="0"/>
              <w:rPr>
                <w:sz w:val="23"/>
                <w:szCs w:val="23"/>
                <w:color w:val="auto"/>
              </w:rPr>
            </w:pPr>
          </w:p>
        </w:tc>
        <w:tc>
          <w:tcPr>
            <w:tcW w:w="5480" w:type="dxa"/>
            <w:vAlign w:val="bottom"/>
            <w:tcBorders>
              <w:top w:val="single" w:sz="8" w:color="auto"/>
              <w:right w:val="single" w:sz="8" w:color="auto"/>
            </w:tcBorders>
            <w:gridSpan w:val="5"/>
          </w:tcPr>
          <w:p>
            <w:pPr>
              <w:ind w:left="940"/>
              <w:spacing w:after="0"/>
              <w:rPr>
                <w:sz w:val="20"/>
                <w:szCs w:val="20"/>
                <w:color w:val="auto"/>
              </w:rPr>
            </w:pPr>
            <w:r>
              <w:rPr>
                <w:rFonts w:ascii="Arial" w:cs="Arial" w:eastAsia="Arial" w:hAnsi="Arial"/>
                <w:sz w:val="12"/>
                <w:szCs w:val="12"/>
                <w:color w:val="auto"/>
                <w:w w:val="96"/>
              </w:rPr>
              <w:t>deposit agreement. The depositary will charge you fees for, among other acts, any such</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rPr>
              <w:t>surrender for the purpose of withdrawal. In certain limited instances described in the</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rPr>
              <w:t>deposit agreement, we may amend or terminate the deposit agreement without your</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8"/>
              </w:rPr>
              <w:t>consent. If you continue to hold your ADSs, you agree to be bound by the terms of the</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deposit agreement then in effect.</w:t>
            </w:r>
          </w:p>
        </w:tc>
        <w:tc>
          <w:tcPr>
            <w:tcW w:w="8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5"/>
              </w:rPr>
              <w:t>To better understand the terms of the ADSs, you should carefully read the “Description of</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4"/>
              </w:rPr>
              <w:t>American Depositary Shares” section of this prospectus. You should also read the deposit</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4"/>
              </w:rPr>
              <w:t>agreement, which is an exhibit to the registration statement of which this prospectus forms</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vMerge w:val="restart"/>
          </w:tcPr>
          <w:p>
            <w:pPr>
              <w:ind w:left="140"/>
              <w:spacing w:after="0"/>
              <w:rPr>
                <w:sz w:val="20"/>
                <w:szCs w:val="20"/>
                <w:color w:val="auto"/>
              </w:rPr>
            </w:pPr>
            <w:r>
              <w:rPr>
                <w:rFonts w:ascii="Arial" w:cs="Arial" w:eastAsia="Arial" w:hAnsi="Arial"/>
                <w:sz w:val="12"/>
                <w:szCs w:val="12"/>
                <w:b w:val="1"/>
                <w:bCs w:val="1"/>
                <w:color w:val="auto"/>
              </w:rPr>
              <w:t>Depositary</w:t>
            </w:r>
          </w:p>
        </w:tc>
        <w:tc>
          <w:tcPr>
            <w:tcW w:w="1260" w:type="dxa"/>
            <w:vAlign w:val="bottom"/>
          </w:tcPr>
          <w:p>
            <w:pPr>
              <w:ind w:left="940"/>
              <w:spacing w:after="0"/>
              <w:rPr>
                <w:sz w:val="20"/>
                <w:szCs w:val="20"/>
                <w:color w:val="auto"/>
              </w:rPr>
            </w:pPr>
            <w:r>
              <w:rPr>
                <w:rFonts w:ascii="Arial" w:cs="Arial" w:eastAsia="Arial" w:hAnsi="Arial"/>
                <w:sz w:val="12"/>
                <w:szCs w:val="12"/>
                <w:color w:val="auto"/>
                <w:w w:val="88"/>
              </w:rPr>
              <w:t>a part.</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vMerge w:val="continue"/>
          </w:tcPr>
          <w:p>
            <w:pPr>
              <w:spacing w:after="0"/>
              <w:rPr>
                <w:sz w:val="13"/>
                <w:szCs w:val="13"/>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The Bank of New York Mellon.</w:t>
            </w:r>
          </w:p>
        </w:tc>
        <w:tc>
          <w:tcPr>
            <w:tcW w:w="8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Custodian</w:t>
            </w: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The Bank of New York Mellon SA/NV.</w:t>
            </w:r>
          </w:p>
        </w:tc>
        <w:tc>
          <w:tcPr>
            <w:tcW w:w="80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Use of proceeds</w:t>
            </w: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rPr>
              <w:t>We estimate that the net proceeds to us from this offering will be approximately</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1260" w:type="dxa"/>
            <w:vAlign w:val="bottom"/>
          </w:tcPr>
          <w:p>
            <w:pPr>
              <w:ind w:left="940"/>
              <w:spacing w:after="0"/>
              <w:rPr>
                <w:sz w:val="20"/>
                <w:szCs w:val="20"/>
                <w:color w:val="auto"/>
              </w:rPr>
            </w:pPr>
            <w:r>
              <w:rPr>
                <w:rFonts w:ascii="Arial" w:cs="Arial" w:eastAsia="Arial" w:hAnsi="Arial"/>
                <w:sz w:val="12"/>
                <w:szCs w:val="12"/>
                <w:color w:val="auto"/>
              </w:rPr>
              <w:t>$</w:t>
            </w:r>
          </w:p>
        </w:tc>
        <w:tc>
          <w:tcPr>
            <w:tcW w:w="1720" w:type="dxa"/>
            <w:vAlign w:val="bottom"/>
            <w:gridSpan w:val="2"/>
          </w:tcPr>
          <w:p>
            <w:pPr>
              <w:ind w:left="140"/>
              <w:spacing w:after="0"/>
              <w:rPr>
                <w:sz w:val="20"/>
                <w:szCs w:val="20"/>
                <w:color w:val="auto"/>
              </w:rPr>
            </w:pPr>
            <w:r>
              <w:rPr>
                <w:rFonts w:ascii="Arial" w:cs="Arial" w:eastAsia="Arial" w:hAnsi="Arial"/>
                <w:sz w:val="12"/>
                <w:szCs w:val="12"/>
                <w:color w:val="auto"/>
              </w:rPr>
              <w:t>million (or approximately $</w:t>
            </w:r>
          </w:p>
        </w:tc>
        <w:tc>
          <w:tcPr>
            <w:tcW w:w="250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color w:val="auto"/>
              </w:rPr>
              <w:t>million if the underwriters exercise their</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8"/>
              </w:rPr>
              <w:t>option to purchase additional ADSs from us in full), based on an assumed initial public</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2060" w:type="dxa"/>
            <w:vAlign w:val="bottom"/>
            <w:gridSpan w:val="2"/>
          </w:tcPr>
          <w:p>
            <w:pPr>
              <w:ind w:left="940"/>
              <w:spacing w:after="0"/>
              <w:rPr>
                <w:sz w:val="20"/>
                <w:szCs w:val="20"/>
                <w:color w:val="auto"/>
              </w:rPr>
            </w:pPr>
            <w:r>
              <w:rPr>
                <w:rFonts w:ascii="Arial" w:cs="Arial" w:eastAsia="Arial" w:hAnsi="Arial"/>
                <w:sz w:val="12"/>
                <w:szCs w:val="12"/>
                <w:color w:val="auto"/>
              </w:rPr>
              <w:t>offering price of $</w:t>
            </w:r>
          </w:p>
        </w:tc>
        <w:tc>
          <w:tcPr>
            <w:tcW w:w="3420" w:type="dxa"/>
            <w:vAlign w:val="bottom"/>
            <w:tcBorders>
              <w:right w:val="single" w:sz="8" w:color="auto"/>
            </w:tcBorders>
            <w:gridSpan w:val="3"/>
          </w:tcPr>
          <w:p>
            <w:pPr>
              <w:ind w:left="140"/>
              <w:spacing w:after="0"/>
              <w:rPr>
                <w:sz w:val="20"/>
                <w:szCs w:val="20"/>
                <w:color w:val="auto"/>
              </w:rPr>
            </w:pPr>
            <w:r>
              <w:rPr>
                <w:rFonts w:ascii="Arial" w:cs="Arial" w:eastAsia="Arial" w:hAnsi="Arial"/>
                <w:sz w:val="12"/>
                <w:szCs w:val="12"/>
                <w:color w:val="auto"/>
              </w:rPr>
              <w:t>per ADS, the U.S. dollar equivalent of the closing price of our</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3780" w:type="dxa"/>
            <w:vAlign w:val="bottom"/>
            <w:gridSpan w:val="4"/>
          </w:tcPr>
          <w:p>
            <w:pPr>
              <w:ind w:left="940"/>
              <w:spacing w:after="0"/>
              <w:rPr>
                <w:sz w:val="20"/>
                <w:szCs w:val="20"/>
                <w:color w:val="auto"/>
              </w:rPr>
            </w:pPr>
            <w:r>
              <w:rPr>
                <w:rFonts w:ascii="Arial" w:cs="Arial" w:eastAsia="Arial" w:hAnsi="Arial"/>
                <w:sz w:val="12"/>
                <w:szCs w:val="12"/>
                <w:color w:val="auto"/>
              </w:rPr>
              <w:t>ordinary shares on the Frankfurt Stock Exchange on</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7"/>
              </w:rPr>
              <w:t>, 2021, based on the Euro/U.S.</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w w:val="97"/>
              </w:rPr>
              <w:t>dollar exchange rate of €1.00 to $ as of</w:t>
            </w:r>
          </w:p>
        </w:tc>
        <w:tc>
          <w:tcPr>
            <w:tcW w:w="2500" w:type="dxa"/>
            <w:vAlign w:val="bottom"/>
            <w:tcBorders>
              <w:right w:val="single" w:sz="8" w:color="auto"/>
            </w:tcBorders>
            <w:gridSpan w:val="2"/>
          </w:tcPr>
          <w:p>
            <w:pPr>
              <w:ind w:left="220"/>
              <w:spacing w:after="0"/>
              <w:rPr>
                <w:sz w:val="20"/>
                <w:szCs w:val="20"/>
                <w:color w:val="auto"/>
              </w:rPr>
            </w:pPr>
            <w:r>
              <w:rPr>
                <w:rFonts w:ascii="Arial" w:cs="Arial" w:eastAsia="Arial" w:hAnsi="Arial"/>
                <w:sz w:val="12"/>
                <w:szCs w:val="12"/>
                <w:color w:val="auto"/>
                <w:w w:val="99"/>
              </w:rPr>
              <w:t>, 2021, and an ADS to ordinary share ratio</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1260" w:type="dxa"/>
            <w:vAlign w:val="bottom"/>
          </w:tcPr>
          <w:p>
            <w:pPr>
              <w:ind w:left="940"/>
              <w:spacing w:after="0"/>
              <w:rPr>
                <w:sz w:val="20"/>
                <w:szCs w:val="20"/>
                <w:color w:val="auto"/>
              </w:rPr>
            </w:pPr>
            <w:r>
              <w:rPr>
                <w:rFonts w:ascii="Arial" w:cs="Arial" w:eastAsia="Arial" w:hAnsi="Arial"/>
                <w:sz w:val="12"/>
                <w:szCs w:val="12"/>
                <w:color w:val="auto"/>
              </w:rPr>
              <w:t>of</w:t>
            </w:r>
          </w:p>
        </w:tc>
        <w:tc>
          <w:tcPr>
            <w:tcW w:w="800" w:type="dxa"/>
            <w:vAlign w:val="bottom"/>
          </w:tcPr>
          <w:p>
            <w:pPr>
              <w:ind w:left="300"/>
              <w:spacing w:after="0"/>
              <w:rPr>
                <w:sz w:val="20"/>
                <w:szCs w:val="20"/>
                <w:color w:val="auto"/>
              </w:rPr>
            </w:pPr>
            <w:r>
              <w:rPr>
                <w:rFonts w:ascii="Arial" w:cs="Arial" w:eastAsia="Arial" w:hAnsi="Arial"/>
                <w:sz w:val="12"/>
                <w:szCs w:val="12"/>
                <w:color w:val="auto"/>
              </w:rPr>
              <w:t>to</w:t>
            </w:r>
          </w:p>
        </w:tc>
        <w:tc>
          <w:tcPr>
            <w:tcW w:w="3420" w:type="dxa"/>
            <w:vAlign w:val="bottom"/>
            <w:tcBorders>
              <w:right w:val="single" w:sz="8" w:color="auto"/>
            </w:tcBorders>
            <w:gridSpan w:val="3"/>
          </w:tcPr>
          <w:p>
            <w:pPr>
              <w:ind w:left="100"/>
              <w:spacing w:after="0"/>
              <w:rPr>
                <w:sz w:val="20"/>
                <w:szCs w:val="20"/>
                <w:color w:val="auto"/>
              </w:rPr>
            </w:pPr>
            <w:r>
              <w:rPr>
                <w:rFonts w:ascii="Arial" w:cs="Arial" w:eastAsia="Arial" w:hAnsi="Arial"/>
                <w:sz w:val="12"/>
                <w:szCs w:val="12"/>
                <w:color w:val="auto"/>
              </w:rPr>
              <w:t>, after deducting the estimated underwriting discounts and</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rPr>
              <w:t>commissions and estimated offering expenses payable by us.</w:t>
            </w:r>
          </w:p>
        </w:tc>
        <w:tc>
          <w:tcPr>
            <w:tcW w:w="0" w:type="dxa"/>
            <w:vAlign w:val="bottom"/>
          </w:tcPr>
          <w:p>
            <w:pPr>
              <w:spacing w:after="0"/>
              <w:rPr>
                <w:sz w:val="1"/>
                <w:szCs w:val="1"/>
                <w:color w:val="auto"/>
              </w:rPr>
            </w:pPr>
          </w:p>
        </w:tc>
      </w:tr>
      <w:tr>
        <w:trPr>
          <w:trHeight w:val="297"/>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9"/>
              </w:rPr>
              <w:t>The principal reasons for this offering are to further fund our business, to increase our</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5"/>
              </w:rPr>
              <w:t>public profile and awareness, create a public market for the ADSs and facilitate our future</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gridSpan w:val="5"/>
          </w:tcPr>
          <w:p>
            <w:pPr>
              <w:ind w:left="940"/>
              <w:spacing w:after="0"/>
              <w:rPr>
                <w:sz w:val="20"/>
                <w:szCs w:val="20"/>
                <w:color w:val="auto"/>
              </w:rPr>
            </w:pPr>
            <w:r>
              <w:rPr>
                <w:rFonts w:ascii="Arial" w:cs="Arial" w:eastAsia="Arial" w:hAnsi="Arial"/>
                <w:sz w:val="12"/>
                <w:szCs w:val="12"/>
                <w:color w:val="auto"/>
                <w:w w:val="96"/>
              </w:rPr>
              <w:t>access to public equity markets. We intend to use the net proceeds from this offering as</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2060" w:type="dxa"/>
            <w:vAlign w:val="bottom"/>
            <w:gridSpan w:val="2"/>
          </w:tcPr>
          <w:p>
            <w:pPr>
              <w:ind w:left="940"/>
              <w:spacing w:after="0"/>
              <w:rPr>
                <w:sz w:val="20"/>
                <w:szCs w:val="20"/>
                <w:color w:val="auto"/>
              </w:rPr>
            </w:pPr>
            <w:r>
              <w:rPr>
                <w:rFonts w:ascii="Arial" w:cs="Arial" w:eastAsia="Arial" w:hAnsi="Arial"/>
                <w:sz w:val="12"/>
                <w:szCs w:val="12"/>
                <w:color w:val="auto"/>
              </w:rPr>
              <w:t>follows: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880" w:type="dxa"/>
            <w:vAlign w:val="bottom"/>
            <w:tcBorders>
              <w:left w:val="single" w:sz="8" w:color="auto"/>
            </w:tcBorders>
          </w:tcPr>
          <w:p>
            <w:pPr>
              <w:spacing w:after="0"/>
              <w:rPr>
                <w:sz w:val="24"/>
                <w:szCs w:val="24"/>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42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 to ramp-up serial production to allow for short-term product</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Arial" w:cs="Arial" w:eastAsia="Arial" w:hAnsi="Arial"/>
                <w:sz w:val="12"/>
                <w:szCs w:val="12"/>
                <w:color w:val="auto"/>
                <w:w w:val="92"/>
              </w:rPr>
              <w:t>deployment within large-scale customer programs;</w:t>
            </w: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42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 to further advance our existing products and to expand our</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422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color w:val="auto"/>
                <w:w w:val="94"/>
              </w:rPr>
              <w:t>product portfolio to support new applications and increase our addressable market;</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42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 for investments in additional research and development</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color w:val="auto"/>
                <w:w w:val="94"/>
              </w:rPr>
              <w:t>equipment to further accelerate product development in both our German and U.S.</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auto"/>
              </w:rPr>
              <w:t>facilities;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42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 to grow our sales and marketing efforts to expand access to</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color w:val="auto"/>
                <w:w w:val="93"/>
              </w:rPr>
              <w:t>government and commercial customers, including the establishment of a U.S. entity</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Arial" w:cs="Arial" w:eastAsia="Arial" w:hAnsi="Arial"/>
                <w:sz w:val="12"/>
                <w:szCs w:val="12"/>
                <w:color w:val="auto"/>
                <w:w w:val="98"/>
              </w:rPr>
              <w:t>cleared for access to classified information; and</w:t>
            </w: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80" w:type="dxa"/>
            <w:vAlign w:val="bottom"/>
            <w:tcBorders>
              <w:left w:val="single" w:sz="8" w:color="auto"/>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2"/>
                <w:szCs w:val="12"/>
                <w:color w:val="auto"/>
              </w:rPr>
              <w:t>15</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0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70425" cy="3904615"/>
                    </a:xfrm>
                    <a:prstGeom prst="rect">
                      <a:avLst/>
                    </a:prstGeom>
                    <a:noFill/>
                  </pic:spPr>
                </pic:pic>
              </a:graphicData>
            </a:graphic>
          </wp:anchor>
        </w:drawing>
      </w:r>
    </w:p>
    <w:p>
      <w:pPr>
        <w:spacing w:after="0" w:line="312" w:lineRule="exact"/>
        <w:rPr>
          <w:sz w:val="20"/>
          <w:szCs w:val="20"/>
          <w:color w:val="auto"/>
        </w:rPr>
      </w:pPr>
    </w:p>
    <w:p>
      <w:pPr>
        <w:ind w:left="4920"/>
        <w:spacing w:after="0"/>
        <w:tabs>
          <w:tab w:leader="none" w:pos="5100" w:val="left"/>
          <w:tab w:leader="none" w:pos="5940" w:val="left"/>
        </w:tabs>
        <w:rPr>
          <w:sz w:val="20"/>
          <w:szCs w:val="20"/>
          <w:color w:val="auto"/>
        </w:rPr>
      </w:pPr>
      <w:r>
        <w:rPr>
          <w:rFonts w:ascii="Arial" w:cs="Arial" w:eastAsia="Arial" w:hAnsi="Arial"/>
          <w:sz w:val="12"/>
          <w:szCs w:val="12"/>
          <w:color w:val="auto"/>
        </w:rPr>
        <w:t>•</w:t>
        <w:tab/>
        <w:t>approximately</w:t>
      </w:r>
      <w:r>
        <w:rPr>
          <w:sz w:val="20"/>
          <w:szCs w:val="20"/>
          <w:color w:val="auto"/>
        </w:rPr>
        <w:tab/>
      </w:r>
      <w:r>
        <w:rPr>
          <w:rFonts w:ascii="Arial" w:cs="Arial" w:eastAsia="Arial" w:hAnsi="Arial"/>
          <w:sz w:val="11"/>
          <w:szCs w:val="11"/>
          <w:color w:val="auto"/>
        </w:rPr>
        <w:t>% to repay the outstanding amount of €7.5 million and any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accrued and unpaid commitment fee, interest and premium, if any, under the credit</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agreement entered into with three lenders for a credit line of approximately €25</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million on September 15, 2021 (see also “Management’s Discussion and Analysis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of Financial Condition and Results of Operations—Liquidity and Capital Resources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—Credit Agreement”).</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See “Use of Proceeds.”</w:t>
      </w:r>
    </w:p>
    <w:p>
      <w:pPr>
        <w:sectPr>
          <w:pgSz w:w="11900" w:h="16838" w:orient="portrait"/>
          <w:cols w:equalWidth="0" w:num="1">
            <w:col w:w="10159"/>
          </w:cols>
          <w:pgMar w:left="300" w:top="354" w:right="1440" w:bottom="1440" w:gutter="0" w:footer="0" w:header="0"/>
        </w:sectPr>
      </w:pPr>
    </w:p>
    <w:p>
      <w:pPr>
        <w:spacing w:after="0" w:line="164"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Dividend policy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979"/>
        <w:spacing w:after="0" w:line="281" w:lineRule="auto"/>
        <w:rPr>
          <w:sz w:val="20"/>
          <w:szCs w:val="20"/>
          <w:color w:val="auto"/>
        </w:rPr>
      </w:pPr>
      <w:r>
        <w:rPr>
          <w:rFonts w:ascii="Arial" w:cs="Arial" w:eastAsia="Arial" w:hAnsi="Arial"/>
          <w:sz w:val="11"/>
          <w:szCs w:val="11"/>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Any future determination to pay dividends will be made in accordance with applicable laws, and will depend upon, among other factors, our results of operations, financial condition, contractual restrictions and capital requirements. See “Dividend Policy.”</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Lock-up agreements</w:t>
      </w:r>
    </w:p>
    <w:p>
      <w:pPr>
        <w:spacing w:after="0" w:line="20" w:lineRule="exact"/>
        <w:rPr>
          <w:sz w:val="20"/>
          <w:szCs w:val="20"/>
          <w:color w:val="auto"/>
        </w:rPr>
      </w:pPr>
      <w:r>
        <w:rPr>
          <w:sz w:val="20"/>
          <w:szCs w:val="20"/>
          <w:color w:val="auto"/>
        </w:rPr>
        <w:br w:type="column"/>
      </w:r>
    </w:p>
    <w:p>
      <w:pPr>
        <w:ind w:right="1019"/>
        <w:spacing w:after="0" w:line="281" w:lineRule="auto"/>
        <w:rPr>
          <w:sz w:val="20"/>
          <w:szCs w:val="20"/>
          <w:color w:val="auto"/>
        </w:rPr>
      </w:pPr>
      <w:r>
        <w:rPr>
          <w:rFonts w:ascii="Arial" w:cs="Arial" w:eastAsia="Arial" w:hAnsi="Arial"/>
          <w:sz w:val="11"/>
          <w:szCs w:val="11"/>
          <w:color w:val="auto"/>
        </w:rPr>
        <w:t>We have agreed with Credit Suisse and Jefferies as representatives of the underwriters, subject to certain exceptions, not to, directly or indirectly, offer, sell, assign, transfer, pledge, contract to sell, or otherwise dispose of our ordinary shares, ADSs or securities convertible into or exchangeable or exercisable for our ordinary shares or ADSs during the 180-day period following the date of this prospectus. The members of our management board and supervisory board have agreed to substantially similar lock-up provisions, subject to certain exceptions. See “Underwriting.”</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760"/>
        <w:spacing w:after="0"/>
        <w:rPr>
          <w:sz w:val="20"/>
          <w:szCs w:val="20"/>
          <w:color w:val="auto"/>
        </w:rPr>
      </w:pPr>
      <w:r>
        <w:rPr>
          <w:rFonts w:ascii="Arial" w:cs="Arial" w:eastAsia="Arial" w:hAnsi="Arial"/>
          <w:sz w:val="10"/>
          <w:szCs w:val="10"/>
          <w:b w:val="1"/>
          <w:bCs w:val="1"/>
          <w:color w:val="auto"/>
        </w:rPr>
        <w:t>Risk factors</w:t>
      </w:r>
    </w:p>
    <w:p>
      <w:pPr>
        <w:spacing w:after="0" w:line="20" w:lineRule="exact"/>
        <w:rPr>
          <w:sz w:val="20"/>
          <w:szCs w:val="20"/>
          <w:color w:val="auto"/>
        </w:rPr>
      </w:pPr>
      <w:r>
        <w:rPr>
          <w:sz w:val="20"/>
          <w:szCs w:val="20"/>
          <w:color w:val="auto"/>
        </w:rPr>
        <w:br w:type="column"/>
      </w:r>
    </w:p>
    <w:p>
      <w:pPr>
        <w:ind w:right="1159"/>
        <w:spacing w:after="0" w:line="323" w:lineRule="auto"/>
        <w:rPr>
          <w:sz w:val="20"/>
          <w:szCs w:val="20"/>
          <w:color w:val="auto"/>
        </w:rPr>
      </w:pPr>
      <w:r>
        <w:rPr>
          <w:rFonts w:ascii="Arial" w:cs="Arial" w:eastAsia="Arial" w:hAnsi="Arial"/>
          <w:sz w:val="11"/>
          <w:szCs w:val="11"/>
          <w:color w:val="auto"/>
        </w:rPr>
        <w:t>See “Risk Factors” and other information included in this prospectus for a discussion of factors you should carefully consider before deciding to invest in the ADSs.</w:t>
      </w:r>
    </w:p>
    <w:p>
      <w:pPr>
        <w:spacing w:after="0" w:line="106"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500"/>
        <w:spacing w:after="0"/>
        <w:rPr>
          <w:sz w:val="20"/>
          <w:szCs w:val="20"/>
          <w:color w:val="auto"/>
        </w:rPr>
      </w:pPr>
      <w:r>
        <w:rPr>
          <w:rFonts w:ascii="Arial" w:cs="Arial" w:eastAsia="Arial" w:hAnsi="Arial"/>
          <w:sz w:val="10"/>
          <w:szCs w:val="10"/>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We have applied to list the ADSs on Nasdaq under the symbol “MYNA.”</w:t>
      </w:r>
    </w:p>
    <w:p>
      <w:pPr>
        <w:spacing w:after="0" w:line="104"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Frankfurt Stock Exchange listing</w:t>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Arial" w:cs="Arial" w:eastAsia="Arial" w:hAnsi="Arial"/>
          <w:sz w:val="10"/>
          <w:szCs w:val="10"/>
          <w:color w:val="auto"/>
        </w:rPr>
        <w:t>Our ordinary shares are listed on the Frankfurt Stock Exchange under the symbol “M0Y.”</w:t>
      </w:r>
    </w:p>
    <w:p>
      <w:pPr>
        <w:spacing w:after="0" w:line="200"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We may explore a delisting of our ordinary shares from the Frankfurt Stock Exchange in</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the medium term following listing of the ADSs on the Nasdaq taking into consideration</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future trading volumes, administrative costs and other factors.</w:t>
      </w:r>
    </w:p>
    <w:p>
      <w:pPr>
        <w:sectPr>
          <w:pgSz w:w="11900" w:h="16838" w:orient="portrait"/>
          <w:cols w:equalWidth="0" w:num="1">
            <w:col w:w="10159"/>
          </w:cols>
          <w:pgMar w:left="300" w:top="354" w:right="1440" w:bottom="1440" w:gutter="0" w:footer="0" w:header="0"/>
          <w:type w:val="continuous"/>
        </w:sectPr>
      </w:pPr>
    </w:p>
    <w:p>
      <w:pPr>
        <w:spacing w:after="0" w:line="141"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Unless otherwise indicated, all information contained in this prospectus assumes or gives effect to:</w:t>
      </w:r>
    </w:p>
    <w:p>
      <w:pPr>
        <w:spacing w:after="0" w:line="110" w:lineRule="exact"/>
        <w:rPr>
          <w:sz w:val="20"/>
          <w:szCs w:val="20"/>
          <w:color w:val="auto"/>
        </w:rPr>
      </w:pPr>
    </w:p>
    <w:p>
      <w:pPr>
        <w:ind w:left="2440"/>
        <w:spacing w:after="0"/>
        <w:tabs>
          <w:tab w:leader="none" w:pos="2700" w:val="left"/>
          <w:tab w:leader="none" w:pos="47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 initial public offering price of $</w:t>
      </w:r>
      <w:r>
        <w:rPr>
          <w:sz w:val="20"/>
          <w:szCs w:val="20"/>
          <w:color w:val="auto"/>
        </w:rPr>
        <w:tab/>
      </w:r>
      <w:r>
        <w:rPr>
          <w:rFonts w:ascii="Arial" w:cs="Arial" w:eastAsia="Arial" w:hAnsi="Arial"/>
          <w:sz w:val="10"/>
          <w:szCs w:val="10"/>
          <w:color w:val="auto"/>
        </w:rPr>
        <w:t>per ADS; and</w:t>
      </w:r>
    </w:p>
    <w:p>
      <w:pPr>
        <w:spacing w:after="0" w:line="87" w:lineRule="exact"/>
        <w:rPr>
          <w:sz w:val="20"/>
          <w:szCs w:val="20"/>
          <w:color w:val="auto"/>
        </w:rPr>
      </w:pPr>
    </w:p>
    <w:p>
      <w:pPr>
        <w:ind w:left="5580" w:right="3039" w:hanging="3135"/>
        <w:spacing w:after="0" w:line="745" w:lineRule="auto"/>
        <w:tabs>
          <w:tab w:leader="none" w:pos="2711"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additional ADSs in this offering. 16</w:t>
      </w:r>
    </w:p>
    <w:p>
      <w:pPr>
        <w:sectPr>
          <w:pgSz w:w="11900" w:h="16838" w:orient="portrait"/>
          <w:cols w:equalWidth="0" w:num="1">
            <w:col w:w="10159"/>
          </w:cols>
          <w:pgMar w:left="300" w:top="354" w:right="1440" w:bottom="1440" w:gutter="0" w:footer="0" w:header="0"/>
          <w:type w:val="continuous"/>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16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0425" cy="411607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79" w:firstLine="284"/>
        <w:spacing w:after="0" w:line="256"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six months ended June 30, 2020 and June 30, 2021, has been derived from our unaudited condensed interim financial statements and the related notes thereto, which are included elsewhere in this prospectus. The financial data as of and for the years ended December 31, 2020 and 2019, has been derived from our audited consolidated financial statements and the related notes thereto, which are included elsewhere in this prospectus. Our consolidated financial data has been prepared in accordance with IFRS as issued by the IASB.</w:t>
      </w:r>
    </w:p>
    <w:p>
      <w:pPr>
        <w:spacing w:after="0" w:line="128" w:lineRule="exact"/>
        <w:rPr>
          <w:sz w:val="20"/>
          <w:szCs w:val="20"/>
          <w:color w:val="auto"/>
        </w:rPr>
      </w:pPr>
    </w:p>
    <w:p>
      <w:pPr>
        <w:ind w:left="2100" w:right="1019" w:firstLine="28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11"/>
          </w:tcPr>
          <w:p>
            <w:pPr>
              <w:ind w:left="320"/>
              <w:spacing w:after="0"/>
              <w:rPr>
                <w:sz w:val="20"/>
                <w:szCs w:val="20"/>
                <w:color w:val="auto"/>
              </w:rPr>
            </w:pPr>
            <w:r>
              <w:rPr>
                <w:rFonts w:ascii="Arial" w:cs="Arial" w:eastAsia="Arial" w:hAnsi="Arial"/>
                <w:sz w:val="10"/>
                <w:szCs w:val="10"/>
                <w:b w:val="1"/>
                <w:bCs w:val="1"/>
                <w:color w:val="auto"/>
              </w:rPr>
              <w:t>For the six months ended June 30,</w:t>
            </w:r>
          </w:p>
        </w:tc>
        <w:tc>
          <w:tcPr>
            <w:tcW w:w="3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39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jc w:val="center"/>
              <w:ind w:left="25"/>
              <w:spacing w:after="0" w:line="88" w:lineRule="exact"/>
              <w:rPr>
                <w:sz w:val="20"/>
                <w:szCs w:val="20"/>
                <w:color w:val="auto"/>
              </w:rPr>
            </w:pPr>
            <w:r>
              <w:rPr>
                <w:rFonts w:ascii="Arial" w:cs="Arial" w:eastAsia="Arial" w:hAnsi="Arial"/>
                <w:sz w:val="10"/>
                <w:szCs w:val="10"/>
                <w:b w:val="1"/>
                <w:bCs w:val="1"/>
                <w:color w:val="auto"/>
                <w:w w:val="80"/>
              </w:rPr>
              <w:t>2020</w:t>
            </w: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45"/>
              <w:spacing w:after="0" w:line="88" w:lineRule="exact"/>
              <w:rPr>
                <w:sz w:val="20"/>
                <w:szCs w:val="20"/>
                <w:color w:val="auto"/>
              </w:rPr>
            </w:pPr>
            <w:r>
              <w:rPr>
                <w:rFonts w:ascii="Arial" w:cs="Arial" w:eastAsia="Arial" w:hAnsi="Arial"/>
                <w:sz w:val="10"/>
                <w:szCs w:val="10"/>
                <w:b w:val="1"/>
                <w:bCs w:val="1"/>
                <w:color w:val="auto"/>
                <w:w w:val="80"/>
              </w:rPr>
              <w:t>2021</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3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4"/>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3940" w:type="dxa"/>
            <w:vAlign w:val="bottom"/>
          </w:tcPr>
          <w:p>
            <w:pPr>
              <w:spacing w:after="0"/>
              <w:rPr>
                <w:sz w:val="9"/>
                <w:szCs w:val="9"/>
                <w:color w:val="auto"/>
              </w:rPr>
            </w:pPr>
          </w:p>
        </w:tc>
        <w:tc>
          <w:tcPr>
            <w:tcW w:w="1560" w:type="dxa"/>
            <w:vAlign w:val="bottom"/>
            <w:tcBorders>
              <w:right w:val="single" w:sz="8" w:color="auto"/>
            </w:tcBorders>
            <w:gridSpan w:val="7"/>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5"/>
          </w:tcPr>
          <w:p>
            <w:pPr>
              <w:jc w:val="center"/>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88"/>
        </w:trPr>
        <w:tc>
          <w:tcPr>
            <w:tcW w:w="3940" w:type="dxa"/>
            <w:vAlign w:val="bottom"/>
          </w:tcPr>
          <w:p>
            <w:pPr>
              <w:spacing w:after="0"/>
              <w:rPr>
                <w:sz w:val="7"/>
                <w:szCs w:val="7"/>
                <w:color w:val="auto"/>
              </w:rPr>
            </w:pPr>
          </w:p>
        </w:tc>
        <w:tc>
          <w:tcPr>
            <w:tcW w:w="38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w w:val="81"/>
              </w:rPr>
              <w:t>Space</w:t>
            </w: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Borders>
              <w:top w:val="single" w:sz="8" w:color="auto"/>
            </w:tcBorders>
            <w:gridSpan w:val="2"/>
          </w:tcPr>
          <w:p>
            <w:pPr>
              <w:jc w:val="right"/>
              <w:ind w:right="132"/>
              <w:spacing w:after="0" w:line="88" w:lineRule="exact"/>
              <w:rPr>
                <w:sz w:val="20"/>
                <w:szCs w:val="20"/>
                <w:color w:val="auto"/>
              </w:rPr>
            </w:pPr>
            <w:r>
              <w:rPr>
                <w:rFonts w:ascii="Arial" w:cs="Arial" w:eastAsia="Arial" w:hAnsi="Arial"/>
                <w:sz w:val="10"/>
                <w:szCs w:val="10"/>
                <w:b w:val="1"/>
                <w:bCs w:val="1"/>
                <w:color w:val="auto"/>
              </w:rPr>
              <w:t>Air</w:t>
            </w: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80"/>
              <w:spacing w:after="0" w:line="88" w:lineRule="exact"/>
              <w:rPr>
                <w:sz w:val="20"/>
                <w:szCs w:val="20"/>
                <w:color w:val="auto"/>
              </w:rPr>
            </w:pPr>
            <w:r>
              <w:rPr>
                <w:rFonts w:ascii="Arial" w:cs="Arial" w:eastAsia="Arial" w:hAnsi="Arial"/>
                <w:sz w:val="10"/>
                <w:szCs w:val="10"/>
                <w:b w:val="1"/>
                <w:bCs w:val="1"/>
                <w:color w:val="auto"/>
              </w:rPr>
              <w:t>Space</w:t>
            </w:r>
          </w:p>
        </w:tc>
        <w:tc>
          <w:tcPr>
            <w:tcW w:w="340" w:type="dxa"/>
            <w:vAlign w:val="bottom"/>
            <w:tcBorders>
              <w:top w:val="single" w:sz="8" w:color="auto"/>
            </w:tcBorders>
          </w:tcPr>
          <w:p>
            <w:pPr>
              <w:jc w:val="right"/>
              <w:ind w:right="4"/>
              <w:spacing w:after="0" w:line="88" w:lineRule="exact"/>
              <w:rPr>
                <w:sz w:val="20"/>
                <w:szCs w:val="20"/>
                <w:color w:val="auto"/>
              </w:rPr>
            </w:pPr>
            <w:r>
              <w:rPr>
                <w:rFonts w:ascii="Arial" w:cs="Arial" w:eastAsia="Arial" w:hAnsi="Arial"/>
                <w:sz w:val="10"/>
                <w:szCs w:val="10"/>
                <w:b w:val="1"/>
                <w:bCs w:val="1"/>
                <w:color w:val="auto"/>
                <w:w w:val="86"/>
              </w:rPr>
              <w:t>Group</w:t>
            </w:r>
          </w:p>
        </w:tc>
        <w:tc>
          <w:tcPr>
            <w:tcW w:w="180" w:type="dxa"/>
            <w:vAlign w:val="bottom"/>
          </w:tcPr>
          <w:p>
            <w:pPr>
              <w:spacing w:after="0"/>
              <w:rPr>
                <w:sz w:val="7"/>
                <w:szCs w:val="7"/>
                <w:color w:val="auto"/>
              </w:rPr>
            </w:pPr>
          </w:p>
        </w:tc>
      </w:tr>
      <w:tr>
        <w:trPr>
          <w:trHeight w:val="124"/>
        </w:trPr>
        <w:tc>
          <w:tcPr>
            <w:tcW w:w="39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color w:val="auto"/>
              </w:rPr>
              <w:t>Revenue</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40" w:type="dxa"/>
            <w:vAlign w:val="bottom"/>
          </w:tcPr>
          <w:p>
            <w:pPr>
              <w:jc w:val="right"/>
              <w:spacing w:after="0"/>
              <w:rPr>
                <w:sz w:val="20"/>
                <w:szCs w:val="20"/>
                <w:color w:val="auto"/>
              </w:rPr>
            </w:pPr>
            <w:r>
              <w:rPr>
                <w:rFonts w:ascii="Arial" w:cs="Arial" w:eastAsia="Arial" w:hAnsi="Arial"/>
                <w:sz w:val="11"/>
                <w:szCs w:val="11"/>
                <w:color w:val="auto"/>
              </w:rPr>
              <w:t>89</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230</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271</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r>
              <w:rPr>
                <w:rFonts w:ascii="Arial" w:cs="Arial" w:eastAsia="Arial" w:hAnsi="Arial"/>
                <w:sz w:val="9"/>
                <w:szCs w:val="9"/>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(1,826)</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7"/>
              </w:rPr>
              <w:t>(2,522)</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(1,079)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(3,352)</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Personnel costs</w:t>
            </w:r>
            <w:r>
              <w:rPr>
                <w:rFonts w:ascii="Arial" w:cs="Arial" w:eastAsia="Arial" w:hAnsi="Arial"/>
                <w:sz w:val="9"/>
                <w:szCs w:val="9"/>
                <w:color w:val="auto"/>
              </w:rPr>
              <w:t>(1)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(2,763)</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(4,840)</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7"/>
              </w:rPr>
              <w:t>(7,603)</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7"/>
              </w:rPr>
              <w:t>(2,859)</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(7,901)</w:t>
            </w:r>
          </w:p>
        </w:tc>
        <w:tc>
          <w:tcPr>
            <w:tcW w:w="4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w w:val="92"/>
              </w:rPr>
              <w:t>(10,812)</w:t>
            </w:r>
            <w:r>
              <w:rPr>
                <w:rFonts w:ascii="Arial" w:cs="Arial" w:eastAsia="Arial" w:hAnsi="Arial"/>
                <w:sz w:val="9"/>
                <w:szCs w:val="9"/>
                <w:color w:val="auto"/>
                <w:w w:val="92"/>
              </w:rPr>
              <w:t>(2)</w:t>
            </w:r>
          </w:p>
        </w:tc>
      </w:tr>
      <w:tr>
        <w:trPr>
          <w:trHeight w:val="122"/>
        </w:trPr>
        <w:tc>
          <w:tcPr>
            <w:tcW w:w="3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w w:val="98"/>
              </w:rPr>
              <w:t>Depreciation, amortization and impairment of other intangible assets and property,</w:t>
            </w: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3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plant, and equipment</w:t>
            </w:r>
            <w:r>
              <w:rPr>
                <w:rFonts w:ascii="Arial" w:cs="Arial" w:eastAsia="Arial" w:hAnsi="Arial"/>
                <w:sz w:val="9"/>
                <w:szCs w:val="9"/>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(430)</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(1,434)</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costs</w:t>
            </w:r>
            <w:r>
              <w:rPr>
                <w:rFonts w:ascii="Arial" w:cs="Arial" w:eastAsia="Arial" w:hAnsi="Arial"/>
                <w:sz w:val="9"/>
                <w:szCs w:val="9"/>
                <w:color w:val="auto"/>
              </w:rPr>
              <w:t>(1)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(627)</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(1,409)</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(2,147)</w:t>
            </w:r>
            <w:r>
              <w:rPr>
                <w:rFonts w:ascii="Arial" w:cs="Arial" w:eastAsia="Arial" w:hAnsi="Arial"/>
                <w:sz w:val="9"/>
                <w:szCs w:val="9"/>
                <w:color w:val="auto"/>
              </w:rPr>
              <w:t>(3)</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(533)</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(3,236)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rPr>
              <w:t>(4,160)</w:t>
            </w:r>
            <w:r>
              <w:rPr>
                <w:rFonts w:ascii="Arial" w:cs="Arial" w:eastAsia="Arial" w:hAnsi="Arial"/>
                <w:sz w:val="9"/>
                <w:szCs w:val="9"/>
                <w:color w:val="auto"/>
              </w:rPr>
              <w:t>(4)</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Own work capitalized</w:t>
            </w:r>
            <w:r>
              <w:rPr>
                <w:rFonts w:ascii="Arial" w:cs="Arial" w:eastAsia="Arial" w:hAnsi="Arial"/>
                <w:sz w:val="9"/>
                <w:szCs w:val="9"/>
                <w:color w:val="auto"/>
              </w:rPr>
              <w:t>(1)</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1,422</w:t>
            </w:r>
          </w:p>
        </w:tc>
        <w:tc>
          <w:tcPr>
            <w:tcW w:w="540" w:type="dxa"/>
            <w:vAlign w:val="bottom"/>
            <w:gridSpan w:val="3"/>
          </w:tcPr>
          <w:p>
            <w:pPr>
              <w:jc w:val="right"/>
              <w:ind w:right="100"/>
              <w:spacing w:after="0"/>
              <w:rPr>
                <w:sz w:val="20"/>
                <w:szCs w:val="20"/>
                <w:color w:val="auto"/>
              </w:rPr>
            </w:pPr>
            <w:r>
              <w:rPr>
                <w:rFonts w:ascii="Arial" w:cs="Arial" w:eastAsia="Arial" w:hAnsi="Arial"/>
                <w:sz w:val="11"/>
                <w:szCs w:val="11"/>
                <w:color w:val="auto"/>
              </w:rPr>
              <w:t>3,330</w:t>
            </w:r>
          </w:p>
        </w:tc>
        <w:tc>
          <w:tcPr>
            <w:tcW w:w="6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1"/>
                <w:szCs w:val="11"/>
                <w:color w:val="auto"/>
              </w:rPr>
              <w:t>2,471</w:t>
            </w:r>
          </w:p>
        </w:tc>
        <w:tc>
          <w:tcPr>
            <w:tcW w:w="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2,471</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(2,219)</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(4,944)</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(7,274)</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(4,509)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(11,288)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(16,240)</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163</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22</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44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0425" cy="4344670"/>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9"/>
          </w:tcPr>
          <w:p>
            <w:pPr>
              <w:ind w:left="140"/>
              <w:spacing w:after="0"/>
              <w:rPr>
                <w:sz w:val="20"/>
                <w:szCs w:val="20"/>
                <w:color w:val="auto"/>
              </w:rPr>
            </w:pPr>
            <w:r>
              <w:rPr>
                <w:rFonts w:ascii="Arial" w:cs="Arial" w:eastAsia="Arial" w:hAnsi="Arial"/>
                <w:sz w:val="10"/>
                <w:szCs w:val="10"/>
                <w:b w:val="1"/>
                <w:bCs w:val="1"/>
                <w:color w:val="auto"/>
                <w:w w:val="89"/>
              </w:rPr>
              <w:t>For the six months ended June 30,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3"/>
          </w:tcPr>
          <w:p>
            <w:pPr>
              <w:jc w:val="center"/>
              <w:ind w:left="55"/>
              <w:spacing w:after="0" w:line="88" w:lineRule="exact"/>
              <w:rPr>
                <w:sz w:val="20"/>
                <w:szCs w:val="20"/>
                <w:color w:val="auto"/>
              </w:rPr>
            </w:pPr>
            <w:r>
              <w:rPr>
                <w:rFonts w:ascii="Arial" w:cs="Arial" w:eastAsia="Arial" w:hAnsi="Arial"/>
                <w:sz w:val="10"/>
                <w:szCs w:val="10"/>
                <w:b w:val="1"/>
                <w:bCs w:val="1"/>
                <w:color w:val="auto"/>
                <w:w w:val="80"/>
              </w:rPr>
              <w:t>2020</w:t>
            </w:r>
          </w:p>
        </w:tc>
        <w:tc>
          <w:tcPr>
            <w:tcW w:w="300" w:type="dxa"/>
            <w:vAlign w:val="bottom"/>
            <w:tcBorders>
              <w:bottom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3"/>
          </w:tcPr>
          <w:p>
            <w:pPr>
              <w:jc w:val="center"/>
              <w:ind w:left="154"/>
              <w:spacing w:after="0" w:line="88" w:lineRule="exact"/>
              <w:rPr>
                <w:sz w:val="20"/>
                <w:szCs w:val="20"/>
                <w:color w:val="auto"/>
              </w:rPr>
            </w:pPr>
            <w:r>
              <w:rPr>
                <w:rFonts w:ascii="Arial" w:cs="Arial" w:eastAsia="Arial" w:hAnsi="Arial"/>
                <w:sz w:val="10"/>
                <w:szCs w:val="10"/>
                <w:b w:val="1"/>
                <w:bCs w:val="1"/>
                <w:color w:val="auto"/>
                <w:w w:val="89"/>
              </w:rPr>
              <w:t>2021</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tcPr>
          <w:p>
            <w:pPr>
              <w:jc w:val="center"/>
              <w:ind w:right="127"/>
              <w:spacing w:after="0" w:line="74" w:lineRule="exact"/>
              <w:rPr>
                <w:sz w:val="20"/>
                <w:szCs w:val="20"/>
                <w:color w:val="auto"/>
              </w:rPr>
            </w:pPr>
            <w:r>
              <w:rPr>
                <w:rFonts w:ascii="Arial" w:cs="Arial" w:eastAsia="Arial" w:hAnsi="Arial"/>
                <w:sz w:val="8"/>
                <w:szCs w:val="8"/>
                <w:b w:val="1"/>
                <w:bCs w:val="1"/>
                <w:color w:val="auto"/>
              </w:rPr>
              <w:t>(unaudited)</w:t>
            </w:r>
          </w:p>
        </w:tc>
        <w:tc>
          <w:tcPr>
            <w:tcW w:w="2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4"/>
          </w:tcPr>
          <w:p>
            <w:pPr>
              <w:jc w:val="center"/>
              <w:ind w:right="107"/>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220" w:type="dxa"/>
            <w:vAlign w:val="bottom"/>
            <w:tcBorders>
              <w:right w:val="single" w:sz="8" w:color="auto"/>
            </w:tcBorders>
            <w:gridSpan w:val="7"/>
          </w:tcPr>
          <w:p>
            <w:pPr>
              <w:jc w:val="center"/>
              <w:ind w:right="2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5"/>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2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ind w:left="20"/>
              <w:spacing w:after="0" w:line="88" w:lineRule="exact"/>
              <w:rPr>
                <w:sz w:val="20"/>
                <w:szCs w:val="20"/>
                <w:color w:val="auto"/>
              </w:rPr>
            </w:pPr>
            <w:r>
              <w:rPr>
                <w:rFonts w:ascii="Arial" w:cs="Arial" w:eastAsia="Arial" w:hAnsi="Arial"/>
                <w:sz w:val="10"/>
                <w:szCs w:val="10"/>
                <w:b w:val="1"/>
                <w:bCs w:val="1"/>
                <w:color w:val="auto"/>
                <w:w w:val="86"/>
              </w:rPr>
              <w:t>Air</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Other comprehensive income / loss after tax</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22</w:t>
            </w: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center"/>
              <w:ind w:left="47"/>
              <w:spacing w:after="0" w:line="124" w:lineRule="exact"/>
              <w:rPr>
                <w:sz w:val="20"/>
                <w:szCs w:val="20"/>
                <w:color w:val="auto"/>
              </w:rPr>
            </w:pPr>
            <w:r>
              <w:rPr>
                <w:rFonts w:ascii="Arial" w:cs="Arial" w:eastAsia="Arial" w:hAnsi="Arial"/>
                <w:sz w:val="11"/>
                <w:szCs w:val="11"/>
                <w:color w:val="auto"/>
                <w:w w:val="91"/>
              </w:rPr>
              <w:t>n/a</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(138)</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91"/>
              </w:rPr>
              <w:t>(7,271)</w:t>
            </w:r>
          </w:p>
        </w:tc>
        <w:tc>
          <w:tcPr>
            <w:tcW w:w="10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2"/>
                <w:szCs w:val="12"/>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2"/>
              </w:rPr>
              <w:t>(16,215)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039" w:hanging="286"/>
        <w:spacing w:after="0" w:line="230"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2100" w:type="dxa"/>
        <w:tblCellMar>
          <w:top w:w="0" w:type="dxa"/>
          <w:left w:w="0" w:type="dxa"/>
          <w:bottom w:w="0" w:type="dxa"/>
          <w:right w:w="0" w:type="dxa"/>
        </w:tblCellMar>
      </w:tblPr>
      <w:tr>
        <w:trPr>
          <w:trHeight w:val="90"/>
        </w:trPr>
        <w:tc>
          <w:tcPr>
            <w:tcW w:w="48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7"/>
                <w:szCs w:val="7"/>
                <w:b w:val="1"/>
                <w:bCs w:val="1"/>
                <w:color w:val="auto"/>
              </w:rPr>
              <w:t>For the six months ended June 30,</w:t>
            </w: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70"/>
        </w:trPr>
        <w:tc>
          <w:tcPr>
            <w:tcW w:w="48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right"/>
              <w:ind w:right="20"/>
              <w:spacing w:after="0" w:line="70" w:lineRule="exact"/>
              <w:rPr>
                <w:sz w:val="20"/>
                <w:szCs w:val="20"/>
                <w:color w:val="auto"/>
              </w:rPr>
            </w:pPr>
            <w:r>
              <w:rPr>
                <w:rFonts w:ascii="Arial" w:cs="Arial" w:eastAsia="Arial" w:hAnsi="Arial"/>
                <w:sz w:val="7"/>
                <w:szCs w:val="7"/>
                <w:b w:val="1"/>
                <w:bCs w:val="1"/>
                <w:color w:val="auto"/>
              </w:rPr>
              <w:t>2020</w:t>
            </w: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jc w:val="right"/>
              <w:ind w:right="100"/>
              <w:spacing w:after="0" w:line="70" w:lineRule="exact"/>
              <w:rPr>
                <w:sz w:val="20"/>
                <w:szCs w:val="20"/>
                <w:color w:val="auto"/>
              </w:rPr>
            </w:pPr>
            <w:r>
              <w:rPr>
                <w:rFonts w:ascii="Arial" w:cs="Arial" w:eastAsia="Arial" w:hAnsi="Arial"/>
                <w:sz w:val="7"/>
                <w:szCs w:val="7"/>
                <w:b w:val="1"/>
                <w:bCs w:val="1"/>
                <w:color w:val="auto"/>
              </w:rPr>
              <w:t>2021</w:t>
            </w:r>
          </w:p>
        </w:tc>
        <w:tc>
          <w:tcPr>
            <w:tcW w:w="3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70"/>
        </w:trPr>
        <w:tc>
          <w:tcPr>
            <w:tcW w:w="48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4"/>
          </w:tcPr>
          <w:p>
            <w:pPr>
              <w:spacing w:after="0" w:line="70" w:lineRule="exact"/>
              <w:rPr>
                <w:sz w:val="20"/>
                <w:szCs w:val="20"/>
                <w:color w:val="auto"/>
              </w:rPr>
            </w:pPr>
            <w:r>
              <w:rPr>
                <w:rFonts w:ascii="Arial" w:cs="Arial" w:eastAsia="Arial" w:hAnsi="Arial"/>
                <w:sz w:val="7"/>
                <w:szCs w:val="7"/>
                <w:b w:val="1"/>
                <w:bCs w:val="1"/>
                <w:color w:val="auto"/>
                <w:w w:val="88"/>
              </w:rPr>
              <w:t>(in € thousands)</w:t>
            </w:r>
          </w:p>
        </w:tc>
        <w:tc>
          <w:tcPr>
            <w:tcW w:w="26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3"/>
          </w:tcPr>
          <w:p>
            <w:pPr>
              <w:jc w:val="right"/>
              <w:ind w:right="194"/>
              <w:spacing w:after="0" w:line="70" w:lineRule="exact"/>
              <w:rPr>
                <w:sz w:val="20"/>
                <w:szCs w:val="20"/>
                <w:color w:val="auto"/>
              </w:rPr>
            </w:pPr>
            <w:r>
              <w:rPr>
                <w:rFonts w:ascii="Arial" w:cs="Arial" w:eastAsia="Arial" w:hAnsi="Arial"/>
                <w:sz w:val="7"/>
                <w:szCs w:val="7"/>
                <w:b w:val="1"/>
                <w:bCs w:val="1"/>
                <w:color w:val="auto"/>
                <w:w w:val="88"/>
              </w:rPr>
              <w:t>(in € thousands)</w:t>
            </w:r>
          </w:p>
        </w:tc>
        <w:tc>
          <w:tcPr>
            <w:tcW w:w="60" w:type="dxa"/>
            <w:vAlign w:val="bottom"/>
          </w:tcPr>
          <w:p>
            <w:pPr>
              <w:spacing w:after="0"/>
              <w:rPr>
                <w:sz w:val="6"/>
                <w:szCs w:val="6"/>
                <w:color w:val="auto"/>
              </w:rPr>
            </w:pPr>
          </w:p>
        </w:tc>
      </w:tr>
      <w:tr>
        <w:trPr>
          <w:trHeight w:val="70"/>
        </w:trPr>
        <w:tc>
          <w:tcPr>
            <w:tcW w:w="4800" w:type="dxa"/>
            <w:vAlign w:val="bottom"/>
          </w:tcPr>
          <w:p>
            <w:pPr>
              <w:spacing w:after="0"/>
              <w:rPr>
                <w:sz w:val="6"/>
                <w:szCs w:val="6"/>
                <w:color w:val="auto"/>
              </w:rPr>
            </w:pPr>
          </w:p>
        </w:tc>
        <w:tc>
          <w:tcPr>
            <w:tcW w:w="260" w:type="dxa"/>
            <w:vAlign w:val="bottom"/>
            <w:gridSpan w:val="2"/>
          </w:tcPr>
          <w:p>
            <w:pPr>
              <w:jc w:val="right"/>
              <w:ind w:right="10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420" w:type="dxa"/>
            <w:vAlign w:val="bottom"/>
            <w:gridSpan w:val="3"/>
          </w:tcPr>
          <w:p>
            <w:pPr>
              <w:ind w:left="60"/>
              <w:spacing w:after="0" w:line="70" w:lineRule="exact"/>
              <w:rPr>
                <w:sz w:val="20"/>
                <w:szCs w:val="20"/>
                <w:color w:val="auto"/>
              </w:rPr>
            </w:pPr>
            <w:r>
              <w:rPr>
                <w:rFonts w:ascii="Arial" w:cs="Arial" w:eastAsia="Arial" w:hAnsi="Arial"/>
                <w:sz w:val="7"/>
                <w:szCs w:val="7"/>
                <w:b w:val="1"/>
                <w:bCs w:val="1"/>
                <w:color w:val="auto"/>
              </w:rPr>
              <w:t>Space</w:t>
            </w:r>
          </w:p>
        </w:tc>
        <w:tc>
          <w:tcPr>
            <w:tcW w:w="260" w:type="dxa"/>
            <w:vAlign w:val="bottom"/>
          </w:tcPr>
          <w:p>
            <w:pPr>
              <w:jc w:val="right"/>
              <w:spacing w:after="0" w:line="70" w:lineRule="exact"/>
              <w:rPr>
                <w:sz w:val="20"/>
                <w:szCs w:val="20"/>
                <w:color w:val="auto"/>
              </w:rPr>
            </w:pPr>
            <w:r>
              <w:rPr>
                <w:rFonts w:ascii="Arial" w:cs="Arial" w:eastAsia="Arial" w:hAnsi="Arial"/>
                <w:sz w:val="7"/>
                <w:szCs w:val="7"/>
                <w:b w:val="1"/>
                <w:bCs w:val="1"/>
                <w:color w:val="auto"/>
                <w:w w:val="95"/>
              </w:rPr>
              <w:t>Group</w:t>
            </w: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2"/>
          </w:tcPr>
          <w:p>
            <w:pPr>
              <w:jc w:val="center"/>
              <w:ind w:right="120"/>
              <w:spacing w:after="0" w:line="70" w:lineRule="exact"/>
              <w:rPr>
                <w:sz w:val="20"/>
                <w:szCs w:val="20"/>
                <w:color w:val="auto"/>
              </w:rPr>
            </w:pPr>
            <w:r>
              <w:rPr>
                <w:rFonts w:ascii="Arial" w:cs="Arial" w:eastAsia="Arial" w:hAnsi="Arial"/>
                <w:sz w:val="7"/>
                <w:szCs w:val="7"/>
                <w:b w:val="1"/>
                <w:bCs w:val="1"/>
                <w:color w:val="auto"/>
              </w:rPr>
              <w:t>Air</w:t>
            </w:r>
          </w:p>
        </w:tc>
        <w:tc>
          <w:tcPr>
            <w:tcW w:w="420" w:type="dxa"/>
            <w:vAlign w:val="bottom"/>
            <w:gridSpan w:val="2"/>
          </w:tcPr>
          <w:p>
            <w:pPr>
              <w:jc w:val="right"/>
              <w:ind w:right="180"/>
              <w:spacing w:after="0" w:line="70" w:lineRule="exact"/>
              <w:rPr>
                <w:sz w:val="20"/>
                <w:szCs w:val="20"/>
                <w:color w:val="auto"/>
              </w:rPr>
            </w:pPr>
            <w:r>
              <w:rPr>
                <w:rFonts w:ascii="Arial" w:cs="Arial" w:eastAsia="Arial" w:hAnsi="Arial"/>
                <w:sz w:val="7"/>
                <w:szCs w:val="7"/>
                <w:b w:val="1"/>
                <w:bCs w:val="1"/>
                <w:color w:val="auto"/>
              </w:rPr>
              <w:t>Space</w:t>
            </w:r>
          </w:p>
        </w:tc>
        <w:tc>
          <w:tcPr>
            <w:tcW w:w="32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rPr>
              <w:t>Group</w:t>
            </w:r>
          </w:p>
        </w:tc>
        <w:tc>
          <w:tcPr>
            <w:tcW w:w="60" w:type="dxa"/>
            <w:vAlign w:val="bottom"/>
          </w:tcPr>
          <w:p>
            <w:pPr>
              <w:spacing w:after="0"/>
              <w:rPr>
                <w:sz w:val="6"/>
                <w:szCs w:val="6"/>
                <w:color w:val="auto"/>
              </w:rPr>
            </w:pPr>
          </w:p>
        </w:tc>
      </w:tr>
      <w:tr>
        <w:trPr>
          <w:trHeight w:val="88"/>
        </w:trPr>
        <w:tc>
          <w:tcPr>
            <w:tcW w:w="48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(1,127)</w:t>
            </w: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75"/>
              </w:rPr>
              <w:t>(1,710)</w:t>
            </w: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26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(620)</w:t>
            </w:r>
          </w:p>
        </w:tc>
        <w:tc>
          <w:tcPr>
            <w:tcW w:w="460" w:type="dxa"/>
            <w:vAlign w:val="bottom"/>
            <w:gridSpan w:val="3"/>
          </w:tcPr>
          <w:p>
            <w:pPr>
              <w:jc w:val="right"/>
              <w:ind w:right="60"/>
              <w:spacing w:after="0" w:line="99" w:lineRule="exact"/>
              <w:rPr>
                <w:sz w:val="20"/>
                <w:szCs w:val="20"/>
                <w:color w:val="auto"/>
              </w:rPr>
            </w:pPr>
            <w:r>
              <w:rPr>
                <w:rFonts w:ascii="Arial" w:cs="Arial" w:eastAsia="Arial" w:hAnsi="Arial"/>
                <w:sz w:val="10"/>
                <w:szCs w:val="10"/>
                <w:color w:val="auto"/>
              </w:rPr>
              <w:t>(1,627)</w:t>
            </w:r>
          </w:p>
        </w:tc>
        <w:tc>
          <w:tcPr>
            <w:tcW w:w="40" w:type="dxa"/>
            <w:vAlign w:val="bottom"/>
          </w:tcPr>
          <w:p>
            <w:pPr>
              <w:spacing w:after="0"/>
              <w:rPr>
                <w:sz w:val="8"/>
                <w:szCs w:val="8"/>
                <w:color w:val="auto"/>
              </w:rPr>
            </w:pPr>
          </w:p>
        </w:tc>
        <w:tc>
          <w:tcPr>
            <w:tcW w:w="46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10"/>
                <w:szCs w:val="10"/>
                <w:color w:val="auto"/>
                <w:w w:val="88"/>
              </w:rPr>
              <w:t>(2,247)</w:t>
            </w:r>
          </w:p>
        </w:tc>
        <w:tc>
          <w:tcPr>
            <w:tcW w:w="40" w:type="dxa"/>
            <w:vAlign w:val="bottom"/>
          </w:tcPr>
          <w:p>
            <w:pPr>
              <w:spacing w:after="0"/>
              <w:rPr>
                <w:sz w:val="8"/>
                <w:szCs w:val="8"/>
                <w:color w:val="auto"/>
              </w:rPr>
            </w:pPr>
          </w:p>
        </w:tc>
        <w:tc>
          <w:tcPr>
            <w:tcW w:w="2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94"/>
              </w:rPr>
              <w:t>(1,392)</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(1,392)</w:t>
            </w: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2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(127)</w:t>
            </w:r>
          </w:p>
        </w:tc>
        <w:tc>
          <w:tcPr>
            <w:tcW w:w="4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(335)</w:t>
            </w:r>
          </w:p>
        </w:tc>
        <w:tc>
          <w:tcPr>
            <w:tcW w:w="40" w:type="dxa"/>
            <w:vAlign w:val="bottom"/>
            <w:shd w:val="clear" w:color="auto" w:fill="CCEEFF"/>
          </w:tcPr>
          <w:p>
            <w:pPr>
              <w:spacing w:after="0"/>
              <w:rPr>
                <w:sz w:val="8"/>
                <w:szCs w:val="8"/>
                <w:color w:val="auto"/>
              </w:rPr>
            </w:pPr>
          </w:p>
        </w:tc>
        <w:tc>
          <w:tcPr>
            <w:tcW w:w="46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(462)</w:t>
            </w:r>
          </w:p>
        </w:tc>
        <w:tc>
          <w:tcPr>
            <w:tcW w:w="4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(187)</w:t>
            </w:r>
          </w:p>
        </w:tc>
      </w:tr>
      <w:tr>
        <w:trPr>
          <w:trHeight w:val="99"/>
        </w:trPr>
        <w:tc>
          <w:tcPr>
            <w:tcW w:w="48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26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(92)</w:t>
            </w:r>
          </w:p>
        </w:tc>
        <w:tc>
          <w:tcPr>
            <w:tcW w:w="460" w:type="dxa"/>
            <w:vAlign w:val="bottom"/>
            <w:gridSpan w:val="3"/>
          </w:tcPr>
          <w:p>
            <w:pPr>
              <w:jc w:val="right"/>
              <w:ind w:right="60"/>
              <w:spacing w:after="0" w:line="99" w:lineRule="exact"/>
              <w:rPr>
                <w:sz w:val="20"/>
                <w:szCs w:val="20"/>
                <w:color w:val="auto"/>
              </w:rPr>
            </w:pPr>
            <w:r>
              <w:rPr>
                <w:rFonts w:ascii="Arial" w:cs="Arial" w:eastAsia="Arial" w:hAnsi="Arial"/>
                <w:sz w:val="10"/>
                <w:szCs w:val="10"/>
                <w:color w:val="auto"/>
              </w:rPr>
              <w:t>(241)</w:t>
            </w:r>
          </w:p>
        </w:tc>
        <w:tc>
          <w:tcPr>
            <w:tcW w:w="40" w:type="dxa"/>
            <w:vAlign w:val="bottom"/>
          </w:tcPr>
          <w:p>
            <w:pPr>
              <w:spacing w:after="0"/>
              <w:rPr>
                <w:sz w:val="8"/>
                <w:szCs w:val="8"/>
                <w:color w:val="auto"/>
              </w:rPr>
            </w:pPr>
          </w:p>
        </w:tc>
        <w:tc>
          <w:tcPr>
            <w:tcW w:w="46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10"/>
                <w:szCs w:val="10"/>
                <w:color w:val="auto"/>
              </w:rPr>
              <w:t>(333)</w:t>
            </w:r>
          </w:p>
        </w:tc>
        <w:tc>
          <w:tcPr>
            <w:tcW w:w="40" w:type="dxa"/>
            <w:vAlign w:val="bottom"/>
          </w:tcPr>
          <w:p>
            <w:pPr>
              <w:spacing w:after="0"/>
              <w:rPr>
                <w:sz w:val="8"/>
                <w:szCs w:val="8"/>
                <w:color w:val="auto"/>
              </w:rPr>
            </w:pPr>
          </w:p>
        </w:tc>
        <w:tc>
          <w:tcPr>
            <w:tcW w:w="2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(260)</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(260)</w:t>
            </w:r>
          </w:p>
        </w:tc>
      </w:tr>
    </w:tbl>
    <w:p>
      <w:pPr>
        <w:spacing w:after="0" w:line="69" w:lineRule="exact"/>
        <w:rPr>
          <w:sz w:val="20"/>
          <w:szCs w:val="20"/>
          <w:color w:val="auto"/>
        </w:rPr>
      </w:pPr>
    </w:p>
    <w:p>
      <w:pPr>
        <w:ind w:left="2380" w:right="1439" w:hanging="286"/>
        <w:spacing w:after="0" w:line="268" w:lineRule="auto"/>
        <w:tabs>
          <w:tab w:leader="none" w:pos="2380" w:val="left"/>
        </w:tabs>
        <w:numPr>
          <w:ilvl w:val="0"/>
          <w:numId w:val="16"/>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“Management—Compensation of Management Board and Supervisory Board Members—Compensation of Management Board Member.”</w:t>
      </w:r>
    </w:p>
    <w:p>
      <w:pPr>
        <w:ind w:left="2380" w:right="99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3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0"/>
                <w:szCs w:val="10"/>
                <w:b w:val="1"/>
                <w:bCs w:val="1"/>
                <w:color w:val="auto"/>
              </w:rPr>
              <w:t>For the year ended December 31,</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88"/>
        </w:trPr>
        <w:tc>
          <w:tcPr>
            <w:tcW w:w="4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2019</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88"/>
        </w:trPr>
        <w:tc>
          <w:tcPr>
            <w:tcW w:w="4100" w:type="dxa"/>
            <w:vAlign w:val="bottom"/>
          </w:tcPr>
          <w:p>
            <w:pPr>
              <w:spacing w:after="0"/>
              <w:rPr>
                <w:sz w:val="7"/>
                <w:szCs w:val="7"/>
                <w:color w:val="auto"/>
              </w:rPr>
            </w:pPr>
          </w:p>
        </w:tc>
        <w:tc>
          <w:tcPr>
            <w:tcW w:w="118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60" w:type="dxa"/>
            <w:vAlign w:val="bottom"/>
          </w:tcPr>
          <w:p>
            <w:pPr>
              <w:spacing w:after="0"/>
              <w:rPr>
                <w:sz w:val="7"/>
                <w:szCs w:val="7"/>
                <w:color w:val="auto"/>
              </w:rPr>
            </w:pPr>
          </w:p>
        </w:tc>
      </w:tr>
      <w:tr>
        <w:trPr>
          <w:trHeight w:val="88"/>
        </w:trPr>
        <w:tc>
          <w:tcPr>
            <w:tcW w:w="410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8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172"/>
              <w:spacing w:after="0" w:line="88" w:lineRule="exact"/>
              <w:rPr>
                <w:sz w:val="20"/>
                <w:szCs w:val="20"/>
                <w:color w:val="auto"/>
              </w:rPr>
            </w:pPr>
            <w:r>
              <w:rPr>
                <w:rFonts w:ascii="Arial" w:cs="Arial" w:eastAsia="Arial" w:hAnsi="Arial"/>
                <w:sz w:val="10"/>
                <w:szCs w:val="10"/>
                <w:b w:val="1"/>
                <w:bCs w:val="1"/>
                <w:color w:val="auto"/>
              </w:rPr>
              <w:t>Air</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60" w:type="dxa"/>
            <w:vAlign w:val="bottom"/>
          </w:tcPr>
          <w:p>
            <w:pPr>
              <w:spacing w:after="0"/>
              <w:rPr>
                <w:sz w:val="7"/>
                <w:szCs w:val="7"/>
                <w:color w:val="auto"/>
              </w:rPr>
            </w:pPr>
          </w:p>
        </w:tc>
      </w:tr>
      <w:tr>
        <w:trPr>
          <w:trHeight w:val="124"/>
        </w:trPr>
        <w:tc>
          <w:tcPr>
            <w:tcW w:w="41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60" w:type="dxa"/>
            <w:vAlign w:val="bottom"/>
            <w:tcBorders>
              <w:top w:val="single" w:sz="8" w:color="CCEEFF"/>
            </w:tcBorders>
            <w:shd w:val="clear" w:color="auto" w:fill="CCEEFF"/>
          </w:tcPr>
          <w:p>
            <w:pPr>
              <w:spacing w:after="0"/>
              <w:rPr>
                <w:sz w:val="10"/>
                <w:szCs w:val="10"/>
                <w:color w:val="auto"/>
              </w:rPr>
            </w:pP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294</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(1,864)</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color w:val="auto"/>
                <w:w w:val="91"/>
              </w:rPr>
              <w:t>(2,290)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(6,221)</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(4,585)</w:t>
            </w:r>
          </w:p>
        </w:tc>
        <w:tc>
          <w:tcPr>
            <w:tcW w:w="68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1"/>
                <w:szCs w:val="11"/>
                <w:color w:val="auto"/>
                <w:w w:val="91"/>
              </w:rPr>
              <w:t>(4,923)</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87"/>
              </w:rPr>
              <w:t>(11,911)</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w w:val="92"/>
              </w:rPr>
              <w:t>(16,834)</w:t>
            </w:r>
          </w:p>
        </w:tc>
      </w:tr>
      <w:tr>
        <w:trPr>
          <w:trHeight w:val="126"/>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4"/>
        </w:trPr>
        <w:tc>
          <w:tcPr>
            <w:tcW w:w="410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(616)</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color w:val="auto"/>
              </w:rPr>
              <w:t>(666)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(1,843)</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(1,556)</w:t>
            </w:r>
          </w:p>
        </w:tc>
        <w:tc>
          <w:tcPr>
            <w:tcW w:w="68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(3)</w:t>
            </w:r>
          </w:p>
        </w:tc>
        <w:tc>
          <w:tcPr>
            <w:tcW w:w="40" w:type="dxa"/>
            <w:vAlign w:val="bottom"/>
          </w:tcPr>
          <w:p>
            <w:pPr>
              <w:spacing w:after="0"/>
              <w:rPr>
                <w:sz w:val="11"/>
                <w:szCs w:val="11"/>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1"/>
                <w:szCs w:val="11"/>
                <w:color w:val="auto"/>
                <w:w w:val="91"/>
              </w:rPr>
              <w:t>(1,320)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(4)</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160" w:type="dxa"/>
            <w:vAlign w:val="bottom"/>
            <w:shd w:val="clear" w:color="auto" w:fill="CCEEFF"/>
          </w:tcPr>
          <w:p>
            <w:pPr>
              <w:spacing w:after="0"/>
              <w:rPr>
                <w:sz w:val="11"/>
                <w:szCs w:val="1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1"/>
                <w:szCs w:val="11"/>
                <w:color w:val="auto"/>
              </w:rPr>
              <w:t>2,184</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3,227</w:t>
            </w: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5,411</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2,102</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7,273</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9,375</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(5,091)</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2"/>
              </w:rPr>
              <w:t>(10,078)</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b w:val="1"/>
                <w:bCs w:val="1"/>
                <w:color w:val="auto"/>
                <w:w w:val="91"/>
              </w:rPr>
              <w:t>(6,423)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87"/>
              </w:rPr>
              <w:t>(12,391)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(531)</w:t>
            </w:r>
          </w:p>
        </w:tc>
      </w:tr>
      <w:tr>
        <w:trPr>
          <w:trHeight w:val="135"/>
        </w:trPr>
        <w:tc>
          <w:tcPr>
            <w:tcW w:w="41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(513)</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160" w:type="dxa"/>
            <w:vAlign w:val="bottom"/>
            <w:shd w:val="clear" w:color="auto" w:fill="CCEEFF"/>
          </w:tcPr>
          <w:p>
            <w:pPr>
              <w:spacing w:after="0"/>
              <w:rPr>
                <w:sz w:val="11"/>
                <w:szCs w:val="11"/>
                <w:color w:val="auto"/>
              </w:rPr>
            </w:pP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487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70425" cy="4487545"/>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10"/>
          </w:tcPr>
          <w:p>
            <w:pPr>
              <w:ind w:left="220"/>
              <w:spacing w:after="0"/>
              <w:rPr>
                <w:sz w:val="20"/>
                <w:szCs w:val="20"/>
                <w:color w:val="auto"/>
              </w:rPr>
            </w:pPr>
            <w:r>
              <w:rPr>
                <w:rFonts w:ascii="Arial" w:cs="Arial" w:eastAsia="Arial" w:hAnsi="Arial"/>
                <w:sz w:val="10"/>
                <w:szCs w:val="10"/>
                <w:b w:val="1"/>
                <w:bCs w:val="1"/>
                <w:color w:val="auto"/>
                <w:w w:val="94"/>
              </w:rPr>
              <w:t>For the year ended December 31,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8"/>
        </w:trPr>
        <w:tc>
          <w:tcPr>
            <w:tcW w:w="46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3"/>
          </w:tcPr>
          <w:p>
            <w:pPr>
              <w:jc w:val="right"/>
              <w:ind w:right="80"/>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4640" w:type="dxa"/>
            <w:vAlign w:val="bottom"/>
          </w:tcPr>
          <w:p>
            <w:pPr>
              <w:spacing w:after="0"/>
              <w:rPr>
                <w:sz w:val="7"/>
                <w:szCs w:val="7"/>
                <w:color w:val="auto"/>
              </w:rPr>
            </w:pPr>
          </w:p>
        </w:tc>
        <w:tc>
          <w:tcPr>
            <w:tcW w:w="94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4"/>
          </w:tcPr>
          <w:p>
            <w:pPr>
              <w:jc w:val="center"/>
              <w:ind w:right="127"/>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r>
      <w:tr>
        <w:trPr>
          <w:trHeight w:val="88"/>
        </w:trPr>
        <w:tc>
          <w:tcPr>
            <w:tcW w:w="4640" w:type="dxa"/>
            <w:vAlign w:val="bottom"/>
          </w:tcPr>
          <w:p>
            <w:pPr>
              <w:spacing w:after="0"/>
              <w:rPr>
                <w:sz w:val="7"/>
                <w:szCs w:val="7"/>
                <w:color w:val="auto"/>
              </w:rPr>
            </w:pPr>
          </w:p>
        </w:tc>
        <w:tc>
          <w:tcPr>
            <w:tcW w:w="30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40" w:type="dxa"/>
            <w:vAlign w:val="bottom"/>
          </w:tcPr>
          <w:p>
            <w:pPr>
              <w:spacing w:after="0"/>
              <w:rPr>
                <w:sz w:val="7"/>
                <w:szCs w:val="7"/>
                <w:color w:val="auto"/>
              </w:rPr>
            </w:pPr>
          </w:p>
        </w:tc>
        <w:tc>
          <w:tcPr>
            <w:tcW w:w="380" w:type="dxa"/>
            <w:vAlign w:val="bottom"/>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w w:val="7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r>
      <w:tr>
        <w:trPr>
          <w:trHeight w:val="124"/>
        </w:trPr>
        <w:tc>
          <w:tcPr>
            <w:tcW w:w="46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Total comprehensive income / loss</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w w:val="80"/>
              </w:rPr>
              <w:t>(9,939)</w:t>
            </w: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w w:val="82"/>
              </w:rPr>
              <w:t>(19,403)</w:t>
            </w:r>
          </w:p>
        </w:tc>
        <w:tc>
          <w:tcPr>
            <w:tcW w:w="60" w:type="dxa"/>
            <w:vAlign w:val="bottom"/>
            <w:tcBorders>
              <w:top w:val="single" w:sz="8" w:color="CCEEFF"/>
            </w:tcBorders>
            <w:shd w:val="clear" w:color="auto" w:fill="CCEEFF"/>
          </w:tcPr>
          <w:p>
            <w:pPr>
              <w:spacing w:after="0"/>
              <w:rPr>
                <w:sz w:val="10"/>
                <w:szCs w:val="10"/>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9"/>
        </w:trPr>
        <w:tc>
          <w:tcPr>
            <w:tcW w:w="464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tcPr>
          <w:p>
            <w:pPr>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1"/>
                <w:szCs w:val="11"/>
                <w:color w:val="auto"/>
              </w:rPr>
            </w:pPr>
          </w:p>
        </w:tc>
        <w:tc>
          <w:tcPr>
            <w:tcW w:w="180" w:type="dxa"/>
            <w:vAlign w:val="bottom"/>
            <w:gridSpan w:val="2"/>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1"/>
                <w:szCs w:val="11"/>
                <w:color w:val="auto"/>
              </w:rPr>
            </w:pPr>
          </w:p>
        </w:tc>
        <w:tc>
          <w:tcPr>
            <w:tcW w:w="180" w:type="dxa"/>
            <w:vAlign w:val="bottom"/>
            <w:gridSpan w:val="2"/>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bl>
    <w:p>
      <w:pPr>
        <w:spacing w:after="0" w:line="114" w:lineRule="exact"/>
        <w:rPr>
          <w:sz w:val="20"/>
          <w:szCs w:val="20"/>
          <w:color w:val="auto"/>
        </w:rPr>
      </w:pPr>
    </w:p>
    <w:p>
      <w:pPr>
        <w:ind w:left="2380" w:right="1039" w:hanging="286"/>
        <w:spacing w:after="0" w:line="230" w:lineRule="auto"/>
        <w:tabs>
          <w:tab w:leader="none" w:pos="2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2100" w:type="dxa"/>
        <w:tblCellMar>
          <w:top w:w="0" w:type="dxa"/>
          <w:left w:w="0" w:type="dxa"/>
          <w:bottom w:w="0" w:type="dxa"/>
          <w:right w:w="0" w:type="dxa"/>
        </w:tblCellMar>
      </w:tblPr>
      <w:tr>
        <w:trPr>
          <w:trHeight w:val="90"/>
        </w:trPr>
        <w:tc>
          <w:tcPr>
            <w:tcW w:w="4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5"/>
          </w:tcPr>
          <w:p>
            <w:pPr>
              <w:spacing w:after="0"/>
              <w:rPr>
                <w:sz w:val="20"/>
                <w:szCs w:val="20"/>
                <w:color w:val="auto"/>
              </w:rPr>
            </w:pPr>
            <w:r>
              <w:rPr>
                <w:rFonts w:ascii="Arial" w:cs="Arial" w:eastAsia="Arial" w:hAnsi="Arial"/>
                <w:sz w:val="7"/>
                <w:szCs w:val="7"/>
                <w:b w:val="1"/>
                <w:bCs w:val="1"/>
                <w:color w:val="auto"/>
                <w:w w:val="92"/>
              </w:rPr>
              <w:t>For the year ended December 31,</w:t>
            </w: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r>
      <w:tr>
        <w:trPr>
          <w:trHeight w:val="70"/>
        </w:trPr>
        <w:tc>
          <w:tcPr>
            <w:tcW w:w="4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jc w:val="center"/>
              <w:ind w:left="17"/>
              <w:spacing w:after="0" w:line="70" w:lineRule="exact"/>
              <w:rPr>
                <w:sz w:val="20"/>
                <w:szCs w:val="20"/>
                <w:color w:val="auto"/>
              </w:rPr>
            </w:pPr>
            <w:r>
              <w:rPr>
                <w:rFonts w:ascii="Arial" w:cs="Arial" w:eastAsia="Arial" w:hAnsi="Arial"/>
                <w:sz w:val="7"/>
                <w:szCs w:val="7"/>
                <w:b w:val="1"/>
                <w:bCs w:val="1"/>
                <w:color w:val="auto"/>
              </w:rPr>
              <w:t>2019</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spacing w:after="0" w:line="70" w:lineRule="exact"/>
              <w:rPr>
                <w:sz w:val="20"/>
                <w:szCs w:val="20"/>
                <w:color w:val="auto"/>
              </w:rPr>
            </w:pPr>
            <w:r>
              <w:rPr>
                <w:rFonts w:ascii="Arial" w:cs="Arial" w:eastAsia="Arial" w:hAnsi="Arial"/>
                <w:sz w:val="7"/>
                <w:szCs w:val="7"/>
                <w:b w:val="1"/>
                <w:bCs w:val="1"/>
                <w:color w:val="auto"/>
              </w:rPr>
              <w:t>2020</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r>
        <w:trPr>
          <w:trHeight w:val="79"/>
        </w:trPr>
        <w:tc>
          <w:tcPr>
            <w:tcW w:w="4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jc w:val="center"/>
              <w:spacing w:after="0" w:line="79" w:lineRule="exact"/>
              <w:rPr>
                <w:sz w:val="20"/>
                <w:szCs w:val="20"/>
                <w:color w:val="auto"/>
              </w:rPr>
            </w:pPr>
            <w:r>
              <w:rPr>
                <w:rFonts w:ascii="Arial" w:cs="Arial" w:eastAsia="Arial" w:hAnsi="Arial"/>
                <w:sz w:val="7"/>
                <w:szCs w:val="7"/>
                <w:b w:val="1"/>
                <w:bCs w:val="1"/>
                <w:color w:val="auto"/>
                <w:w w:val="95"/>
              </w:rPr>
              <w:t>(in € thousand)</w:t>
            </w:r>
          </w:p>
        </w:tc>
        <w:tc>
          <w:tcPr>
            <w:tcW w:w="4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3"/>
          </w:tcPr>
          <w:p>
            <w:pPr>
              <w:jc w:val="center"/>
              <w:ind w:right="20"/>
              <w:spacing w:after="0" w:line="79" w:lineRule="exact"/>
              <w:rPr>
                <w:sz w:val="20"/>
                <w:szCs w:val="20"/>
                <w:color w:val="auto"/>
              </w:rPr>
            </w:pPr>
            <w:r>
              <w:rPr>
                <w:rFonts w:ascii="Arial" w:cs="Arial" w:eastAsia="Arial" w:hAnsi="Arial"/>
                <w:sz w:val="7"/>
                <w:szCs w:val="7"/>
                <w:b w:val="1"/>
                <w:bCs w:val="1"/>
                <w:color w:val="auto"/>
                <w:w w:val="95"/>
              </w:rPr>
              <w:t>(in € thousand)</w:t>
            </w:r>
          </w:p>
        </w:tc>
        <w:tc>
          <w:tcPr>
            <w:tcW w:w="420" w:type="dxa"/>
            <w:vAlign w:val="bottom"/>
          </w:tcPr>
          <w:p>
            <w:pPr>
              <w:spacing w:after="0"/>
              <w:rPr>
                <w:sz w:val="6"/>
                <w:szCs w:val="6"/>
                <w:color w:val="auto"/>
              </w:rPr>
            </w:pPr>
          </w:p>
        </w:tc>
      </w:tr>
      <w:tr>
        <w:trPr>
          <w:trHeight w:val="81"/>
        </w:trPr>
        <w:tc>
          <w:tcPr>
            <w:tcW w:w="4100" w:type="dxa"/>
            <w:vAlign w:val="bottom"/>
          </w:tcPr>
          <w:p>
            <w:pPr>
              <w:spacing w:after="0"/>
              <w:rPr>
                <w:sz w:val="7"/>
                <w:szCs w:val="7"/>
                <w:color w:val="auto"/>
              </w:rPr>
            </w:pPr>
          </w:p>
        </w:tc>
        <w:tc>
          <w:tcPr>
            <w:tcW w:w="420" w:type="dxa"/>
            <w:vAlign w:val="bottom"/>
          </w:tcPr>
          <w:p>
            <w:pPr>
              <w:ind w:left="160"/>
              <w:spacing w:after="0"/>
              <w:rPr>
                <w:sz w:val="20"/>
                <w:szCs w:val="20"/>
                <w:color w:val="auto"/>
              </w:rPr>
            </w:pPr>
            <w:r>
              <w:rPr>
                <w:rFonts w:ascii="Arial" w:cs="Arial" w:eastAsia="Arial" w:hAnsi="Arial"/>
                <w:sz w:val="7"/>
                <w:szCs w:val="7"/>
                <w:b w:val="1"/>
                <w:bCs w:val="1"/>
                <w:color w:val="auto"/>
              </w:rPr>
              <w:t>Air</w:t>
            </w:r>
          </w:p>
        </w:tc>
        <w:tc>
          <w:tcPr>
            <w:tcW w:w="60" w:type="dxa"/>
            <w:vAlign w:val="bottom"/>
          </w:tcPr>
          <w:p>
            <w:pPr>
              <w:spacing w:after="0"/>
              <w:rPr>
                <w:sz w:val="7"/>
                <w:szCs w:val="7"/>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Space</w:t>
            </w:r>
          </w:p>
        </w:tc>
        <w:tc>
          <w:tcPr>
            <w:tcW w:w="54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b w:val="1"/>
                <w:bCs w:val="1"/>
                <w:color w:val="auto"/>
              </w:rPr>
              <w:t>Group</w:t>
            </w:r>
          </w:p>
        </w:tc>
        <w:tc>
          <w:tcPr>
            <w:tcW w:w="40" w:type="dxa"/>
            <w:vAlign w:val="bottom"/>
          </w:tcPr>
          <w:p>
            <w:pPr>
              <w:spacing w:after="0"/>
              <w:rPr>
                <w:sz w:val="7"/>
                <w:szCs w:val="7"/>
                <w:color w:val="auto"/>
              </w:rPr>
            </w:pPr>
          </w:p>
        </w:tc>
        <w:tc>
          <w:tcPr>
            <w:tcW w:w="460" w:type="dxa"/>
            <w:vAlign w:val="bottom"/>
            <w:gridSpan w:val="2"/>
          </w:tcPr>
          <w:p>
            <w:pPr>
              <w:ind w:left="180"/>
              <w:spacing w:after="0"/>
              <w:rPr>
                <w:sz w:val="20"/>
                <w:szCs w:val="20"/>
                <w:color w:val="auto"/>
              </w:rPr>
            </w:pPr>
            <w:r>
              <w:rPr>
                <w:rFonts w:ascii="Arial" w:cs="Arial" w:eastAsia="Arial" w:hAnsi="Arial"/>
                <w:sz w:val="7"/>
                <w:szCs w:val="7"/>
                <w:b w:val="1"/>
                <w:bCs w:val="1"/>
                <w:color w:val="auto"/>
              </w:rPr>
              <w:t>Air</w:t>
            </w:r>
          </w:p>
        </w:tc>
        <w:tc>
          <w:tcPr>
            <w:tcW w:w="40" w:type="dxa"/>
            <w:vAlign w:val="bottom"/>
          </w:tcPr>
          <w:p>
            <w:pPr>
              <w:spacing w:after="0"/>
              <w:rPr>
                <w:sz w:val="7"/>
                <w:szCs w:val="7"/>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Space</w:t>
            </w:r>
          </w:p>
        </w:tc>
        <w:tc>
          <w:tcPr>
            <w:tcW w:w="420" w:type="dxa"/>
            <w:vAlign w:val="bottom"/>
          </w:tcPr>
          <w:p>
            <w:pPr>
              <w:ind w:left="120"/>
              <w:spacing w:after="0"/>
              <w:rPr>
                <w:sz w:val="20"/>
                <w:szCs w:val="20"/>
                <w:color w:val="auto"/>
              </w:rPr>
            </w:pPr>
            <w:r>
              <w:rPr>
                <w:rFonts w:ascii="Arial" w:cs="Arial" w:eastAsia="Arial" w:hAnsi="Arial"/>
                <w:sz w:val="7"/>
                <w:szCs w:val="7"/>
                <w:b w:val="1"/>
                <w:bCs w:val="1"/>
                <w:color w:val="auto"/>
              </w:rPr>
              <w:t>Group</w:t>
            </w:r>
          </w:p>
        </w:tc>
      </w:tr>
      <w:tr>
        <w:trPr>
          <w:trHeight w:val="97"/>
        </w:trPr>
        <w:tc>
          <w:tcPr>
            <w:tcW w:w="410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Cost of materials</w:t>
            </w:r>
          </w:p>
        </w:tc>
        <w:tc>
          <w:tcPr>
            <w:tcW w:w="4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4"/>
              </w:rPr>
              <w:t>(570)</w:t>
            </w: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(1,519)</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(2,089)</w:t>
            </w:r>
          </w:p>
        </w:tc>
        <w:tc>
          <w:tcPr>
            <w:tcW w:w="120" w:type="dxa"/>
            <w:vAlign w:val="bottom"/>
            <w:tcBorders>
              <w:top w:val="single" w:sz="8" w:color="CCEEFF"/>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(1,263)</w:t>
            </w: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(2,810)</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(4,073)</w:t>
            </w:r>
          </w:p>
        </w:tc>
      </w:tr>
      <w:tr>
        <w:trPr>
          <w:trHeight w:val="99"/>
        </w:trPr>
        <w:tc>
          <w:tcPr>
            <w:tcW w:w="41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(1,239)</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8"/>
              </w:rPr>
              <w:t>(1,312)</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(2,551)</w:t>
            </w:r>
          </w:p>
        </w:tc>
        <w:tc>
          <w:tcPr>
            <w:tcW w:w="120" w:type="dxa"/>
            <w:vAlign w:val="bottom"/>
            <w:tcBorders>
              <w:right w:val="single" w:sz="8" w:color="auto"/>
            </w:tcBorders>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5"/>
              </w:rPr>
              <w:t>(621)</w:t>
            </w:r>
          </w:p>
        </w:tc>
        <w:tc>
          <w:tcPr>
            <w:tcW w:w="20" w:type="dxa"/>
            <w:vAlign w:val="bottom"/>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8"/>
              </w:rPr>
              <w:t>(3,300)</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(3,921)</w:t>
            </w:r>
          </w:p>
        </w:tc>
      </w:tr>
      <w:tr>
        <w:trPr>
          <w:trHeight w:val="99"/>
        </w:trPr>
        <w:tc>
          <w:tcPr>
            <w:tcW w:w="41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89"/>
              </w:rPr>
              <w:t>Depreciation, amortization and impairment of other intangible assets and property, plant and equipment</w:t>
            </w: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4"/>
              </w:rPr>
              <w:t>(240)</w:t>
            </w:r>
          </w:p>
        </w:tc>
        <w:tc>
          <w:tcPr>
            <w:tcW w:w="500" w:type="dxa"/>
            <w:vAlign w:val="bottom"/>
            <w:gridSpan w:val="2"/>
            <w:shd w:val="clear" w:color="auto" w:fill="CCEEFF"/>
          </w:tcPr>
          <w:p>
            <w:pPr>
              <w:jc w:val="center"/>
              <w:ind w:left="17"/>
              <w:spacing w:after="0" w:line="99" w:lineRule="exact"/>
              <w:rPr>
                <w:sz w:val="20"/>
                <w:szCs w:val="20"/>
                <w:color w:val="auto"/>
              </w:rPr>
            </w:pPr>
            <w:r>
              <w:rPr>
                <w:rFonts w:ascii="Arial" w:cs="Arial" w:eastAsia="Arial" w:hAnsi="Arial"/>
                <w:sz w:val="10"/>
                <w:szCs w:val="10"/>
                <w:color w:val="auto"/>
                <w:w w:val="85"/>
              </w:rPr>
              <w:t>(254)</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(494)</w:t>
            </w:r>
          </w:p>
        </w:tc>
        <w:tc>
          <w:tcPr>
            <w:tcW w:w="120" w:type="dxa"/>
            <w:vAlign w:val="bottom"/>
            <w:tcBorders>
              <w:right w:val="single" w:sz="8" w:color="auto"/>
            </w:tcBorders>
            <w:shd w:val="clear" w:color="auto" w:fill="CCEEFF"/>
          </w:tcPr>
          <w:p>
            <w:pPr>
              <w:spacing w:after="0"/>
              <w:rPr>
                <w:sz w:val="8"/>
                <w:szCs w:val="8"/>
                <w:color w:val="auto"/>
              </w:rPr>
            </w:pPr>
          </w:p>
        </w:tc>
        <w:tc>
          <w:tcPr>
            <w:tcW w:w="480" w:type="dxa"/>
            <w:vAlign w:val="bottom"/>
            <w:gridSpan w:val="2"/>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(126)</w:t>
            </w:r>
          </w:p>
        </w:tc>
        <w:tc>
          <w:tcPr>
            <w:tcW w:w="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(676)</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(802)</w:t>
            </w:r>
          </w:p>
        </w:tc>
      </w:tr>
      <w:tr>
        <w:trPr>
          <w:trHeight w:val="99"/>
        </w:trPr>
        <w:tc>
          <w:tcPr>
            <w:tcW w:w="41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94"/>
              </w:rPr>
              <w:t>(135)</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5"/>
              </w:rPr>
              <w:t>(142)</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5"/>
              </w:rPr>
              <w:t>(277)</w:t>
            </w:r>
          </w:p>
        </w:tc>
        <w:tc>
          <w:tcPr>
            <w:tcW w:w="120" w:type="dxa"/>
            <w:vAlign w:val="bottom"/>
            <w:tcBorders>
              <w:right w:val="single" w:sz="8" w:color="auto"/>
            </w:tcBorders>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9"/>
              </w:rPr>
              <w:t>(92)</w:t>
            </w:r>
          </w:p>
        </w:tc>
        <w:tc>
          <w:tcPr>
            <w:tcW w:w="20" w:type="dxa"/>
            <w:vAlign w:val="bottom"/>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5"/>
              </w:rPr>
              <w:t>(487)</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5"/>
              </w:rPr>
              <w:t>(579)</w:t>
            </w:r>
          </w:p>
        </w:tc>
      </w:tr>
    </w:tbl>
    <w:p>
      <w:pPr>
        <w:spacing w:after="0" w:line="69" w:lineRule="exact"/>
        <w:rPr>
          <w:sz w:val="20"/>
          <w:szCs w:val="20"/>
          <w:color w:val="auto"/>
        </w:rPr>
      </w:pPr>
    </w:p>
    <w:p>
      <w:pPr>
        <w:ind w:left="2380" w:right="1179" w:hanging="286"/>
        <w:spacing w:after="0" w:line="214"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9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150"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7"/>
              </w:rPr>
              <w:t>For the year</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4520" w:type="dxa"/>
            <w:vAlign w:val="bottom"/>
          </w:tcPr>
          <w:p>
            <w:pPr>
              <w:spacing w:after="0"/>
              <w:rPr>
                <w:sz w:val="9"/>
                <w:szCs w:val="9"/>
                <w:color w:val="auto"/>
              </w:rPr>
            </w:pPr>
          </w:p>
        </w:tc>
        <w:tc>
          <w:tcPr>
            <w:tcW w:w="1440" w:type="dxa"/>
            <w:vAlign w:val="bottom"/>
            <w:gridSpan w:val="3"/>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11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5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229"/>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r>
      <w:tr>
        <w:trPr>
          <w:trHeight w:val="74"/>
        </w:trPr>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r>
      <w:tr>
        <w:trPr>
          <w:trHeight w:val="122"/>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5"/>
              </w:rPr>
              <w:t>(in € thousands)</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(in € thousands)</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(8,319)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(16,935)</w:t>
            </w:r>
          </w:p>
        </w:tc>
        <w:tc>
          <w:tcPr>
            <w:tcW w:w="5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(7,854)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(18,220)</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(7,167)</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(15,010)</w:t>
            </w: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(6,378)</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(5,972)</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11,466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66,340</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w w:val="94"/>
              </w:rPr>
              <w:t>12,022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(588)</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(4,020)</w:t>
            </w:r>
          </w:p>
        </w:tc>
        <w:tc>
          <w:tcPr>
            <w:tcW w:w="520" w:type="dxa"/>
            <w:vAlign w:val="bottom"/>
          </w:tcPr>
          <w:p>
            <w:pPr>
              <w:jc w:val="right"/>
              <w:spacing w:after="0"/>
              <w:rPr>
                <w:sz w:val="20"/>
                <w:szCs w:val="20"/>
                <w:color w:val="auto"/>
              </w:rPr>
            </w:pPr>
            <w:r>
              <w:rPr>
                <w:rFonts w:ascii="Arial" w:cs="Arial" w:eastAsia="Arial" w:hAnsi="Arial"/>
                <w:sz w:val="11"/>
                <w:szCs w:val="11"/>
                <w:color w:val="auto"/>
              </w:rPr>
              <w:t>34,395</w:t>
            </w:r>
          </w:p>
        </w:tc>
        <w:tc>
          <w:tcPr>
            <w:tcW w:w="34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(2,210)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(24,780)</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12,923</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8,914</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8,914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43,198</w:t>
            </w:r>
          </w:p>
        </w:tc>
        <w:tc>
          <w:tcPr>
            <w:tcW w:w="60" w:type="dxa"/>
            <w:vAlign w:val="bottom"/>
            <w:shd w:val="clear" w:color="auto" w:fill="CCEEFF"/>
          </w:tcPr>
          <w:p>
            <w:pPr>
              <w:spacing w:after="0"/>
              <w:rPr>
                <w:sz w:val="11"/>
                <w:szCs w:val="11"/>
                <w:color w:val="auto"/>
              </w:rPr>
            </w:pPr>
          </w:p>
        </w:tc>
      </w:tr>
      <w:tr>
        <w:trPr>
          <w:trHeight w:val="136"/>
        </w:trPr>
        <w:tc>
          <w:tcPr>
            <w:tcW w:w="452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580" w:type="dxa"/>
            <w:vAlign w:val="bottom"/>
          </w:tcPr>
          <w:p>
            <w:pPr>
              <w:jc w:val="right"/>
              <w:ind w:right="168"/>
              <w:spacing w:after="0"/>
              <w:rPr>
                <w:sz w:val="20"/>
                <w:szCs w:val="20"/>
                <w:color w:val="auto"/>
              </w:rPr>
            </w:pPr>
            <w:r>
              <w:rPr>
                <w:rFonts w:ascii="Arial" w:cs="Arial" w:eastAsia="Arial" w:hAnsi="Arial"/>
                <w:sz w:val="11"/>
                <w:szCs w:val="11"/>
                <w:color w:val="auto"/>
              </w:rPr>
              <w:t>8,914</w:t>
            </w:r>
          </w:p>
        </w:tc>
        <w:tc>
          <w:tcPr>
            <w:tcW w:w="520" w:type="dxa"/>
            <w:vAlign w:val="bottom"/>
          </w:tcPr>
          <w:p>
            <w:pPr>
              <w:jc w:val="right"/>
              <w:spacing w:after="0"/>
              <w:rPr>
                <w:sz w:val="20"/>
                <w:szCs w:val="20"/>
                <w:color w:val="auto"/>
              </w:rPr>
            </w:pPr>
            <w:r>
              <w:rPr>
                <w:rFonts w:ascii="Arial" w:cs="Arial" w:eastAsia="Arial" w:hAnsi="Arial"/>
                <w:sz w:val="11"/>
                <w:szCs w:val="11"/>
                <w:color w:val="auto"/>
              </w:rPr>
              <w:t>43,198</w:t>
            </w:r>
          </w:p>
        </w:tc>
        <w:tc>
          <w:tcPr>
            <w:tcW w:w="340" w:type="dxa"/>
            <w:vAlign w:val="bottom"/>
          </w:tcPr>
          <w:p>
            <w:pPr>
              <w:spacing w:after="0"/>
              <w:rPr>
                <w:sz w:val="11"/>
                <w:szCs w:val="1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color w:val="auto"/>
              </w:rPr>
              <w:t>6,700</w:t>
            </w:r>
          </w:p>
        </w:tc>
        <w:tc>
          <w:tcPr>
            <w:tcW w:w="520" w:type="dxa"/>
            <w:vAlign w:val="bottom"/>
          </w:tcPr>
          <w:p>
            <w:pPr>
              <w:jc w:val="right"/>
              <w:spacing w:after="0"/>
              <w:rPr>
                <w:sz w:val="20"/>
                <w:szCs w:val="20"/>
                <w:color w:val="auto"/>
              </w:rPr>
            </w:pPr>
            <w:r>
              <w:rPr>
                <w:rFonts w:ascii="Arial" w:cs="Arial" w:eastAsia="Arial" w:hAnsi="Arial"/>
                <w:sz w:val="11"/>
                <w:szCs w:val="11"/>
                <w:color w:val="auto"/>
              </w:rPr>
              <w:t>18,444</w:t>
            </w:r>
          </w:p>
        </w:tc>
        <w:tc>
          <w:tcPr>
            <w:tcW w:w="60" w:type="dxa"/>
            <w:vAlign w:val="bottom"/>
          </w:tcPr>
          <w:p>
            <w:pPr>
              <w:spacing w:after="0"/>
              <w:rPr>
                <w:sz w:val="11"/>
                <w:szCs w:val="11"/>
                <w:color w:val="auto"/>
              </w:rPr>
            </w:pP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3"/>
              </w:rPr>
              <w:t>As of December 31,</w:t>
            </w:r>
          </w:p>
        </w:tc>
        <w:tc>
          <w:tcPr>
            <w:tcW w:w="6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As of June 30,</w:t>
            </w:r>
          </w:p>
        </w:tc>
      </w:tr>
      <w:tr>
        <w:trPr>
          <w:trHeight w:val="88"/>
        </w:trPr>
        <w:tc>
          <w:tcPr>
            <w:tcW w:w="49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7"/>
                <w:szCs w:val="7"/>
                <w:color w:val="auto"/>
              </w:rPr>
            </w:pPr>
          </w:p>
        </w:tc>
      </w:tr>
      <w:tr>
        <w:trPr>
          <w:trHeight w:val="74"/>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 w:type="dxa"/>
            <w:vAlign w:val="bottom"/>
          </w:tcPr>
          <w:p>
            <w:pPr>
              <w:spacing w:after="0"/>
              <w:rPr>
                <w:sz w:val="6"/>
                <w:szCs w:val="6"/>
                <w:color w:val="auto"/>
              </w:rPr>
            </w:pPr>
          </w:p>
        </w:tc>
      </w:tr>
      <w:tr>
        <w:trPr>
          <w:trHeight w:val="122"/>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5"/>
              </w:rPr>
              <w:t>(in € thousands)</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2"/>
              </w:rPr>
              <w:t>(in € thousands)</w:t>
            </w: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non-current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19,626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36,260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40,823</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11,949</w:t>
            </w:r>
          </w:p>
        </w:tc>
        <w:tc>
          <w:tcPr>
            <w:tcW w:w="500" w:type="dxa"/>
            <w:vAlign w:val="bottom"/>
          </w:tcPr>
          <w:p>
            <w:pPr>
              <w:jc w:val="right"/>
              <w:spacing w:after="0"/>
              <w:rPr>
                <w:sz w:val="20"/>
                <w:szCs w:val="20"/>
                <w:color w:val="auto"/>
              </w:rPr>
            </w:pPr>
            <w:r>
              <w:rPr>
                <w:rFonts w:ascii="Arial" w:cs="Arial" w:eastAsia="Arial" w:hAnsi="Arial"/>
                <w:sz w:val="11"/>
                <w:szCs w:val="11"/>
                <w:color w:val="auto"/>
              </w:rPr>
              <w:t>50,316</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31,264</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31,575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86,576</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72,087</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equity</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21,740</w:t>
            </w:r>
          </w:p>
        </w:tc>
        <w:tc>
          <w:tcPr>
            <w:tcW w:w="500" w:type="dxa"/>
            <w:vAlign w:val="bottom"/>
          </w:tcPr>
          <w:p>
            <w:pPr>
              <w:jc w:val="right"/>
              <w:spacing w:after="0"/>
              <w:rPr>
                <w:sz w:val="20"/>
                <w:szCs w:val="20"/>
                <w:color w:val="auto"/>
              </w:rPr>
            </w:pPr>
            <w:r>
              <w:rPr>
                <w:rFonts w:ascii="Arial" w:cs="Arial" w:eastAsia="Arial" w:hAnsi="Arial"/>
                <w:sz w:val="11"/>
                <w:szCs w:val="11"/>
                <w:color w:val="auto"/>
              </w:rPr>
              <w:t>70,708</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54,771</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9,835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15,868</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17,316</w:t>
            </w:r>
          </w:p>
        </w:tc>
        <w:tc>
          <w:tcPr>
            <w:tcW w:w="20" w:type="dxa"/>
            <w:vAlign w:val="bottom"/>
            <w:shd w:val="clear" w:color="auto" w:fill="CCEEFF"/>
          </w:tcPr>
          <w:p>
            <w:pPr>
              <w:spacing w:after="0"/>
              <w:rPr>
                <w:sz w:val="11"/>
                <w:szCs w:val="11"/>
                <w:color w:val="auto"/>
              </w:rPr>
            </w:pP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i w:val="1"/>
          <w:iCs w:val="1"/>
          <w:color w:val="auto"/>
        </w:rPr>
        <w:t>An investment in the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the ADSs. Additional risks not known to us or that we currently deem immaterial may also impair our business operations. Our business, financial condition or results of operations could be materially and adversely affected by any of these risks. The trading price and value of the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839" w:firstLine="294"/>
        <w:spacing w:after="0" w:line="305"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 €16.1 million and €7.3 million, respectively, and for the years ended December 31, 2020 and 2019 we incurred net losses of approximately €19.8 million and €9.9 million, respectively. As of June 30, 2021 and December 31, 2020, we had an accumulated deficit of approximately €63.7 million and</w:t>
      </w:r>
    </w:p>
    <w:p>
      <w:pPr>
        <w:ind w:left="1980" w:right="859"/>
        <w:spacing w:after="0" w:line="276" w:lineRule="auto"/>
        <w:rPr>
          <w:sz w:val="20"/>
          <w:szCs w:val="20"/>
          <w:color w:val="auto"/>
        </w:rPr>
      </w:pPr>
      <w:r>
        <w:rPr>
          <w:rFonts w:ascii="Arial" w:cs="Arial" w:eastAsia="Arial" w:hAnsi="Arial"/>
          <w:sz w:val="11"/>
          <w:szCs w:val="11"/>
          <w:color w:val="auto"/>
        </w:rPr>
        <w:t>€47.3 million, respectively. For the six months ended June 30, 2021 and 2020 we had negative net cash used in operating activities of €18.2 million and €7.9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net proceeds from this offering and, to the extent required, proceeds from future financings, to cover our ongoing and future expenses. Furthermore, the audit report covering our December 31, 2020 consolidated financial statements contains an explanatory paragraph relating to our ability to continue as a going concern. While we believe that we will be successful in obtaining additional financing, including the proceeds from this offering, in a timely manner to fund our operational and financial obligations, there are material uncertainties that may cast significant doubt on our ability to continue as a going concern and, therefore, we may be unable to realize our assets and discharge its liabilities in the normal course of business.</w:t>
      </w:r>
    </w:p>
    <w:p>
      <w:pPr>
        <w:spacing w:after="0" w:line="118"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color w:val="auto"/>
        </w:rPr>
        <w:t>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122"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92"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1399" w:firstLine="294"/>
        <w:spacing w:after="0" w:line="276" w:lineRule="auto"/>
        <w:rPr>
          <w:sz w:val="20"/>
          <w:szCs w:val="20"/>
          <w:color w:val="auto"/>
        </w:rPr>
      </w:pPr>
      <w:r>
        <w:rPr>
          <w:rFonts w:ascii="Arial" w:cs="Arial" w:eastAsia="Arial" w:hAnsi="Arial"/>
          <w:sz w:val="12"/>
          <w:szCs w:val="12"/>
          <w:color w:val="auto"/>
        </w:rPr>
        <w:t>In the aerospace sector, our competitors include TESAT Spacecom (an Airbus subsidiary), Thales Alenia Space, SA Photonics and Ball Aerospace, as well as a handful of other entities that possess the necessary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 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1"/>
          <w:szCs w:val="11"/>
          <w:i w:val="1"/>
          <w:iCs w:val="1"/>
          <w:color w:val="auto"/>
        </w:rPr>
        <w:t>e.g.</w:t>
      </w:r>
      <w:r>
        <w:rPr>
          <w:rFonts w:ascii="Arial" w:cs="Arial" w:eastAsia="Arial" w:hAnsi="Arial"/>
          <w:sz w:val="11"/>
          <w:szCs w:val="11"/>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15"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9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13" w:lineRule="exact"/>
        <w:rPr>
          <w:sz w:val="20"/>
          <w:szCs w:val="20"/>
          <w:color w:val="auto"/>
        </w:rPr>
      </w:pPr>
    </w:p>
    <w:p>
      <w:pPr>
        <w:ind w:left="1980" w:right="859" w:firstLine="294"/>
        <w:spacing w:after="0" w:line="304" w:lineRule="auto"/>
        <w:rPr>
          <w:sz w:val="20"/>
          <w:szCs w:val="20"/>
          <w:color w:val="auto"/>
        </w:rPr>
      </w:pPr>
      <w:r>
        <w:rPr>
          <w:rFonts w:ascii="Arial" w:cs="Arial" w:eastAsia="Arial" w:hAnsi="Arial"/>
          <w:sz w:val="10"/>
          <w:szCs w:val="10"/>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have entered into and may in the future enter into strategic partnership agreements with key customers, which may include exclusivity arrangements and provisions that allow either party to terminate the relationship under certain specified circumstances. For example,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have agreed to exclusively develop and sell such jointly developed and customized products for this specific market segment to NG. We may also collaborate on the development of laser communications for aerospace and defense applications outside the space sector. In return, NG has agreed to provide us with an annual minimum awards opportunity to sell and provide to NG our jointly developed products or our off-the-shelf products and/or related services. However, there is no guarantee that NG will in fact present us with such opportunities in the anticipated annual amount. Even if they do, there is no guarantee that NG will be awarded the contracts. Furthermore, during the term of the agreement, we will not be able to develop and sell customized products to any third party in the space sector where the ultimate customer is a U.S. government customer. In addition, we entered into MoUs with Cloud Constellation, a constellation builder, and JR Aerospace, an Indian investment and technology company, in 2021. While we are currently negotiating definitive agreements with both companies, there is no guarantee that we will enter into final agreements.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400"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22"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In addition, it is possible that certain components are ultimately not qualified for use, or may not function as intended. The particularly long development cycles in our business and lengthy qualification of individual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components render quick replacement of individual suppliers difficult. Insourcing of certain components may require lengthy preparations, license negotiations or significant capital expenditures, or may not be possible at all.</w:t>
      </w:r>
    </w:p>
    <w:p>
      <w:pPr>
        <w:spacing w:after="0" w:line="115"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11"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approximately €25 million on September 15, 2021 (see also “Management’s Discussion and Analysis of Financial Condition and Results of Operations—Liquidity and Capital Resources—Credit Agreement”).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7"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ability to raise further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2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309" w:lineRule="auto"/>
        <w:rPr>
          <w:sz w:val="20"/>
          <w:szCs w:val="20"/>
          <w:color w:val="auto"/>
        </w:rPr>
      </w:pPr>
      <w:r>
        <w:rPr>
          <w:rFonts w:ascii="Arial" w:cs="Arial" w:eastAsia="Arial" w:hAnsi="Arial"/>
          <w:sz w:val="10"/>
          <w:szCs w:val="10"/>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0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may apply for German and foreign federal and state grants, loans and tax incentives under various government programs designed to stimulate the economy of the relevant jurisdiction or to support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305" w:lineRule="auto"/>
        <w:rPr>
          <w:sz w:val="20"/>
          <w:szCs w:val="20"/>
          <w:color w:val="auto"/>
        </w:rPr>
      </w:pPr>
      <w:r>
        <w:rPr>
          <w:rFonts w:ascii="Arial" w:cs="Arial" w:eastAsia="Arial" w:hAnsi="Arial"/>
          <w:sz w:val="10"/>
          <w:szCs w:val="10"/>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June 30, 2021 and December 31,</w:t>
      </w:r>
    </w:p>
    <w:p>
      <w:pPr>
        <w:ind w:left="1980"/>
        <w:spacing w:after="0"/>
        <w:tabs>
          <w:tab w:leader="none" w:pos="4440" w:val="left"/>
        </w:tabs>
        <w:rPr>
          <w:sz w:val="20"/>
          <w:szCs w:val="20"/>
          <w:color w:val="auto"/>
        </w:rPr>
      </w:pPr>
      <w:r>
        <w:rPr>
          <w:rFonts w:ascii="Arial" w:cs="Arial" w:eastAsia="Arial" w:hAnsi="Arial"/>
          <w:sz w:val="12"/>
          <w:szCs w:val="12"/>
          <w:color w:val="auto"/>
        </w:rPr>
        <w:t>2020, we had U.S. dollar receivables of €</w:t>
      </w:r>
      <w:r>
        <w:rPr>
          <w:sz w:val="20"/>
          <w:szCs w:val="20"/>
          <w:color w:val="auto"/>
        </w:rPr>
        <w:tab/>
      </w:r>
      <w:r>
        <w:rPr>
          <w:rFonts w:ascii="Arial" w:cs="Arial" w:eastAsia="Arial" w:hAnsi="Arial"/>
          <w:sz w:val="10"/>
          <w:szCs w:val="10"/>
          <w:color w:val="auto"/>
        </w:rPr>
        <w:t>and €550,000, respectively.</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6"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3"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1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89" w:lineRule="auto"/>
        <w:rPr>
          <w:sz w:val="20"/>
          <w:szCs w:val="20"/>
          <w:color w:val="auto"/>
        </w:rPr>
      </w:pPr>
      <w:r>
        <w:rPr>
          <w:rFonts w:ascii="Arial" w:cs="Arial" w:eastAsia="Arial" w:hAnsi="Arial"/>
          <w:sz w:val="11"/>
          <w:szCs w:val="11"/>
          <w:color w:val="auto"/>
        </w:rPr>
        <w:t>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1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115"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i.e.</w:t>
      </w:r>
      <w:r>
        <w:rPr>
          <w:rFonts w:ascii="Arial" w:cs="Arial" w:eastAsia="Arial" w:hAnsi="Arial"/>
          <w:sz w:val="10"/>
          <w:szCs w:val="10"/>
          <w:color w:val="auto"/>
        </w:rPr>
        <w:t>, communications networks consisting of a large volume of platforms) could, if successful, become a cornerstone of the communication landscape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future and we believe that laser communication technology will play a key role in these constellations. A positive development in the constellations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laser communication market could, therefore, lead to increasing political interest and influence impacting our business including, but not limited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influence from the United States, which we consider our most important market.</w:t>
      </w:r>
    </w:p>
    <w:p>
      <w:pPr>
        <w:spacing w:after="0" w:line="141"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11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1099" w:firstLine="294"/>
        <w:spacing w:after="0" w:line="340" w:lineRule="auto"/>
        <w:rPr>
          <w:sz w:val="20"/>
          <w:szCs w:val="20"/>
          <w:color w:val="auto"/>
        </w:rPr>
      </w:pPr>
      <w:r>
        <w:rPr>
          <w:rFonts w:ascii="Arial" w:cs="Arial" w:eastAsia="Arial" w:hAnsi="Arial"/>
          <w:sz w:val="10"/>
          <w:szCs w:val="10"/>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7"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ADSs. If securities analysts or investors perceive these results to be negative, it could have a material adverse effect on the price of the ADSs.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12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jc w:val="both"/>
        <w:ind w:left="1980" w:right="1039" w:firstLine="294"/>
        <w:spacing w:after="0" w:line="34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22"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111"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the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the ADSs will develop.</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the ADSs in the United States and we cannot assure you that a market for the ADSs will develop or be sustained after this offering. Public trading markets may also experience volatility and disruption. This may affect the pricing of the ADSs in the market, the transparency and availability of trading prices, and the liquidity of the ADSs. We cannot predict the prices at which the ADSs will trade. The public offering price for the ADSs will be determined based in large part on the market price for our ordinary shares on the Frankfurt Stock Exchange at the time of this offering. This offering price may not be indicative of the market price of the ADSs or ordinary shares after this offering. If an active trading market for the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the ADSs could fluctuate significantly, which could result in substantial losses for purchasers of the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the ADSs will be affected by the supply and demand for the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trading volumes in the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the ADSs may be subject to substantial fluctuation.</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In addition, general market conditions and fluctuation of share prices and trading volumes could lead to pressure on the market price of the ADSs, even if there may not be a reason for this based on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performance or earnings outlook. Furthermore, investors in the secondary market may view our business more critically than investors in this offering, which could adversely affect the market price of the ADSs. In addition, prices for companies with a limited operating history may be more volatile compared to share prices for established companies or companies from other industries.</w:t>
      </w:r>
    </w:p>
    <w:p>
      <w:pPr>
        <w:spacing w:after="0" w:line="12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If the market price of the ADSs declines as a result of the realization of any of these risks, investors could lose part or all of their investment in the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the direct acquirer of the ADSs from making such an acquisition within two months of the receipt of the approval request in writing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or issue instructions in order to ensure the public order or security in Germany. See “Regulatory Environment—German Foreign Investment Regime.”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a result, any such requirement to obtain governmental approval or the issuance of an objection by the BMWi may restrict certain investments in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limit demand for the ADSs, and have negative impact on the stock exchange price of the ADSs.</w:t>
      </w:r>
    </w:p>
    <w:p>
      <w:pPr>
        <w:spacing w:after="0" w:line="14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Following the completion of this offering, our existing shareholders (other than existing public holders of our ordinary shares) will continue to</w:t>
      </w:r>
    </w:p>
    <w:p>
      <w:pPr>
        <w:sectPr>
          <w:pgSz w:w="11900" w:h="16838" w:orient="portrait"/>
          <w:cols w:equalWidth="0" w:num="1">
            <w:col w:w="10159"/>
          </w:cols>
          <w:pgMar w:left="300" w:top="354" w:right="1440" w:bottom="1440" w:gutter="0" w:footer="0" w:header="0"/>
        </w:sectPr>
      </w:pPr>
    </w:p>
    <w:p>
      <w:pPr>
        <w:spacing w:after="0" w:line="26" w:lineRule="exact"/>
        <w:rPr>
          <w:sz w:val="20"/>
          <w:szCs w:val="20"/>
          <w:color w:val="auto"/>
        </w:rPr>
      </w:pPr>
    </w:p>
    <w:p>
      <w:pPr>
        <w:ind w:left="1980"/>
        <w:spacing w:after="0"/>
        <w:tabs>
          <w:tab w:leader="none" w:pos="3400" w:val="left"/>
          <w:tab w:leader="none" w:pos="6440" w:val="left"/>
        </w:tabs>
        <w:rPr>
          <w:sz w:val="20"/>
          <w:szCs w:val="20"/>
          <w:color w:val="auto"/>
        </w:rPr>
      </w:pPr>
      <w:r>
        <w:rPr>
          <w:rFonts w:ascii="Arial" w:cs="Arial" w:eastAsia="Arial" w:hAnsi="Arial"/>
          <w:sz w:val="12"/>
          <w:szCs w:val="12"/>
          <w:color w:val="auto"/>
        </w:rPr>
        <w:t>own approximately</w:t>
      </w:r>
      <w:r>
        <w:rPr>
          <w:sz w:val="20"/>
          <w:szCs w:val="20"/>
          <w:color w:val="auto"/>
        </w:rPr>
        <w:tab/>
      </w:r>
      <w:r>
        <w:rPr>
          <w:rFonts w:ascii="Arial" w:cs="Arial" w:eastAsia="Arial" w:hAnsi="Arial"/>
          <w:sz w:val="12"/>
          <w:szCs w:val="12"/>
          <w:color w:val="auto"/>
        </w:rPr>
        <w:t>% of our outstanding share capital (or approximately</w:t>
      </w:r>
      <w:r>
        <w:rPr>
          <w:sz w:val="20"/>
          <w:szCs w:val="20"/>
          <w:color w:val="auto"/>
        </w:rPr>
        <w:tab/>
      </w:r>
      <w:r>
        <w:rPr>
          <w:rFonts w:ascii="Arial" w:cs="Arial" w:eastAsia="Arial" w:hAnsi="Arial"/>
          <w:sz w:val="10"/>
          <w:szCs w:val="10"/>
          <w:color w:val="auto"/>
        </w:rPr>
        <w:t>% of our outstanding share capital if the underwriters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exercise their option to purchase additional ADSs from us in full) and therefore retain a majority of the votes in our shareholders’ meeting.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founders, members of our management and supervisory boards and known five percent shareholders, together with their affiliates, collectively own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approximately 17.6% of our outstanding share capital, and following the completion of this offering will collectively own approximately</w:t>
      </w:r>
    </w:p>
    <w:p>
      <w:pPr>
        <w:spacing w:after="0" w:line="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color w:val="auto"/>
        </w:rPr>
        <w:t>our outstanding share capital (or approximately</w:t>
      </w:r>
      <w:r>
        <w:rPr>
          <w:sz w:val="20"/>
          <w:szCs w:val="20"/>
          <w:color w:val="auto"/>
        </w:rPr>
        <w:tab/>
      </w:r>
      <w:r>
        <w:rPr>
          <w:rFonts w:ascii="Arial" w:cs="Arial" w:eastAsia="Arial" w:hAnsi="Arial"/>
          <w:sz w:val="10"/>
          <w:szCs w:val="10"/>
          <w:color w:val="auto"/>
        </w:rPr>
        <w:t>% of our outstanding share capital if the underwriters exercise their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 of</w:t>
      </w:r>
    </w:p>
    <w:p>
      <w:pPr>
        <w:spacing w:after="0" w:line="170" w:lineRule="exact"/>
        <w:rPr>
          <w:sz w:val="20"/>
          <w:szCs w:val="20"/>
          <w:color w:val="auto"/>
        </w:rPr>
      </w:pPr>
    </w:p>
    <w:p>
      <w:pPr>
        <w:sectPr>
          <w:pgSz w:w="11900" w:h="16838" w:orient="portrait"/>
          <w:cols w:equalWidth="0" w:num="2">
            <w:col w:w="9040" w:space="0"/>
            <w:col w:w="1119"/>
          </w:cols>
          <w:pgMar w:left="300" w:top="354" w:right="1440" w:bottom="1440" w:gutter="0" w:footer="0" w:header="0"/>
          <w:type w:val="continuous"/>
        </w:sectPr>
      </w:pPr>
    </w:p>
    <w:p>
      <w:pPr>
        <w:ind w:left="1980" w:right="899"/>
        <w:spacing w:after="0" w:line="278" w:lineRule="auto"/>
        <w:rPr>
          <w:sz w:val="20"/>
          <w:szCs w:val="20"/>
          <w:color w:val="auto"/>
        </w:rPr>
      </w:pPr>
      <w:r>
        <w:rPr>
          <w:rFonts w:ascii="Arial" w:cs="Arial" w:eastAsia="Arial" w:hAnsi="Arial"/>
          <w:sz w:val="11"/>
          <w:szCs w:val="11"/>
          <w:color w:val="auto"/>
        </w:rPr>
        <w:t>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7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type w:val="continuous"/>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 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3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the ADSs could be negatively affected, and we could become subject to investigations by the stock exchange on which the ADSs are listed, the SEC or other regulatory authorities, which could require additional financial and management resources.</w:t>
      </w:r>
    </w:p>
    <w:p>
      <w:pPr>
        <w:spacing w:after="0" w:line="12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15"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the ADSs.</w:t>
      </w:r>
    </w:p>
    <w:p>
      <w:pPr>
        <w:spacing w:after="0" w:line="16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after completion of this offering.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Sales of a substantial number of our shares or ADSs in the public market following the successful completion of the offering or the issuance by the depositary of ADSs in connection with a potential delisting from the Frankfurt Stock Exchange, or the perception that such sales or issuances might occur, could depress the market price of the ADSs and could impair our ability to raise capital through the sale of additional equity securities.</w:t>
      </w:r>
    </w:p>
    <w:p>
      <w:pPr>
        <w:spacing w:after="0" w:line="117" w:lineRule="exact"/>
        <w:rPr>
          <w:sz w:val="20"/>
          <w:szCs w:val="20"/>
          <w:color w:val="auto"/>
        </w:rPr>
      </w:pPr>
    </w:p>
    <w:p>
      <w:pPr>
        <w:ind w:left="1980" w:right="919" w:firstLine="294"/>
        <w:spacing w:after="0" w:line="258" w:lineRule="auto"/>
        <w:rPr>
          <w:sz w:val="20"/>
          <w:szCs w:val="20"/>
          <w:color w:val="auto"/>
        </w:rPr>
      </w:pPr>
      <w:r>
        <w:rPr>
          <w:rFonts w:ascii="Arial" w:cs="Arial" w:eastAsia="Arial" w:hAnsi="Arial"/>
          <w:sz w:val="12"/>
          <w:szCs w:val="12"/>
          <w:color w:val="auto"/>
        </w:rPr>
        <w:t>Upon completion of this offering, ADSs will be outstanding representing ordinary shares, or approximately % of our outstanding share capital (or ADSs outstanding representing ordinary shares, or approximately % of our outstanding</w:t>
      </w:r>
    </w:p>
    <w:p>
      <w:pPr>
        <w:ind w:left="1980" w:right="899"/>
        <w:spacing w:after="0" w:line="278" w:lineRule="auto"/>
        <w:rPr>
          <w:sz w:val="20"/>
          <w:szCs w:val="20"/>
          <w:color w:val="auto"/>
        </w:rPr>
      </w:pPr>
      <w:r>
        <w:rPr>
          <w:rFonts w:ascii="Arial" w:cs="Arial" w:eastAsia="Arial" w:hAnsi="Arial"/>
          <w:sz w:val="11"/>
          <w:szCs w:val="11"/>
          <w:color w:val="auto"/>
        </w:rPr>
        <w:t>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w:t>
      </w:r>
    </w:p>
    <w:p>
      <w:pPr>
        <w:spacing w:after="0" w:line="7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registration statement will be available 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the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the ADSs to decline. See “Use of Proceeds” in this prospectus.</w:t>
      </w:r>
    </w:p>
    <w:p>
      <w:pPr>
        <w:spacing w:after="0" w:line="113"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 may decline. If one or more of these analysts ceases coverage of our company or fails to publish reports on us regularly, demand for the ADSs could decrease, which might cause the ADS price and trading volume to decline.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the ADSs will be solely dependent upon the appreciation of the trading price of the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the ADSs may be subject to limitations on transfer of their ADSs.</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98" w:lineRule="auto"/>
        <w:rPr>
          <w:sz w:val="20"/>
          <w:szCs w:val="20"/>
          <w:color w:val="auto"/>
        </w:rPr>
      </w:pPr>
      <w:r>
        <w:rPr>
          <w:rFonts w:ascii="Arial" w:cs="Arial" w:eastAsia="Arial" w:hAnsi="Arial"/>
          <w:sz w:val="11"/>
          <w:szCs w:val="11"/>
          <w:color w:val="auto"/>
        </w:rPr>
        <w:t>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0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the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 See “Description of American Depositary Shares” in this prospectus.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representing ordinary shares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hanging="288"/>
        <w:spacing w:after="0" w:line="311" w:lineRule="auto"/>
        <w:tabs>
          <w:tab w:leader="none" w:pos="26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w:t>
      </w:r>
    </w:p>
    <w:p>
      <w:pPr>
        <w:spacing w:after="0" w:line="100"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7"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130"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the ADSs held by non-affiliates exceeds $700 million as of the end of any second quarter before that time. Investors may find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the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the ADSs and the price of the ADSs may become more volatile.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jc w:val="both"/>
        <w:ind w:left="1980" w:right="979" w:firstLine="294"/>
        <w:spacing w:after="0" w:line="340" w:lineRule="auto"/>
        <w:rPr>
          <w:sz w:val="20"/>
          <w:szCs w:val="20"/>
          <w:color w:val="auto"/>
        </w:rPr>
      </w:pPr>
      <w:r>
        <w:rPr>
          <w:rFonts w:ascii="Arial" w:cs="Arial" w:eastAsia="Arial" w:hAnsi="Arial"/>
          <w:sz w:val="10"/>
          <w:szCs w:val="10"/>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276" w:lineRule="auto"/>
        <w:tabs>
          <w:tab w:leader="none" w:pos="2157" w:val="left"/>
        </w:tabs>
        <w:numPr>
          <w:ilvl w:val="0"/>
          <w:numId w:val="23"/>
        </w:numPr>
        <w:rPr>
          <w:rFonts w:ascii="Arial" w:cs="Arial" w:eastAsia="Arial" w:hAnsi="Arial"/>
          <w:sz w:val="11"/>
          <w:szCs w:val="11"/>
          <w:color w:val="auto"/>
        </w:rPr>
      </w:pPr>
      <w:r>
        <w:rPr>
          <w:rFonts w:ascii="Arial" w:cs="Arial" w:eastAsia="Arial" w:hAnsi="Arial"/>
          <w:sz w:val="11"/>
          <w:szCs w:val="11"/>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21"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92"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As a foreign private issuer, we have the option to follow certain home country corporate governance practices rather than those of Nasdaq, provided that we disclose the requirements we are not following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describe the home country practices we are following. The standards applicable to us are considerably different than the standards applied to domestic</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U.S. issuers. For instance, we are not required to:</w:t>
      </w:r>
    </w:p>
    <w:p>
      <w:pPr>
        <w:spacing w:after="0" w:line="78" w:lineRule="exact"/>
        <w:rPr>
          <w:sz w:val="20"/>
          <w:szCs w:val="20"/>
          <w:color w:val="auto"/>
        </w:rPr>
      </w:pPr>
    </w:p>
    <w:p>
      <w:pPr>
        <w:ind w:left="2620" w:right="89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115"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the ADSs and ordinary shares will be listed on two separate stock markets and investors seeking to take advantage of price differences between such markets may create unexpected volatility in the price of the ADSs.</w:t>
      </w:r>
    </w:p>
    <w:p>
      <w:pPr>
        <w:spacing w:after="0" w:line="92"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Our ordinary shares are already listed and traded on the Xetra trading system of the Frankfurt Stock Exchange. Upon completion of this offering our ordinary shares will be listed and traded on the Frankfurt Stock Exchange and the ADSs will be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12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2"/>
          <w:szCs w:val="12"/>
          <w:i w:val="1"/>
          <w:iCs w:val="1"/>
          <w:color w:val="auto"/>
        </w:rPr>
        <w:t>Bundeszentralamt für</w:t>
      </w:r>
      <w:r>
        <w:rPr>
          <w:rFonts w:ascii="Arial" w:cs="Arial" w:eastAsia="Arial" w:hAnsi="Arial"/>
          <w:sz w:val="12"/>
          <w:szCs w:val="12"/>
          <w:color w:val="auto"/>
        </w:rPr>
        <w:t xml:space="preserve"> </w:t>
      </w:r>
      <w:r>
        <w:rPr>
          <w:rFonts w:ascii="Arial" w:cs="Arial" w:eastAsia="Arial" w:hAnsi="Arial"/>
          <w:sz w:val="12"/>
          <w:szCs w:val="12"/>
          <w:i w:val="1"/>
          <w:iCs w:val="1"/>
          <w:color w:val="auto"/>
        </w:rPr>
        <w:t>Steuern</w:t>
      </w:r>
      <w:r>
        <w:rPr>
          <w:rFonts w:ascii="Arial" w:cs="Arial" w:eastAsia="Arial" w:hAnsi="Arial"/>
          <w:sz w:val="12"/>
          <w:szCs w:val="12"/>
          <w:color w:val="auto"/>
        </w:rPr>
        <w:t>). If such a tax certificate cannot be delivered to the ADS holder due to applicable settlement mechanics or lack of information regarding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1"/>
          <w:szCs w:val="11"/>
          <w:i w:val="1"/>
          <w:iCs w:val="1"/>
          <w:color w:val="auto"/>
        </w:rPr>
        <w:t>Besteuerung von American Depositary</w:t>
      </w:r>
      <w:r>
        <w:rPr>
          <w:rFonts w:ascii="Arial" w:cs="Arial" w:eastAsia="Arial" w:hAnsi="Arial"/>
          <w:sz w:val="11"/>
          <w:szCs w:val="11"/>
          <w:color w:val="auto"/>
        </w:rPr>
        <w:t xml:space="preserve"> </w:t>
      </w:r>
      <w:r>
        <w:rPr>
          <w:rFonts w:ascii="Arial" w:cs="Arial" w:eastAsia="Arial" w:hAnsi="Arial"/>
          <w:sz w:val="11"/>
          <w:szCs w:val="11"/>
          <w:i w:val="1"/>
          <w:iCs w:val="1"/>
          <w:color w:val="auto"/>
        </w:rPr>
        <w:t>Receipts (ADR) auf inländische Aktien</w:t>
      </w:r>
      <w:r>
        <w:rPr>
          <w:rFonts w:ascii="Arial" w:cs="Arial" w:eastAsia="Arial" w:hAnsi="Arial"/>
          <w:sz w:val="11"/>
          <w:szCs w:val="11"/>
          <w:color w:val="auto"/>
        </w:rPr>
        <w:t>) issued by the German Federal Ministry of Finance (</w:t>
      </w:r>
      <w:r>
        <w:rPr>
          <w:rFonts w:ascii="Arial" w:cs="Arial" w:eastAsia="Arial" w:hAnsi="Arial"/>
          <w:sz w:val="11"/>
          <w:szCs w:val="11"/>
          <w:i w:val="1"/>
          <w:iCs w:val="1"/>
          <w:color w:val="auto"/>
        </w:rPr>
        <w:t>Bundesministerium der Finanzen</w:t>
      </w:r>
      <w:r>
        <w:rPr>
          <w:rFonts w:ascii="Arial" w:cs="Arial" w:eastAsia="Arial" w:hAnsi="Arial"/>
          <w:sz w:val="11"/>
          <w:szCs w:val="11"/>
          <w:color w:val="auto"/>
        </w:rPr>
        <w:t>), dated May 24, 2013</w:t>
      </w:r>
      <w:r>
        <w:rPr>
          <w:rFonts w:ascii="Arial" w:cs="Arial" w:eastAsia="Arial" w:hAnsi="Arial"/>
          <w:sz w:val="11"/>
          <w:szCs w:val="11"/>
          <w:i w:val="1"/>
          <w:iCs w:val="1"/>
          <w:color w:val="auto"/>
        </w:rPr>
        <w:t xml:space="preserve"> </w:t>
      </w:r>
      <w:r>
        <w:rPr>
          <w:rFonts w:ascii="Arial" w:cs="Arial" w:eastAsia="Arial" w:hAnsi="Arial"/>
          <w:sz w:val="11"/>
          <w:szCs w:val="11"/>
          <w:color w:val="auto"/>
        </w:rPr>
        <w:t>(reference number IV C 1-S2204/12/10003), as 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according to different civil procedures and may result in different outcomes than a trial by jury would have had, including results that could be less favorable to the plaintiffs in that action.</w:t>
      </w:r>
    </w:p>
    <w:p>
      <w:pPr>
        <w:spacing w:after="0" w:line="115"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estimate that the net proceeds to us from this offering, after deducting the estimated underwriting discounts and commissions and estimated offering expenses payable by us, will be approximately $ million (or approximately $ million if the underwriters exercise their option to purchase additional ADSs from us in full), based on an assumed initial public offering price of $ per ADS, the U.S. dollar equivalent of the closing price of our ordinary shares on the Frankfurt Stock Exchange on , 2021, based on the Euro/U.S. dollar exchange rate of €1.00 to $ as of , 2021.</w:t>
      </w:r>
    </w:p>
    <w:p>
      <w:pPr>
        <w:spacing w:after="0" w:line="128"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per ADS would increase (decrease) our net proceeds, after deducting the estimated underwriting discounts and estimated commissions and expenses, by approximately $ million. Each increase (decrease)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100,000 in the number of ADSs offered by us would increase (decrease) our net proceeds, after deducting the estimated underwriting discounts and</w:t>
      </w:r>
    </w:p>
    <w:p>
      <w:pPr>
        <w:spacing w:after="0" w:line="18" w:lineRule="exact"/>
        <w:rPr>
          <w:sz w:val="20"/>
          <w:szCs w:val="20"/>
          <w:color w:val="auto"/>
        </w:rPr>
      </w:pPr>
    </w:p>
    <w:p>
      <w:pPr>
        <w:ind w:left="1980"/>
        <w:spacing w:after="0"/>
        <w:tabs>
          <w:tab w:leader="none" w:pos="4520" w:val="left"/>
        </w:tabs>
        <w:rPr>
          <w:sz w:val="20"/>
          <w:szCs w:val="20"/>
          <w:color w:val="auto"/>
        </w:rPr>
      </w:pPr>
      <w:r>
        <w:rPr>
          <w:rFonts w:ascii="Arial" w:cs="Arial" w:eastAsia="Arial" w:hAnsi="Arial"/>
          <w:sz w:val="12"/>
          <w:szCs w:val="12"/>
          <w:color w:val="auto"/>
        </w:rPr>
        <w:t>estimated commissions and expenses, by $</w:t>
      </w:r>
      <w:r>
        <w:rPr>
          <w:sz w:val="20"/>
          <w:szCs w:val="20"/>
          <w:color w:val="auto"/>
        </w:rPr>
        <w:tab/>
      </w:r>
      <w:r>
        <w:rPr>
          <w:rFonts w:ascii="Arial" w:cs="Arial" w:eastAsia="Arial" w:hAnsi="Arial"/>
          <w:sz w:val="12"/>
          <w:szCs w:val="12"/>
          <w:color w:val="auto"/>
        </w:rPr>
        <w:t>million.</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tbl>
      <w:tblPr>
        <w:tblLayout w:type="fixed"/>
        <w:tblInd w:w="2340" w:type="dxa"/>
        <w:tblCellMar>
          <w:top w:w="0" w:type="dxa"/>
          <w:left w:w="0" w:type="dxa"/>
          <w:bottom w:w="0" w:type="dxa"/>
          <w:right w:w="0" w:type="dxa"/>
        </w:tblCellMar>
      </w:tblPr>
      <w:tr>
        <w:trPr>
          <w:trHeight w:val="153"/>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7"/>
              </w:rPr>
              <w:t>% to ramp-up serial production to allow for short-term product deployment within large-scale customer programs;</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1"/>
              </w:rPr>
              <w:t>% to further advance our existing products and to expand our product portfolio to support new applications and increase</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our addressable market;</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1"/>
              </w:rPr>
              <w:t>% for investments in additional research and development equipment to further accelerate product development in both</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our German and U.S. facilities;</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3"/>
              </w:rPr>
              <w:t>% to grow our sales and marketing efforts to expand access to government and commercial customers, including the</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establishment of a U.S. entity cleared for access to classified information; and</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0"/>
              </w:rPr>
              <w:t>% to repay the outstanding amount of €7.5 million and any accrued and unpaid commitment fee, interest and premium, if</w:t>
            </w:r>
          </w:p>
        </w:tc>
      </w:tr>
      <w:tr>
        <w:trPr>
          <w:trHeight w:val="144"/>
        </w:trPr>
        <w:tc>
          <w:tcPr>
            <w:tcW w:w="160" w:type="dxa"/>
            <w:vAlign w:val="bottom"/>
          </w:tcPr>
          <w:p>
            <w:pPr>
              <w:spacing w:after="0"/>
              <w:rPr>
                <w:sz w:val="12"/>
                <w:szCs w:val="12"/>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w w:val="91"/>
              </w:rPr>
              <w:t>any, under the credit agreement entered into with three lenders for a credit line of approximately €25 million on September 15, 2021 (see</w:t>
            </w:r>
          </w:p>
        </w:tc>
      </w:tr>
      <w:tr>
        <w:trPr>
          <w:trHeight w:val="144"/>
        </w:trPr>
        <w:tc>
          <w:tcPr>
            <w:tcW w:w="160" w:type="dxa"/>
            <w:vAlign w:val="bottom"/>
          </w:tcPr>
          <w:p>
            <w:pPr>
              <w:spacing w:after="0"/>
              <w:rPr>
                <w:sz w:val="12"/>
                <w:szCs w:val="12"/>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w w:val="91"/>
              </w:rPr>
              <w:t>also “Management’s Discussion and Analysis of Financial Condition and Results of Operations—Liquidity and Capital Resources—Credit</w:t>
            </w:r>
          </w:p>
        </w:tc>
      </w:tr>
      <w:tr>
        <w:trPr>
          <w:trHeight w:val="153"/>
        </w:trPr>
        <w:tc>
          <w:tcPr>
            <w:tcW w:w="1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2"/>
                <w:szCs w:val="12"/>
                <w:color w:val="auto"/>
              </w:rPr>
              <w:t>Agreement”).</w:t>
            </w:r>
          </w:p>
        </w:tc>
        <w:tc>
          <w:tcPr>
            <w:tcW w:w="5900" w:type="dxa"/>
            <w:vAlign w:val="bottom"/>
          </w:tcPr>
          <w:p>
            <w:pPr>
              <w:spacing w:after="0"/>
              <w:rPr>
                <w:sz w:val="13"/>
                <w:szCs w:val="13"/>
                <w:color w:val="auto"/>
              </w:rPr>
            </w:pPr>
          </w:p>
        </w:tc>
      </w:tr>
    </w:tbl>
    <w:p>
      <w:pPr>
        <w:spacing w:after="0" w:line="13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table below sets forth our cash and cash equivalents and capitalization as of June 30, 2021:</w:t>
      </w:r>
    </w:p>
    <w:p>
      <w:pPr>
        <w:spacing w:after="0" w:line="168" w:lineRule="exact"/>
        <w:rPr>
          <w:sz w:val="20"/>
          <w:szCs w:val="20"/>
          <w:color w:val="auto"/>
        </w:rPr>
      </w:pPr>
    </w:p>
    <w:p>
      <w:pPr>
        <w:ind w:left="2540" w:hanging="280"/>
        <w:spacing w:after="0"/>
        <w:tabs>
          <w:tab w:leader="none" w:pos="2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on an adjusted basis to reflect the amount of €7.5 million drawn under a credit agreement entered into on September 15, 2021; and</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29"/>
        </w:numPr>
        <w:rPr>
          <w:rFonts w:ascii="Arial" w:cs="Arial" w:eastAsia="Arial" w:hAnsi="Arial"/>
          <w:sz w:val="10"/>
          <w:szCs w:val="10"/>
          <w:color w:val="auto"/>
        </w:rPr>
      </w:pPr>
      <w:r>
        <w:rPr>
          <w:rFonts w:ascii="Arial" w:cs="Arial" w:eastAsia="Arial" w:hAnsi="Arial"/>
          <w:sz w:val="10"/>
          <w:szCs w:val="10"/>
          <w:color w:val="auto"/>
        </w:rPr>
        <w:t>on a further adjusted basis to reflect (i) the issuance and sale by us of the ADSs in this offering at an assumed initial public offering price of</w:t>
      </w:r>
    </w:p>
    <w:p>
      <w:pPr>
        <w:sectPr>
          <w:pgSz w:w="11900" w:h="16838" w:orient="portrait"/>
          <w:cols w:equalWidth="0" w:num="1">
            <w:col w:w="10159"/>
          </w:cols>
          <w:pgMar w:left="300" w:top="354" w:right="1440" w:bottom="1440" w:gutter="0" w:footer="0" w:header="0"/>
        </w:sectPr>
      </w:pPr>
    </w:p>
    <w:p>
      <w:pPr>
        <w:spacing w:after="0" w:line="38" w:lineRule="exact"/>
        <w:rPr>
          <w:sz w:val="20"/>
          <w:szCs w:val="20"/>
          <w:color w:val="auto"/>
        </w:rPr>
      </w:pPr>
    </w:p>
    <w:p>
      <w:pPr>
        <w:ind w:left="2540" w:right="1019"/>
        <w:spacing w:after="0" w:line="250" w:lineRule="auto"/>
        <w:rPr>
          <w:sz w:val="20"/>
          <w:szCs w:val="20"/>
          <w:color w:val="auto"/>
        </w:rPr>
      </w:pPr>
      <w:r>
        <w:rPr>
          <w:rFonts w:ascii="Arial" w:cs="Arial" w:eastAsia="Arial" w:hAnsi="Arial"/>
          <w:sz w:val="12"/>
          <w:szCs w:val="12"/>
          <w:color w:val="auto"/>
        </w:rPr>
        <w:t>$ per ADS, the U.S. dollar equivalent of the closing price of our ordinary shares on the Frankfurt Stock Exchange on , 2021, based on the Euro/U.S. dollar exchange rate of €1.00 to $ as of , 2021, after deducting the estimated underwriting</w:t>
      </w:r>
    </w:p>
    <w:p>
      <w:pPr>
        <w:sectPr>
          <w:pgSz w:w="11900" w:h="16838" w:orient="portrait"/>
          <w:cols w:equalWidth="0" w:num="1">
            <w:col w:w="10159"/>
          </w:cols>
          <w:pgMar w:left="300" w:top="354" w:right="1440" w:bottom="1440" w:gutter="0" w:footer="0" w:header="0"/>
          <w:type w:val="continuous"/>
        </w:sectPr>
      </w:pPr>
    </w:p>
    <w:p>
      <w:pPr>
        <w:spacing w:after="0" w:line="1" w:lineRule="exact"/>
        <w:rPr>
          <w:sz w:val="20"/>
          <w:szCs w:val="20"/>
          <w:color w:val="auto"/>
        </w:rPr>
      </w:pPr>
    </w:p>
    <w:p>
      <w:pPr>
        <w:ind w:left="2540" w:right="959"/>
        <w:spacing w:after="0" w:line="255" w:lineRule="auto"/>
        <w:rPr>
          <w:sz w:val="20"/>
          <w:szCs w:val="20"/>
          <w:color w:val="auto"/>
        </w:rPr>
      </w:pPr>
      <w:r>
        <w:rPr>
          <w:rFonts w:ascii="Arial" w:cs="Arial" w:eastAsia="Arial" w:hAnsi="Arial"/>
          <w:sz w:val="12"/>
          <w:szCs w:val="12"/>
          <w:color w:val="auto"/>
        </w:rPr>
        <w:t>discounts and commissions and estimated offering expenses payable by us, and excluding the underwriters’ option to purchase additional ADSs and (ii) the application of the net proceeds of the offering to fully repay the outstanding amount of €7.5 million and any accrued and unpaid commitment fee, interest and premium, if any, under the credit agreement.</w:t>
      </w:r>
    </w:p>
    <w:p>
      <w:pPr>
        <w:spacing w:after="0" w:line="12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left="7"/>
              <w:spacing w:after="0"/>
              <w:rPr>
                <w:sz w:val="20"/>
                <w:szCs w:val="20"/>
                <w:color w:val="auto"/>
              </w:rPr>
            </w:pPr>
            <w:r>
              <w:rPr>
                <w:rFonts w:ascii="Arial" w:cs="Arial" w:eastAsia="Arial" w:hAnsi="Arial"/>
                <w:sz w:val="10"/>
                <w:szCs w:val="10"/>
                <w:b w:val="1"/>
                <w:bCs w:val="1"/>
                <w:color w:val="auto"/>
                <w:w w:val="86"/>
              </w:rPr>
              <w:t>As of June 30, 2021</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tcPr>
          <w:p>
            <w:pPr>
              <w:jc w:val="right"/>
              <w:ind w:right="460"/>
              <w:spacing w:after="0" w:line="74" w:lineRule="exact"/>
              <w:rPr>
                <w:sz w:val="20"/>
                <w:szCs w:val="20"/>
                <w:color w:val="auto"/>
              </w:rPr>
            </w:pPr>
            <w:r>
              <w:rPr>
                <w:rFonts w:ascii="Arial" w:cs="Arial" w:eastAsia="Arial" w:hAnsi="Arial"/>
                <w:sz w:val="8"/>
                <w:szCs w:val="8"/>
                <w:b w:val="1"/>
                <w:bCs w:val="1"/>
                <w:color w:val="auto"/>
              </w:rPr>
              <w:t>As</w:t>
            </w:r>
          </w:p>
        </w:tc>
        <w:tc>
          <w:tcPr>
            <w:tcW w:w="4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As further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40" w:type="dxa"/>
            <w:vAlign w:val="bottom"/>
          </w:tcPr>
          <w:p>
            <w:pPr>
              <w:spacing w:after="0"/>
              <w:rPr>
                <w:sz w:val="9"/>
                <w:szCs w:val="9"/>
                <w:color w:val="auto"/>
              </w:rPr>
            </w:pP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4"/>
              </w:rPr>
              <w:t>Actual</w:t>
            </w:r>
          </w:p>
        </w:tc>
        <w:tc>
          <w:tcPr>
            <w:tcW w:w="140" w:type="dxa"/>
            <w:vAlign w:val="bottom"/>
          </w:tcPr>
          <w:p>
            <w:pPr>
              <w:spacing w:after="0"/>
              <w:rPr>
                <w:sz w:val="9"/>
                <w:szCs w:val="9"/>
                <w:color w:val="auto"/>
              </w:rPr>
            </w:pP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(1)</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(2)</w:t>
            </w:r>
          </w:p>
        </w:tc>
        <w:tc>
          <w:tcPr>
            <w:tcW w:w="0" w:type="dxa"/>
            <w:vAlign w:val="bottom"/>
          </w:tcPr>
          <w:p>
            <w:pPr>
              <w:spacing w:after="0"/>
              <w:rPr>
                <w:sz w:val="1"/>
                <w:szCs w:val="1"/>
                <w:color w:val="auto"/>
              </w:rPr>
            </w:pPr>
          </w:p>
        </w:tc>
      </w:tr>
      <w:tr>
        <w:trPr>
          <w:trHeight w:val="74"/>
        </w:trPr>
        <w:tc>
          <w:tcPr>
            <w:tcW w:w="55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(unaudited)</w:t>
            </w: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(in € millions)</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25.9</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line="171" w:lineRule="exact"/>
              <w:rPr>
                <w:sz w:val="20"/>
                <w:szCs w:val="20"/>
                <w:color w:val="auto"/>
              </w:rPr>
            </w:pPr>
            <w:r>
              <w:rPr>
                <w:rFonts w:ascii="Arial" w:cs="Arial" w:eastAsia="Arial" w:hAnsi="Arial"/>
                <w:sz w:val="11"/>
                <w:szCs w:val="11"/>
                <w:color w:val="auto"/>
              </w:rPr>
              <w:t>Total debt</w:t>
            </w:r>
            <w:r>
              <w:rPr>
                <w:rFonts w:ascii="Arial" w:cs="Arial" w:eastAsia="Arial" w:hAnsi="Arial"/>
                <w:sz w:val="18"/>
                <w:szCs w:val="18"/>
                <w:color w:val="auto"/>
                <w:vertAlign w:val="superscript"/>
              </w:rPr>
              <w:t>(3)</w:t>
            </w: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540" w:type="dxa"/>
            <w:vAlign w:val="bottom"/>
            <w:vMerge w:val="continue"/>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15.4</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color w:val="auto"/>
              </w:rPr>
              <w:t>Equity</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ind w:left="100"/>
              <w:spacing w:after="0"/>
              <w:rPr>
                <w:sz w:val="20"/>
                <w:szCs w:val="20"/>
                <w:color w:val="auto"/>
              </w:rPr>
            </w:pPr>
            <w:r>
              <w:rPr>
                <w:rFonts w:ascii="Arial" w:cs="Arial" w:eastAsia="Arial" w:hAnsi="Arial"/>
                <w:sz w:val="11"/>
                <w:szCs w:val="11"/>
                <w:color w:val="auto"/>
              </w:rPr>
              <w:t>Share capital</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4.1</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4.1</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Capital reserves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4"/>
              </w:rPr>
              <w:t>113.9</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113.9</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ind w:left="100"/>
              <w:spacing w:after="0"/>
              <w:rPr>
                <w:sz w:val="20"/>
                <w:szCs w:val="20"/>
                <w:color w:val="auto"/>
              </w:rPr>
            </w:pPr>
            <w:r>
              <w:rPr>
                <w:rFonts w:ascii="Arial" w:cs="Arial" w:eastAsia="Arial" w:hAnsi="Arial"/>
                <w:sz w:val="11"/>
                <w:szCs w:val="11"/>
                <w:color w:val="auto"/>
              </w:rPr>
              <w:t>Exchange rate differences</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0.2</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deficit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(63.4)</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(63.4)</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0"/>
              <w:spacing w:after="0"/>
              <w:rPr>
                <w:sz w:val="20"/>
                <w:szCs w:val="20"/>
                <w:color w:val="auto"/>
              </w:rPr>
            </w:pPr>
            <w:r>
              <w:rPr>
                <w:rFonts w:ascii="Arial" w:cs="Arial" w:eastAsia="Arial" w:hAnsi="Arial"/>
                <w:sz w:val="11"/>
                <w:szCs w:val="11"/>
                <w:color w:val="auto"/>
              </w:rPr>
              <w:t>Total shareholders’ equity</w:t>
            </w: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54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54.8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capitalization</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70.2</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130302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103" w:lineRule="exact"/>
        <w:rPr>
          <w:sz w:val="20"/>
          <w:szCs w:val="20"/>
          <w:color w:val="auto"/>
        </w:rPr>
      </w:pPr>
    </w:p>
    <w:p>
      <w:pPr>
        <w:ind w:left="2260" w:right="859" w:hanging="288"/>
        <w:spacing w:after="0" w:line="265" w:lineRule="auto"/>
        <w:tabs>
          <w:tab w:leader="none" w:pos="2260" w:val="left"/>
        </w:tabs>
        <w:numPr>
          <w:ilvl w:val="0"/>
          <w:numId w:val="30"/>
        </w:numPr>
        <w:rPr>
          <w:rFonts w:ascii="Arial" w:cs="Arial" w:eastAsia="Arial" w:hAnsi="Arial"/>
          <w:sz w:val="8"/>
          <w:szCs w:val="8"/>
          <w:color w:val="auto"/>
        </w:rPr>
      </w:pPr>
      <w:r>
        <w:rPr>
          <w:rFonts w:ascii="Arial" w:cs="Arial" w:eastAsia="Arial" w:hAnsi="Arial"/>
          <w:sz w:val="8"/>
          <w:szCs w:val="8"/>
          <w:color w:val="auto"/>
        </w:rPr>
        <w:t>Since June 30, 2021, we have drawn €7.5 million under a credit agreement entered into on September 15, 2021. For more information, see “Management’s Discussion and Analysis of Financial Condition and Results of Operations—Liquidity and Capital Resources—Credit Agreement”. We expect to repay the drawn amount and any accrued and unpaid commitment fee, interest and premium, if any, under the credit agreement in full with the net proceeds from this offering.</w:t>
      </w:r>
    </w:p>
    <w:tbl>
      <w:tblPr>
        <w:tblLayout w:type="fixed"/>
        <w:tblInd w:w="1980" w:type="dxa"/>
        <w:tblCellMar>
          <w:top w:w="0" w:type="dxa"/>
          <w:left w:w="0" w:type="dxa"/>
          <w:bottom w:w="0" w:type="dxa"/>
          <w:right w:w="0" w:type="dxa"/>
        </w:tblCellMar>
      </w:tblPr>
      <w:tr>
        <w:trPr>
          <w:trHeight w:val="91"/>
        </w:trPr>
        <w:tc>
          <w:tcPr>
            <w:tcW w:w="200" w:type="dxa"/>
            <w:vAlign w:val="bottom"/>
          </w:tcPr>
          <w:p>
            <w:pPr>
              <w:jc w:val="right"/>
              <w:ind w:right="58"/>
              <w:spacing w:after="0"/>
              <w:rPr>
                <w:sz w:val="20"/>
                <w:szCs w:val="20"/>
                <w:color w:val="auto"/>
              </w:rPr>
            </w:pPr>
            <w:r>
              <w:rPr>
                <w:rFonts w:ascii="Arial" w:cs="Arial" w:eastAsia="Arial" w:hAnsi="Arial"/>
                <w:sz w:val="8"/>
                <w:szCs w:val="8"/>
                <w:color w:val="auto"/>
                <w:w w:val="81"/>
              </w:rPr>
              <w:t>(2)</w:t>
            </w:r>
          </w:p>
        </w:tc>
        <w:tc>
          <w:tcPr>
            <w:tcW w:w="3160" w:type="dxa"/>
            <w:vAlign w:val="bottom"/>
          </w:tcPr>
          <w:p>
            <w:pPr>
              <w:ind w:left="80"/>
              <w:spacing w:after="0" w:line="92" w:lineRule="exact"/>
              <w:rPr>
                <w:sz w:val="20"/>
                <w:szCs w:val="20"/>
                <w:color w:val="auto"/>
              </w:rPr>
            </w:pPr>
            <w:r>
              <w:rPr>
                <w:rFonts w:ascii="Arial" w:cs="Arial" w:eastAsia="Arial" w:hAnsi="Arial"/>
                <w:sz w:val="10"/>
                <w:szCs w:val="10"/>
                <w:color w:val="auto"/>
                <w:w w:val="91"/>
              </w:rPr>
              <w:t>A $1.00 increase or decrease in the assumed initial public offering price of $</w:t>
            </w:r>
          </w:p>
        </w:tc>
        <w:tc>
          <w:tcPr>
            <w:tcW w:w="3980" w:type="dxa"/>
            <w:vAlign w:val="bottom"/>
            <w:gridSpan w:val="3"/>
          </w:tcPr>
          <w:p>
            <w:pPr>
              <w:ind w:left="240"/>
              <w:spacing w:after="0" w:line="92" w:lineRule="exact"/>
              <w:rPr>
                <w:sz w:val="20"/>
                <w:szCs w:val="20"/>
                <w:color w:val="auto"/>
              </w:rPr>
            </w:pPr>
            <w:r>
              <w:rPr>
                <w:rFonts w:ascii="Arial" w:cs="Arial" w:eastAsia="Arial" w:hAnsi="Arial"/>
                <w:sz w:val="10"/>
                <w:szCs w:val="10"/>
                <w:color w:val="auto"/>
                <w:w w:val="96"/>
              </w:rPr>
              <w:t>per ADS would increase or decrease the as adjusted amount of each of cash and cash</w:t>
            </w:r>
          </w:p>
        </w:tc>
      </w:tr>
      <w:tr>
        <w:trPr>
          <w:trHeight w:val="99"/>
        </w:trPr>
        <w:tc>
          <w:tcPr>
            <w:tcW w:w="200" w:type="dxa"/>
            <w:vAlign w:val="bottom"/>
          </w:tcPr>
          <w:p>
            <w:pPr>
              <w:spacing w:after="0"/>
              <w:rPr>
                <w:sz w:val="8"/>
                <w:szCs w:val="8"/>
                <w:color w:val="auto"/>
              </w:rPr>
            </w:pPr>
          </w:p>
        </w:tc>
        <w:tc>
          <w:tcPr>
            <w:tcW w:w="5100" w:type="dxa"/>
            <w:vAlign w:val="bottom"/>
            <w:gridSpan w:val="2"/>
          </w:tcPr>
          <w:p>
            <w:pPr>
              <w:ind w:left="80"/>
              <w:spacing w:after="0" w:line="99" w:lineRule="exact"/>
              <w:rPr>
                <w:sz w:val="20"/>
                <w:szCs w:val="20"/>
                <w:color w:val="auto"/>
              </w:rPr>
            </w:pPr>
            <w:r>
              <w:rPr>
                <w:rFonts w:ascii="Arial" w:cs="Arial" w:eastAsia="Arial" w:hAnsi="Arial"/>
                <w:sz w:val="10"/>
                <w:szCs w:val="10"/>
                <w:color w:val="auto"/>
                <w:w w:val="90"/>
              </w:rPr>
              <w:t>equivalents, share capital, equity attributable to the equity holders of the Company and total capitalization by approximately $</w:t>
            </w:r>
          </w:p>
        </w:tc>
        <w:tc>
          <w:tcPr>
            <w:tcW w:w="2040" w:type="dxa"/>
            <w:vAlign w:val="bottom"/>
            <w:gridSpan w:val="2"/>
          </w:tcPr>
          <w:p>
            <w:pPr>
              <w:ind w:left="200"/>
              <w:spacing w:after="0" w:line="99" w:lineRule="exact"/>
              <w:rPr>
                <w:sz w:val="20"/>
                <w:szCs w:val="20"/>
                <w:color w:val="auto"/>
              </w:rPr>
            </w:pPr>
            <w:r>
              <w:rPr>
                <w:rFonts w:ascii="Arial" w:cs="Arial" w:eastAsia="Arial" w:hAnsi="Arial"/>
                <w:sz w:val="10"/>
                <w:szCs w:val="10"/>
                <w:color w:val="auto"/>
                <w:w w:val="89"/>
              </w:rPr>
              <w:t>million, assuming the number of ADSs offered</w:t>
            </w:r>
          </w:p>
        </w:tc>
      </w:tr>
      <w:tr>
        <w:trPr>
          <w:trHeight w:val="99"/>
        </w:trPr>
        <w:tc>
          <w:tcPr>
            <w:tcW w:w="200" w:type="dxa"/>
            <w:vAlign w:val="bottom"/>
          </w:tcPr>
          <w:p>
            <w:pPr>
              <w:spacing w:after="0"/>
              <w:rPr>
                <w:sz w:val="8"/>
                <w:szCs w:val="8"/>
                <w:color w:val="auto"/>
              </w:rPr>
            </w:pPr>
          </w:p>
        </w:tc>
        <w:tc>
          <w:tcPr>
            <w:tcW w:w="7140" w:type="dxa"/>
            <w:vAlign w:val="bottom"/>
            <w:gridSpan w:val="4"/>
          </w:tcPr>
          <w:p>
            <w:pPr>
              <w:ind w:left="80"/>
              <w:spacing w:after="0" w:line="99" w:lineRule="exact"/>
              <w:rPr>
                <w:sz w:val="20"/>
                <w:szCs w:val="20"/>
                <w:color w:val="auto"/>
              </w:rPr>
            </w:pPr>
            <w:r>
              <w:rPr>
                <w:rFonts w:ascii="Arial" w:cs="Arial" w:eastAsia="Arial" w:hAnsi="Arial"/>
                <w:sz w:val="10"/>
                <w:szCs w:val="10"/>
                <w:color w:val="auto"/>
                <w:w w:val="87"/>
              </w:rPr>
              <w:t>by us, as set forth on the cover page of this prospectus, remains the same and after deducting the estimated underwriting discounts and commissions. An increase or decrease in the</w:t>
            </w:r>
          </w:p>
        </w:tc>
      </w:tr>
      <w:tr>
        <w:trPr>
          <w:trHeight w:val="99"/>
        </w:trPr>
        <w:tc>
          <w:tcPr>
            <w:tcW w:w="200" w:type="dxa"/>
            <w:vAlign w:val="bottom"/>
          </w:tcPr>
          <w:p>
            <w:pPr>
              <w:spacing w:after="0"/>
              <w:rPr>
                <w:sz w:val="8"/>
                <w:szCs w:val="8"/>
                <w:color w:val="auto"/>
              </w:rPr>
            </w:pPr>
          </w:p>
        </w:tc>
        <w:tc>
          <w:tcPr>
            <w:tcW w:w="7140" w:type="dxa"/>
            <w:vAlign w:val="bottom"/>
            <w:gridSpan w:val="4"/>
          </w:tcPr>
          <w:p>
            <w:pPr>
              <w:ind w:left="80"/>
              <w:spacing w:after="0" w:line="99" w:lineRule="exact"/>
              <w:rPr>
                <w:sz w:val="20"/>
                <w:szCs w:val="20"/>
                <w:color w:val="auto"/>
              </w:rPr>
            </w:pPr>
            <w:r>
              <w:rPr>
                <w:rFonts w:ascii="Arial" w:cs="Arial" w:eastAsia="Arial" w:hAnsi="Arial"/>
                <w:sz w:val="10"/>
                <w:szCs w:val="10"/>
                <w:color w:val="auto"/>
                <w:w w:val="86"/>
              </w:rPr>
              <w:t>number of ADSs sold by us in this offering by 100,000, would increase or decrease the as adjusted amount of each of cash and cash equivalents, share capital, equity attributable to the</w:t>
            </w:r>
          </w:p>
        </w:tc>
      </w:tr>
      <w:tr>
        <w:trPr>
          <w:trHeight w:val="107"/>
        </w:trPr>
        <w:tc>
          <w:tcPr>
            <w:tcW w:w="200" w:type="dxa"/>
            <w:vAlign w:val="bottom"/>
          </w:tcPr>
          <w:p>
            <w:pPr>
              <w:spacing w:after="0"/>
              <w:rPr>
                <w:sz w:val="9"/>
                <w:szCs w:val="9"/>
                <w:color w:val="auto"/>
              </w:rPr>
            </w:pPr>
          </w:p>
        </w:tc>
        <w:tc>
          <w:tcPr>
            <w:tcW w:w="3160" w:type="dxa"/>
            <w:vAlign w:val="bottom"/>
          </w:tcPr>
          <w:p>
            <w:pPr>
              <w:ind w:left="80"/>
              <w:spacing w:after="0" w:line="107" w:lineRule="exact"/>
              <w:rPr>
                <w:sz w:val="20"/>
                <w:szCs w:val="20"/>
                <w:color w:val="auto"/>
              </w:rPr>
            </w:pPr>
            <w:r>
              <w:rPr>
                <w:rFonts w:ascii="Arial" w:cs="Arial" w:eastAsia="Arial" w:hAnsi="Arial"/>
                <w:sz w:val="10"/>
                <w:szCs w:val="10"/>
                <w:color w:val="auto"/>
                <w:w w:val="94"/>
              </w:rPr>
              <w:t>equity holders of the Company and total capitalization by approximately $</w:t>
            </w:r>
          </w:p>
        </w:tc>
        <w:tc>
          <w:tcPr>
            <w:tcW w:w="3280" w:type="dxa"/>
            <w:vAlign w:val="bottom"/>
            <w:gridSpan w:val="2"/>
          </w:tcPr>
          <w:p>
            <w:pPr>
              <w:ind w:left="160"/>
              <w:spacing w:after="0" w:line="107" w:lineRule="exact"/>
              <w:rPr>
                <w:sz w:val="20"/>
                <w:szCs w:val="20"/>
                <w:color w:val="auto"/>
              </w:rPr>
            </w:pPr>
            <w:r>
              <w:rPr>
                <w:rFonts w:ascii="Arial" w:cs="Arial" w:eastAsia="Arial" w:hAnsi="Arial"/>
                <w:sz w:val="10"/>
                <w:szCs w:val="10"/>
                <w:color w:val="auto"/>
                <w:w w:val="93"/>
              </w:rPr>
              <w:t>million, assuming no change in the assumed initial public offering price of $</w:t>
            </w:r>
          </w:p>
        </w:tc>
        <w:tc>
          <w:tcPr>
            <w:tcW w:w="700" w:type="dxa"/>
            <w:vAlign w:val="bottom"/>
          </w:tcPr>
          <w:p>
            <w:pPr>
              <w:ind w:left="200"/>
              <w:spacing w:after="0" w:line="107" w:lineRule="exact"/>
              <w:rPr>
                <w:sz w:val="20"/>
                <w:szCs w:val="20"/>
                <w:color w:val="auto"/>
              </w:rPr>
            </w:pPr>
            <w:r>
              <w:rPr>
                <w:rFonts w:ascii="Arial" w:cs="Arial" w:eastAsia="Arial" w:hAnsi="Arial"/>
                <w:sz w:val="10"/>
                <w:szCs w:val="10"/>
                <w:color w:val="auto"/>
                <w:w w:val="83"/>
              </w:rPr>
              <w:t>per ADS and</w:t>
            </w:r>
          </w:p>
        </w:tc>
      </w:tr>
    </w:tbl>
    <w:p>
      <w:pPr>
        <w:ind w:left="2260" w:right="979"/>
        <w:spacing w:after="0" w:line="206" w:lineRule="auto"/>
        <w:rPr>
          <w:sz w:val="20"/>
          <w:szCs w:val="20"/>
          <w:color w:val="auto"/>
        </w:rPr>
      </w:pPr>
      <w:r>
        <w:rPr>
          <w:rFonts w:ascii="Arial" w:cs="Arial" w:eastAsia="Arial" w:hAnsi="Arial"/>
          <w:sz w:val="10"/>
          <w:szCs w:val="10"/>
          <w:color w:val="auto"/>
        </w:rPr>
        <w:t>after deducting the estimated underwriting discounts and commissions. The as adjusted information is illustrative only, and we will adjust this information based on the actual initial public offering price and other terms of this offering determined at pricing.</w:t>
      </w:r>
    </w:p>
    <w:p>
      <w:pPr>
        <w:ind w:left="2260" w:hanging="288"/>
        <w:spacing w:after="0"/>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Total debt comprises current and non-current loan liabilities and lease obligations.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type w:val="continuous"/>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If you invest in the ADSs in this offering, your interest will be immediately diluted to the extent of the difference between the initial public offering price per ADS and the as adjusted net tangible book value per ADS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3960" w:type="dxa"/>
            <w:vAlign w:val="bottom"/>
            <w:gridSpan w:val="7"/>
          </w:tcPr>
          <w:p>
            <w:pPr>
              <w:ind w:left="280"/>
              <w:spacing w:after="0"/>
              <w:rPr>
                <w:sz w:val="20"/>
                <w:szCs w:val="20"/>
                <w:color w:val="auto"/>
              </w:rPr>
            </w:pPr>
            <w:r>
              <w:rPr>
                <w:rFonts w:ascii="Arial" w:cs="Arial" w:eastAsia="Arial" w:hAnsi="Arial"/>
                <w:sz w:val="12"/>
                <w:szCs w:val="12"/>
                <w:color w:val="auto"/>
              </w:rPr>
              <w:t>As of June 30, 2021, we had a historical net tangible book value of €</w:t>
            </w:r>
          </w:p>
        </w:tc>
        <w:tc>
          <w:tcPr>
            <w:tcW w:w="3340" w:type="dxa"/>
            <w:vAlign w:val="bottom"/>
            <w:gridSpan w:val="4"/>
          </w:tcPr>
          <w:p>
            <w:pPr>
              <w:jc w:val="right"/>
              <w:ind w:right="80"/>
              <w:spacing w:after="0"/>
              <w:rPr>
                <w:sz w:val="20"/>
                <w:szCs w:val="20"/>
                <w:color w:val="auto"/>
              </w:rPr>
            </w:pPr>
            <w:r>
              <w:rPr>
                <w:rFonts w:ascii="Arial" w:cs="Arial" w:eastAsia="Arial" w:hAnsi="Arial"/>
                <w:sz w:val="12"/>
                <w:szCs w:val="12"/>
                <w:color w:val="auto"/>
                <w:w w:val="96"/>
              </w:rPr>
              <w:t>million, corresponding to a historical net tangible book value of</w:t>
            </w:r>
          </w:p>
        </w:tc>
        <w:tc>
          <w:tcPr>
            <w:tcW w:w="2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1440" w:type="dxa"/>
            <w:vAlign w:val="bottom"/>
            <w:gridSpan w:val="2"/>
          </w:tcPr>
          <w:p>
            <w:pPr>
              <w:ind w:left="100"/>
              <w:spacing w:after="0"/>
              <w:rPr>
                <w:sz w:val="20"/>
                <w:szCs w:val="20"/>
                <w:color w:val="auto"/>
              </w:rPr>
            </w:pPr>
            <w:r>
              <w:rPr>
                <w:rFonts w:ascii="Arial" w:cs="Arial" w:eastAsia="Arial" w:hAnsi="Arial"/>
                <w:sz w:val="12"/>
                <w:szCs w:val="12"/>
                <w:color w:val="auto"/>
              </w:rPr>
              <w:t>per ordinary share or €</w:t>
            </w:r>
          </w:p>
        </w:tc>
        <w:tc>
          <w:tcPr>
            <w:tcW w:w="2940" w:type="dxa"/>
            <w:vAlign w:val="bottom"/>
            <w:gridSpan w:val="5"/>
          </w:tcPr>
          <w:p>
            <w:pPr>
              <w:ind w:left="260"/>
              <w:spacing w:after="0"/>
              <w:rPr>
                <w:sz w:val="20"/>
                <w:szCs w:val="20"/>
                <w:color w:val="auto"/>
              </w:rPr>
            </w:pPr>
            <w:r>
              <w:rPr>
                <w:rFonts w:ascii="Arial" w:cs="Arial" w:eastAsia="Arial" w:hAnsi="Arial"/>
                <w:sz w:val="12"/>
                <w:szCs w:val="12"/>
                <w:color w:val="auto"/>
                <w:w w:val="96"/>
              </w:rPr>
              <w:t>per ADS based on an ADS to ordinary share ratio of</w:t>
            </w:r>
          </w:p>
        </w:tc>
        <w:tc>
          <w:tcPr>
            <w:tcW w:w="740" w:type="dxa"/>
            <w:vAlign w:val="bottom"/>
          </w:tcPr>
          <w:p>
            <w:pPr>
              <w:ind w:left="360"/>
              <w:spacing w:after="0"/>
              <w:rPr>
                <w:sz w:val="20"/>
                <w:szCs w:val="20"/>
                <w:color w:val="auto"/>
              </w:rPr>
            </w:pPr>
            <w:r>
              <w:rPr>
                <w:rFonts w:ascii="Arial" w:cs="Arial" w:eastAsia="Arial" w:hAnsi="Arial"/>
                <w:sz w:val="12"/>
                <w:szCs w:val="12"/>
                <w:color w:val="auto"/>
              </w:rPr>
              <w:t>to</w:t>
            </w:r>
          </w:p>
        </w:tc>
        <w:tc>
          <w:tcPr>
            <w:tcW w:w="1720" w:type="dxa"/>
            <w:vAlign w:val="bottom"/>
            <w:gridSpan w:val="2"/>
          </w:tcPr>
          <w:p>
            <w:pPr>
              <w:jc w:val="right"/>
              <w:ind w:right="40"/>
              <w:spacing w:after="0"/>
              <w:rPr>
                <w:sz w:val="20"/>
                <w:szCs w:val="20"/>
                <w:color w:val="auto"/>
              </w:rPr>
            </w:pPr>
            <w:r>
              <w:rPr>
                <w:rFonts w:ascii="Arial" w:cs="Arial" w:eastAsia="Arial" w:hAnsi="Arial"/>
                <w:sz w:val="12"/>
                <w:szCs w:val="12"/>
                <w:color w:val="auto"/>
              </w:rPr>
              <w:t>. Net tangible book value per</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3"/>
              </w:rPr>
              <w:t>share represents the amount of our total assets less our total liabilities, excluding goodwill and other intangible assets, divided by the number of our</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3"/>
              </w:rPr>
              <w:t>ordinary shares outstanding as of June 30, 2021. Net tangible book value per ADS represents the amount of our total assets less our total liabilities,</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2"/>
              </w:rPr>
              <w:t>excluding goodwill and other intangible assets, divided by the number of our ordinary shares outstanding as of June 30, 2021 converted to ADS at a</w:t>
            </w:r>
          </w:p>
        </w:tc>
        <w:tc>
          <w:tcPr>
            <w:tcW w:w="20" w:type="dxa"/>
            <w:vAlign w:val="bottom"/>
          </w:tcPr>
          <w:p>
            <w:pPr>
              <w:spacing w:after="0"/>
              <w:rPr>
                <w:sz w:val="12"/>
                <w:szCs w:val="12"/>
                <w:color w:val="auto"/>
              </w:rPr>
            </w:pPr>
          </w:p>
        </w:tc>
      </w:t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ratio of</w:t>
            </w:r>
          </w:p>
        </w:tc>
        <w:tc>
          <w:tcPr>
            <w:tcW w:w="580" w:type="dxa"/>
            <w:vAlign w:val="bottom"/>
          </w:tcPr>
          <w:p>
            <w:pPr>
              <w:ind w:left="420"/>
              <w:spacing w:after="0"/>
              <w:rPr>
                <w:sz w:val="20"/>
                <w:szCs w:val="20"/>
                <w:color w:val="auto"/>
              </w:rPr>
            </w:pPr>
            <w:r>
              <w:rPr>
                <w:rFonts w:ascii="Arial" w:cs="Arial" w:eastAsia="Arial" w:hAnsi="Arial"/>
                <w:sz w:val="12"/>
                <w:szCs w:val="12"/>
                <w:color w:val="auto"/>
              </w:rPr>
              <w:t>to</w:t>
            </w:r>
          </w:p>
        </w:tc>
        <w:tc>
          <w:tcPr>
            <w:tcW w:w="8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2600" w:type="dxa"/>
            <w:vAlign w:val="bottom"/>
            <w:gridSpan w:val="4"/>
          </w:tcPr>
          <w:p>
            <w:pPr>
              <w:ind w:left="280"/>
              <w:spacing w:after="0"/>
              <w:rPr>
                <w:sz w:val="20"/>
                <w:szCs w:val="20"/>
                <w:color w:val="auto"/>
              </w:rPr>
            </w:pPr>
            <w:r>
              <w:rPr>
                <w:rFonts w:ascii="Arial" w:cs="Arial" w:eastAsia="Arial" w:hAnsi="Arial"/>
                <w:sz w:val="12"/>
                <w:szCs w:val="12"/>
                <w:color w:val="auto"/>
                <w:w w:val="96"/>
              </w:rPr>
              <w:t>After giving effect to the issuance and sale of</w:t>
            </w:r>
          </w:p>
        </w:tc>
        <w:tc>
          <w:tcPr>
            <w:tcW w:w="380" w:type="dxa"/>
            <w:vAlign w:val="bottom"/>
          </w:tcPr>
          <w:p>
            <w:pPr>
              <w:spacing w:after="0"/>
              <w:rPr>
                <w:sz w:val="24"/>
                <w:szCs w:val="24"/>
                <w:color w:val="auto"/>
              </w:rPr>
            </w:pPr>
          </w:p>
        </w:tc>
        <w:tc>
          <w:tcPr>
            <w:tcW w:w="4320" w:type="dxa"/>
            <w:vAlign w:val="bottom"/>
            <w:gridSpan w:val="6"/>
          </w:tcPr>
          <w:p>
            <w:pPr>
              <w:jc w:val="right"/>
              <w:ind w:right="420"/>
              <w:spacing w:after="0"/>
              <w:rPr>
                <w:sz w:val="20"/>
                <w:szCs w:val="20"/>
                <w:color w:val="auto"/>
              </w:rPr>
            </w:pPr>
            <w:r>
              <w:rPr>
                <w:rFonts w:ascii="Arial" w:cs="Arial" w:eastAsia="Arial" w:hAnsi="Arial"/>
                <w:sz w:val="12"/>
                <w:szCs w:val="12"/>
                <w:color w:val="auto"/>
                <w:w w:val="92"/>
              </w:rPr>
              <w:t>ADSs offered by us in the offering at an assumed initial public offering price of</w:t>
            </w:r>
          </w:p>
        </w:tc>
        <w:tc>
          <w:tcPr>
            <w:tcW w:w="20" w:type="dxa"/>
            <w:vAlign w:val="bottom"/>
          </w:tcPr>
          <w:p>
            <w:pPr>
              <w:spacing w:after="0"/>
              <w:rPr>
                <w:sz w:val="24"/>
                <w:szCs w:val="24"/>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6840" w:type="dxa"/>
            <w:vAlign w:val="bottom"/>
            <w:gridSpan w:val="10"/>
          </w:tcPr>
          <w:p>
            <w:pPr>
              <w:ind w:left="100"/>
              <w:spacing w:after="0"/>
              <w:rPr>
                <w:sz w:val="20"/>
                <w:szCs w:val="20"/>
                <w:color w:val="auto"/>
              </w:rPr>
            </w:pPr>
            <w:r>
              <w:rPr>
                <w:rFonts w:ascii="Arial" w:cs="Arial" w:eastAsia="Arial" w:hAnsi="Arial"/>
                <w:sz w:val="12"/>
                <w:szCs w:val="12"/>
                <w:color w:val="auto"/>
                <w:w w:val="98"/>
              </w:rPr>
              <w:t>per ADS, which reflects the U.S. dollar equivalent of the closing price of our ordinary shares on the Frankfurt Stock Exchange on</w:t>
            </w:r>
          </w:p>
        </w:tc>
        <w:tc>
          <w:tcPr>
            <w:tcW w:w="20" w:type="dxa"/>
            <w:vAlign w:val="bottom"/>
          </w:tcPr>
          <w:p>
            <w:pPr>
              <w:jc w:val="right"/>
              <w:spacing w:after="0"/>
              <w:rPr>
                <w:sz w:val="20"/>
                <w:szCs w:val="20"/>
                <w:color w:val="auto"/>
              </w:rPr>
            </w:pPr>
            <w:r>
              <w:rPr>
                <w:rFonts w:ascii="Arial" w:cs="Arial" w:eastAsia="Arial" w:hAnsi="Arial"/>
                <w:sz w:val="1"/>
                <w:szCs w:val="1"/>
                <w:color w:val="auto"/>
                <w:w w:val="4294967279"/>
              </w:rPr>
              <w:t>,</w:t>
            </w:r>
          </w:p>
        </w:tc>
      </w:tr>
      <w:tr>
        <w:trPr>
          <w:trHeight w:val="144"/>
        </w:trPr>
        <w:tc>
          <w:tcPr>
            <w:tcW w:w="2980" w:type="dxa"/>
            <w:vAlign w:val="bottom"/>
            <w:gridSpan w:val="5"/>
          </w:tcPr>
          <w:p>
            <w:pPr>
              <w:spacing w:after="0"/>
              <w:rPr>
                <w:sz w:val="20"/>
                <w:szCs w:val="20"/>
                <w:color w:val="auto"/>
              </w:rPr>
            </w:pPr>
            <w:r>
              <w:rPr>
                <w:rFonts w:ascii="Arial" w:cs="Arial" w:eastAsia="Arial" w:hAnsi="Arial"/>
                <w:sz w:val="12"/>
                <w:szCs w:val="12"/>
                <w:color w:val="auto"/>
                <w:w w:val="90"/>
              </w:rPr>
              <w:t>2021 based on a Euro/U.S. dollar exchange rate of €1.00 to $</w:t>
            </w:r>
          </w:p>
        </w:tc>
        <w:tc>
          <w:tcPr>
            <w:tcW w:w="28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auto"/>
              </w:rPr>
              <w:t>as of</w:t>
            </w:r>
          </w:p>
        </w:tc>
        <w:tc>
          <w:tcPr>
            <w:tcW w:w="3340" w:type="dxa"/>
            <w:vAlign w:val="bottom"/>
            <w:gridSpan w:val="4"/>
          </w:tcPr>
          <w:p>
            <w:pPr>
              <w:jc w:val="right"/>
              <w:spacing w:after="0"/>
              <w:rPr>
                <w:sz w:val="20"/>
                <w:szCs w:val="20"/>
                <w:color w:val="auto"/>
              </w:rPr>
            </w:pPr>
            <w:r>
              <w:rPr>
                <w:rFonts w:ascii="Arial" w:cs="Arial" w:eastAsia="Arial" w:hAnsi="Arial"/>
                <w:sz w:val="12"/>
                <w:szCs w:val="12"/>
                <w:color w:val="auto"/>
                <w:w w:val="96"/>
              </w:rPr>
              <w:t>, 2021, after deducting the estimated underwriting discounts and</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6"/>
              </w:rPr>
              <w:t>commissions and estimated offering expenses payable by us, our as adjusted net tangible book value as of June 30, 2021 would have been €</w:t>
            </w:r>
          </w:p>
        </w:tc>
        <w:tc>
          <w:tcPr>
            <w:tcW w:w="20" w:type="dxa"/>
            <w:vAlign w:val="bottom"/>
          </w:tcPr>
          <w:p>
            <w:pPr>
              <w:spacing w:after="0"/>
              <w:rPr>
                <w:sz w:val="12"/>
                <w:szCs w:val="12"/>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million (or $</w:t>
            </w: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million), representing €</w:t>
            </w:r>
          </w:p>
        </w:tc>
        <w:tc>
          <w:tcPr>
            <w:tcW w:w="380" w:type="dxa"/>
            <w:vAlign w:val="bottom"/>
          </w:tcPr>
          <w:p>
            <w:pPr>
              <w:ind w:left="140"/>
              <w:spacing w:after="0"/>
              <w:rPr>
                <w:sz w:val="20"/>
                <w:szCs w:val="20"/>
                <w:color w:val="auto"/>
              </w:rPr>
            </w:pPr>
            <w:r>
              <w:rPr>
                <w:rFonts w:ascii="Arial" w:cs="Arial" w:eastAsia="Arial" w:hAnsi="Arial"/>
                <w:sz w:val="12"/>
                <w:szCs w:val="12"/>
                <w:color w:val="auto"/>
                <w:w w:val="88"/>
              </w:rPr>
              <w:t>(or $</w:t>
            </w:r>
          </w:p>
        </w:tc>
        <w:tc>
          <w:tcPr>
            <w:tcW w:w="280" w:type="dxa"/>
            <w:vAlign w:val="bottom"/>
          </w:tcPr>
          <w:p>
            <w:pPr>
              <w:spacing w:after="0"/>
              <w:rPr>
                <w:sz w:val="12"/>
                <w:szCs w:val="12"/>
                <w:color w:val="auto"/>
              </w:rPr>
            </w:pPr>
          </w:p>
        </w:tc>
        <w:tc>
          <w:tcPr>
            <w:tcW w:w="2320" w:type="dxa"/>
            <w:vAlign w:val="bottom"/>
            <w:gridSpan w:val="3"/>
          </w:tcPr>
          <w:p>
            <w:pPr>
              <w:ind w:left="200"/>
              <w:spacing w:after="0"/>
              <w:rPr>
                <w:sz w:val="20"/>
                <w:szCs w:val="20"/>
                <w:color w:val="auto"/>
              </w:rPr>
            </w:pPr>
            <w:r>
              <w:rPr>
                <w:rFonts w:ascii="Arial" w:cs="Arial" w:eastAsia="Arial" w:hAnsi="Arial"/>
                <w:sz w:val="12"/>
                <w:szCs w:val="12"/>
                <w:color w:val="auto"/>
              </w:rPr>
              <w:t>) per ordinary share outstanding or €</w:t>
            </w:r>
          </w:p>
        </w:tc>
        <w:tc>
          <w:tcPr>
            <w:tcW w:w="740" w:type="dxa"/>
            <w:vAlign w:val="bottom"/>
          </w:tcPr>
          <w:p>
            <w:pPr>
              <w:ind w:left="140"/>
              <w:spacing w:after="0"/>
              <w:rPr>
                <w:sz w:val="20"/>
                <w:szCs w:val="20"/>
                <w:color w:val="auto"/>
              </w:rPr>
            </w:pPr>
            <w:r>
              <w:rPr>
                <w:rFonts w:ascii="Arial" w:cs="Arial" w:eastAsia="Arial" w:hAnsi="Arial"/>
                <w:sz w:val="12"/>
                <w:szCs w:val="12"/>
                <w:color w:val="auto"/>
              </w:rPr>
              <w:t>(or $</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 per ADS. This</w:t>
            </w:r>
          </w:p>
        </w:tc>
        <w:tc>
          <w:tcPr>
            <w:tcW w:w="20" w:type="dxa"/>
            <w:vAlign w:val="bottom"/>
          </w:tcPr>
          <w:p>
            <w:pPr>
              <w:spacing w:after="0"/>
              <w:rPr>
                <w:sz w:val="12"/>
                <w:szCs w:val="12"/>
                <w:color w:val="auto"/>
              </w:rPr>
            </w:pPr>
          </w:p>
        </w:tc>
      </w:tr>
      <w:tr>
        <w:trPr>
          <w:trHeight w:val="144"/>
        </w:trPr>
        <w:tc>
          <w:tcPr>
            <w:tcW w:w="3260" w:type="dxa"/>
            <w:vAlign w:val="bottom"/>
            <w:gridSpan w:val="6"/>
          </w:tcPr>
          <w:p>
            <w:pPr>
              <w:spacing w:after="0"/>
              <w:rPr>
                <w:sz w:val="20"/>
                <w:szCs w:val="20"/>
                <w:color w:val="auto"/>
              </w:rPr>
            </w:pPr>
            <w:r>
              <w:rPr>
                <w:rFonts w:ascii="Arial" w:cs="Arial" w:eastAsia="Arial" w:hAnsi="Arial"/>
                <w:sz w:val="12"/>
                <w:szCs w:val="12"/>
                <w:color w:val="auto"/>
                <w:w w:val="94"/>
              </w:rPr>
              <w:t>represents an immediate increase in net tangible book value of €</w:t>
            </w:r>
          </w:p>
        </w:tc>
        <w:tc>
          <w:tcPr>
            <w:tcW w:w="700" w:type="dxa"/>
            <w:vAlign w:val="bottom"/>
          </w:tcPr>
          <w:p>
            <w:pPr>
              <w:ind w:left="320"/>
              <w:spacing w:after="0"/>
              <w:rPr>
                <w:sz w:val="20"/>
                <w:szCs w:val="20"/>
                <w:color w:val="auto"/>
              </w:rPr>
            </w:pPr>
            <w:r>
              <w:rPr>
                <w:rFonts w:ascii="Arial" w:cs="Arial" w:eastAsia="Arial" w:hAnsi="Arial"/>
                <w:sz w:val="12"/>
                <w:szCs w:val="12"/>
                <w:color w:val="auto"/>
              </w:rPr>
              <w:t>(or $</w:t>
            </w:r>
          </w:p>
        </w:tc>
        <w:tc>
          <w:tcPr>
            <w:tcW w:w="1620" w:type="dxa"/>
            <w:vAlign w:val="bottom"/>
            <w:gridSpan w:val="2"/>
          </w:tcPr>
          <w:p>
            <w:pPr>
              <w:ind w:left="340"/>
              <w:spacing w:after="0"/>
              <w:rPr>
                <w:sz w:val="20"/>
                <w:szCs w:val="20"/>
                <w:color w:val="auto"/>
              </w:rPr>
            </w:pPr>
            <w:r>
              <w:rPr>
                <w:rFonts w:ascii="Arial" w:cs="Arial" w:eastAsia="Arial" w:hAnsi="Arial"/>
                <w:sz w:val="12"/>
                <w:szCs w:val="12"/>
                <w:color w:val="auto"/>
                <w:w w:val="97"/>
              </w:rPr>
              <w:t>) per ordinary share or €</w:t>
            </w:r>
          </w:p>
        </w:tc>
        <w:tc>
          <w:tcPr>
            <w:tcW w:w="740" w:type="dxa"/>
            <w:vAlign w:val="bottom"/>
          </w:tcPr>
          <w:p>
            <w:pPr>
              <w:ind w:left="380"/>
              <w:spacing w:after="0"/>
              <w:rPr>
                <w:sz w:val="20"/>
                <w:szCs w:val="20"/>
                <w:color w:val="auto"/>
              </w:rPr>
            </w:pPr>
            <w:r>
              <w:rPr>
                <w:rFonts w:ascii="Arial" w:cs="Arial" w:eastAsia="Arial" w:hAnsi="Arial"/>
                <w:sz w:val="12"/>
                <w:szCs w:val="12"/>
                <w:color w:val="auto"/>
              </w:rPr>
              <w:t>(or $</w:t>
            </w:r>
          </w:p>
        </w:tc>
        <w:tc>
          <w:tcPr>
            <w:tcW w:w="980" w:type="dxa"/>
            <w:vAlign w:val="bottom"/>
          </w:tcPr>
          <w:p>
            <w:pPr>
              <w:jc w:val="right"/>
              <w:spacing w:after="0"/>
              <w:rPr>
                <w:sz w:val="20"/>
                <w:szCs w:val="20"/>
                <w:color w:val="auto"/>
              </w:rPr>
            </w:pPr>
            <w:r>
              <w:rPr>
                <w:rFonts w:ascii="Arial" w:cs="Arial" w:eastAsia="Arial" w:hAnsi="Arial"/>
                <w:sz w:val="12"/>
                <w:szCs w:val="12"/>
                <w:color w:val="auto"/>
              </w:rPr>
              <w:t>) per ADS to</w:t>
            </w:r>
          </w:p>
        </w:tc>
        <w:tc>
          <w:tcPr>
            <w:tcW w:w="20" w:type="dxa"/>
            <w:vAlign w:val="bottom"/>
          </w:tcPr>
          <w:p>
            <w:pPr>
              <w:spacing w:after="0"/>
              <w:rPr>
                <w:sz w:val="12"/>
                <w:szCs w:val="12"/>
                <w:color w:val="auto"/>
              </w:rPr>
            </w:pPr>
          </w:p>
        </w:tc>
      </w:tr>
      <w:tr>
        <w:trPr>
          <w:trHeight w:val="153"/>
        </w:trPr>
        <w:tc>
          <w:tcPr>
            <w:tcW w:w="3960" w:type="dxa"/>
            <w:vAlign w:val="bottom"/>
            <w:gridSpan w:val="7"/>
          </w:tcPr>
          <w:p>
            <w:pPr>
              <w:spacing w:after="0"/>
              <w:rPr>
                <w:sz w:val="20"/>
                <w:szCs w:val="20"/>
                <w:color w:val="auto"/>
              </w:rPr>
            </w:pPr>
            <w:r>
              <w:rPr>
                <w:rFonts w:ascii="Arial" w:cs="Arial" w:eastAsia="Arial" w:hAnsi="Arial"/>
                <w:sz w:val="12"/>
                <w:szCs w:val="12"/>
                <w:color w:val="auto"/>
                <w:w w:val="94"/>
              </w:rPr>
              <w:t>existing shareholders and an immediate dilution in net tangible book value of €</w:t>
            </w:r>
          </w:p>
        </w:tc>
        <w:tc>
          <w:tcPr>
            <w:tcW w:w="880" w:type="dxa"/>
            <w:vAlign w:val="bottom"/>
          </w:tcPr>
          <w:p>
            <w:pPr>
              <w:ind w:left="340"/>
              <w:spacing w:after="0"/>
              <w:rPr>
                <w:sz w:val="20"/>
                <w:szCs w:val="20"/>
                <w:color w:val="auto"/>
              </w:rPr>
            </w:pPr>
            <w:r>
              <w:rPr>
                <w:rFonts w:ascii="Arial" w:cs="Arial" w:eastAsia="Arial" w:hAnsi="Arial"/>
                <w:sz w:val="12"/>
                <w:szCs w:val="12"/>
                <w:color w:val="auto"/>
              </w:rPr>
              <w:t>(or $</w:t>
            </w:r>
          </w:p>
        </w:tc>
        <w:tc>
          <w:tcPr>
            <w:tcW w:w="1480" w:type="dxa"/>
            <w:vAlign w:val="bottom"/>
            <w:gridSpan w:val="2"/>
          </w:tcPr>
          <w:p>
            <w:pPr>
              <w:ind w:left="160"/>
              <w:spacing w:after="0"/>
              <w:rPr>
                <w:sz w:val="20"/>
                <w:szCs w:val="20"/>
                <w:color w:val="auto"/>
              </w:rPr>
            </w:pPr>
            <w:r>
              <w:rPr>
                <w:rFonts w:ascii="Arial" w:cs="Arial" w:eastAsia="Arial" w:hAnsi="Arial"/>
                <w:sz w:val="12"/>
                <w:szCs w:val="12"/>
                <w:color w:val="auto"/>
              </w:rPr>
              <w:t>) per ordinary share or €</w:t>
            </w:r>
          </w:p>
        </w:tc>
        <w:tc>
          <w:tcPr>
            <w:tcW w:w="980" w:type="dxa"/>
            <w:vAlign w:val="bottom"/>
          </w:tcPr>
          <w:p>
            <w:pPr>
              <w:jc w:val="right"/>
              <w:ind w:right="420"/>
              <w:spacing w:after="0"/>
              <w:rPr>
                <w:sz w:val="20"/>
                <w:szCs w:val="20"/>
                <w:color w:val="auto"/>
              </w:rPr>
            </w:pPr>
            <w:r>
              <w:rPr>
                <w:rFonts w:ascii="Arial" w:cs="Arial" w:eastAsia="Arial" w:hAnsi="Arial"/>
                <w:sz w:val="12"/>
                <w:szCs w:val="12"/>
                <w:color w:val="auto"/>
              </w:rPr>
              <w:t>(or</w:t>
            </w:r>
          </w:p>
        </w:tc>
        <w:tc>
          <w:tcPr>
            <w:tcW w:w="20" w:type="dxa"/>
            <w:vAlign w:val="bottom"/>
          </w:tcPr>
          <w:p>
            <w:pPr>
              <w:spacing w:after="0"/>
              <w:rPr>
                <w:sz w:val="13"/>
                <w:szCs w:val="13"/>
                <w:color w:val="auto"/>
              </w:rPr>
            </w:pPr>
          </w:p>
        </w:tc>
      </w:tr>
    </w:tbl>
    <w:p>
      <w:pPr>
        <w:ind w:left="1980" w:right="939" w:hanging="8"/>
        <w:spacing w:after="0" w:line="306" w:lineRule="auto"/>
        <w:tabs>
          <w:tab w:leader="none" w:pos="25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 per ADS to new investors purchasing ADSs in this offering. Dilution for this purpose represents the difference between the price per ADS paid by these purchasers and the as adjusted net tangible book value per ADS immediately after the completion of this offering.</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the underwriters exercise their option to purchase additional ADSs from us in full, our as adjusted net tangible book value per ADS after the</w:t>
      </w:r>
    </w:p>
    <w:p>
      <w:pPr>
        <w:spacing w:after="0" w:line="26" w:lineRule="exact"/>
        <w:rPr>
          <w:sz w:val="20"/>
          <w:szCs w:val="20"/>
          <w:color w:val="auto"/>
        </w:rPr>
      </w:pPr>
    </w:p>
    <w:p>
      <w:pPr>
        <w:ind w:left="1980"/>
        <w:spacing w:after="0"/>
        <w:tabs>
          <w:tab w:leader="none" w:pos="3400" w:val="left"/>
          <w:tab w:leader="none" w:pos="4120" w:val="left"/>
        </w:tabs>
        <w:rPr>
          <w:sz w:val="20"/>
          <w:szCs w:val="20"/>
          <w:color w:val="auto"/>
        </w:rPr>
      </w:pPr>
      <w:r>
        <w:rPr>
          <w:rFonts w:ascii="Arial" w:cs="Arial" w:eastAsia="Arial" w:hAnsi="Arial"/>
          <w:sz w:val="12"/>
          <w:szCs w:val="12"/>
          <w:color w:val="auto"/>
        </w:rPr>
        <w:t>offering would be €</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0"/>
          <w:szCs w:val="10"/>
          <w:color w:val="auto"/>
        </w:rPr>
        <w:t>) per ADS, representing an immediate increase in as adjusted net tangible book value per ADS of</w:t>
      </w:r>
    </w:p>
    <w:p>
      <w:pPr>
        <w:spacing w:after="0" w:line="6" w:lineRule="exact"/>
        <w:rPr>
          <w:sz w:val="20"/>
          <w:szCs w:val="20"/>
          <w:color w:val="auto"/>
        </w:rPr>
      </w:pPr>
    </w:p>
    <w:p>
      <w:pPr>
        <w:ind w:left="1980"/>
        <w:spacing w:after="0"/>
        <w:tabs>
          <w:tab w:leader="none" w:pos="2520" w:val="left"/>
          <w:tab w:leader="none" w:pos="3240" w:val="left"/>
          <w:tab w:leader="none" w:pos="6760" w:val="left"/>
          <w:tab w:leader="none" w:pos="74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2"/>
          <w:szCs w:val="12"/>
          <w:color w:val="auto"/>
        </w:rPr>
        <w:t>) per ADS to existing shareholders and immediate dilution of €</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0"/>
          <w:szCs w:val="10"/>
          <w:color w:val="auto"/>
        </w:rPr>
        <w:t>) per ADS in as adjusted net tangible</w:t>
      </w:r>
    </w:p>
    <w:p>
      <w:pPr>
        <w:spacing w:after="0" w:line="6" w:lineRule="exact"/>
        <w:rPr>
          <w:sz w:val="20"/>
          <w:szCs w:val="20"/>
          <w:color w:val="auto"/>
        </w:rPr>
      </w:pPr>
    </w:p>
    <w:p>
      <w:pPr>
        <w:ind w:left="1980"/>
        <w:spacing w:after="0"/>
        <w:tabs>
          <w:tab w:leader="none" w:pos="8480" w:val="left"/>
        </w:tabs>
        <w:rPr>
          <w:sz w:val="20"/>
          <w:szCs w:val="20"/>
          <w:color w:val="auto"/>
        </w:rPr>
      </w:pPr>
      <w:r>
        <w:rPr>
          <w:rFonts w:ascii="Arial" w:cs="Arial" w:eastAsia="Arial" w:hAnsi="Arial"/>
          <w:sz w:val="12"/>
          <w:szCs w:val="12"/>
          <w:color w:val="auto"/>
        </w:rPr>
        <w:t>book value per ADS to new investors purchasing ADSs in this offering, based on an assumed initial public offering price of $</w:t>
      </w:r>
      <w:r>
        <w:rPr>
          <w:sz w:val="20"/>
          <w:szCs w:val="20"/>
          <w:color w:val="auto"/>
        </w:rPr>
        <w:tab/>
      </w:r>
      <w:r>
        <w:rPr>
          <w:rFonts w:ascii="Arial" w:cs="Arial" w:eastAsia="Arial" w:hAnsi="Arial"/>
          <w:sz w:val="11"/>
          <w:szCs w:val="11"/>
          <w:color w:val="auto"/>
        </w:rPr>
        <w:t>per ADS, which</w:t>
      </w:r>
    </w:p>
    <w:p>
      <w:pPr>
        <w:spacing w:after="0" w:line="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reflects the U.S. dollar equivalent of the closing price of our ordinary shares on the Frankfurt Stock Exchange on , 2021 based on a Euro/U.S. dollar exchange rate of €1.00 to $ as of , 2021, after deducting the estimated underwriting discounts and commissions and estimated offering expenses payable by us.</w:t>
      </w:r>
    </w:p>
    <w:p>
      <w:pPr>
        <w:spacing w:after="0" w:line="127"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7380" w:type="dxa"/>
        <w:tblCellMar>
          <w:top w:w="0" w:type="dxa"/>
          <w:left w:w="0" w:type="dxa"/>
          <w:bottom w:w="0" w:type="dxa"/>
          <w:right w:w="0" w:type="dxa"/>
        </w:tblCellMar>
      </w:tblPr>
      <w:tr>
        <w:trPr>
          <w:trHeight w:val="115"/>
        </w:trPr>
        <w:tc>
          <w:tcPr>
            <w:tcW w:w="1120" w:type="dxa"/>
            <w:vAlign w:val="bottom"/>
            <w:gridSpan w:val="3"/>
          </w:tcPr>
          <w:p>
            <w:pPr>
              <w:ind w:left="160"/>
              <w:spacing w:after="0"/>
              <w:rPr>
                <w:sz w:val="20"/>
                <w:szCs w:val="20"/>
                <w:color w:val="auto"/>
              </w:rPr>
            </w:pPr>
            <w:r>
              <w:rPr>
                <w:rFonts w:ascii="Arial" w:cs="Arial" w:eastAsia="Arial" w:hAnsi="Arial"/>
                <w:sz w:val="10"/>
                <w:szCs w:val="10"/>
                <w:b w:val="1"/>
                <w:bCs w:val="1"/>
                <w:color w:val="auto"/>
              </w:rPr>
              <w:t>No exercise</w:t>
            </w:r>
          </w:p>
        </w:tc>
        <w:tc>
          <w:tcPr>
            <w:tcW w:w="800" w:type="dxa"/>
            <w:vAlign w:val="bottom"/>
            <w:gridSpan w:val="3"/>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91"/>
        </w:trPr>
        <w:tc>
          <w:tcPr>
            <w:tcW w:w="38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40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83"/>
              </w:rPr>
              <w:t>(in $)</w:t>
            </w:r>
          </w:p>
        </w:tc>
        <w:tc>
          <w:tcPr>
            <w:tcW w:w="340" w:type="dxa"/>
            <w:vAlign w:val="bottom"/>
          </w:tcPr>
          <w:p>
            <w:pPr>
              <w:spacing w:after="0"/>
              <w:rPr>
                <w:sz w:val="7"/>
                <w:szCs w:val="7"/>
                <w:color w:val="auto"/>
              </w:rPr>
            </w:pPr>
          </w:p>
        </w:tc>
        <w:tc>
          <w:tcPr>
            <w:tcW w:w="40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75"/>
              </w:rPr>
              <w:t>(in $)</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-1270</wp:posOffset>
            </wp:positionV>
            <wp:extent cx="466344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Assumed initial public offering price</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Historical net tangible book value per ADS as of June 30, 2021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 adjusted net tangible book value per ADS after this offering</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Dilution per ADS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as adjusted information is illustrative only, and we will adjust this information based on the actual initial public offering price and other terms of this offering determined at pricing.</w:t>
      </w:r>
    </w:p>
    <w:p>
      <w:pPr>
        <w:spacing w:after="0" w:line="115"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of $ per ADS would increase (decrease) our as adjusted net tangible book value after this offering by $ per ADS, and the dilution in as adjusted net tangible book value to new investors by $</w:t>
      </w:r>
    </w:p>
    <w:p>
      <w:pPr>
        <w:spacing w:after="0" w:line="1" w:lineRule="exact"/>
        <w:rPr>
          <w:sz w:val="20"/>
          <w:szCs w:val="20"/>
          <w:color w:val="auto"/>
        </w:rPr>
      </w:pPr>
    </w:p>
    <w:p>
      <w:pPr>
        <w:ind w:left="1980" w:right="859"/>
        <w:spacing w:after="0" w:line="300" w:lineRule="auto"/>
        <w:rPr>
          <w:sz w:val="20"/>
          <w:szCs w:val="20"/>
          <w:color w:val="auto"/>
        </w:rPr>
      </w:pPr>
      <w:r>
        <w:rPr>
          <w:rFonts w:ascii="Arial" w:cs="Arial" w:eastAsia="Arial" w:hAnsi="Arial"/>
          <w:sz w:val="10"/>
          <w:szCs w:val="10"/>
          <w:color w:val="auto"/>
        </w:rPr>
        <w:t>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w:t>
      </w:r>
    </w:p>
    <w:p>
      <w:pPr>
        <w:spacing w:after="0" w:line="1" w:lineRule="exact"/>
        <w:rPr>
          <w:sz w:val="20"/>
          <w:szCs w:val="20"/>
          <w:color w:val="auto"/>
        </w:rPr>
      </w:pPr>
    </w:p>
    <w:p>
      <w:pPr>
        <w:ind w:left="1980"/>
        <w:spacing w:after="0"/>
        <w:tabs>
          <w:tab w:leader="none" w:pos="7700" w:val="left"/>
        </w:tabs>
        <w:rPr>
          <w:sz w:val="20"/>
          <w:szCs w:val="20"/>
          <w:color w:val="auto"/>
        </w:rPr>
      </w:pPr>
      <w:r>
        <w:rPr>
          <w:rFonts w:ascii="Arial" w:cs="Arial" w:eastAsia="Arial" w:hAnsi="Arial"/>
          <w:sz w:val="12"/>
          <w:szCs w:val="12"/>
          <w:color w:val="auto"/>
        </w:rPr>
        <w:t>ADSs offered by us would increase (decrease) our as adjusted net tangible book value after this offering by $</w:t>
      </w:r>
      <w:r>
        <w:rPr>
          <w:sz w:val="20"/>
          <w:szCs w:val="20"/>
          <w:color w:val="auto"/>
        </w:rPr>
        <w:tab/>
      </w:r>
      <w:r>
        <w:rPr>
          <w:rFonts w:ascii="Arial" w:cs="Arial" w:eastAsia="Arial" w:hAnsi="Arial"/>
          <w:sz w:val="10"/>
          <w:szCs w:val="10"/>
          <w:color w:val="auto"/>
        </w:rPr>
        <w:t>per ADS, and decrease (increase)</w:t>
      </w:r>
    </w:p>
    <w:p>
      <w:pPr>
        <w:spacing w:after="0" w:line="6" w:lineRule="exact"/>
        <w:rPr>
          <w:sz w:val="20"/>
          <w:szCs w:val="20"/>
          <w:color w:val="auto"/>
        </w:rPr>
      </w:pPr>
    </w:p>
    <w:p>
      <w:pPr>
        <w:ind w:left="1980"/>
        <w:spacing w:after="0"/>
        <w:tabs>
          <w:tab w:leader="none" w:pos="5940" w:val="left"/>
        </w:tabs>
        <w:rPr>
          <w:sz w:val="20"/>
          <w:szCs w:val="20"/>
          <w:color w:val="auto"/>
        </w:rPr>
      </w:pPr>
      <w:r>
        <w:rPr>
          <w:rFonts w:ascii="Arial" w:cs="Arial" w:eastAsia="Arial" w:hAnsi="Arial"/>
          <w:sz w:val="12"/>
          <w:szCs w:val="12"/>
          <w:color w:val="auto"/>
        </w:rPr>
        <w:t>the dilution to investors participating in this offering by approximately $</w:t>
      </w:r>
      <w:r>
        <w:rPr>
          <w:sz w:val="20"/>
          <w:szCs w:val="20"/>
          <w:color w:val="auto"/>
        </w:rPr>
        <w:tab/>
      </w:r>
      <w:r>
        <w:rPr>
          <w:rFonts w:ascii="Arial" w:cs="Arial" w:eastAsia="Arial" w:hAnsi="Arial"/>
          <w:sz w:val="10"/>
          <w:szCs w:val="10"/>
          <w:color w:val="auto"/>
        </w:rPr>
        <w:t>per ADS, assuming that the assumed initial public offering price</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remains the same and after deducting the estimated underwriting discounts and commissions and estimated offering expenses payable by us.</w:t>
      </w:r>
    </w:p>
    <w:p>
      <w:pPr>
        <w:spacing w:after="0" w:line="153"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jc w:val="both"/>
        <w:ind w:left="1980" w:right="919" w:firstLine="294"/>
        <w:spacing w:after="0" w:line="306" w:lineRule="auto"/>
        <w:rPr>
          <w:sz w:val="20"/>
          <w:szCs w:val="20"/>
          <w:color w:val="auto"/>
        </w:rPr>
      </w:pPr>
      <w:r>
        <w:rPr>
          <w:rFonts w:ascii="Arial" w:cs="Arial" w:eastAsia="Arial" w:hAnsi="Arial"/>
          <w:sz w:val="10"/>
          <w:szCs w:val="10"/>
          <w:color w:val="auto"/>
        </w:rPr>
        <w:t>The following table presents on an as adjusted basis, as of June 30, 2021, after giving effect to the issuance and sale of the ADSs in this offering, the differences between the shareholders as of June 30, 2021, the new investors with respect to the number of ADSs purchased from us, the numbers of ordinary shares purchased from us, the total consideration paid and the average price per ordinary share at an assumed initial public offering price of</w:t>
      </w:r>
    </w:p>
    <w:tbl>
      <w:tblPr>
        <w:tblLayout w:type="fixed"/>
        <w:tblInd w:w="1980" w:type="dxa"/>
        <w:tblCellMar>
          <w:top w:w="0" w:type="dxa"/>
          <w:left w:w="0" w:type="dxa"/>
          <w:bottom w:w="0" w:type="dxa"/>
          <w:right w:w="0" w:type="dxa"/>
        </w:tblCellMar>
      </w:tblPr>
      <w:tr>
        <w:trPr>
          <w:trHeight w:val="136"/>
        </w:trPr>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6920" w:type="dxa"/>
            <w:vAlign w:val="bottom"/>
            <w:gridSpan w:val="18"/>
          </w:tcPr>
          <w:p>
            <w:pPr>
              <w:ind w:left="480"/>
              <w:spacing w:after="0" w:line="136" w:lineRule="exact"/>
              <w:rPr>
                <w:sz w:val="20"/>
                <w:szCs w:val="20"/>
                <w:color w:val="auto"/>
              </w:rPr>
            </w:pPr>
            <w:r>
              <w:rPr>
                <w:rFonts w:ascii="Arial" w:cs="Arial" w:eastAsia="Arial" w:hAnsi="Arial"/>
                <w:sz w:val="12"/>
                <w:szCs w:val="12"/>
                <w:color w:val="auto"/>
                <w:w w:val="94"/>
              </w:rPr>
              <w:t>per ADS, which reflects the U.S. dollar equivalent of the closing price of our ordinary shares on the Frankfurt Stock Exchange on</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r>
      <w:tr>
        <w:trPr>
          <w:trHeight w:val="144"/>
        </w:trPr>
        <w:tc>
          <w:tcPr>
            <w:tcW w:w="3080" w:type="dxa"/>
            <w:vAlign w:val="bottom"/>
            <w:gridSpan w:val="5"/>
          </w:tcPr>
          <w:p>
            <w:pPr>
              <w:spacing w:after="0"/>
              <w:rPr>
                <w:sz w:val="20"/>
                <w:szCs w:val="20"/>
                <w:color w:val="auto"/>
              </w:rPr>
            </w:pPr>
            <w:r>
              <w:rPr>
                <w:rFonts w:ascii="Arial" w:cs="Arial" w:eastAsia="Arial" w:hAnsi="Arial"/>
                <w:sz w:val="12"/>
                <w:szCs w:val="12"/>
                <w:color w:val="auto"/>
                <w:w w:val="93"/>
              </w:rPr>
              <w:t>2021 based on a Euro/U.S. dollar exchange rate of €1.00 to $</w:t>
            </w:r>
          </w:p>
        </w:tc>
        <w:tc>
          <w:tcPr>
            <w:tcW w:w="320" w:type="dxa"/>
            <w:vAlign w:val="bottom"/>
          </w:tcPr>
          <w:p>
            <w:pPr>
              <w:spacing w:after="0"/>
              <w:rPr>
                <w:sz w:val="12"/>
                <w:szCs w:val="12"/>
                <w:color w:val="auto"/>
              </w:rPr>
            </w:pP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as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11"/>
          </w:tcPr>
          <w:p>
            <w:pPr>
              <w:jc w:val="right"/>
              <w:ind w:right="80"/>
              <w:spacing w:after="0"/>
              <w:rPr>
                <w:sz w:val="20"/>
                <w:szCs w:val="20"/>
                <w:color w:val="auto"/>
              </w:rPr>
            </w:pPr>
            <w:r>
              <w:rPr>
                <w:rFonts w:ascii="Arial" w:cs="Arial" w:eastAsia="Arial" w:hAnsi="Arial"/>
                <w:sz w:val="12"/>
                <w:szCs w:val="12"/>
                <w:color w:val="auto"/>
                <w:w w:val="89"/>
              </w:rPr>
              <w:t>, 2021, after deducting the estimated underwriting discounts and</w:t>
            </w:r>
          </w:p>
        </w:tc>
      </w:tr>
      <w:tr>
        <w:trPr>
          <w:trHeight w:val="153"/>
        </w:trPr>
        <w:tc>
          <w:tcPr>
            <w:tcW w:w="6240" w:type="dxa"/>
            <w:vAlign w:val="bottom"/>
            <w:gridSpan w:val="17"/>
          </w:tcPr>
          <w:p>
            <w:pPr>
              <w:spacing w:after="0"/>
              <w:rPr>
                <w:sz w:val="20"/>
                <w:szCs w:val="20"/>
                <w:color w:val="auto"/>
              </w:rPr>
            </w:pPr>
            <w:r>
              <w:rPr>
                <w:rFonts w:ascii="Arial" w:cs="Arial" w:eastAsia="Arial" w:hAnsi="Arial"/>
                <w:sz w:val="12"/>
                <w:szCs w:val="12"/>
                <w:color w:val="auto"/>
                <w:w w:val="90"/>
              </w:rPr>
              <w:t>commissions and estimated offering expenses payable by us and excluding the underwriters’ option to purchase additional ADSs: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7"/>
        </w:trPr>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gridSpan w:val="5"/>
          </w:tcPr>
          <w:p>
            <w:pPr>
              <w:jc w:val="center"/>
              <w:ind w:right="312"/>
              <w:spacing w:after="0"/>
              <w:rPr>
                <w:sz w:val="20"/>
                <w:szCs w:val="20"/>
                <w:color w:val="auto"/>
              </w:rPr>
            </w:pPr>
            <w:r>
              <w:rPr>
                <w:rFonts w:ascii="Arial" w:cs="Arial" w:eastAsia="Arial" w:hAnsi="Arial"/>
                <w:sz w:val="10"/>
                <w:szCs w:val="10"/>
                <w:b w:val="1"/>
                <w:bCs w:val="1"/>
                <w:color w:val="auto"/>
                <w:w w:val="87"/>
              </w:rPr>
              <w:t>Ordinary Shares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13"/>
        </w:trPr>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gridSpan w:val="5"/>
          </w:tcPr>
          <w:p>
            <w:pPr>
              <w:jc w:val="center"/>
              <w:ind w:right="312"/>
              <w:spacing w:after="0" w:line="114" w:lineRule="exact"/>
              <w:rPr>
                <w:sz w:val="20"/>
                <w:szCs w:val="20"/>
                <w:color w:val="auto"/>
              </w:rPr>
            </w:pPr>
            <w:r>
              <w:rPr>
                <w:rFonts w:ascii="Arial" w:cs="Arial" w:eastAsia="Arial" w:hAnsi="Arial"/>
                <w:sz w:val="10"/>
                <w:szCs w:val="10"/>
                <w:b w:val="1"/>
                <w:bCs w:val="1"/>
                <w:color w:val="auto"/>
                <w:w w:val="85"/>
              </w:rPr>
              <w:t>Purchased</w:t>
            </w:r>
          </w:p>
        </w:tc>
        <w:tc>
          <w:tcPr>
            <w:tcW w:w="120" w:type="dxa"/>
            <w:vAlign w:val="bottom"/>
          </w:tcPr>
          <w:p>
            <w:pPr>
              <w:spacing w:after="0"/>
              <w:rPr>
                <w:sz w:val="9"/>
                <w:szCs w:val="9"/>
                <w:color w:val="auto"/>
              </w:rPr>
            </w:pPr>
          </w:p>
        </w:tc>
        <w:tc>
          <w:tcPr>
            <w:tcW w:w="1340" w:type="dxa"/>
            <w:vAlign w:val="bottom"/>
            <w:gridSpan w:val="5"/>
          </w:tcPr>
          <w:p>
            <w:pPr>
              <w:ind w:left="20"/>
              <w:spacing w:after="0" w:line="114" w:lineRule="exact"/>
              <w:rPr>
                <w:sz w:val="20"/>
                <w:szCs w:val="20"/>
                <w:color w:val="auto"/>
              </w:rPr>
            </w:pPr>
            <w:r>
              <w:rPr>
                <w:rFonts w:ascii="Arial" w:cs="Arial" w:eastAsia="Arial" w:hAnsi="Arial"/>
                <w:sz w:val="10"/>
                <w:szCs w:val="10"/>
                <w:b w:val="1"/>
                <w:bCs w:val="1"/>
                <w:color w:val="auto"/>
              </w:rPr>
              <w:t>Total Consideration</w:t>
            </w:r>
          </w:p>
        </w:tc>
        <w:tc>
          <w:tcPr>
            <w:tcW w:w="10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Average Price per</w:t>
            </w:r>
          </w:p>
        </w:tc>
        <w:tc>
          <w:tcPr>
            <w:tcW w:w="160" w:type="dxa"/>
            <w:vAlign w:val="bottom"/>
          </w:tcPr>
          <w:p>
            <w:pPr>
              <w:spacing w:after="0"/>
              <w:rPr>
                <w:sz w:val="9"/>
                <w:szCs w:val="9"/>
                <w:color w:val="auto"/>
              </w:rPr>
            </w:pP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6"/>
              </w:rPr>
              <w:t>Average Price per</w:t>
            </w:r>
          </w:p>
        </w:tc>
      </w:tr>
      <w:tr>
        <w:trPr>
          <w:trHeight w:val="88"/>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Number</w:t>
            </w: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ind w:left="80"/>
              <w:spacing w:after="0" w:line="88" w:lineRule="exact"/>
              <w:rPr>
                <w:sz w:val="20"/>
                <w:szCs w:val="20"/>
                <w:color w:val="auto"/>
              </w:rPr>
            </w:pPr>
            <w:r>
              <w:rPr>
                <w:rFonts w:ascii="Arial" w:cs="Arial" w:eastAsia="Arial" w:hAnsi="Arial"/>
                <w:sz w:val="10"/>
                <w:szCs w:val="10"/>
                <w:b w:val="1"/>
                <w:bCs w:val="1"/>
                <w:color w:val="auto"/>
                <w:w w:val="84"/>
              </w:rPr>
              <w:t>Amount</w:t>
            </w:r>
          </w:p>
        </w:tc>
        <w:tc>
          <w:tcPr>
            <w:tcW w:w="1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80" w:type="dxa"/>
            <w:vAlign w:val="bottom"/>
          </w:tcPr>
          <w:p>
            <w:pPr>
              <w:spacing w:after="0"/>
              <w:rPr>
                <w:sz w:val="7"/>
                <w:szCs w:val="7"/>
                <w:color w:val="auto"/>
              </w:rPr>
            </w:pPr>
          </w:p>
        </w:tc>
        <w:tc>
          <w:tcPr>
            <w:tcW w:w="1020" w:type="dxa"/>
            <w:vAlign w:val="bottom"/>
            <w:gridSpan w:val="3"/>
          </w:tcPr>
          <w:p>
            <w:pPr>
              <w:jc w:val="center"/>
              <w:ind w:right="120"/>
              <w:spacing w:after="0" w:line="88" w:lineRule="exact"/>
              <w:rPr>
                <w:sz w:val="20"/>
                <w:szCs w:val="20"/>
                <w:color w:val="auto"/>
              </w:rPr>
            </w:pPr>
            <w:r>
              <w:rPr>
                <w:rFonts w:ascii="Arial" w:cs="Arial" w:eastAsia="Arial" w:hAnsi="Arial"/>
                <w:sz w:val="10"/>
                <w:szCs w:val="10"/>
                <w:b w:val="1"/>
                <w:bCs w:val="1"/>
                <w:color w:val="auto"/>
                <w:w w:val="91"/>
              </w:rPr>
              <w:t>Ordinary Share</w:t>
            </w:r>
          </w:p>
        </w:tc>
        <w:tc>
          <w:tcPr>
            <w:tcW w:w="160" w:type="dxa"/>
            <w:vAlign w:val="bottom"/>
          </w:tcPr>
          <w:p>
            <w:pPr>
              <w:spacing w:after="0"/>
              <w:rPr>
                <w:sz w:val="7"/>
                <w:szCs w:val="7"/>
                <w:color w:val="auto"/>
              </w:rPr>
            </w:pPr>
          </w:p>
        </w:tc>
        <w:tc>
          <w:tcPr>
            <w:tcW w:w="600" w:type="dxa"/>
            <w:vAlign w:val="bottom"/>
          </w:tcPr>
          <w:p>
            <w:pPr>
              <w:jc w:val="center"/>
              <w:ind w:left="252"/>
              <w:spacing w:after="0" w:line="88" w:lineRule="exact"/>
              <w:rPr>
                <w:sz w:val="20"/>
                <w:szCs w:val="20"/>
                <w:color w:val="auto"/>
              </w:rPr>
            </w:pPr>
            <w:r>
              <w:rPr>
                <w:rFonts w:ascii="Arial" w:cs="Arial" w:eastAsia="Arial" w:hAnsi="Arial"/>
                <w:sz w:val="10"/>
                <w:szCs w:val="10"/>
                <w:b w:val="1"/>
                <w:bCs w:val="1"/>
                <w:color w:val="auto"/>
                <w:w w:val="85"/>
              </w:rPr>
              <w:t>ADS</w:t>
            </w: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88"/>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3"/>
              </w:rPr>
              <w:t>(in €)</w:t>
            </w:r>
          </w:p>
        </w:tc>
        <w:tc>
          <w:tcPr>
            <w:tcW w:w="480" w:type="dxa"/>
            <w:vAlign w:val="bottom"/>
            <w:tcBorders>
              <w:top w:val="single" w:sz="8" w:color="auto"/>
            </w:tcBorders>
            <w:gridSpan w:val="2"/>
          </w:tcPr>
          <w:p>
            <w:pPr>
              <w:ind w:left="260"/>
              <w:spacing w:after="0" w:line="88" w:lineRule="exact"/>
              <w:rPr>
                <w:sz w:val="20"/>
                <w:szCs w:val="20"/>
                <w:color w:val="auto"/>
              </w:rPr>
            </w:pPr>
            <w:r>
              <w:rPr>
                <w:rFonts w:ascii="Arial" w:cs="Arial" w:eastAsia="Arial" w:hAnsi="Arial"/>
                <w:sz w:val="10"/>
                <w:szCs w:val="10"/>
                <w:b w:val="1"/>
                <w:bCs w:val="1"/>
                <w:color w:val="auto"/>
                <w:w w:val="83"/>
              </w:rPr>
              <w:t>(in $)</w:t>
            </w: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20" w:type="dxa"/>
            <w:vAlign w:val="bottom"/>
            <w:tcBorders>
              <w:top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(in $)</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1120" w:type="dxa"/>
            <w:vAlign w:val="bottom"/>
            <w:gridSpan w:val="2"/>
          </w:tcPr>
          <w:p>
            <w:pPr>
              <w:spacing w:after="0"/>
              <w:rPr>
                <w:sz w:val="20"/>
                <w:szCs w:val="20"/>
                <w:color w:val="auto"/>
              </w:rPr>
            </w:pPr>
            <w:r>
              <w:rPr>
                <w:rFonts w:ascii="Arial" w:cs="Arial" w:eastAsia="Arial" w:hAnsi="Arial"/>
                <w:sz w:val="11"/>
                <w:szCs w:val="11"/>
                <w:color w:val="auto"/>
              </w:rPr>
              <w:t>New investors</w:t>
            </w: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9"/>
        </w:trPr>
        <w:tc>
          <w:tcPr>
            <w:tcW w:w="80" w:type="dxa"/>
            <w:vAlign w:val="bottom"/>
          </w:tcPr>
          <w:p>
            <w:pPr>
              <w:spacing w:after="0"/>
              <w:rPr>
                <w:sz w:val="24"/>
                <w:szCs w:val="24"/>
                <w:color w:val="auto"/>
              </w:rPr>
            </w:pPr>
          </w:p>
        </w:tc>
        <w:tc>
          <w:tcPr>
            <w:tcW w:w="5720" w:type="dxa"/>
            <w:vAlign w:val="bottom"/>
            <w:gridSpan w:val="14"/>
          </w:tcPr>
          <w:p>
            <w:pPr>
              <w:ind w:left="200"/>
              <w:spacing w:after="0"/>
              <w:rPr>
                <w:sz w:val="20"/>
                <w:szCs w:val="20"/>
                <w:color w:val="auto"/>
              </w:rPr>
            </w:pPr>
            <w:r>
              <w:rPr>
                <w:rFonts w:ascii="Arial" w:cs="Arial" w:eastAsia="Arial" w:hAnsi="Arial"/>
                <w:sz w:val="12"/>
                <w:szCs w:val="12"/>
                <w:color w:val="auto"/>
                <w:w w:val="92"/>
              </w:rPr>
              <w:t>If the underwriters exercise their option to purchase additional ADSs in full, our existing shareholders would own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2"/>
                <w:szCs w:val="12"/>
                <w:color w:val="auto"/>
                <w:w w:val="93"/>
              </w:rPr>
              <w:t>ordinary shares or</w:t>
            </w:r>
          </w:p>
        </w:tc>
      </w:tr>
      <w:tr>
        <w:trPr>
          <w:trHeight w:val="153"/>
        </w:trPr>
        <w:tc>
          <w:tcPr>
            <w:tcW w:w="80" w:type="dxa"/>
            <w:vAlign w:val="bottom"/>
          </w:tcPr>
          <w:p>
            <w:pPr>
              <w:spacing w:after="0"/>
              <w:rPr>
                <w:sz w:val="13"/>
                <w:szCs w:val="13"/>
                <w:color w:val="auto"/>
              </w:rPr>
            </w:pPr>
          </w:p>
        </w:tc>
        <w:tc>
          <w:tcPr>
            <w:tcW w:w="3000" w:type="dxa"/>
            <w:vAlign w:val="bottom"/>
            <w:gridSpan w:val="4"/>
          </w:tcPr>
          <w:p>
            <w:pPr>
              <w:ind w:left="40"/>
              <w:spacing w:after="0"/>
              <w:rPr>
                <w:sz w:val="20"/>
                <w:szCs w:val="20"/>
                <w:color w:val="auto"/>
              </w:rPr>
            </w:pPr>
            <w:r>
              <w:rPr>
                <w:rFonts w:ascii="Arial" w:cs="Arial" w:eastAsia="Arial" w:hAnsi="Arial"/>
                <w:sz w:val="12"/>
                <w:szCs w:val="12"/>
                <w:color w:val="auto"/>
              </w:rPr>
              <w:t>% in the aggregate and our new investors would own</w:t>
            </w:r>
          </w:p>
        </w:tc>
        <w:tc>
          <w:tcPr>
            <w:tcW w:w="1100" w:type="dxa"/>
            <w:vAlign w:val="bottom"/>
            <w:gridSpan w:val="5"/>
          </w:tcPr>
          <w:p>
            <w:pPr>
              <w:ind w:left="120"/>
              <w:spacing w:after="0"/>
              <w:rPr>
                <w:sz w:val="20"/>
                <w:szCs w:val="20"/>
                <w:color w:val="auto"/>
              </w:rPr>
            </w:pPr>
            <w:r>
              <w:rPr>
                <w:rFonts w:ascii="Arial" w:cs="Arial" w:eastAsia="Arial" w:hAnsi="Arial"/>
                <w:sz w:val="12"/>
                <w:szCs w:val="12"/>
                <w:color w:val="auto"/>
                <w:w w:val="99"/>
              </w:rPr>
              <w:t>ordinary shares or</w:t>
            </w:r>
          </w:p>
        </w:tc>
        <w:tc>
          <w:tcPr>
            <w:tcW w:w="1040" w:type="dxa"/>
            <w:vAlign w:val="bottom"/>
            <w:gridSpan w:val="4"/>
          </w:tcPr>
          <w:p>
            <w:pPr>
              <w:ind w:left="40"/>
              <w:spacing w:after="0"/>
              <w:rPr>
                <w:sz w:val="20"/>
                <w:szCs w:val="20"/>
                <w:color w:val="auto"/>
              </w:rPr>
            </w:pPr>
            <w:r>
              <w:rPr>
                <w:rFonts w:ascii="Arial" w:cs="Arial" w:eastAsia="Arial" w:hAnsi="Arial"/>
                <w:sz w:val="12"/>
                <w:szCs w:val="12"/>
                <w:color w:val="auto"/>
                <w:w w:val="94"/>
              </w:rPr>
              <w:t>% in the aggregate.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9"/>
        </w:trPr>
        <w:tc>
          <w:tcPr>
            <w:tcW w:w="80" w:type="dxa"/>
            <w:vAlign w:val="bottom"/>
          </w:tcPr>
          <w:p>
            <w:pPr>
              <w:spacing w:after="0"/>
              <w:rPr>
                <w:sz w:val="24"/>
                <w:szCs w:val="24"/>
                <w:color w:val="auto"/>
              </w:rPr>
            </w:pPr>
          </w:p>
        </w:tc>
        <w:tc>
          <w:tcPr>
            <w:tcW w:w="4100" w:type="dxa"/>
            <w:vAlign w:val="bottom"/>
            <w:gridSpan w:val="9"/>
          </w:tcPr>
          <w:p>
            <w:pPr>
              <w:ind w:left="200"/>
              <w:spacing w:after="0"/>
              <w:rPr>
                <w:sz w:val="20"/>
                <w:szCs w:val="20"/>
                <w:color w:val="auto"/>
              </w:rPr>
            </w:pPr>
            <w:r>
              <w:rPr>
                <w:rFonts w:ascii="Arial" w:cs="Arial" w:eastAsia="Arial" w:hAnsi="Arial"/>
                <w:sz w:val="12"/>
                <w:szCs w:val="12"/>
                <w:color w:val="auto"/>
                <w:w w:val="93"/>
              </w:rPr>
              <w:t>Each $1.00 increase (decrease) in the assumed initial public offering price of $</w:t>
            </w:r>
          </w:p>
        </w:tc>
        <w:tc>
          <w:tcPr>
            <w:tcW w:w="180" w:type="dxa"/>
            <w:vAlign w:val="bottom"/>
          </w:tcPr>
          <w:p>
            <w:pPr>
              <w:spacing w:after="0"/>
              <w:rPr>
                <w:sz w:val="24"/>
                <w:szCs w:val="24"/>
                <w:color w:val="auto"/>
              </w:rPr>
            </w:pPr>
          </w:p>
        </w:tc>
        <w:tc>
          <w:tcPr>
            <w:tcW w:w="2980" w:type="dxa"/>
            <w:vAlign w:val="bottom"/>
            <w:gridSpan w:val="10"/>
          </w:tcPr>
          <w:p>
            <w:pPr>
              <w:jc w:val="right"/>
              <w:ind w:right="40"/>
              <w:spacing w:after="0"/>
              <w:rPr>
                <w:sz w:val="20"/>
                <w:szCs w:val="20"/>
                <w:color w:val="auto"/>
              </w:rPr>
            </w:pPr>
            <w:r>
              <w:rPr>
                <w:rFonts w:ascii="Arial" w:cs="Arial" w:eastAsia="Arial" w:hAnsi="Arial"/>
                <w:sz w:val="12"/>
                <w:szCs w:val="12"/>
                <w:color w:val="auto"/>
                <w:w w:val="98"/>
              </w:rPr>
              <w:t>per ADS, which reflects the U.S. dollar equivalent of the</w:t>
            </w:r>
          </w:p>
        </w:tc>
      </w:tr>
      <w:tr>
        <w:trPr>
          <w:trHeight w:val="144"/>
        </w:trPr>
        <w:tc>
          <w:tcPr>
            <w:tcW w:w="3760" w:type="dxa"/>
            <w:vAlign w:val="bottom"/>
            <w:gridSpan w:val="8"/>
          </w:tcPr>
          <w:p>
            <w:pPr>
              <w:spacing w:after="0"/>
              <w:rPr>
                <w:sz w:val="20"/>
                <w:szCs w:val="20"/>
                <w:color w:val="auto"/>
              </w:rPr>
            </w:pPr>
            <w:r>
              <w:rPr>
                <w:rFonts w:ascii="Arial" w:cs="Arial" w:eastAsia="Arial" w:hAnsi="Arial"/>
                <w:sz w:val="12"/>
                <w:szCs w:val="12"/>
                <w:color w:val="auto"/>
                <w:w w:val="98"/>
              </w:rPr>
              <w:t>closing price of our ordinary shares on the Frankfurt Stock Exchange on</w:t>
            </w:r>
          </w:p>
        </w:tc>
        <w:tc>
          <w:tcPr>
            <w:tcW w:w="120" w:type="dxa"/>
            <w:vAlign w:val="bottom"/>
          </w:tcPr>
          <w:p>
            <w:pPr>
              <w:spacing w:after="0"/>
              <w:rPr>
                <w:sz w:val="12"/>
                <w:szCs w:val="12"/>
                <w:color w:val="auto"/>
              </w:rPr>
            </w:pPr>
          </w:p>
        </w:tc>
        <w:tc>
          <w:tcPr>
            <w:tcW w:w="3120" w:type="dxa"/>
            <w:vAlign w:val="bottom"/>
            <w:gridSpan w:val="10"/>
          </w:tcPr>
          <w:p>
            <w:pPr>
              <w:ind w:left="80"/>
              <w:spacing w:after="0"/>
              <w:rPr>
                <w:sz w:val="20"/>
                <w:szCs w:val="20"/>
                <w:color w:val="auto"/>
              </w:rPr>
            </w:pPr>
            <w:r>
              <w:rPr>
                <w:rFonts w:ascii="Arial" w:cs="Arial" w:eastAsia="Arial" w:hAnsi="Arial"/>
                <w:sz w:val="12"/>
                <w:szCs w:val="12"/>
                <w:color w:val="auto"/>
                <w:w w:val="93"/>
              </w:rPr>
              <w:t>, 2021 based on a Euro/U.S. dollar exchange rate of €1.00 to</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0"/>
        </w:trPr>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040" w:type="dxa"/>
            <w:vAlign w:val="bottom"/>
          </w:tcPr>
          <w:p>
            <w:pPr>
              <w:ind w:left="480"/>
              <w:spacing w:after="0"/>
              <w:rPr>
                <w:sz w:val="20"/>
                <w:szCs w:val="20"/>
                <w:color w:val="auto"/>
              </w:rPr>
            </w:pPr>
            <w:r>
              <w:rPr>
                <w:rFonts w:ascii="Arial" w:cs="Arial" w:eastAsia="Arial" w:hAnsi="Arial"/>
                <w:sz w:val="12"/>
                <w:szCs w:val="12"/>
                <w:color w:val="auto"/>
              </w:rPr>
              <w:t>as of</w:t>
            </w:r>
          </w:p>
        </w:tc>
        <w:tc>
          <w:tcPr>
            <w:tcW w:w="6220" w:type="dxa"/>
            <w:vAlign w:val="bottom"/>
            <w:gridSpan w:val="19"/>
          </w:tcPr>
          <w:p>
            <w:pPr>
              <w:jc w:val="right"/>
              <w:ind w:right="100"/>
              <w:spacing w:after="0"/>
              <w:rPr>
                <w:sz w:val="20"/>
                <w:szCs w:val="20"/>
                <w:color w:val="auto"/>
              </w:rPr>
            </w:pPr>
            <w:r>
              <w:rPr>
                <w:rFonts w:ascii="Arial" w:cs="Arial" w:eastAsia="Arial" w:hAnsi="Arial"/>
                <w:sz w:val="12"/>
                <w:szCs w:val="12"/>
                <w:color w:val="auto"/>
                <w:w w:val="91"/>
              </w:rPr>
              <w:t>, 2021, assuming the number of ADSs offered by us, as set forth on the cover page of this prospectus, remains the same and</w:t>
            </w:r>
          </w:p>
        </w:tc>
      </w:tr>
    </w:tbl>
    <w:p>
      <w:pPr>
        <w:spacing w:after="0" w:line="14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after deducting the estimated underwriting discounts and commissions and estimated offering expenses payable by us, would increase (decrease) total consideration paid by new investors by $ million or %.</w:t>
      </w:r>
    </w:p>
    <w:p>
      <w:pPr>
        <w:sectPr>
          <w:pgSz w:w="11900" w:h="16838" w:orient="portrait"/>
          <w:cols w:equalWidth="0" w:num="1">
            <w:col w:w="10159"/>
          </w:cols>
          <w:pgMar w:left="300" w:top="354" w:right="1440" w:bottom="1440" w:gutter="0" w:footer="0" w:header="0"/>
        </w:sectPr>
      </w:pPr>
    </w:p>
    <w:p>
      <w:pPr>
        <w:spacing w:after="0" w:line="115" w:lineRule="exact"/>
        <w:rPr>
          <w:sz w:val="20"/>
          <w:szCs w:val="20"/>
          <w:color w:val="auto"/>
        </w:rPr>
      </w:pPr>
    </w:p>
    <w:p>
      <w:pPr>
        <w:ind w:left="1980" w:firstLine="294"/>
        <w:spacing w:after="0" w:line="379" w:lineRule="auto"/>
        <w:rPr>
          <w:sz w:val="20"/>
          <w:szCs w:val="20"/>
          <w:color w:val="auto"/>
        </w:rPr>
      </w:pPr>
      <w:r>
        <w:rPr>
          <w:rFonts w:ascii="Arial" w:cs="Arial" w:eastAsia="Arial" w:hAnsi="Arial"/>
          <w:sz w:val="10"/>
          <w:szCs w:val="10"/>
          <w:color w:val="auto"/>
        </w:rPr>
        <w:t>The number of our ordinary shares to be outstanding after this offering is based on the number of ordinary shares outstanding as of 2020, and excludes any ordinary shares that may be reserved for future issuance under any performance share and stock option plans.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9" w:lineRule="exact"/>
        <w:rPr>
          <w:sz w:val="20"/>
          <w:szCs w:val="20"/>
          <w:color w:val="auto"/>
        </w:rPr>
      </w:pPr>
    </w:p>
    <w:p>
      <w:pPr>
        <w:sectPr>
          <w:pgSz w:w="11900" w:h="16838" w:orient="portrait"/>
          <w:cols w:equalWidth="0" w:num="2">
            <w:col w:w="8540" w:space="620"/>
            <w:col w:w="999"/>
          </w:cols>
          <w:pgMar w:left="300" w:top="354" w:right="1440" w:bottom="1440" w:gutter="0" w:footer="0" w:header="0"/>
          <w:type w:val="continuous"/>
        </w:sectPr>
      </w:pPr>
    </w:p>
    <w:p>
      <w:pPr>
        <w:ind w:left="5580"/>
        <w:spacing w:after="0"/>
        <w:rPr>
          <w:sz w:val="20"/>
          <w:szCs w:val="20"/>
          <w:color w:val="auto"/>
        </w:rPr>
      </w:pPr>
      <w:r>
        <w:rPr>
          <w:rFonts w:ascii="Arial" w:cs="Arial" w:eastAsia="Arial" w:hAnsi="Arial"/>
          <w:sz w:val="10"/>
          <w:szCs w:val="10"/>
          <w:color w:val="auto"/>
        </w:rPr>
        <w:t>58</w:t>
      </w:r>
    </w:p>
    <w:p>
      <w:pPr>
        <w:sectPr>
          <w:pgSz w:w="11900" w:h="16838" w:orient="portrait"/>
          <w:cols w:equalWidth="0" w:num="1">
            <w:col w:w="10159"/>
          </w:cols>
          <w:pgMar w:left="300" w:top="354" w:right="1440" w:bottom="1440" w:gutter="0" w:footer="0" w:header="0"/>
          <w:type w:val="continuous"/>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22" w:lineRule="exact"/>
        <w:rPr>
          <w:sz w:val="20"/>
          <w:szCs w:val="20"/>
          <w:color w:val="auto"/>
        </w:rPr>
      </w:pPr>
    </w:p>
    <w:p>
      <w:pPr>
        <w:ind w:left="1980" w:right="839" w:firstLine="294"/>
        <w:spacing w:after="0" w:line="310" w:lineRule="auto"/>
        <w:rPr>
          <w:sz w:val="20"/>
          <w:szCs w:val="20"/>
          <w:color w:val="auto"/>
        </w:rPr>
      </w:pPr>
      <w:r>
        <w:rPr>
          <w:rFonts w:ascii="Arial" w:cs="Arial" w:eastAsia="Arial" w:hAnsi="Arial"/>
          <w:sz w:val="10"/>
          <w:szCs w:val="10"/>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03"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Current demand for laser communication is predominantly driven by both government organizations and commercial players seeking to establish LEO aerospace communication networks. The U.S. government has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6"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and target a per year production rate of up to 2,000 units going forward.</w:t>
      </w:r>
    </w:p>
    <w:p>
      <w:pPr>
        <w:spacing w:after="0" w:line="115"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color w:val="auto"/>
        </w:rPr>
        <w:t>In 2019, we signed a contract with a commercial customer in the U.K. for certain parts of our CONDOR terminal, which we delivered in 2019. We did not have any government customers in 2019. In 2020, we received an order from a U.S. aerospace and defense company in 2020 to introduce our HAWK terminal to the U.S. governmental market. We delivered two HAWK terminals to this customer in the fourth quarter of 2020, following which our customer conducted initial system testing and demonstrations in deployment scenarios. To a limited extent, we also provided development and training services with respect to our HAWK terminals to this customer. We also sold certain components used in our CONDOR terminal to a Canadian customer and conducted a feasibility analysis for a Belgian customer in 2020. While we have not yet entered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addition, in 2020, we were awarded two contracts by Telesat and a U.S. customer relating to our CONDOR terminals in connection with two U.S. governmental programs launched by DARPA and the SDA, respectively, for which we recognized revenue in the six months ended June 30, 2021.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Our ability to generate revenue from the agreement will depend on NG being awarded the relevant government contracts.</w:t>
      </w:r>
    </w:p>
    <w:p>
      <w:pPr>
        <w:spacing w:after="0" w:line="121"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Research and development activities are central to our business. In 2020, we started pre-serial production of both our HAWK and CONDOR terminals and continued to improve our products with a view to ramping up</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22"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97"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and CONDOR terminals, respectively. Since we completed the development of the technology for our HAWK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2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Personnel costs,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w:t>
      </w:r>
      <w:r>
        <w:rPr>
          <w:rFonts w:ascii="Arial" w:cs="Arial" w:eastAsia="Arial" w:hAnsi="Arial"/>
          <w:sz w:val="11"/>
          <w:szCs w:val="11"/>
          <w:i w:val="1"/>
          <w:iCs w:val="1"/>
          <w:color w:val="auto"/>
        </w:rPr>
        <w:t>i.e.</w:t>
      </w:r>
      <w:r>
        <w:rPr>
          <w:rFonts w:ascii="Arial" w:cs="Arial" w:eastAsia="Arial" w:hAnsi="Arial"/>
          <w:sz w:val="11"/>
          <w:szCs w:val="11"/>
          <w:color w:val="auto"/>
        </w:rPr>
        <w:t>,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terminals and the services rendered by us mainly consist of the provision of development and training services for our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costs for services purchased.</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0"/>
          <w:szCs w:val="10"/>
          <w:b w:val="1"/>
          <w:bCs w:val="1"/>
          <w:i w:val="1"/>
          <w:iCs w:val="1"/>
          <w:color w:val="auto"/>
        </w:rPr>
        <w:t xml:space="preserve">Personnel costs: </w:t>
      </w:r>
      <w:r>
        <w:rPr>
          <w:rFonts w:ascii="Arial" w:cs="Arial" w:eastAsia="Arial" w:hAnsi="Arial"/>
          <w:sz w:val="10"/>
          <w:szCs w:val="10"/>
          <w:color w:val="auto"/>
        </w:rPr>
        <w:t>Our personnel costs consist of wages and salaries as well as social security contributions, pensions and other employee benefits.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Personnel expenses corresponds to personnel costs excluding own work capitalized.</w:t>
      </w:r>
    </w:p>
    <w:p>
      <w:pPr>
        <w:spacing w:after="0" w:line="141"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firstLine="294"/>
        <w:spacing w:after="0" w:line="298" w:lineRule="auto"/>
        <w:rPr>
          <w:sz w:val="20"/>
          <w:szCs w:val="20"/>
          <w:color w:val="auto"/>
        </w:rPr>
      </w:pPr>
      <w:r>
        <w:rPr>
          <w:rFonts w:ascii="Arial" w:cs="Arial" w:eastAsia="Arial" w:hAnsi="Arial"/>
          <w:sz w:val="11"/>
          <w:szCs w:val="11"/>
          <w:b w:val="1"/>
          <w:bCs w:val="1"/>
          <w:i w:val="1"/>
          <w:iCs w:val="1"/>
          <w:color w:val="auto"/>
        </w:rPr>
        <w:t xml:space="preserve">Other operating costs: </w:t>
      </w:r>
      <w:r>
        <w:rPr>
          <w:rFonts w:ascii="Arial" w:cs="Arial" w:eastAsia="Arial" w:hAnsi="Arial"/>
          <w:sz w:val="11"/>
          <w:szCs w:val="11"/>
          <w:color w:val="auto"/>
        </w:rPr>
        <w:t>Our other operating costs primarily consist of legal and consulting fees, office and IT costs, selling and travel costs, rent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maintenance, other office supplies, costs for preparation and audit of financial statements and accounting expenses, other staff costs as well as administrative offense proceedings. Other operating expenses corresponds to other operating costs excluding own work capitalized.</w:t>
      </w:r>
    </w:p>
    <w:p>
      <w:pPr>
        <w:spacing w:after="0" w:line="10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Own work capitalized: </w:t>
      </w:r>
      <w:r>
        <w:rPr>
          <w:rFonts w:ascii="Arial" w:cs="Arial" w:eastAsia="Arial" w:hAnsi="Arial"/>
          <w:sz w:val="11"/>
          <w:szCs w:val="11"/>
          <w:color w:val="auto"/>
        </w:rPr>
        <w:t>Own work capitalized consists primarily of capitalized development costs shown under internally generated intangible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assets. In addition, other own work capitalized includes own work for the construction of property, plant and equipment.</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shows information for the six months ended June 30, 2020 and June 30, 2021 and is derived from our unaudited condensed interim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28"/>
              <w:spacing w:after="0" w:line="8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4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4400" w:type="dxa"/>
            <w:vAlign w:val="bottom"/>
          </w:tcPr>
          <w:p>
            <w:pPr>
              <w:spacing w:after="0"/>
              <w:rPr>
                <w:sz w:val="9"/>
                <w:szCs w:val="9"/>
                <w:color w:val="auto"/>
              </w:rPr>
            </w:pPr>
          </w:p>
        </w:tc>
        <w:tc>
          <w:tcPr>
            <w:tcW w:w="146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142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88"/>
        </w:trPr>
        <w:tc>
          <w:tcPr>
            <w:tcW w:w="4400" w:type="dxa"/>
            <w:vAlign w:val="bottom"/>
          </w:tcPr>
          <w:p>
            <w:pPr>
              <w:spacing w:after="0"/>
              <w:rPr>
                <w:sz w:val="7"/>
                <w:szCs w:val="7"/>
                <w:color w:val="auto"/>
              </w:rPr>
            </w:pPr>
          </w:p>
        </w:tc>
        <w:tc>
          <w:tcPr>
            <w:tcW w:w="440" w:type="dxa"/>
            <w:vAlign w:val="bottom"/>
            <w:tcBorders>
              <w:top w:val="single" w:sz="8" w:color="auto"/>
            </w:tcBorders>
            <w:gridSpan w:val="2"/>
          </w:tcPr>
          <w:p>
            <w:pPr>
              <w:jc w:val="right"/>
              <w:ind w:right="17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left="147"/>
              <w:spacing w:after="0" w:line="124" w:lineRule="exact"/>
              <w:rPr>
                <w:sz w:val="20"/>
                <w:szCs w:val="20"/>
                <w:color w:val="auto"/>
              </w:rPr>
            </w:pPr>
            <w:r>
              <w:rPr>
                <w:rFonts w:ascii="Arial" w:cs="Arial" w:eastAsia="Arial" w:hAnsi="Arial"/>
                <w:sz w:val="11"/>
                <w:szCs w:val="11"/>
                <w:color w:val="auto"/>
                <w:w w:val="81"/>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89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230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271</w:t>
            </w: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(3,352)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(7,901)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(2)</w:t>
            </w:r>
          </w:p>
        </w:tc>
      </w:tr>
      <w:tr>
        <w:trPr>
          <w:trHeight w:val="126"/>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w w:val="97"/>
              </w:rPr>
              <w:t>Depreciation, amortization and impairment of other intangible assets and property, plant, and</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440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(1,434)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(1)</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(3,236)</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(4)</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740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740</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988</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1,422</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3,330</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2,471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(11,288)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(16,240)</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170</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163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(138)</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139" w:hanging="288"/>
        <w:spacing w:after="0" w:line="230"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9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9"/>
          </w:tcPr>
          <w:p>
            <w:pPr>
              <w:ind w:left="20"/>
              <w:spacing w:after="0"/>
              <w:rPr>
                <w:sz w:val="20"/>
                <w:szCs w:val="20"/>
                <w:color w:val="auto"/>
              </w:rPr>
            </w:pPr>
            <w:r>
              <w:rPr>
                <w:rFonts w:ascii="Arial" w:cs="Arial" w:eastAsia="Arial" w:hAnsi="Arial"/>
                <w:sz w:val="7"/>
                <w:szCs w:val="7"/>
                <w:b w:val="1"/>
                <w:bCs w:val="1"/>
                <w:color w:val="auto"/>
              </w:rPr>
              <w:t>For the six months ended June 30,</w:t>
            </w:r>
          </w:p>
        </w:tc>
        <w:tc>
          <w:tcPr>
            <w:tcW w:w="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9"/>
        </w:trPr>
        <w:tc>
          <w:tcPr>
            <w:tcW w:w="49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2"/>
          </w:tcPr>
          <w:p>
            <w:pPr>
              <w:jc w:val="right"/>
              <w:spacing w:after="0" w:line="79" w:lineRule="exact"/>
              <w:rPr>
                <w:sz w:val="20"/>
                <w:szCs w:val="20"/>
                <w:color w:val="auto"/>
              </w:rPr>
            </w:pPr>
            <w:r>
              <w:rPr>
                <w:rFonts w:ascii="Arial" w:cs="Arial" w:eastAsia="Arial" w:hAnsi="Arial"/>
                <w:sz w:val="7"/>
                <w:szCs w:val="7"/>
                <w:b w:val="1"/>
                <w:bCs w:val="1"/>
                <w:color w:val="auto"/>
              </w:rPr>
              <w:t>2020</w:t>
            </w: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jc w:val="right"/>
              <w:ind w:right="120"/>
              <w:spacing w:after="0" w:line="79" w:lineRule="exact"/>
              <w:rPr>
                <w:sz w:val="20"/>
                <w:szCs w:val="20"/>
                <w:color w:val="auto"/>
              </w:rPr>
            </w:pPr>
            <w:r>
              <w:rPr>
                <w:rFonts w:ascii="Arial" w:cs="Arial" w:eastAsia="Arial" w:hAnsi="Arial"/>
                <w:sz w:val="7"/>
                <w:szCs w:val="7"/>
                <w:b w:val="1"/>
                <w:bCs w:val="1"/>
                <w:color w:val="auto"/>
              </w:rPr>
              <w:t>2021</w:t>
            </w: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70"/>
        </w:trPr>
        <w:tc>
          <w:tcPr>
            <w:tcW w:w="49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tcPr>
          <w:p>
            <w:pPr>
              <w:jc w:val="right"/>
              <w:spacing w:after="0" w:line="70" w:lineRule="exact"/>
              <w:rPr>
                <w:sz w:val="20"/>
                <w:szCs w:val="20"/>
                <w:color w:val="auto"/>
              </w:rPr>
            </w:pPr>
            <w:r>
              <w:rPr>
                <w:rFonts w:ascii="Arial" w:cs="Arial" w:eastAsia="Arial" w:hAnsi="Arial"/>
                <w:sz w:val="7"/>
                <w:szCs w:val="7"/>
                <w:b w:val="1"/>
                <w:bCs w:val="1"/>
                <w:color w:val="auto"/>
                <w:w w:val="95"/>
              </w:rPr>
              <w:t>(in € thousand)</w:t>
            </w:r>
          </w:p>
        </w:tc>
        <w:tc>
          <w:tcPr>
            <w:tcW w:w="30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tcPr>
          <w:p>
            <w:pPr>
              <w:ind w:left="20"/>
              <w:spacing w:after="0" w:line="70" w:lineRule="exact"/>
              <w:rPr>
                <w:sz w:val="20"/>
                <w:szCs w:val="20"/>
                <w:color w:val="auto"/>
              </w:rPr>
            </w:pPr>
            <w:r>
              <w:rPr>
                <w:rFonts w:ascii="Arial" w:cs="Arial" w:eastAsia="Arial" w:hAnsi="Arial"/>
                <w:sz w:val="7"/>
                <w:szCs w:val="7"/>
                <w:b w:val="1"/>
                <w:bCs w:val="1"/>
                <w:color w:val="auto"/>
                <w:w w:val="91"/>
              </w:rPr>
              <w:t>(in € thousand)</w:t>
            </w: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70"/>
        </w:trPr>
        <w:tc>
          <w:tcPr>
            <w:tcW w:w="4900" w:type="dxa"/>
            <w:vAlign w:val="bottom"/>
          </w:tcPr>
          <w:p>
            <w:pPr>
              <w:spacing w:after="0"/>
              <w:rPr>
                <w:sz w:val="6"/>
                <w:szCs w:val="6"/>
                <w:color w:val="auto"/>
              </w:rPr>
            </w:pPr>
          </w:p>
        </w:tc>
        <w:tc>
          <w:tcPr>
            <w:tcW w:w="280" w:type="dxa"/>
            <w:vAlign w:val="bottom"/>
            <w:gridSpan w:val="2"/>
          </w:tcPr>
          <w:p>
            <w:pPr>
              <w:jc w:val="right"/>
              <w:ind w:right="12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420" w:type="dxa"/>
            <w:vAlign w:val="bottom"/>
            <w:gridSpan w:val="2"/>
          </w:tcPr>
          <w:p>
            <w:pPr>
              <w:jc w:val="right"/>
              <w:ind w:right="144"/>
              <w:spacing w:after="0" w:line="70" w:lineRule="exact"/>
              <w:rPr>
                <w:sz w:val="20"/>
                <w:szCs w:val="20"/>
                <w:color w:val="auto"/>
              </w:rPr>
            </w:pPr>
            <w:r>
              <w:rPr>
                <w:rFonts w:ascii="Arial" w:cs="Arial" w:eastAsia="Arial" w:hAnsi="Arial"/>
                <w:sz w:val="7"/>
                <w:szCs w:val="7"/>
                <w:b w:val="1"/>
                <w:bCs w:val="1"/>
                <w:color w:val="auto"/>
              </w:rPr>
              <w:t>Space</w:t>
            </w:r>
          </w:p>
        </w:tc>
        <w:tc>
          <w:tcPr>
            <w:tcW w:w="30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rPr>
              <w:t>Group</w:t>
            </w: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gridSpan w:val="2"/>
          </w:tcPr>
          <w:p>
            <w:pPr>
              <w:ind w:left="40"/>
              <w:spacing w:after="0" w:line="70" w:lineRule="exact"/>
              <w:rPr>
                <w:sz w:val="20"/>
                <w:szCs w:val="20"/>
                <w:color w:val="auto"/>
              </w:rPr>
            </w:pPr>
            <w:r>
              <w:rPr>
                <w:rFonts w:ascii="Arial" w:cs="Arial" w:eastAsia="Arial" w:hAnsi="Arial"/>
                <w:sz w:val="7"/>
                <w:szCs w:val="7"/>
                <w:b w:val="1"/>
                <w:bCs w:val="1"/>
                <w:color w:val="auto"/>
              </w:rPr>
              <w:t>Air</w:t>
            </w:r>
          </w:p>
        </w:tc>
        <w:tc>
          <w:tcPr>
            <w:tcW w:w="500" w:type="dxa"/>
            <w:vAlign w:val="bottom"/>
            <w:gridSpan w:val="3"/>
          </w:tcPr>
          <w:p>
            <w:pPr>
              <w:ind w:left="80"/>
              <w:spacing w:after="0" w:line="70" w:lineRule="exact"/>
              <w:rPr>
                <w:sz w:val="20"/>
                <w:szCs w:val="20"/>
                <w:color w:val="auto"/>
              </w:rPr>
            </w:pPr>
            <w:r>
              <w:rPr>
                <w:rFonts w:ascii="Arial" w:cs="Arial" w:eastAsia="Arial" w:hAnsi="Arial"/>
                <w:sz w:val="7"/>
                <w:szCs w:val="7"/>
                <w:b w:val="1"/>
                <w:bCs w:val="1"/>
                <w:color w:val="auto"/>
              </w:rPr>
              <w:t>Space</w:t>
            </w:r>
          </w:p>
        </w:tc>
        <w:tc>
          <w:tcPr>
            <w:tcW w:w="26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w w:val="85"/>
              </w:rPr>
              <w:t>Group</w:t>
            </w:r>
          </w:p>
        </w:tc>
        <w:tc>
          <w:tcPr>
            <w:tcW w:w="80" w:type="dxa"/>
            <w:vAlign w:val="bottom"/>
          </w:tcPr>
          <w:p>
            <w:pPr>
              <w:spacing w:after="0"/>
              <w:rPr>
                <w:sz w:val="6"/>
                <w:szCs w:val="6"/>
                <w:color w:val="auto"/>
              </w:rPr>
            </w:pPr>
          </w:p>
        </w:tc>
      </w:tr>
      <w:tr>
        <w:trPr>
          <w:trHeight w:val="88"/>
        </w:trPr>
        <w:tc>
          <w:tcPr>
            <w:tcW w:w="49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1"/>
              </w:rPr>
              <w:t>(1,127)</w:t>
            </w: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(1,710)</w:t>
            </w: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9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(620)</w:t>
            </w:r>
          </w:p>
        </w:tc>
        <w:tc>
          <w:tcPr>
            <w:tcW w:w="50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(1,627)</w:t>
            </w:r>
          </w:p>
        </w:tc>
        <w:tc>
          <w:tcPr>
            <w:tcW w:w="500" w:type="dxa"/>
            <w:vAlign w:val="bottom"/>
            <w:tcBorders>
              <w:right w:val="single" w:sz="8" w:color="auto"/>
            </w:tcBorders>
            <w:gridSpan w:val="2"/>
          </w:tcPr>
          <w:p>
            <w:pPr>
              <w:jc w:val="right"/>
              <w:ind w:right="180"/>
              <w:spacing w:after="0" w:line="99" w:lineRule="exact"/>
              <w:rPr>
                <w:sz w:val="20"/>
                <w:szCs w:val="20"/>
                <w:color w:val="auto"/>
              </w:rPr>
            </w:pPr>
            <w:r>
              <w:rPr>
                <w:rFonts w:ascii="Arial" w:cs="Arial" w:eastAsia="Arial" w:hAnsi="Arial"/>
                <w:sz w:val="10"/>
                <w:szCs w:val="10"/>
                <w:color w:val="auto"/>
                <w:w w:val="94"/>
              </w:rPr>
              <w:t>(2,247)</w:t>
            </w:r>
          </w:p>
        </w:tc>
        <w:tc>
          <w:tcPr>
            <w:tcW w:w="40" w:type="dxa"/>
            <w:vAlign w:val="bottom"/>
          </w:tcPr>
          <w:p>
            <w:pPr>
              <w:spacing w:after="0"/>
              <w:rPr>
                <w:sz w:val="8"/>
                <w:szCs w:val="8"/>
                <w:color w:val="auto"/>
              </w:rPr>
            </w:pPr>
          </w:p>
        </w:tc>
        <w:tc>
          <w:tcPr>
            <w:tcW w:w="2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(1,392)</w:t>
            </w:r>
          </w:p>
        </w:tc>
        <w:tc>
          <w:tcPr>
            <w:tcW w:w="6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w w:val="88"/>
              </w:rPr>
              <w:t>(1,392)</w:t>
            </w:r>
          </w:p>
        </w:tc>
      </w:tr>
      <w:tr>
        <w:trPr>
          <w:trHeight w:val="99"/>
        </w:trPr>
        <w:tc>
          <w:tcPr>
            <w:tcW w:w="49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(127)</w:t>
            </w:r>
          </w:p>
        </w:tc>
        <w:tc>
          <w:tcPr>
            <w:tcW w:w="500" w:type="dxa"/>
            <w:vAlign w:val="bottom"/>
            <w:gridSpan w:val="3"/>
            <w:shd w:val="clear" w:color="auto" w:fill="CCEEFF"/>
          </w:tcPr>
          <w:p>
            <w:pPr>
              <w:jc w:val="right"/>
              <w:ind w:right="64"/>
              <w:spacing w:after="0" w:line="99" w:lineRule="exact"/>
              <w:rPr>
                <w:sz w:val="20"/>
                <w:szCs w:val="20"/>
                <w:color w:val="auto"/>
              </w:rPr>
            </w:pPr>
            <w:r>
              <w:rPr>
                <w:rFonts w:ascii="Arial" w:cs="Arial" w:eastAsia="Arial" w:hAnsi="Arial"/>
                <w:sz w:val="10"/>
                <w:szCs w:val="10"/>
                <w:color w:val="auto"/>
              </w:rPr>
              <w:t>(335)</w:t>
            </w:r>
          </w:p>
        </w:tc>
        <w:tc>
          <w:tcPr>
            <w:tcW w:w="50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(462)</w:t>
            </w:r>
          </w:p>
        </w:tc>
        <w:tc>
          <w:tcPr>
            <w:tcW w:w="4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(187)</w:t>
            </w:r>
          </w:p>
        </w:tc>
      </w:tr>
      <w:tr>
        <w:trPr>
          <w:trHeight w:val="99"/>
        </w:trPr>
        <w:tc>
          <w:tcPr>
            <w:tcW w:w="49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(92)</w:t>
            </w:r>
          </w:p>
        </w:tc>
        <w:tc>
          <w:tcPr>
            <w:tcW w:w="50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(241)</w:t>
            </w:r>
          </w:p>
        </w:tc>
        <w:tc>
          <w:tcPr>
            <w:tcW w:w="500" w:type="dxa"/>
            <w:vAlign w:val="bottom"/>
            <w:tcBorders>
              <w:right w:val="single" w:sz="8" w:color="auto"/>
            </w:tcBorders>
            <w:gridSpan w:val="2"/>
          </w:tcPr>
          <w:p>
            <w:pPr>
              <w:jc w:val="right"/>
              <w:ind w:right="180"/>
              <w:spacing w:after="0" w:line="99" w:lineRule="exact"/>
              <w:rPr>
                <w:sz w:val="20"/>
                <w:szCs w:val="20"/>
                <w:color w:val="auto"/>
              </w:rPr>
            </w:pPr>
            <w:r>
              <w:rPr>
                <w:rFonts w:ascii="Arial" w:cs="Arial" w:eastAsia="Arial" w:hAnsi="Arial"/>
                <w:sz w:val="10"/>
                <w:szCs w:val="10"/>
                <w:color w:val="auto"/>
              </w:rPr>
              <w:t>(333)</w:t>
            </w:r>
          </w:p>
        </w:tc>
        <w:tc>
          <w:tcPr>
            <w:tcW w:w="40" w:type="dxa"/>
            <w:vAlign w:val="bottom"/>
          </w:tcPr>
          <w:p>
            <w:pPr>
              <w:spacing w:after="0"/>
              <w:rPr>
                <w:sz w:val="8"/>
                <w:szCs w:val="8"/>
                <w:color w:val="auto"/>
              </w:rPr>
            </w:pPr>
          </w:p>
        </w:tc>
        <w:tc>
          <w:tcPr>
            <w:tcW w:w="2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(260)</w:t>
            </w:r>
          </w:p>
        </w:tc>
        <w:tc>
          <w:tcPr>
            <w:tcW w:w="6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5138420</wp:posOffset>
            </wp:positionH>
            <wp:positionV relativeFrom="paragraph">
              <wp:posOffset>-376555</wp:posOffset>
            </wp:positionV>
            <wp:extent cx="1143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-319405</wp:posOffset>
            </wp:positionV>
            <wp:extent cx="1143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-262255</wp:posOffset>
            </wp:positionV>
            <wp:extent cx="1143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49" w:lineRule="exact"/>
        <w:rPr>
          <w:sz w:val="20"/>
          <w:szCs w:val="20"/>
          <w:color w:val="auto"/>
        </w:rPr>
      </w:pPr>
    </w:p>
    <w:p>
      <w:pPr>
        <w:ind w:left="2260" w:right="879" w:hanging="288"/>
        <w:spacing w:after="0" w:line="268" w:lineRule="auto"/>
        <w:tabs>
          <w:tab w:leader="none" w:pos="2260" w:val="left"/>
        </w:tabs>
        <w:numPr>
          <w:ilvl w:val="0"/>
          <w:numId w:val="34"/>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ind w:left="2260" w:right="839" w:hanging="288"/>
        <w:spacing w:after="0" w:line="206" w:lineRule="auto"/>
        <w:tabs>
          <w:tab w:leader="none" w:pos="22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26"/>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418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(1,843)</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(3)</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39" w:hanging="288"/>
        <w:spacing w:after="0" w:line="230" w:lineRule="auto"/>
        <w:tabs>
          <w:tab w:leader="none" w:pos="22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w w:val="90"/>
              </w:rPr>
              <w:t>For the year ended December 31,</w:t>
            </w: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79"/>
        </w:trPr>
        <w:tc>
          <w:tcPr>
            <w:tcW w:w="4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jc w:val="center"/>
              <w:ind w:left="37"/>
              <w:spacing w:after="0" w:line="79" w:lineRule="exact"/>
              <w:rPr>
                <w:sz w:val="20"/>
                <w:szCs w:val="20"/>
                <w:color w:val="auto"/>
              </w:rPr>
            </w:pPr>
            <w:r>
              <w:rPr>
                <w:rFonts w:ascii="Arial" w:cs="Arial" w:eastAsia="Arial" w:hAnsi="Arial"/>
                <w:sz w:val="7"/>
                <w:szCs w:val="7"/>
                <w:b w:val="1"/>
                <w:bCs w:val="1"/>
                <w:color w:val="auto"/>
                <w:w w:val="89"/>
              </w:rPr>
              <w:t>2019</w:t>
            </w: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57"/>
              <w:spacing w:after="0" w:line="79" w:lineRule="exact"/>
              <w:rPr>
                <w:sz w:val="20"/>
                <w:szCs w:val="20"/>
                <w:color w:val="auto"/>
              </w:rPr>
            </w:pPr>
            <w:r>
              <w:rPr>
                <w:rFonts w:ascii="Arial" w:cs="Arial" w:eastAsia="Arial" w:hAnsi="Arial"/>
                <w:sz w:val="7"/>
                <w:szCs w:val="7"/>
                <w:b w:val="1"/>
                <w:bCs w:val="1"/>
                <w:color w:val="auto"/>
                <w:w w:val="89"/>
              </w:rPr>
              <w:t>2020</w:t>
            </w: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70"/>
        </w:trPr>
        <w:tc>
          <w:tcPr>
            <w:tcW w:w="4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3"/>
          </w:tcPr>
          <w:p>
            <w:pPr>
              <w:jc w:val="center"/>
              <w:spacing w:after="0" w:line="70" w:lineRule="exact"/>
              <w:rPr>
                <w:sz w:val="20"/>
                <w:szCs w:val="20"/>
                <w:color w:val="auto"/>
              </w:rPr>
            </w:pPr>
            <w:r>
              <w:rPr>
                <w:rFonts w:ascii="Arial" w:cs="Arial" w:eastAsia="Arial" w:hAnsi="Arial"/>
                <w:sz w:val="7"/>
                <w:szCs w:val="7"/>
                <w:b w:val="1"/>
                <w:bCs w:val="1"/>
                <w:color w:val="auto"/>
                <w:w w:val="91"/>
              </w:rPr>
              <w:t>(in € thousand)</w:t>
            </w: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3"/>
          </w:tcPr>
          <w:p>
            <w:pPr>
              <w:jc w:val="center"/>
              <w:spacing w:after="0" w:line="70" w:lineRule="exact"/>
              <w:rPr>
                <w:sz w:val="20"/>
                <w:szCs w:val="20"/>
                <w:color w:val="auto"/>
              </w:rPr>
            </w:pPr>
            <w:r>
              <w:rPr>
                <w:rFonts w:ascii="Arial" w:cs="Arial" w:eastAsia="Arial" w:hAnsi="Arial"/>
                <w:sz w:val="7"/>
                <w:szCs w:val="7"/>
                <w:b w:val="1"/>
                <w:bCs w:val="1"/>
                <w:color w:val="auto"/>
                <w:w w:val="91"/>
              </w:rPr>
              <w:t>(in € thousand)</w:t>
            </w:r>
          </w:p>
        </w:tc>
        <w:tc>
          <w:tcPr>
            <w:tcW w:w="440" w:type="dxa"/>
            <w:vAlign w:val="bottom"/>
            <w:tcBorders>
              <w:bottom w:val="single" w:sz="8" w:color="auto"/>
            </w:tcBorders>
          </w:tcPr>
          <w:p>
            <w:pPr>
              <w:spacing w:after="0"/>
              <w:rPr>
                <w:sz w:val="6"/>
                <w:szCs w:val="6"/>
                <w:color w:val="auto"/>
              </w:rPr>
            </w:pPr>
          </w:p>
        </w:tc>
      </w:tr>
      <w:tr>
        <w:trPr>
          <w:trHeight w:val="70"/>
        </w:trPr>
        <w:tc>
          <w:tcPr>
            <w:tcW w:w="4240" w:type="dxa"/>
            <w:vAlign w:val="bottom"/>
          </w:tcPr>
          <w:p>
            <w:pPr>
              <w:spacing w:after="0"/>
              <w:rPr>
                <w:sz w:val="6"/>
                <w:szCs w:val="6"/>
                <w:color w:val="auto"/>
              </w:rPr>
            </w:pPr>
          </w:p>
        </w:tc>
        <w:tc>
          <w:tcPr>
            <w:tcW w:w="440" w:type="dxa"/>
            <w:vAlign w:val="bottom"/>
          </w:tcPr>
          <w:p>
            <w:pPr>
              <w:ind w:left="18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500" w:type="dxa"/>
            <w:vAlign w:val="bottom"/>
            <w:gridSpan w:val="2"/>
          </w:tcPr>
          <w:p>
            <w:pPr>
              <w:jc w:val="center"/>
              <w:ind w:right="80"/>
              <w:spacing w:after="0" w:line="70" w:lineRule="exact"/>
              <w:rPr>
                <w:sz w:val="20"/>
                <w:szCs w:val="20"/>
                <w:color w:val="auto"/>
              </w:rPr>
            </w:pPr>
            <w:r>
              <w:rPr>
                <w:rFonts w:ascii="Arial" w:cs="Arial" w:eastAsia="Arial" w:hAnsi="Arial"/>
                <w:sz w:val="7"/>
                <w:szCs w:val="7"/>
                <w:b w:val="1"/>
                <w:bCs w:val="1"/>
                <w:color w:val="auto"/>
                <w:w w:val="87"/>
              </w:rPr>
              <w:t>Space</w:t>
            </w:r>
          </w:p>
        </w:tc>
        <w:tc>
          <w:tcPr>
            <w:tcW w:w="420" w:type="dxa"/>
            <w:vAlign w:val="bottom"/>
          </w:tcPr>
          <w:p>
            <w:pPr>
              <w:ind w:left="120"/>
              <w:spacing w:after="0" w:line="70" w:lineRule="exact"/>
              <w:rPr>
                <w:sz w:val="20"/>
                <w:szCs w:val="20"/>
                <w:color w:val="auto"/>
              </w:rPr>
            </w:pPr>
            <w:r>
              <w:rPr>
                <w:rFonts w:ascii="Arial" w:cs="Arial" w:eastAsia="Arial" w:hAnsi="Arial"/>
                <w:sz w:val="7"/>
                <w:szCs w:val="7"/>
                <w:b w:val="1"/>
                <w:bCs w:val="1"/>
                <w:color w:val="auto"/>
              </w:rPr>
              <w:t>Group</w:t>
            </w: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ind w:left="18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520" w:type="dxa"/>
            <w:vAlign w:val="bottom"/>
            <w:gridSpan w:val="2"/>
          </w:tcPr>
          <w:p>
            <w:pPr>
              <w:jc w:val="center"/>
              <w:ind w:right="60"/>
              <w:spacing w:after="0" w:line="70" w:lineRule="exact"/>
              <w:rPr>
                <w:sz w:val="20"/>
                <w:szCs w:val="20"/>
                <w:color w:val="auto"/>
              </w:rPr>
            </w:pPr>
            <w:r>
              <w:rPr>
                <w:rFonts w:ascii="Arial" w:cs="Arial" w:eastAsia="Arial" w:hAnsi="Arial"/>
                <w:sz w:val="7"/>
                <w:szCs w:val="7"/>
                <w:b w:val="1"/>
                <w:bCs w:val="1"/>
                <w:color w:val="auto"/>
                <w:w w:val="87"/>
              </w:rPr>
              <w:t>Space</w:t>
            </w:r>
          </w:p>
        </w:tc>
        <w:tc>
          <w:tcPr>
            <w:tcW w:w="440" w:type="dxa"/>
            <w:vAlign w:val="bottom"/>
          </w:tcPr>
          <w:p>
            <w:pPr>
              <w:ind w:left="120"/>
              <w:spacing w:after="0" w:line="70" w:lineRule="exact"/>
              <w:rPr>
                <w:sz w:val="20"/>
                <w:szCs w:val="20"/>
                <w:color w:val="auto"/>
              </w:rPr>
            </w:pPr>
            <w:r>
              <w:rPr>
                <w:rFonts w:ascii="Arial" w:cs="Arial" w:eastAsia="Arial" w:hAnsi="Arial"/>
                <w:sz w:val="7"/>
                <w:szCs w:val="7"/>
                <w:b w:val="1"/>
                <w:bCs w:val="1"/>
                <w:color w:val="auto"/>
              </w:rPr>
              <w:t>Group</w:t>
            </w:r>
          </w:p>
        </w:tc>
      </w:tr>
      <w:tr>
        <w:trPr>
          <w:trHeight w:val="88"/>
        </w:trPr>
        <w:tc>
          <w:tcPr>
            <w:tcW w:w="42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5"/>
              </w:rPr>
              <w:t>(570)</w:t>
            </w:r>
          </w:p>
        </w:tc>
        <w:tc>
          <w:tcPr>
            <w:tcW w:w="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(1,519)</w:t>
            </w:r>
          </w:p>
        </w:tc>
        <w:tc>
          <w:tcPr>
            <w:tcW w:w="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(2,089)</w:t>
            </w: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(1,263)</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(2,810)</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(4,073)</w:t>
            </w:r>
          </w:p>
        </w:tc>
      </w:tr>
      <w:tr>
        <w:trPr>
          <w:trHeight w:val="99"/>
        </w:trPr>
        <w:tc>
          <w:tcPr>
            <w:tcW w:w="424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8"/>
              </w:rPr>
              <w:t>(1,239)</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8"/>
              </w:rPr>
              <w:t>(1,312)</w:t>
            </w:r>
          </w:p>
        </w:tc>
        <w:tc>
          <w:tcPr>
            <w:tcW w:w="8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(2,551)</w:t>
            </w:r>
          </w:p>
        </w:tc>
        <w:tc>
          <w:tcPr>
            <w:tcW w:w="12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32"/>
              <w:spacing w:after="0" w:line="99" w:lineRule="exact"/>
              <w:rPr>
                <w:sz w:val="20"/>
                <w:szCs w:val="20"/>
                <w:color w:val="auto"/>
              </w:rPr>
            </w:pPr>
            <w:r>
              <w:rPr>
                <w:rFonts w:ascii="Arial" w:cs="Arial" w:eastAsia="Arial" w:hAnsi="Arial"/>
                <w:sz w:val="10"/>
                <w:szCs w:val="10"/>
                <w:color w:val="auto"/>
                <w:w w:val="94"/>
              </w:rPr>
              <w:t>(621)</w:t>
            </w:r>
          </w:p>
        </w:tc>
        <w:tc>
          <w:tcPr>
            <w:tcW w:w="52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88"/>
              </w:rPr>
              <w:t>(3,300)</w:t>
            </w:r>
          </w:p>
        </w:tc>
        <w:tc>
          <w:tcPr>
            <w:tcW w:w="8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8"/>
              </w:rPr>
              <w:t>(3,921)</w:t>
            </w:r>
          </w:p>
        </w:tc>
      </w:tr>
      <w:tr>
        <w:trPr>
          <w:trHeight w:val="99"/>
        </w:trPr>
        <w:tc>
          <w:tcPr>
            <w:tcW w:w="42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92"/>
              </w:rPr>
              <w:t>Depreciation, amortization and impairment of other intangible assets and property, plant and equipment</w:t>
            </w:r>
          </w:p>
        </w:tc>
        <w:tc>
          <w:tcPr>
            <w:tcW w:w="44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(240)</w:t>
            </w:r>
          </w:p>
        </w:tc>
        <w:tc>
          <w:tcPr>
            <w:tcW w:w="500" w:type="dxa"/>
            <w:vAlign w:val="bottom"/>
            <w:gridSpan w:val="2"/>
            <w:shd w:val="clear" w:color="auto" w:fill="CCEEFF"/>
          </w:tcPr>
          <w:p>
            <w:pPr>
              <w:jc w:val="center"/>
              <w:ind w:left="37"/>
              <w:spacing w:after="0" w:line="99" w:lineRule="exact"/>
              <w:rPr>
                <w:sz w:val="20"/>
                <w:szCs w:val="20"/>
                <w:color w:val="auto"/>
              </w:rPr>
            </w:pPr>
            <w:r>
              <w:rPr>
                <w:rFonts w:ascii="Arial" w:cs="Arial" w:eastAsia="Arial" w:hAnsi="Arial"/>
                <w:sz w:val="10"/>
                <w:szCs w:val="10"/>
                <w:color w:val="auto"/>
                <w:w w:val="94"/>
              </w:rPr>
              <w:t>(254)</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4"/>
              </w:rPr>
              <w:t>(494)</w:t>
            </w:r>
          </w:p>
        </w:tc>
        <w:tc>
          <w:tcPr>
            <w:tcW w:w="120" w:type="dxa"/>
            <w:vAlign w:val="bottom"/>
            <w:tcBorders>
              <w:right w:val="single" w:sz="8" w:color="auto"/>
            </w:tcBorders>
            <w:shd w:val="clear" w:color="auto" w:fill="CCEEFF"/>
          </w:tcPr>
          <w:p>
            <w:pPr>
              <w:spacing w:after="0"/>
              <w:rPr>
                <w:sz w:val="8"/>
                <w:szCs w:val="8"/>
                <w:color w:val="auto"/>
              </w:rPr>
            </w:pPr>
          </w:p>
        </w:tc>
        <w:tc>
          <w:tcPr>
            <w:tcW w:w="500" w:type="dxa"/>
            <w:vAlign w:val="bottom"/>
            <w:gridSpan w:val="2"/>
            <w:shd w:val="clear" w:color="auto" w:fill="CCEEFF"/>
          </w:tcPr>
          <w:p>
            <w:pPr>
              <w:jc w:val="center"/>
              <w:ind w:left="32"/>
              <w:spacing w:after="0" w:line="99" w:lineRule="exact"/>
              <w:rPr>
                <w:sz w:val="20"/>
                <w:szCs w:val="20"/>
                <w:color w:val="auto"/>
              </w:rPr>
            </w:pPr>
            <w:r>
              <w:rPr>
                <w:rFonts w:ascii="Arial" w:cs="Arial" w:eastAsia="Arial" w:hAnsi="Arial"/>
                <w:sz w:val="10"/>
                <w:szCs w:val="10"/>
                <w:color w:val="auto"/>
                <w:w w:val="94"/>
              </w:rPr>
              <w:t>(126)</w:t>
            </w:r>
          </w:p>
        </w:tc>
        <w:tc>
          <w:tcPr>
            <w:tcW w:w="520" w:type="dxa"/>
            <w:vAlign w:val="bottom"/>
            <w:gridSpan w:val="2"/>
            <w:shd w:val="clear" w:color="auto" w:fill="CCEEFF"/>
          </w:tcPr>
          <w:p>
            <w:pPr>
              <w:jc w:val="center"/>
              <w:ind w:left="37"/>
              <w:spacing w:after="0" w:line="99" w:lineRule="exact"/>
              <w:rPr>
                <w:sz w:val="20"/>
                <w:szCs w:val="20"/>
                <w:color w:val="auto"/>
              </w:rPr>
            </w:pPr>
            <w:r>
              <w:rPr>
                <w:rFonts w:ascii="Arial" w:cs="Arial" w:eastAsia="Arial" w:hAnsi="Arial"/>
                <w:sz w:val="10"/>
                <w:szCs w:val="10"/>
                <w:color w:val="auto"/>
                <w:w w:val="85"/>
              </w:rPr>
              <w:t>(676)</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(802)</w:t>
            </w:r>
          </w:p>
        </w:tc>
      </w:tr>
      <w:tr>
        <w:trPr>
          <w:trHeight w:val="99"/>
        </w:trPr>
        <w:tc>
          <w:tcPr>
            <w:tcW w:w="424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5"/>
              </w:rPr>
              <w:t>(135)</w:t>
            </w:r>
          </w:p>
        </w:tc>
        <w:tc>
          <w:tcPr>
            <w:tcW w:w="50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94"/>
              </w:rPr>
              <w:t>(142)</w:t>
            </w:r>
          </w:p>
        </w:tc>
        <w:tc>
          <w:tcPr>
            <w:tcW w:w="8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94"/>
              </w:rPr>
              <w:t>(277)</w:t>
            </w:r>
          </w:p>
        </w:tc>
        <w:tc>
          <w:tcPr>
            <w:tcW w:w="12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12"/>
              <w:spacing w:after="0" w:line="99" w:lineRule="exact"/>
              <w:rPr>
                <w:sz w:val="20"/>
                <w:szCs w:val="20"/>
                <w:color w:val="auto"/>
              </w:rPr>
            </w:pPr>
            <w:r>
              <w:rPr>
                <w:rFonts w:ascii="Arial" w:cs="Arial" w:eastAsia="Arial" w:hAnsi="Arial"/>
                <w:sz w:val="10"/>
                <w:szCs w:val="10"/>
                <w:color w:val="auto"/>
                <w:w w:val="89"/>
              </w:rPr>
              <w:t>(92)</w:t>
            </w:r>
          </w:p>
        </w:tc>
        <w:tc>
          <w:tcPr>
            <w:tcW w:w="52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85"/>
              </w:rPr>
              <w:t>(487)</w:t>
            </w:r>
          </w:p>
        </w:tc>
        <w:tc>
          <w:tcPr>
            <w:tcW w:w="8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5"/>
              </w:rPr>
              <w:t>(579)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-376555</wp:posOffset>
            </wp:positionV>
            <wp:extent cx="228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860" cy="571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-319405</wp:posOffset>
            </wp:positionV>
            <wp:extent cx="2286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860" cy="571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-262255</wp:posOffset>
            </wp:positionV>
            <wp:extent cx="2286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49" w:lineRule="exact"/>
        <w:rPr>
          <w:sz w:val="20"/>
          <w:szCs w:val="20"/>
          <w:color w:val="auto"/>
        </w:rPr>
      </w:pPr>
    </w:p>
    <w:p>
      <w:pPr>
        <w:ind w:left="2260" w:right="1059" w:hanging="288"/>
        <w:spacing w:after="0" w:line="214" w:lineRule="auto"/>
        <w:tabs>
          <w:tab w:leader="none" w:pos="226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Revenue increased significantly from €90 thousand in the six months ended June 30, 2020 to €1,349 thousand in the six months ended June 30, 2021, due to a substantial increase in revenue in our Space segment driven by sales of our CONDOR terminals. Our Air Segment generated no revenue in the six months ended June 30, 2020 and June 30, 2021.</w:t>
      </w:r>
    </w:p>
    <w:p>
      <w:pPr>
        <w:spacing w:after="0" w:line="122"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On a regional level, revenue in our Space segment in the six months ended June 30, 2021 consisted exclusively of revenue from sales in the United States.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Revenue increased significantly from €114 thousand in 2019 to €679 thousand in 2020, primarily due to a substantial increase in revenue in our Air segment driven by sales of our HAWK terminals from no revenues in 2019 to €589 thousand in 2020. This increase in our Air segment revenue was partially offset by a slight decrease in revenue by 21.1% in our Space segment from €114 thousand in 2019 to €90 thousand in 2020, mainly driven by lower customer orders that contributed to revenue in 2020.</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Other operating income increased by 17.8% from €230 thousand in the six months ended June 30, 2020 to €271 thousand in the six months ended June 30, 2021, primarily due to an increase in income from government grants.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959" w:firstLine="294"/>
        <w:spacing w:after="0" w:line="379" w:lineRule="auto"/>
        <w:rPr>
          <w:sz w:val="20"/>
          <w:szCs w:val="20"/>
          <w:color w:val="auto"/>
        </w:rPr>
      </w:pPr>
      <w:r>
        <w:rPr>
          <w:rFonts w:ascii="Arial" w:cs="Arial" w:eastAsia="Arial" w:hAnsi="Arial"/>
          <w:sz w:val="10"/>
          <w:szCs w:val="10"/>
          <w:color w:val="auto"/>
        </w:rPr>
        <w:t>Other operating income increased by 16.7%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cost of materials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(2,790)</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(6,221)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(2,522)</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(4,431)</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2,089</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4,073</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1,710</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632</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Cost of materials excluding own work capitalized</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(2,148)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(3,799)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Cost of materials increased by 75.7% from €2,522 thousand in the six months ended June 30, 2020 to €4,431 thousand in the six months ended June 30, 2021, primarily due to a substantial increase of raw materials and consumables used driven by our requirements for increased quantity of materials in connection with the production of our CONDOR terminals and, more generally, the ongoing preparations for the serial production of our HAWK and CONDOR terminals. The portion of own work capitalized included in cost of materials decreased by 63.0% from €1,710 thousand in the six months ended June 30, 2020 to €632 thousand in the six months ended June 30, 2021, primarily due to the completion of the development of our AIR technology in June 2020 and our SPACE technology in March 2021. Cost of materials excluding own work capitalized increased by 367.9% from €812 thousand in the six months ended June 30, 2020 to €3,799 thousand in the six months ended June 30, 2021, primarily reflecting the substantial increase of raw materials and consumables used driven by the increased production of our CONDOR terminals.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Cost of materials increased by 123.0% from €2,790 thousand in 2019 to €6,221 thousand in 2020, primarily due to a substantial increase of raw</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and consumables used from €1,208 thousand in 2019 to €4,715 thousand in 2020 driven by our requirements for increased quantity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in connection with the production of our CONDOR terminals and, more generally, ongoing preparations for the ramp-up of serial production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our HAWK terminals. The portion of own work capitalized included in cost of materials increased by 95.0% from €2,089 thousand in 2019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€4,073 thousand in 2020, primarily due to an increase in capitalized development costs driven by further development of our space products. Cost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excluding own work capitalized increased by 206.4% from €701 thousand in 2019 to €2,148 thousand in 2020, primarily reflecting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substantial increase of raw materials and consumables used driven by the ramp-up of serial production of our HAWK terminals.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personnel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7"/>
              </w:rPr>
              <w:t>For the year ended</w:t>
            </w:r>
          </w:p>
        </w:tc>
        <w:tc>
          <w:tcPr>
            <w:tcW w:w="1180" w:type="dxa"/>
            <w:vAlign w:val="bottom"/>
            <w:gridSpan w:val="4"/>
          </w:tcPr>
          <w:p>
            <w:pPr>
              <w:jc w:val="center"/>
              <w:ind w:right="169"/>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8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3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63"/>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7"/>
                <w:szCs w:val="7"/>
                <w:color w:val="auto"/>
              </w:rPr>
            </w:pPr>
          </w:p>
        </w:tc>
      </w:tr>
      <w:tr>
        <w:trPr>
          <w:trHeight w:val="74"/>
        </w:trPr>
        <w:tc>
          <w:tcPr>
            <w:tcW w:w="4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0" w:type="dxa"/>
            <w:vAlign w:val="bottom"/>
          </w:tcPr>
          <w:p>
            <w:pPr>
              <w:spacing w:after="0"/>
              <w:rPr>
                <w:sz w:val="6"/>
                <w:szCs w:val="6"/>
                <w:color w:val="auto"/>
              </w:rPr>
            </w:pP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4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costs</w:t>
            </w:r>
          </w:p>
        </w:tc>
        <w:tc>
          <w:tcPr>
            <w:tcW w:w="680" w:type="dxa"/>
            <w:vAlign w:val="bottom"/>
            <w:tcBorders>
              <w:top w:val="single" w:sz="8" w:color="auto"/>
            </w:tcBorders>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(9,407)</w:t>
            </w:r>
            <w:r>
              <w:rPr>
                <w:rFonts w:ascii="Arial" w:cs="Arial" w:eastAsia="Arial" w:hAnsi="Arial"/>
                <w:sz w:val="10"/>
                <w:szCs w:val="10"/>
                <w:color w:val="auto"/>
                <w:w w:val="99"/>
              </w:rPr>
              <w:t>(1)</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(16,834)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rPr>
              <w:t>(7,603)</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(10,812)</w:t>
            </w:r>
          </w:p>
        </w:tc>
        <w:tc>
          <w:tcPr>
            <w:tcW w:w="200" w:type="dxa"/>
            <w:vAlign w:val="bottom"/>
            <w:tcBorders>
              <w:top w:val="single" w:sz="8" w:color="CCEEFF"/>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w:t>
            </w:r>
          </w:p>
        </w:tc>
      </w:tr>
      <w:tr>
        <w:trPr>
          <w:trHeight w:val="144"/>
        </w:trPr>
        <w:tc>
          <w:tcPr>
            <w:tcW w:w="48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360" w:type="dxa"/>
            <w:vAlign w:val="bottom"/>
          </w:tcPr>
          <w:p>
            <w:pPr>
              <w:jc w:val="right"/>
              <w:spacing w:after="0"/>
              <w:rPr>
                <w:sz w:val="20"/>
                <w:szCs w:val="20"/>
                <w:color w:val="auto"/>
              </w:rPr>
            </w:pPr>
            <w:r>
              <w:rPr>
                <w:rFonts w:ascii="Arial" w:cs="Arial" w:eastAsia="Arial" w:hAnsi="Arial"/>
                <w:sz w:val="12"/>
                <w:szCs w:val="12"/>
                <w:i w:val="1"/>
                <w:iCs w:val="1"/>
                <w:color w:val="auto"/>
              </w:rPr>
              <w:t>2,551</w:t>
            </w:r>
          </w:p>
        </w:tc>
        <w:tc>
          <w:tcPr>
            <w:tcW w:w="3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3,921</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2,247</w:t>
            </w:r>
          </w:p>
        </w:tc>
        <w:tc>
          <w:tcPr>
            <w:tcW w:w="620" w:type="dxa"/>
            <w:vAlign w:val="bottom"/>
            <w:gridSpan w:val="2"/>
          </w:tcPr>
          <w:p>
            <w:pPr>
              <w:jc w:val="right"/>
              <w:ind w:right="149"/>
              <w:spacing w:after="0"/>
              <w:rPr>
                <w:sz w:val="20"/>
                <w:szCs w:val="20"/>
                <w:color w:val="auto"/>
              </w:rPr>
            </w:pPr>
            <w:r>
              <w:rPr>
                <w:rFonts w:ascii="Arial" w:cs="Arial" w:eastAsia="Arial" w:hAnsi="Arial"/>
                <w:sz w:val="12"/>
                <w:szCs w:val="12"/>
                <w:i w:val="1"/>
                <w:iCs w:val="1"/>
                <w:color w:val="auto"/>
              </w:rPr>
              <w:t>1,392</w:t>
            </w:r>
          </w:p>
        </w:tc>
      </w:tr>
      <w:tr>
        <w:trPr>
          <w:trHeight w:val="20"/>
        </w:trPr>
        <w:tc>
          <w:tcPr>
            <w:tcW w:w="4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 (</w:t>
            </w:r>
            <w:r>
              <w:rPr>
                <w:rFonts w:ascii="Arial" w:cs="Arial" w:eastAsia="Arial" w:hAnsi="Arial"/>
                <w:sz w:val="12"/>
                <w:szCs w:val="12"/>
                <w:i w:val="1"/>
                <w:iCs w:val="1"/>
                <w:color w:val="auto"/>
              </w:rPr>
              <w:t>i.e</w:t>
            </w:r>
            <w:r>
              <w:rPr>
                <w:rFonts w:ascii="Arial" w:cs="Arial" w:eastAsia="Arial" w:hAnsi="Arial"/>
                <w:sz w:val="12"/>
                <w:szCs w:val="12"/>
                <w:color w:val="auto"/>
              </w:rPr>
              <w:t>., personnel costs excluding own work capitalized)</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(6,856)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8"/>
              </w:rPr>
              <w:t>(12,913)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4"/>
              </w:rPr>
              <w:t>(5,356)</w:t>
            </w:r>
          </w:p>
        </w:tc>
        <w:tc>
          <w:tcPr>
            <w:tcW w:w="62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(9,420)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879" w:hanging="288"/>
        <w:spacing w:after="0" w:line="314" w:lineRule="auto"/>
        <w:tabs>
          <w:tab w:leader="none" w:pos="2260" w:val="left"/>
        </w:tabs>
        <w:numPr>
          <w:ilvl w:val="0"/>
          <w:numId w:val="37"/>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spacing w:after="0" w:line="9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39" w:firstLine="294"/>
        <w:spacing w:after="0" w:line="303" w:lineRule="auto"/>
        <w:rPr>
          <w:sz w:val="20"/>
          <w:szCs w:val="20"/>
          <w:color w:val="auto"/>
        </w:rPr>
      </w:pPr>
      <w:r>
        <w:rPr>
          <w:rFonts w:ascii="Arial" w:cs="Arial" w:eastAsia="Arial" w:hAnsi="Arial"/>
          <w:sz w:val="10"/>
          <w:szCs w:val="10"/>
          <w:color w:val="auto"/>
        </w:rPr>
        <w:t>Personnel costs increased by 42.2% from €7,603 thousand in the six months ended June 30, 2020 to €10,812 thousand in the six months ended June 30, 2021, primarily due to the significant increase in our headcount to support the ramp-up of our serial production for our HAWK and CONDOR products and to support the increase in our research and development as well as marketing and sales activities. Wages and salaries increased from €6,708 thousand in the six months ended June 30, 2020 to €9,274 thousand in the six months ended June 30, 2021, primarily due to the significant increase in our headcount from 143 FTEs in the six months ended June 30, 2020 to 214 FTEs in the six months ended June 30, 2021. The portion of own work capitalized included in personnel costs decreased by 38.1% from €2,247 thousand in the six months ended June 30, 2020 to €1,392 thousand in the</w:t>
      </w:r>
    </w:p>
    <w:p>
      <w:pPr>
        <w:spacing w:after="0" w:line="2"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six months ended June 30, 2021, primarily due to the completion of the development of our AIR technology in June 2020 and our SPACE technology in March 2021. Personnel expenses (i.e., personnel costs excluding own work capitalized) increased by 75.9% from €5,356 thousand in the six months ended June 30, 2020 to €9,420 thousand in the six months ended June 30, 2021.</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Personnel costs increased by 79.0% from €9,407 thousand in 2019 to €16,834 thousand in 2020, primarily due to the significant increase in our headcount to support the ramp-up of our research and development as well marketing and sales efforts and ramp-up of our serial production for our HAWK products. Wages and salaries increased from €8,306 thousand in 2019 to €14,710 thousand in 2020, primarily due to the significant increase in our headcount from 97.5 FTEs in 2019 to 186.6 FTEs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 The portion of own work capitalized included in personnel costs increased by 53.7% from €2,551 thousand in 2019 to €3,921 thousand in 2020, primarily due to an increase in capitalized development costs driven by further development of our space products. Outpacing the total increase in personnel costs, primarily reflecting the ramp-up of commercial production and the personnel expenses (</w:t>
      </w:r>
      <w:r>
        <w:rPr>
          <w:rFonts w:ascii="Arial" w:cs="Arial" w:eastAsia="Arial" w:hAnsi="Arial"/>
          <w:sz w:val="11"/>
          <w:szCs w:val="11"/>
          <w:i w:val="1"/>
          <w:iCs w:val="1"/>
          <w:color w:val="auto"/>
        </w:rPr>
        <w:t>i.e</w:t>
      </w:r>
      <w:r>
        <w:rPr>
          <w:rFonts w:ascii="Arial" w:cs="Arial" w:eastAsia="Arial" w:hAnsi="Arial"/>
          <w:sz w:val="11"/>
          <w:szCs w:val="11"/>
          <w:color w:val="auto"/>
        </w:rPr>
        <w:t>., personnel costs excluding own work capitalized) increased by 88.3% from €6,856 thousand in 2019 to €12,913 thousand in 2020.</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provides our depreciation, amortization and impairment of other intangible assets and property, plant and equipment for the periods presented:</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4"/>
              </w:rPr>
              <w:t>For the year ended</w:t>
            </w:r>
          </w:p>
        </w:tc>
        <w:tc>
          <w:tcPr>
            <w:tcW w:w="9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26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2019</w:t>
            </w:r>
          </w:p>
        </w:tc>
        <w:tc>
          <w:tcPr>
            <w:tcW w:w="2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2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22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95"/>
                <w:shd w:val="clear" w:color="auto" w:fill="CCEEFF"/>
              </w:rPr>
              <w:t>Depreciation, amortization and impairment of other intangible assets and property, plant and equipment</w:t>
            </w: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shd w:val="clear" w:color="auto" w:fill="CCEEFF"/>
              </w:rPr>
              <w:t>(1,117)</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shd w:val="clear" w:color="auto" w:fill="CCEEFF"/>
              </w:rPr>
              <w:t>(1,843)</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9"/>
                <w:shd w:val="clear" w:color="auto" w:fill="CCEEFF"/>
              </w:rPr>
              <w:t>(814)</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shd w:val="clear" w:color="auto" w:fill="CCEEFF"/>
              </w:rPr>
              <w:t>(1,916)</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26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494</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802</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462</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187</w:t>
            </w:r>
          </w:p>
        </w:tc>
      </w:tr>
      <w:tr>
        <w:trPr>
          <w:trHeight w:val="133"/>
        </w:trPr>
        <w:tc>
          <w:tcPr>
            <w:tcW w:w="5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5"/>
              </w:rPr>
              <w:t>Depreciation, amortization and impairment of other intangible assets and property, plant and equipment</w:t>
            </w: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5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excluding own work capitalized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(1,041)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(352)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135.4% from €814 thousand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in the six months ended June 30, 2020 to €1,916 thousand in the six months ended June 30, 2021, primarily due to higher investments in the expansion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our development and production capacities, for which depreciation started in the period between July 1, 2020 and June 30, 2021. The increase was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further driven by the initial amortization of our SPACE technology, which accounted for €358 thousand of depreciation and amortization in the six</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months ended June 30, 2021, and the ongoing amortization of our AIR technology, which accounted for €136 thousand of amortization in the six months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ended June 30, 2021. The portion of own work capitalized included in depreciation, amortization and impairment of other intangible assets and property,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plant and equipment decreased by 59.5% from €462 thousand in the six months ended June 30, 2020 to €187 thousand in the six months ended June 30,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2021, due to the completion of the development of our AIR technology in June 2020 and our SPACE technology in March 2021. Depreciation,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amortization and impairment of other intangible assets and property, plant and equipment excluding own work capitalized increased by 391.2% from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€352 thousand in the six months ended June 30, 2020 to €1,729 thousand in the six months ended June 30, 2021, primarily due to higher investments in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expansion of our development and production capacities, for which depreciation started in the period between July 1, 2020 and June 30, 2021.</w:t>
      </w:r>
    </w:p>
    <w:p>
      <w:pPr>
        <w:spacing w:after="0" w:line="15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65.0% from €1,117 thousand in 2019 to €1,843 thousand in 2020, primarily due to depreciation on investments in laboratory, research and testing facilities and the initial amortization of our AIR technology, which accounted for €157 thousand of depreciation and amortization in 2020. The portion of own work capitalized included in depreciation, amortization and impairment of other intangible assets and property, plant and equipment increased by 62.3% from €494 thousand in 2019 to €802 thousand in 2020, primarily due to increased depreciation on investments in laboratory, research and testing facilities. Depreciation, amortization and impairment of other intangible assets and property, plant and equipment excluding own work capitalized increased by 67.1% from €623 thousand in 2019 to €1,041 thousand in 2020, primarily due to the depreciation on investments in laboratory, research and testing facilities.</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other operating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operating costs</w:t>
            </w:r>
            <w:r>
              <w:rPr>
                <w:rFonts w:ascii="Arial" w:cs="Arial" w:eastAsia="Arial" w:hAnsi="Arial"/>
                <w:sz w:val="10"/>
                <w:szCs w:val="10"/>
                <w:color w:val="auto"/>
              </w:rPr>
              <w:t>(1)</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(2,813)</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(5,344)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(2,147)</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(4,160)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277</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579</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333</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260</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expenses (</w:t>
            </w:r>
            <w:r>
              <w:rPr>
                <w:rFonts w:ascii="Arial" w:cs="Arial" w:eastAsia="Arial" w:hAnsi="Arial"/>
                <w:sz w:val="12"/>
                <w:szCs w:val="12"/>
                <w:i w:val="1"/>
                <w:iCs w:val="1"/>
                <w:color w:val="auto"/>
              </w:rPr>
              <w:t>i.e.</w:t>
            </w:r>
            <w:r>
              <w:rPr>
                <w:rFonts w:ascii="Arial" w:cs="Arial" w:eastAsia="Arial" w:hAnsi="Arial"/>
                <w:sz w:val="12"/>
                <w:szCs w:val="12"/>
                <w:color w:val="auto"/>
              </w:rPr>
              <w:t>, other operating costs excluding own work capitalized )</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(2,536)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(4,765)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(3,900)</w:t>
            </w:r>
          </w:p>
        </w:tc>
      </w:tr>
    </w:tbl>
    <w:p>
      <w:pPr>
        <w:spacing w:after="0" w:line="150" w:lineRule="exact"/>
        <w:rPr>
          <w:sz w:val="20"/>
          <w:szCs w:val="20"/>
          <w:color w:val="auto"/>
        </w:rPr>
      </w:pPr>
    </w:p>
    <w:p>
      <w:pPr>
        <w:ind w:left="2260" w:right="899" w:hanging="288"/>
        <w:spacing w:after="0" w:line="335" w:lineRule="auto"/>
        <w:tabs>
          <w:tab w:leader="none" w:pos="2260" w:val="left"/>
        </w:tabs>
        <w:numPr>
          <w:ilvl w:val="0"/>
          <w:numId w:val="38"/>
        </w:numPr>
        <w:rPr>
          <w:rFonts w:ascii="Arial" w:cs="Arial" w:eastAsia="Arial" w:hAnsi="Arial"/>
          <w:sz w:val="8"/>
          <w:szCs w:val="8"/>
          <w:color w:val="auto"/>
        </w:rPr>
      </w:pPr>
      <w:r>
        <w:rPr>
          <w:rFonts w:ascii="Arial" w:cs="Arial" w:eastAsia="Arial" w:hAnsi="Arial"/>
          <w:sz w:val="8"/>
          <w:szCs w:val="8"/>
          <w:color w:val="auto"/>
        </w:rPr>
        <w:t>Includes non-segment specific expenses of €179 thousand in 2019, €443 thousand in 2020, €111 thousand in the six months ended June 30, 2020 and €391 thousand in the six months ended June 30, 2021, in each case relating to the preparation and audit of our financial statements as well as remuneration for the members of our supervisory board.</w:t>
      </w:r>
    </w:p>
    <w:p>
      <w:pPr>
        <w:spacing w:after="0" w:line="8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Arial" w:cs="Arial" w:eastAsia="Arial" w:hAnsi="Arial"/>
          <w:sz w:val="11"/>
          <w:szCs w:val="11"/>
          <w:color w:val="auto"/>
        </w:rPr>
        <w:t>Other operating costs increased by 93.8% from €2,147 thousand in the six months ended June 30, 2020 to €4,160 thousand in the six months ended June 30, 2021, primarily due to the increase in legal and consulting fees as well as ongoing IT costs related to the implementation of a new SAP ERP system. We also incurred higher costs relating to the purchase of services as well as tools and devices in connection with the continued expansion of our development and production capacities. The portion of own work capitalized included in other operating costs decreased by 21.9% from €333 thousand in the six months ended June 30, 2020 to €260 thousand in the six months ended June 30, 2021, primarily due to the completion of the development of our AIR technology in June 2020 and our SPACE technology in March 2021. Other operating expenses (i.e., other operating costs excluding own work capitalized) increased by 115.0% from €1,814 thousand in the six months ended June 30, 2020 to €3,900 thousand in the six months ended June 30, 2021, primarily due to the increase in legal and consulting fees as well as ongoing IT costs related to the implementation of a new SAP ERP system.</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Other operating costs increased by 90.0% from €2,813 thousand in 2019 to €5,344 thousand in 2020, primarily due to the increase in legal and consulting fees litigation costs, as well as reporting, auditing and accounting costs driven by reorganization considerations, preparations for this offering and ongoing IT costs due to the introduction and implementation of a new SAP ERP system. We also incurred higher costs relating to the purchase of services as well as tools and devices in connection with the continued expansion of our development and production capacities. In addition, other personnel costs increased, driven by higher recruiting costs in connection with our increase in headcount. The portion of own work capitalized included in other operating costs increased by 109.0% from €277 thousand in 2019 to €579 thousand in 2020, due to an increase in capitalized development costs driven by further development of our AIR and SPACE technologies. Other operating expenses (</w:t>
      </w:r>
      <w:r>
        <w:rPr>
          <w:rFonts w:ascii="Arial" w:cs="Arial" w:eastAsia="Arial" w:hAnsi="Arial"/>
          <w:sz w:val="11"/>
          <w:szCs w:val="11"/>
          <w:i w:val="1"/>
          <w:iCs w:val="1"/>
          <w:color w:val="auto"/>
        </w:rPr>
        <w:t>i.e.</w:t>
      </w:r>
      <w:r>
        <w:rPr>
          <w:rFonts w:ascii="Arial" w:cs="Arial" w:eastAsia="Arial" w:hAnsi="Arial"/>
          <w:sz w:val="11"/>
          <w:szCs w:val="11"/>
          <w:color w:val="auto"/>
        </w:rPr>
        <w:t>, other operating costs excluding own work capitalized) increased by 87.9% from €2,536 thousand in 2019 to €4,765 thousand in 2020, primarily due to legal and consulting fees, litigation costs, ongoing IT costs as well as costs for preparation and audit of financial statements, and accounting costs which accounted in the aggregate for approximately 88% of the increase.</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Change in inventories of finished goods and work in progress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0"/>
              </w:rPr>
              <w:t>For the year</w:t>
            </w:r>
          </w:p>
        </w:tc>
        <w:tc>
          <w:tcPr>
            <w:tcW w:w="10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ended December 31,</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02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26"/>
              <w:spacing w:after="0" w:line="88" w:lineRule="exact"/>
              <w:rPr>
                <w:sz w:val="20"/>
                <w:szCs w:val="20"/>
                <w:color w:val="auto"/>
              </w:rPr>
            </w:pPr>
            <w:r>
              <w:rPr>
                <w:rFonts w:ascii="Arial" w:cs="Arial" w:eastAsia="Arial" w:hAnsi="Arial"/>
                <w:sz w:val="10"/>
                <w:szCs w:val="10"/>
                <w:b w:val="1"/>
                <w:bCs w:val="1"/>
                <w:color w:val="auto"/>
                <w:w w:val="98"/>
              </w:rPr>
              <w:t>2019</w:t>
            </w:r>
          </w:p>
        </w:tc>
        <w:tc>
          <w:tcPr>
            <w:tcW w:w="50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30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07"/>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133"/>
        </w:trPr>
        <w:tc>
          <w:tcPr>
            <w:tcW w:w="5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Increase in inventories of work in progress</w:t>
            </w:r>
          </w:p>
        </w:tc>
        <w:tc>
          <w:tcPr>
            <w:tcW w:w="520" w:type="dxa"/>
            <w:vAlign w:val="bottom"/>
            <w:tcBorders>
              <w:top w:val="single" w:sz="8" w:color="auto"/>
            </w:tcBorders>
            <w:shd w:val="clear" w:color="auto" w:fill="CCEEFF"/>
          </w:tcPr>
          <w:p>
            <w:pPr>
              <w:jc w:val="right"/>
              <w:ind w:right="166"/>
              <w:spacing w:after="0" w:line="133" w:lineRule="exact"/>
              <w:rPr>
                <w:sz w:val="20"/>
                <w:szCs w:val="20"/>
                <w:color w:val="auto"/>
              </w:rPr>
            </w:pPr>
            <w:r>
              <w:rPr>
                <w:rFonts w:ascii="Arial" w:cs="Arial" w:eastAsia="Arial" w:hAnsi="Arial"/>
                <w:sz w:val="12"/>
                <w:szCs w:val="12"/>
                <w:color w:val="auto"/>
              </w:rPr>
              <w:t>272</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757</w:t>
            </w: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47"/>
              <w:spacing w:after="0" w:line="133" w:lineRule="exact"/>
              <w:rPr>
                <w:sz w:val="20"/>
                <w:szCs w:val="20"/>
                <w:color w:val="auto"/>
              </w:rPr>
            </w:pPr>
            <w:r>
              <w:rPr>
                <w:rFonts w:ascii="Arial" w:cs="Arial" w:eastAsia="Arial" w:hAnsi="Arial"/>
                <w:sz w:val="12"/>
                <w:szCs w:val="12"/>
                <w:color w:val="auto"/>
              </w:rPr>
              <w:t>467</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Increase in inventories finished goods</w:t>
            </w:r>
          </w:p>
        </w:tc>
        <w:tc>
          <w:tcPr>
            <w:tcW w:w="520" w:type="dxa"/>
            <w:vAlign w:val="bottom"/>
          </w:tcPr>
          <w:p>
            <w:pPr>
              <w:jc w:val="right"/>
              <w:ind w:right="226"/>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7"/>
              <w:spacing w:after="0"/>
              <w:rPr>
                <w:sz w:val="20"/>
                <w:szCs w:val="20"/>
                <w:color w:val="auto"/>
              </w:rPr>
            </w:pPr>
            <w:r>
              <w:rPr>
                <w:rFonts w:ascii="Arial" w:cs="Arial" w:eastAsia="Arial" w:hAnsi="Arial"/>
                <w:sz w:val="12"/>
                <w:szCs w:val="12"/>
                <w:color w:val="auto"/>
              </w:rPr>
              <w:t>393</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Write-downs</w:t>
            </w:r>
          </w:p>
        </w:tc>
        <w:tc>
          <w:tcPr>
            <w:tcW w:w="52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-120</w:t>
            </w:r>
          </w:p>
        </w:tc>
        <w:tc>
          <w:tcPr>
            <w:tcW w:w="52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157"/>
        </w:trPr>
        <w:tc>
          <w:tcPr>
            <w:tcW w:w="5020" w:type="dxa"/>
            <w:vAlign w:val="bottom"/>
          </w:tcPr>
          <w:p>
            <w:pPr>
              <w:spacing w:after="0"/>
              <w:rPr>
                <w:sz w:val="20"/>
                <w:szCs w:val="20"/>
                <w:color w:val="auto"/>
              </w:rPr>
            </w:pPr>
            <w:r>
              <w:rPr>
                <w:rFonts w:ascii="Arial" w:cs="Arial" w:eastAsia="Arial" w:hAnsi="Arial"/>
                <w:sz w:val="12"/>
                <w:szCs w:val="12"/>
                <w:b w:val="1"/>
                <w:bCs w:val="1"/>
                <w:color w:val="auto"/>
              </w:rPr>
              <w:t>Total changes in inventories</w:t>
            </w:r>
          </w:p>
        </w:tc>
        <w:tc>
          <w:tcPr>
            <w:tcW w:w="520" w:type="dxa"/>
            <w:vAlign w:val="bottom"/>
          </w:tcPr>
          <w:p>
            <w:pPr>
              <w:jc w:val="right"/>
              <w:ind w:right="166"/>
              <w:spacing w:after="0"/>
              <w:rPr>
                <w:sz w:val="20"/>
                <w:szCs w:val="20"/>
                <w:color w:val="auto"/>
              </w:rPr>
            </w:pPr>
            <w:r>
              <w:rPr>
                <w:rFonts w:ascii="Arial" w:cs="Arial" w:eastAsia="Arial" w:hAnsi="Arial"/>
                <w:sz w:val="12"/>
                <w:szCs w:val="12"/>
                <w:b w:val="1"/>
                <w:bCs w:val="1"/>
                <w:color w:val="auto"/>
              </w:rPr>
              <w:t>272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637</w:t>
            </w:r>
          </w:p>
        </w:tc>
        <w:tc>
          <w:tcPr>
            <w:tcW w:w="520" w:type="dxa"/>
            <w:vAlign w:val="bottom"/>
          </w:tcPr>
          <w:p>
            <w:pPr>
              <w:jc w:val="right"/>
              <w:ind w:right="147"/>
              <w:spacing w:after="0"/>
              <w:rPr>
                <w:sz w:val="20"/>
                <w:szCs w:val="20"/>
                <w:color w:val="auto"/>
              </w:rPr>
            </w:pPr>
            <w:r>
              <w:rPr>
                <w:rFonts w:ascii="Arial" w:cs="Arial" w:eastAsia="Arial" w:hAnsi="Arial"/>
                <w:sz w:val="12"/>
                <w:szCs w:val="12"/>
                <w:b w:val="1"/>
                <w:bCs w:val="1"/>
                <w:color w:val="auto"/>
              </w:rPr>
              <w:t>740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988</w:t>
            </w:r>
          </w:p>
        </w:tc>
      </w:tr>
    </w:tbl>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Change in inventories of finished goods and work in progress increased by 146.8% from €393 thousand in the six months ended June 30, 2020 to €970 thousand in the six months ended June 30, 2021, primarily due to ramped up production of our HAWK and CONDOR terminals.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Change in inventories of finished goods and work in progress increased by 134.2% from €272 thousand in 2019 to €637 thousand in 2020, primarily due to ramped up production of our HAWK terminals in connection with a contract we entered into with a U.S. customer to introduce our HAWK product to the U.S. governmental market. This increase was partially offset by impairments with respect to two HAWK terminals in 2020 in the amount of €120 thousand due to technological improvements in our products resulting in such terminals becoming obsolete.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Own work capitalized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7"/>
              </w:rPr>
              <w:t>For the year</w:t>
            </w:r>
          </w:p>
        </w:tc>
        <w:tc>
          <w:tcPr>
            <w:tcW w:w="8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88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38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5"/>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127"/>
              <w:spacing w:after="0" w:line="88"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88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480" w:type="dxa"/>
            <w:vAlign w:val="bottom"/>
            <w:tcBorders>
              <w:top w:val="single" w:sz="8" w:color="auto"/>
            </w:tcBorders>
            <w:shd w:val="clear" w:color="auto" w:fill="CCEEFF"/>
          </w:tcPr>
          <w:p>
            <w:pPr>
              <w:jc w:val="right"/>
              <w:ind w:right="85"/>
              <w:spacing w:after="0" w:line="133" w:lineRule="exact"/>
              <w:rPr>
                <w:sz w:val="20"/>
                <w:szCs w:val="20"/>
                <w:color w:val="auto"/>
              </w:rPr>
            </w:pPr>
            <w:r>
              <w:rPr>
                <w:rFonts w:ascii="Arial" w:cs="Arial" w:eastAsia="Arial" w:hAnsi="Arial"/>
                <w:sz w:val="12"/>
                <w:szCs w:val="12"/>
                <w:color w:val="auto"/>
              </w:rPr>
              <w:t>2,089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67"/>
              <w:spacing w:after="0" w:line="133" w:lineRule="exact"/>
              <w:rPr>
                <w:sz w:val="20"/>
                <w:szCs w:val="20"/>
                <w:color w:val="auto"/>
              </w:rPr>
            </w:pPr>
            <w:r>
              <w:rPr>
                <w:rFonts w:ascii="Arial" w:cs="Arial" w:eastAsia="Arial" w:hAnsi="Arial"/>
                <w:sz w:val="12"/>
                <w:szCs w:val="12"/>
                <w:color w:val="auto"/>
                <w:w w:val="99"/>
              </w:rPr>
              <w:t>1,710</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Personnel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2,551</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3,921</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w w:val="99"/>
              </w:rPr>
              <w:t>2,247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1,392</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w w:val="97"/>
              </w:rPr>
              <w:t>Depreciation, amortization and impairment of other intangible assets and property, plant and equipment</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494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802</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Other operating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277</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579</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rPr>
              <w:t>333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b w:val="1"/>
                <w:bCs w:val="1"/>
                <w:color w:val="auto"/>
              </w:rPr>
              <w:t>5,411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9,375</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b w:val="1"/>
                <w:bCs w:val="1"/>
                <w:color w:val="auto"/>
                <w:w w:val="99"/>
              </w:rPr>
              <w:t>4,752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2,471</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Own work capitalized decreased by 48.0% from €4,752 thousand in the six months ended June 30, 2020 to €2,471 thousand in the six months ended June 30, 2021, primarily due to the final development of our SPACE technology, followed by delivery of our products based on such final technology to customers in March 2021.</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Own work capitalized increased by 73.3%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Operating loss (EBIT) increased by 123.3% from €7,274 thousand in the six months ended June 30, 2020 to €16,240 thousand in the six months ended June 30, 2021, primarily due to higher investments in our development and production capacities and higher personnel costs resulting from headcount growth. The substantial increase in operating loss (EBIT) was further driven by the completion of the development of our AIR technology in mid-2020 and of our SPACE technology in March 2021 following which 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our Space segment, operating loss (EBIT) increased by 128.3% from a loss of €4,944 thousand in the six months ended June 30, 2020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€11,288 thousand in the six months ended June 30, 2021, which was mainly due to significantly higher personnel costs and cost of purchased material</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services in connection with the initial development and ongoing improvements of our space products. Furthermore, as we completed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development of our SPACE technology in March 2021, all subsequent expenses incurred in connection with our SPACE technology have been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recognized as expenses, which further contributed to the increase in operating loss (EBIT) in our Space segment in the six months ended June 30, 2021.</w:t>
      </w:r>
    </w:p>
    <w:p>
      <w:pPr>
        <w:spacing w:after="0" w:line="164"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our Air segment, operating loss (EBIT) increased by 103.2% from a loss of €2,219 thousand in the six months ended June 30, 2020 to €4,509 thousand in the six months ended June 30, 2021, mainly due to the significantly higher personnel costs and cost of purchased material and services in connection with the initial development and ongoing improvements of our space products. The increase in operating loss (EBIT) was further impacted by the completion of the development of our AIR technology in mid-2020 following which all expenses incurred to maintain the value of our AIR technology have been recognized as expenses.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Operating loss (EBIT) increased by 91.1% from €10,078 thousand in 2019 to €19,257 thousand in 2020, primarily driven by higher investments in our development and production capacities and higher personnel costs resulting from headcount growth. The substantial increase in operating loss (EBIT)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Operating loss (EBIT) in our Space segment increased by 143.4% from a loss of €5,091 thousand in 2019 to €12,391 thousand in 2020, mainly as a result of the significantly higher personnel costs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our Air segment, operating loss (EBIT) increased by 70.5% from a loss of €3,767 thousand in 2019 to €6,423 thousand in 2020 mainly due to the significantly higher personnel costs and cost of purchased material and services in connection with the initial development and ongoing improvements of our air products.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Net finance costs increased significantly from negative €19 thousand in the six months ended June 30, 2020 to €163 thousand in the six months ended June 30, 2021, primarily due to a positive result from foreign currency effects relating to the U.S. dollar in connection with an intercompany loan granted by us to our U.S. subsidiary.</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Net finance costs increased by 381.9% from €182 thousand in 2019 to negative €513 thousand in 2020, primarily due to a negative result from foreign currency effects relating to the U.S. dollar in connection with an intercompany loan granted by us to our U.S. subsidiary.</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Profit / loss before taxes (EBT) increased by 120.4% from a loss of €7,293 thousand in the six months ended June 30, 2020 to a loss of €16,077 thousand in the six months ended June 30, 2021 due to the foregoing reasons.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by 99.8%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Since our inception, we have not generated any significant revenue from the sale of our technology or products, and have incurred significant operating losses and negative cash flows from our operations. We are in the early phases of serial production and have only recently begun to monetize our technology. To date, we have primarily raised capital and funded our operations with proceeds from the sale of our ordinary shares and debt financing, and we have also received limited grants from government agencies and similar bodies like the European Union for participation in specific research and development projects. As of June 30, 2021, we had cash and cash equivalents of €18.4 million compared to €43.2 million as of December 31, 2020. Our cash and cash equivalents consist primarily of cash in bank accounts. In September 2021, we entered into a credit agreement for a credit line of approximately €25 million in September 2021 (see “—Credit Agreement”). As of October 15, 2021, we had €28 million in available liquidity primarily consisting of cash and cash equivalents and unused credit lines available as well as other highly liquid assets.</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have planned for significant increases in revenue and cash flows in 2022 as we ramp up the commercial production of our CONDOR and HAWK terminals. While some of the revenues planned for 2022 are subject to firm contractual obligations, significant amounts are not or are based on our expectations that more than the contractually agreed minimum number of terminals will be ordered by the respective customers. For example,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Under the agreement, NG will provide us over the next five years with the opportunity to sell and provide products and/or related services to NG in the aggregate amount of $35 million. Our ability to generate revenue from the agreement will depend on NG being awarded the relevant government contracts. For more information, see “Business—Our Operations—Our Go-To-Market Strategy—Customer Awards—Strategic Agreement with Northrop Grumman.”</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Furthermore, we are actively pursuing multiple commercial opportunities to sell our CONDOR and HAWK terminals to an expanding customer base. In light of the uncertainties associated with realizing our operational plan, we seek to raise sufficient financing through this offering and we are actively pursuing other options, including both equity and debt financing, to fund our operations. Our ability to raise external financing has been, and will continue to be, highly dependent on making further progress in the development of our technology and products. We believe, however, that we will be successful in raising the required financing to fund our operational and financial obligations. If we are unable to do so, these material uncertainties may cast substantial doubt on our ability to continue as a going concern.</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50"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2022.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19, 2021, the outstanding loan amount under the credit agreement was €7.5 million.</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6"/>
              </w:rPr>
              <w:t>For the 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For the six months ended June 30,</w:t>
            </w:r>
          </w:p>
        </w:tc>
      </w:tr>
      <w:tr>
        <w:trPr>
          <w:trHeight w:val="88"/>
        </w:trPr>
        <w:tc>
          <w:tcPr>
            <w:tcW w:w="34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w w:val="89"/>
              </w:rPr>
              <w:t>2020</w:t>
            </w:r>
          </w:p>
        </w:tc>
        <w:tc>
          <w:tcPr>
            <w:tcW w:w="42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69"/>
              <w:spacing w:after="0" w:line="88"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jc w:val="right"/>
              <w:ind w:right="187"/>
              <w:spacing w:after="0" w:line="88" w:lineRule="exact"/>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7"/>
                <w:szCs w:val="7"/>
                <w:color w:val="auto"/>
              </w:rPr>
            </w:pPr>
          </w:p>
        </w:tc>
      </w:tr>
      <w:tr>
        <w:trPr>
          <w:trHeight w:val="74"/>
        </w:trPr>
        <w:tc>
          <w:tcPr>
            <w:tcW w:w="3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jc w:val="center"/>
              <w:ind w:left="429"/>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13"/>
        </w:trPr>
        <w:tc>
          <w:tcPr>
            <w:tcW w:w="3480" w:type="dxa"/>
            <w:vAlign w:val="bottom"/>
          </w:tcPr>
          <w:p>
            <w:pPr>
              <w:spacing w:after="0"/>
              <w:rPr>
                <w:sz w:val="9"/>
                <w:szCs w:val="9"/>
                <w:color w:val="auto"/>
              </w:rPr>
            </w:pPr>
          </w:p>
        </w:tc>
        <w:tc>
          <w:tcPr>
            <w:tcW w:w="1220" w:type="dxa"/>
            <w:vAlign w:val="bottom"/>
            <w:gridSpan w:val="3"/>
          </w:tcPr>
          <w:p>
            <w:pPr>
              <w:jc w:val="center"/>
              <w:ind w:left="388"/>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jc w:val="center"/>
              <w:ind w:left="409"/>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(8,319)</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(16,935)</w:t>
            </w:r>
          </w:p>
        </w:tc>
        <w:tc>
          <w:tcPr>
            <w:tcW w:w="1240" w:type="dxa"/>
            <w:vAlign w:val="bottom"/>
            <w:shd w:val="clear" w:color="auto" w:fill="CCEEFF"/>
          </w:tcPr>
          <w:p>
            <w:pPr>
              <w:jc w:val="right"/>
              <w:ind w:right="509"/>
              <w:spacing w:after="0"/>
              <w:rPr>
                <w:sz w:val="20"/>
                <w:szCs w:val="20"/>
                <w:color w:val="auto"/>
              </w:rPr>
            </w:pPr>
            <w:r>
              <w:rPr>
                <w:rFonts w:ascii="Arial" w:cs="Arial" w:eastAsia="Arial" w:hAnsi="Arial"/>
                <w:sz w:val="11"/>
                <w:szCs w:val="11"/>
                <w:color w:val="auto"/>
              </w:rPr>
              <w:t>(7,854)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(18,220)</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(7,167)</w:t>
            </w:r>
          </w:p>
        </w:tc>
        <w:tc>
          <w:tcPr>
            <w:tcW w:w="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color w:val="auto"/>
              </w:rPr>
              <w:t>(15,010)</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(6,378)</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11,466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66,340</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12,022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(588)</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(4,020)</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34,395</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(2,210)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(24,780)</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12,923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8,914</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36"/>
        </w:trPr>
        <w:tc>
          <w:tcPr>
            <w:tcW w:w="348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040" w:type="dxa"/>
            <w:vAlign w:val="bottom"/>
            <w:gridSpan w:val="2"/>
          </w:tcPr>
          <w:p>
            <w:pPr>
              <w:jc w:val="right"/>
              <w:ind w:right="400"/>
              <w:spacing w:after="0"/>
              <w:rPr>
                <w:sz w:val="20"/>
                <w:szCs w:val="20"/>
                <w:color w:val="auto"/>
              </w:rPr>
            </w:pPr>
            <w:r>
              <w:rPr>
                <w:rFonts w:ascii="Arial" w:cs="Arial" w:eastAsia="Arial" w:hAnsi="Arial"/>
                <w:sz w:val="11"/>
                <w:szCs w:val="11"/>
                <w:color w:val="auto"/>
              </w:rPr>
              <w:t>8,914</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43,198</w:t>
            </w:r>
          </w:p>
        </w:tc>
        <w:tc>
          <w:tcPr>
            <w:tcW w:w="1240" w:type="dxa"/>
            <w:vAlign w:val="bottom"/>
          </w:tcPr>
          <w:p>
            <w:pPr>
              <w:jc w:val="right"/>
              <w:ind w:right="549"/>
              <w:spacing w:after="0"/>
              <w:rPr>
                <w:sz w:val="20"/>
                <w:szCs w:val="20"/>
                <w:color w:val="auto"/>
              </w:rPr>
            </w:pPr>
            <w:r>
              <w:rPr>
                <w:rFonts w:ascii="Arial" w:cs="Arial" w:eastAsia="Arial" w:hAnsi="Arial"/>
                <w:sz w:val="11"/>
                <w:szCs w:val="11"/>
                <w:color w:val="auto"/>
              </w:rPr>
              <w:t>6,700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18,444</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Net cash used in operating activities increased from a cash outflow of €7.9 million in the six months ended June 30, 2020 to a cash outflow of €18.2 million in the six months ended June 30, 2021, mainly driven by an increase in net loss for the six months ended June 30, 2021. Changes in working capital further contributed to the higher cash outflow as inventories increased due to ongoing preparations for serial production. Adjustments for non-cash items, however, had a positive effect as they increased substantially in the six months ended June 30, 2021 compared to the six months ended June 30, 2020, mainly due to an increase in depreciation, amortization and impairments driven by the completion of the development of our AIR technology in mid-2020 and of our SPACE technology in March 2021.</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Net cash used in investing activities decreased from a cash outflow of €6.4 million in the six months ended June 30, 2020 to a cash outflow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€6.0 million in the six months ended June 30, 2021. This decrease was partially due to the final development of our AIR and SPACE technologies which</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resulted in a lower cash outflow of acquisition of intangible assets. Cash outflow relating to acquisition of property, plant and equipment, however,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increased from €1.6 million in the six months ended June 30, 2020 compared to €3.5 million in the six months ended June 30, 2021, primarily driven by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expansion of our development and production capacity at our production facilities.</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Net cash used in financing activities increased from a cash inflow of €12.0 million in the six months ended June 30, 2020 to a cash outflow of €0.6 million in the six months ended June 30, 2021. This was primarily due to the lack of proceeds from issue of share capital which significantly contributed to the high cash inflow in the six months ended June 30, 2020 and a decrease in proceeds from other financial assets.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table below summarizes the maturity profile of our financial liabilities based on contractual undiscounted payments as of June 30, 2021:</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6.512</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6.512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7.935</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1.295</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3.969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3.251</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7.887</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3.969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3.251</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179" w:firstLine="294"/>
        <w:spacing w:after="0" w:line="326" w:lineRule="auto"/>
        <w:rPr>
          <w:sz w:val="20"/>
          <w:szCs w:val="20"/>
          <w:color w:val="auto"/>
        </w:rPr>
      </w:pPr>
      <w:r>
        <w:rPr>
          <w:rFonts w:ascii="Arial" w:cs="Arial" w:eastAsia="Arial" w:hAnsi="Arial"/>
          <w:sz w:val="10"/>
          <w:szCs w:val="10"/>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979" w:firstLine="294"/>
        <w:spacing w:after="0" w:line="340" w:lineRule="auto"/>
        <w:rPr>
          <w:sz w:val="20"/>
          <w:szCs w:val="20"/>
          <w:color w:val="auto"/>
        </w:rPr>
      </w:pPr>
      <w:r>
        <w:rPr>
          <w:rFonts w:ascii="Arial" w:cs="Arial" w:eastAsia="Arial" w:hAnsi="Arial"/>
          <w:sz w:val="10"/>
          <w:szCs w:val="10"/>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99"/>
        <w:spacing w:after="0" w:line="259" w:lineRule="auto"/>
        <w:rPr>
          <w:sz w:val="20"/>
          <w:szCs w:val="20"/>
          <w:color w:val="auto"/>
        </w:rPr>
      </w:pPr>
      <w:r>
        <w:rPr>
          <w:rFonts w:ascii="Arial" w:cs="Arial" w:eastAsia="Arial" w:hAnsi="Arial"/>
          <w:sz w:val="12"/>
          <w:szCs w:val="12"/>
          <w:color w:val="auto"/>
        </w:rPr>
        <w:t>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24"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the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22" w:lineRule="exact"/>
        <w:rPr>
          <w:sz w:val="20"/>
          <w:szCs w:val="20"/>
          <w:color w:val="auto"/>
        </w:rPr>
      </w:pPr>
    </w:p>
    <w:p>
      <w:pPr>
        <w:ind w:left="1980" w:right="1099" w:firstLine="294"/>
        <w:spacing w:after="0" w:line="29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and most of the units produced in 2021 are intended for customer delivery.</w:t>
      </w:r>
    </w:p>
    <w:p>
      <w:pPr>
        <w:spacing w:after="0" w:line="111"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9"/>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63"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Cost-efficiency</w:t>
      </w:r>
      <w:r>
        <w:rPr>
          <w:rFonts w:ascii="Arial" w:cs="Arial" w:eastAsia="Arial" w:hAnsi="Arial"/>
          <w:sz w:val="12"/>
          <w:szCs w:val="12"/>
          <w:color w:val="auto"/>
        </w:rPr>
        <w:t>: We aim to industrialize laser communication by focusing on cost-efficient solutions to decrease the costs of deploying laser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communication for our customers and target markets. To this end, we seek to leverage proven industrialized processes and supply chain strategies from other industries,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60" w:right="839"/>
        <w:spacing w:after="0" w:line="259" w:lineRule="auto"/>
        <w:rPr>
          <w:sz w:val="20"/>
          <w:szCs w:val="20"/>
          <w:color w:val="auto"/>
        </w:rPr>
      </w:pPr>
      <w:r>
        <w:rPr>
          <w:rFonts w:ascii="Arial" w:cs="Arial" w:eastAsia="Arial" w:hAnsi="Arial"/>
          <w:sz w:val="12"/>
          <w:szCs w:val="12"/>
          <w:color w:val="auto"/>
        </w:rPr>
        <w:t>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142" w:lineRule="exact"/>
        <w:rPr>
          <w:sz w:val="20"/>
          <w:szCs w:val="20"/>
          <w:color w:val="auto"/>
        </w:rPr>
      </w:pPr>
    </w:p>
    <w:p>
      <w:pPr>
        <w:ind w:left="2540" w:right="859" w:hanging="280"/>
        <w:spacing w:after="0" w:line="25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2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41"/>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41"/>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28"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in late 2021 to Telesat’s system integrator, with the satellites scheduled to launch in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For more information, see “—Strategic Agreement with Northrop Grumman.”</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Arial" w:cs="Arial" w:eastAsia="Arial" w:hAnsi="Arial"/>
          <w:sz w:val="11"/>
          <w:szCs w:val="11"/>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terminals in 2021 and 2020, respectively.</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13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Initial delivery of equipment to a customer took place in first half of 2021.</w:t>
      </w:r>
    </w:p>
    <w:p>
      <w:pPr>
        <w:spacing w:after="0" w:line="115"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By leveraging our SPACE technology, we recently entered into a definitive agreement with SpaceLink to develop a new spaceborne laser communication terminal for SpaceLink’s satellites in MEO. These MEO terminals will be designed to relay data within SpaceLink’s MEO constellation as well as from MEO satellites to space systems in LEO. In developing our new MEO terminals, we will focus on unit design and qualification, including component selection and radiation testing, to meet SpaceLink’s mission, system and programmatic requirements.</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In our Air segment, we currently offer our flagship HAWK terminal for air operations, which is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started pre-serial production of our HAWK terminals in 2020 with initial production units used for internal testing and qualification purposes.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Customer-led testing campaigns started in late 2020 and are expected to continue throughout 2021.</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113" w:lineRule="exact"/>
        <w:rPr>
          <w:sz w:val="20"/>
          <w:szCs w:val="20"/>
          <w:color w:val="auto"/>
        </w:rPr>
      </w:pPr>
    </w:p>
    <w:p>
      <w:pPr>
        <w:ind w:left="1980" w:right="1439" w:firstLine="294"/>
        <w:spacing w:after="0" w:line="276" w:lineRule="auto"/>
        <w:rPr>
          <w:sz w:val="20"/>
          <w:szCs w:val="20"/>
          <w:color w:val="auto"/>
        </w:rPr>
      </w:pPr>
      <w:r>
        <w:rPr>
          <w:rFonts w:ascii="Arial" w:cs="Arial" w:eastAsia="Arial" w:hAnsi="Arial"/>
          <w:sz w:val="12"/>
          <w:szCs w:val="12"/>
          <w:color w:val="auto"/>
        </w:rPr>
        <w:t>In addition to our direct sales and marketing activities, we have developed a global network of distributors for our airborne laser-based communication products. For example, for our HAWK terminal, we have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distribution relationships in Australia, Israel and Japan and we are actively working to establish additional partnerships in other jurisdictions, such as India and South America.</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Government Market</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Initial delivery of equipment to this customer took place in the first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2021 to DARPA’s Blackjack system integrator, with satellites scheduled to launch in 2022.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October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For more information, see “—Strategic Agreement with Northrop Grumman.”</w:t>
      </w:r>
    </w:p>
    <w:p>
      <w:pPr>
        <w:spacing w:after="0" w:line="124"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In April 2020, we received an order for HAWK terminals from a major U.S. aerospace and defense company. We delivered pre-serial product versions of our HAWK terminals to this customer in the fourth quarter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of 2020, following which our customer conducted initial system testing and demonstrations in deployment scenarios. We continue to work with this customer to expand the mission scope of our HAWK product in airborne scenarios.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Commercial Market</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Strategic Agreement with Northrop Grumman</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On October 31, 2021, we entered into a strategic agreement with Northrop Grumman International Trading, Inc. (NG) setting forth the terms for a strategic collaboration primarily in the space arena (the “Strategic Agreement”).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will serve as a strategic supplier to NG, granting NG assured and preferred access and pricing to our products and services.</w:t>
      </w:r>
    </w:p>
    <w:p>
      <w:pPr>
        <w:spacing w:after="0" w:line="12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As part of the agreement, we have agreed with NG to exclusively develop and sell to NG customized laser communication solutions for use in or relating to space where the ultimate customer is a U.S. government customer. The agreement does not restrict our ability to jointly develop or sell products in any other market segment or to sell our off-the-shelf products to any customer.</w:t>
      </w:r>
    </w:p>
    <w:p>
      <w:pPr>
        <w:spacing w:after="0" w:line="122"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Under the Strategic Agreement, NG has agreed to provide us with an annual minimum awards opportunity to sell and provide to NG our jointly developed products or our off-the-shelf products and/or related services. Over the term of the agreement, the cumulative annual awards opportunity shall amount to at least USD 35 million.</w:t>
      </w:r>
    </w:p>
    <w:p>
      <w:pPr>
        <w:spacing w:after="0" w:line="122"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The Strategic Agreement has a term of five (5) years. We are entitled to terminate the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agreement. We may not assign the agreement without NG’s prior consent. In case of a change of control, NG is entitled to terminate the agreement.</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289" w:lineRule="auto"/>
        <w:rPr>
          <w:sz w:val="20"/>
          <w:szCs w:val="20"/>
          <w:color w:val="auto"/>
        </w:rPr>
      </w:pPr>
      <w:r>
        <w:rPr>
          <w:rFonts w:ascii="Arial" w:cs="Arial" w:eastAsia="Arial" w:hAnsi="Arial"/>
          <w:sz w:val="11"/>
          <w:szCs w:val="11"/>
          <w:color w:val="auto"/>
        </w:rPr>
        <w:t>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11"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Our research &amp; development activities were initially based on a license granted to us by the DLR under a cooperation and licensing agreement entered into in 2013. Under this agreement, the DLR granted us 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11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terminals in 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2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92"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124" w:lineRule="exact"/>
        <w:rPr>
          <w:sz w:val="20"/>
          <w:szCs w:val="20"/>
          <w:color w:val="auto"/>
        </w:rPr>
      </w:pPr>
    </w:p>
    <w:p>
      <w:pPr>
        <w:ind w:left="1980" w:right="899" w:firstLine="294"/>
        <w:spacing w:after="0" w:line="340" w:lineRule="auto"/>
        <w:rPr>
          <w:sz w:val="20"/>
          <w:szCs w:val="20"/>
          <w:color w:val="auto"/>
        </w:rPr>
      </w:pPr>
      <w:r>
        <w:rPr>
          <w:rFonts w:ascii="Arial" w:cs="Arial" w:eastAsia="Arial" w:hAnsi="Arial"/>
          <w:sz w:val="10"/>
          <w:szCs w:val="10"/>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June 30, 2021, we employed 214 FTEs, of which 198 FTEs were based in Germany and 16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500" w:type="dxa"/>
            <w:vAlign w:val="bottom"/>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As of June 30,</w:t>
            </w:r>
          </w:p>
        </w:tc>
      </w:tr>
      <w:tr>
        <w:trPr>
          <w:trHeight w:val="88"/>
        </w:trPr>
        <w:tc>
          <w:tcPr>
            <w:tcW w:w="52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2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198.0</w:t>
            </w:r>
          </w:p>
        </w:tc>
        <w:tc>
          <w:tcPr>
            <w:tcW w:w="40" w:type="dxa"/>
            <w:vAlign w:val="bottom"/>
            <w:shd w:val="clear" w:color="auto" w:fill="CCEEFF"/>
          </w:tcPr>
          <w:p>
            <w:pPr>
              <w:spacing w:after="0"/>
              <w:rPr>
                <w:sz w:val="10"/>
                <w:szCs w:val="10"/>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United States</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w:t>
            </w:r>
          </w:p>
        </w:tc>
      </w:tr>
      <w:tr>
        <w:trPr>
          <w:trHeight w:val="20"/>
        </w:trPr>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97.5</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214</w:t>
            </w:r>
          </w:p>
        </w:tc>
      </w:tr>
      <w:tr>
        <w:trPr>
          <w:trHeight w:val="27"/>
        </w:trPr>
        <w:tc>
          <w:tcPr>
            <w:tcW w:w="5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92"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In July 2020, the German Federal Ministry for Economic Affairs and Energy (</w:t>
      </w:r>
      <w:r>
        <w:rPr>
          <w:rFonts w:ascii="Arial" w:cs="Arial" w:eastAsia="Arial" w:hAnsi="Arial"/>
          <w:sz w:val="12"/>
          <w:szCs w:val="12"/>
          <w:i w:val="1"/>
          <w:iCs w:val="1"/>
          <w:color w:val="auto"/>
        </w:rPr>
        <w:t>Bundesministerium für Wirtschaft und Energie</w:t>
      </w:r>
      <w:r>
        <w:rPr>
          <w:rFonts w:ascii="Arial" w:cs="Arial" w:eastAsia="Arial" w:hAnsi="Arial"/>
          <w:sz w:val="12"/>
          <w:szCs w:val="12"/>
          <w:color w:val="auto"/>
        </w:rPr>
        <w:t>) prohibited the export of laser communication terminals for installation on LEO satellites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to customers in China based on Section 6 in conjunction with Section 4 para. 1 of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115" w:lineRule="exact"/>
        <w:rPr>
          <w:sz w:val="20"/>
          <w:szCs w:val="20"/>
          <w:color w:val="auto"/>
        </w:rPr>
      </w:pPr>
    </w:p>
    <w:p>
      <w:pPr>
        <w:ind w:left="1980" w:right="87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w:t>
      </w:r>
    </w:p>
    <w:p>
      <w:pPr>
        <w:spacing w:after="0" w:line="10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 (iv) maximum amount authorizations, which can be granted to one exporter and may cover multiple items to</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 xml:space="preserve">U.S. sanctions may take the form of country- or territory-based sanctions or list-based sanctions. Currently, country- or territory-based sanctions target, </w:t>
      </w:r>
      <w:r>
        <w:rPr>
          <w:rFonts w:ascii="Arial" w:cs="Arial" w:eastAsia="Arial" w:hAnsi="Arial"/>
          <w:sz w:val="11"/>
          <w:szCs w:val="11"/>
          <w:i w:val="1"/>
          <w:iCs w:val="1"/>
          <w:color w:val="auto"/>
        </w:rPr>
        <w:t>inter alia</w:t>
      </w:r>
      <w:r>
        <w:rPr>
          <w:rFonts w:ascii="Arial" w:cs="Arial" w:eastAsia="Arial" w:hAnsi="Arial"/>
          <w:sz w:val="11"/>
          <w:szCs w:val="11"/>
          <w:color w:val="auto"/>
        </w:rPr>
        <w: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13"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U.S. sanctions. In addition, we may also be subject to sanctions-related obligations through contracts with suppliers, credit facilities or loan agreements that require compliance with U.S. sanctions or screening against U.S. sanctions lists.</w:t>
      </w:r>
    </w:p>
    <w:p>
      <w:pPr>
        <w:spacing w:after="0" w:line="115"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124"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 xml:space="preserve">According to an amendment to the AWV, which came 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3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17"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44</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48</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Pursuant to our articles of association, our supervisory board shall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consist of five (5) members.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28"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1980" w:right="1079" w:hanging="8"/>
        <w:spacing w:after="0" w:line="260" w:lineRule="auto"/>
        <w:tabs>
          <w:tab w:leader="none" w:pos="215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members, at least two (2) members of the supervisory board shall be independent from the controlling shareholder. A member of the supervisory board is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019" w:hanging="280"/>
        <w:spacing w:after="0" w:line="298" w:lineRule="auto"/>
        <w:tabs>
          <w:tab w:leader="none" w:pos="25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122" w:lineRule="exact"/>
        <w:rPr>
          <w:rFonts w:ascii="Arial" w:cs="Arial" w:eastAsia="Arial" w:hAnsi="Arial"/>
          <w:sz w:val="11"/>
          <w:szCs w:val="11"/>
          <w:color w:val="auto"/>
        </w:rPr>
      </w:pPr>
    </w:p>
    <w:p>
      <w:pPr>
        <w:ind w:left="2540" w:right="93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7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50"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our articles of association, our supervisory board shall consist of five (5) members. On October 5, Mr. Gerd Gruppe, deputy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chairperson of our supervisory board, resigned with immediate effect from his position for personal reasons. The remaining members of the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board elected Mr. Peter Müller-Brühl to serve as deputy chairperson of our supervisory board. To fill the vacant position, the supervisory board has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nominated Mr. Hans Königsmann to serve as substitute member on our supervisory board until the next general meeting held in 2022. Vacant positions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the supervisory board can only be filled with an individual either elected by the general meeting or appointed by the competent court upon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application by the Company. Accordingly, on October 11, 2021, the supervisory board submitted an application to the competent local court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of Munich requesting the appointment of Mr. Hans Königsmann as member of our supervisory board. On October 14, 2021,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competent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appointed Mr. Hans Königsmann as a member of our supervisory board.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 in which</w:t>
            </w:r>
          </w:p>
        </w:tc>
        <w:tc>
          <w:tcPr>
            <w:tcW w:w="4340" w:type="dxa"/>
            <w:vAlign w:val="bottom"/>
          </w:tcPr>
          <w:p>
            <w:pPr>
              <w:spacing w:after="0"/>
              <w:rPr>
                <w:sz w:val="10"/>
                <w:szCs w:val="10"/>
                <w:color w:val="auto"/>
              </w:rPr>
            </w:pPr>
          </w:p>
        </w:tc>
      </w:tr>
      <w:tr>
        <w:trPr>
          <w:trHeight w:val="133"/>
        </w:trPr>
        <w:tc>
          <w:tcPr>
            <w:tcW w:w="19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Age</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Term Expires</w:t>
            </w:r>
          </w:p>
        </w:tc>
        <w:tc>
          <w:tcPr>
            <w:tcW w:w="4340" w:type="dxa"/>
            <w:vAlign w:val="bottom"/>
          </w:tcPr>
          <w:p>
            <w:pPr>
              <w:ind w:left="174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4"/>
        </w:trPr>
        <w:tc>
          <w:tcPr>
            <w:tcW w:w="2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Dr.</w:t>
            </w:r>
          </w:p>
        </w:tc>
        <w:tc>
          <w:tcPr>
            <w:tcW w:w="166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18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55</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ind w:right="428"/>
              <w:spacing w:after="0" w:line="104" w:lineRule="exact"/>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Chief executive officer of cloudeo AG</w:t>
            </w:r>
          </w:p>
        </w:tc>
      </w:tr>
      <w:tr>
        <w:trPr>
          <w:trHeight w:val="139"/>
        </w:trPr>
        <w:tc>
          <w:tcPr>
            <w:tcW w:w="1900" w:type="dxa"/>
            <w:vAlign w:val="bottom"/>
            <w:gridSpan w:val="2"/>
          </w:tcPr>
          <w:p>
            <w:pPr>
              <w:spacing w:after="0" w:line="138" w:lineRule="exact"/>
              <w:rPr>
                <w:sz w:val="20"/>
                <w:szCs w:val="20"/>
                <w:color w:val="auto"/>
              </w:rPr>
            </w:pPr>
            <w:r>
              <w:rPr>
                <w:rFonts w:ascii="Arial" w:cs="Arial" w:eastAsia="Arial" w:hAnsi="Arial"/>
                <w:sz w:val="10"/>
                <w:szCs w:val="10"/>
                <w:color w:val="auto"/>
              </w:rPr>
              <w:t>Peter Müller-Brühl</w:t>
            </w:r>
            <w:r>
              <w:rPr>
                <w:rFonts w:ascii="Arial" w:cs="Arial" w:eastAsia="Arial" w:hAnsi="Arial"/>
                <w:sz w:val="16"/>
                <w:szCs w:val="16"/>
                <w:color w:val="auto"/>
                <w:vertAlign w:val="superscript"/>
              </w:rPr>
              <w:t>(1)</w:t>
            </w:r>
            <w:r>
              <w:rPr>
                <w:rFonts w:ascii="Arial" w:cs="Arial" w:eastAsia="Arial" w:hAnsi="Arial"/>
                <w:sz w:val="10"/>
                <w:szCs w:val="10"/>
                <w:color w:val="auto"/>
              </w:rPr>
              <w:t xml:space="preserve"> (deputy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135"/>
        </w:trPr>
        <w:tc>
          <w:tcPr>
            <w:tcW w:w="1900" w:type="dxa"/>
            <w:vAlign w:val="bottom"/>
            <w:gridSpan w:val="2"/>
          </w:tcPr>
          <w:p>
            <w:pPr>
              <w:ind w:left="100"/>
              <w:spacing w:after="0"/>
              <w:rPr>
                <w:sz w:val="20"/>
                <w:szCs w:val="20"/>
                <w:color w:val="auto"/>
              </w:rPr>
            </w:pPr>
            <w:r>
              <w:rPr>
                <w:rFonts w:ascii="Arial" w:cs="Arial" w:eastAsia="Arial" w:hAnsi="Arial"/>
                <w:sz w:val="11"/>
                <w:szCs w:val="11"/>
                <w:color w:val="auto"/>
              </w:rPr>
              <w:t>chairperson)</w:t>
            </w:r>
          </w:p>
        </w:tc>
        <w:tc>
          <w:tcPr>
            <w:tcW w:w="180" w:type="dxa"/>
            <w:vAlign w:val="bottom"/>
          </w:tcPr>
          <w:p>
            <w:pPr>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r>
        <w:trPr>
          <w:trHeight w:val="131"/>
        </w:trPr>
        <w:tc>
          <w:tcPr>
            <w:tcW w:w="190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180" w:type="dxa"/>
            <w:vAlign w:val="bottom"/>
          </w:tcPr>
          <w:p>
            <w:pPr>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9"/>
                <w:szCs w:val="9"/>
                <w:color w:val="auto"/>
              </w:rPr>
              <w:t>Hans Königsmann</w:t>
            </w:r>
            <w:r>
              <w:rPr>
                <w:rFonts w:ascii="Arial" w:cs="Arial" w:eastAsia="Arial" w:hAnsi="Arial"/>
                <w:sz w:val="15"/>
                <w:szCs w:val="15"/>
                <w:color w:val="auto"/>
                <w:vertAlign w:val="superscript"/>
              </w:rPr>
              <w:t>(2)</w:t>
            </w:r>
          </w:p>
        </w:tc>
        <w:tc>
          <w:tcPr>
            <w:tcW w:w="180" w:type="dxa"/>
            <w:vAlign w:val="bottom"/>
          </w:tcPr>
          <w:p>
            <w:pPr>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Former vice president of flight reliability at SpaceX</w:t>
            </w:r>
          </w:p>
        </w:tc>
      </w:tr>
      <w:tr>
        <w:trPr>
          <w:trHeight w:val="238"/>
        </w:trPr>
        <w:tc>
          <w:tcPr>
            <w:tcW w:w="1900" w:type="dxa"/>
            <w:vAlign w:val="bottom"/>
            <w:gridSpan w:val="2"/>
          </w:tcPr>
          <w:p>
            <w:pPr>
              <w:spacing w:after="0"/>
              <w:rPr>
                <w:sz w:val="20"/>
                <w:szCs w:val="20"/>
                <w:color w:val="auto"/>
              </w:rPr>
            </w:pPr>
            <w:r>
              <w:rPr>
                <w:rFonts w:ascii="Arial" w:cs="Arial" w:eastAsia="Arial" w:hAnsi="Arial"/>
                <w:sz w:val="11"/>
                <w:szCs w:val="11"/>
                <w:color w:val="auto"/>
              </w:rPr>
              <w:t>Vincent Wobbe</w:t>
            </w:r>
            <w:r>
              <w:rPr>
                <w:rFonts w:ascii="Arial" w:cs="Arial" w:eastAsia="Arial" w:hAnsi="Arial"/>
                <w:sz w:val="18"/>
                <w:szCs w:val="18"/>
                <w:color w:val="auto"/>
                <w:vertAlign w:val="superscript"/>
              </w:rPr>
              <w:t>(3)</w:t>
            </w:r>
          </w:p>
        </w:tc>
        <w:tc>
          <w:tcPr>
            <w:tcW w:w="180" w:type="dxa"/>
            <w:vAlign w:val="bottom"/>
          </w:tcPr>
          <w:p>
            <w:pPr>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0"/>
                <w:szCs w:val="20"/>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1"/>
                <w:szCs w:val="11"/>
                <w:color w:val="auto"/>
                <w:w w:val="89"/>
              </w:rPr>
              <w:t>Head of public markets investments &amp; co-head equity capital markets of Apeiron Investment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51435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1059" w:hanging="288"/>
        <w:spacing w:after="0" w:line="214" w:lineRule="auto"/>
        <w:tabs>
          <w:tab w:leader="none" w:pos="22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Peter Müller-Brühl was elected deputy chairperson in the supervisory board meeting held on October 5, 2021 following resignation of Gerd Gruppe as member of the supervisory board.</w:t>
      </w:r>
    </w:p>
    <w:p>
      <w:pPr>
        <w:ind w:left="2260" w:right="999" w:hanging="288"/>
        <w:spacing w:after="0" w:line="206" w:lineRule="auto"/>
        <w:tabs>
          <w:tab w:leader="none" w:pos="22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Hans Königsmann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Gerd Gruppe as a member of the supervisory board in October 2021.</w:t>
      </w:r>
    </w:p>
    <w:p>
      <w:pPr>
        <w:ind w:left="2260" w:right="1099" w:hanging="288"/>
        <w:spacing w:after="0" w:line="221" w:lineRule="auto"/>
        <w:tabs>
          <w:tab w:leader="none" w:pos="22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Vincent Wobbe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Thomas Hanke as member of the supervisory board in June 2021.</w:t>
      </w:r>
    </w:p>
    <w:p>
      <w:pPr>
        <w:spacing w:after="0" w:line="12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b w:val="1"/>
          <w:bCs w:val="1"/>
          <w:i w:val="1"/>
          <w:iCs w:val="1"/>
          <w:color w:val="auto"/>
        </w:rPr>
        <w:t xml:space="preserve">Steve Geskos </w:t>
      </w:r>
      <w:r>
        <w:rPr>
          <w:rFonts w:ascii="Arial" w:cs="Arial" w:eastAsia="Arial" w:hAnsi="Arial"/>
          <w:sz w:val="11"/>
          <w:szCs w:val="11"/>
          <w:color w:val="auto"/>
        </w:rPr>
        <w:t>has been a member of our supervisory board since May 2021. He received a B.A. in history from Brandeis University and an MBA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 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 xml:space="preserve">Hans Königsmann </w:t>
      </w:r>
      <w:r>
        <w:rPr>
          <w:rFonts w:ascii="Arial" w:cs="Arial" w:eastAsia="Arial" w:hAnsi="Arial"/>
          <w:sz w:val="11"/>
          <w:szCs w:val="11"/>
          <w:color w:val="auto"/>
        </w:rPr>
        <w:t>has been a member of our supervisory board since October 2021. He holds a degree in aerospace engineering (</w:t>
      </w:r>
      <w:r>
        <w:rPr>
          <w:rFonts w:ascii="Arial" w:cs="Arial" w:eastAsia="Arial" w:hAnsi="Arial"/>
          <w:sz w:val="11"/>
          <w:szCs w:val="11"/>
          <w:i w:val="1"/>
          <w:iCs w:val="1"/>
          <w:color w:val="auto"/>
        </w:rPr>
        <w:t>Dipl.-Ingenieur</w:t>
      </w:r>
      <w:r>
        <w:rPr>
          <w:rFonts w:ascii="Arial" w:cs="Arial" w:eastAsia="Arial" w:hAnsi="Arial"/>
          <w:sz w:val="11"/>
          <w:szCs w:val="11"/>
          <w:color w:val="auto"/>
        </w:rPr>
        <w:t>,</w:t>
      </w:r>
      <w:r>
        <w:rPr>
          <w:rFonts w:ascii="Arial" w:cs="Arial" w:eastAsia="Arial" w:hAnsi="Arial"/>
          <w:sz w:val="11"/>
          <w:szCs w:val="11"/>
          <w:i w:val="1"/>
          <w:iCs w:val="1"/>
          <w:color w:val="auto"/>
        </w:rPr>
        <w:t xml:space="preserve"> Aerospace</w:t>
      </w:r>
      <w:r>
        <w:rPr>
          <w:rFonts w:ascii="Arial" w:cs="Arial" w:eastAsia="Arial" w:hAnsi="Arial"/>
          <w:sz w:val="11"/>
          <w:szCs w:val="11"/>
          <w:color w:val="auto"/>
        </w:rPr>
        <w:t>) from the Technical University Berlin and a Ph.D. in aerospace engineering and production technology from the University of</w:t>
      </w:r>
      <w:r>
        <w:rPr>
          <w:rFonts w:ascii="Arial" w:cs="Arial" w:eastAsia="Arial" w:hAnsi="Arial"/>
          <w:sz w:val="11"/>
          <w:szCs w:val="11"/>
          <w:i w:val="1"/>
          <w:iCs w:val="1"/>
          <w:color w:val="auto"/>
        </w:rPr>
        <w:t xml:space="preserve"> </w:t>
      </w:r>
      <w:r>
        <w:rPr>
          <w:rFonts w:ascii="Arial" w:cs="Arial" w:eastAsia="Arial" w:hAnsi="Arial"/>
          <w:sz w:val="11"/>
          <w:szCs w:val="11"/>
          <w:color w:val="auto"/>
        </w:rPr>
        <w:t>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September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w:t>
      </w:r>
    </w:p>
    <w:p>
      <w:pPr>
        <w:spacing w:after="0" w:line="119"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b w:val="1"/>
          <w:bCs w:val="1"/>
          <w:i w:val="1"/>
          <w:iCs w:val="1"/>
          <w:color w:val="auto"/>
        </w:rPr>
        <w:t xml:space="preserve">Vincent Wobbe </w:t>
      </w:r>
      <w:r>
        <w:rPr>
          <w:rFonts w:ascii="Arial" w:cs="Arial" w:eastAsia="Arial" w:hAnsi="Arial"/>
          <w:sz w:val="10"/>
          <w:szCs w:val="10"/>
          <w:color w:val="auto"/>
        </w:rPr>
        <w:t>has been a member of our supervisory board since June 2021. Mr. Wobbe holds a Master of Science in Financial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24" w:lineRule="exact"/>
        <w:rPr>
          <w:sz w:val="20"/>
          <w:szCs w:val="20"/>
          <w:color w:val="auto"/>
        </w:rPr>
      </w:pPr>
    </w:p>
    <w:p>
      <w:pPr>
        <w:jc w:val="both"/>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Name of committee</w:t>
            </w:r>
          </w:p>
        </w:tc>
        <w:tc>
          <w:tcPr>
            <w:tcW w:w="3160" w:type="dxa"/>
            <w:vAlign w:val="bottom"/>
            <w:gridSpan w:val="2"/>
          </w:tcPr>
          <w:p>
            <w:pPr>
              <w:spacing w:after="0"/>
              <w:rPr>
                <w:sz w:val="20"/>
                <w:szCs w:val="20"/>
                <w:color w:val="auto"/>
              </w:rPr>
            </w:pPr>
            <w:r>
              <w:rPr>
                <w:rFonts w:ascii="Arial" w:cs="Arial" w:eastAsia="Arial" w:hAnsi="Arial"/>
                <w:sz w:val="10"/>
                <w:szCs w:val="10"/>
                <w:b w:val="1"/>
                <w:bCs w:val="1"/>
                <w:color w:val="auto"/>
              </w:rPr>
              <w:t>Current Members</w:t>
            </w:r>
          </w:p>
        </w:tc>
      </w:tr>
      <w:tr>
        <w:trPr>
          <w:trHeight w:val="119"/>
        </w:trPr>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w w:val="98"/>
              </w:rPr>
              <w:t>Audit committee</w:t>
            </w:r>
          </w:p>
        </w:tc>
        <w:tc>
          <w:tcPr>
            <w:tcW w:w="30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rPr>
              <w:t>Steve Geskos</w:t>
            </w:r>
          </w:p>
        </w:tc>
        <w:tc>
          <w:tcPr>
            <w:tcW w:w="2400" w:type="dxa"/>
            <w:vAlign w:val="bottom"/>
          </w:tcPr>
          <w:p>
            <w:pPr>
              <w:spacing w:after="0" w:line="119" w:lineRule="exact"/>
              <w:rPr>
                <w:sz w:val="20"/>
                <w:szCs w:val="20"/>
                <w:color w:val="auto"/>
              </w:rPr>
            </w:pPr>
            <w:r>
              <w:rPr>
                <w:rFonts w:ascii="Arial" w:cs="Arial" w:eastAsia="Arial" w:hAnsi="Arial"/>
                <w:sz w:val="11"/>
                <w:szCs w:val="11"/>
                <w:color w:val="auto"/>
                <w:w w:val="88"/>
              </w:rPr>
              <w:t>(chairperson), Manfred Krischke and Peter-Müller Brühl</w:t>
            </w: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Compensation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r>
        <w:trPr>
          <w:trHeight w:val="145"/>
        </w:trPr>
        <w:tc>
          <w:tcPr>
            <w:tcW w:w="3880" w:type="dxa"/>
            <w:vAlign w:val="bottom"/>
            <w:gridSpan w:val="2"/>
          </w:tcPr>
          <w:p>
            <w:pPr>
              <w:spacing w:after="0"/>
              <w:rPr>
                <w:sz w:val="20"/>
                <w:szCs w:val="20"/>
                <w:color w:val="auto"/>
              </w:rPr>
            </w:pPr>
            <w:r>
              <w:rPr>
                <w:rFonts w:ascii="Arial" w:cs="Arial" w:eastAsia="Arial" w:hAnsi="Arial"/>
                <w:sz w:val="11"/>
                <w:szCs w:val="11"/>
                <w:color w:val="auto"/>
              </w:rPr>
              <w:t>Corporate governance and nominations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Audit Committee</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audit committee has the resources and authority appropriate to discharge its duties and responsibilities, including the authority to select, retain, terminate, and approve the fees and other engagement terms of special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85" w:lineRule="auto"/>
        <w:rPr>
          <w:sz w:val="20"/>
          <w:szCs w:val="20"/>
          <w:color w:val="auto"/>
        </w:rPr>
      </w:pPr>
      <w:r>
        <w:rPr>
          <w:rFonts w:ascii="Arial" w:cs="Arial" w:eastAsia="Arial" w:hAnsi="Arial"/>
          <w:sz w:val="11"/>
          <w:szCs w:val="11"/>
          <w:color w:val="auto"/>
        </w:rPr>
        <w:t>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certain limited exceptions, each member of the audit committee must be independent according to the following criteria:</w:t>
      </w:r>
    </w:p>
    <w:p>
      <w:pPr>
        <w:spacing w:after="0" w:line="168" w:lineRule="exact"/>
        <w:rPr>
          <w:sz w:val="20"/>
          <w:szCs w:val="20"/>
          <w:color w:val="auto"/>
        </w:rPr>
      </w:pPr>
    </w:p>
    <w:p>
      <w:pPr>
        <w:ind w:left="2540" w:right="859" w:hanging="280"/>
        <w:spacing w:after="0" w:line="323" w:lineRule="auto"/>
        <w:tabs>
          <w:tab w:leader="none" w:pos="2540" w:val="left"/>
        </w:tabs>
        <w:numPr>
          <w:ilvl w:val="0"/>
          <w:numId w:val="52"/>
        </w:numPr>
        <w:rPr>
          <w:rFonts w:ascii="Arial" w:cs="Arial" w:eastAsia="Arial" w:hAnsi="Arial"/>
          <w:sz w:val="11"/>
          <w:szCs w:val="11"/>
          <w:color w:val="auto"/>
        </w:rPr>
      </w:pPr>
      <w:r>
        <w:rPr>
          <w:rFonts w:ascii="Arial" w:cs="Arial" w:eastAsia="Arial" w:hAnsi="Arial"/>
          <w:sz w:val="11"/>
          <w:szCs w:val="11"/>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109" w:lineRule="exact"/>
        <w:rPr>
          <w:rFonts w:ascii="Arial" w:cs="Arial" w:eastAsia="Arial" w:hAnsi="Arial"/>
          <w:sz w:val="11"/>
          <w:szCs w:val="11"/>
          <w:color w:val="auto"/>
        </w:rPr>
      </w:pPr>
    </w:p>
    <w:p>
      <w:pPr>
        <w:ind w:left="2540" w:right="879" w:hanging="280"/>
        <w:spacing w:after="0" w:line="259"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At least one member of the audit committee shall qualify as an “audit committee financial expert” as defined under the Exchange Act.</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Our compensation committee consists of three members, one of whom is the chairperson of the supervisory board. Our compensation committee is responsible for:</w:t>
      </w:r>
    </w:p>
    <w:p>
      <w:pPr>
        <w:spacing w:after="0" w:line="133" w:lineRule="exact"/>
        <w:rPr>
          <w:sz w:val="20"/>
          <w:szCs w:val="20"/>
          <w:color w:val="auto"/>
        </w:rPr>
      </w:pPr>
    </w:p>
    <w:p>
      <w:pPr>
        <w:ind w:left="2540" w:right="899" w:hanging="280"/>
        <w:spacing w:after="0" w:line="259"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Corporate Governance and Nominations Committee</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133" w:lineRule="exact"/>
        <w:rPr>
          <w:sz w:val="20"/>
          <w:szCs w:val="20"/>
          <w:color w:val="auto"/>
        </w:rPr>
      </w:pPr>
    </w:p>
    <w:p>
      <w:pPr>
        <w:ind w:left="2540" w:hanging="280"/>
        <w:spacing w:after="0"/>
        <w:tabs>
          <w:tab w:leader="none" w:pos="254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150" w:lineRule="exact"/>
        <w:rPr>
          <w:sz w:val="20"/>
          <w:szCs w:val="20"/>
          <w:color w:val="auto"/>
        </w:rPr>
      </w:pPr>
    </w:p>
    <w:p>
      <w:pPr>
        <w:jc w:val="both"/>
        <w:ind w:left="1980" w:right="959" w:firstLine="294"/>
        <w:spacing w:after="0" w:line="298" w:lineRule="auto"/>
        <w:rPr>
          <w:sz w:val="20"/>
          <w:szCs w:val="20"/>
          <w:color w:val="auto"/>
        </w:rPr>
      </w:pPr>
      <w:r>
        <w:rPr>
          <w:rFonts w:ascii="Arial" w:cs="Arial" w:eastAsia="Arial" w:hAnsi="Arial"/>
          <w:sz w:val="11"/>
          <w:szCs w:val="11"/>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The service agreements entered into with the members of our management board provide for an annual fixed base salary and an annual performance award (annual bonus). In addition to the fixed and variable remuneration components, the members of our management 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Following this offering, we will re-evaluate the compensation paid under the service agreements entered into with the members of our management board and may consider an increase of such compensation.</w:t>
      </w:r>
    </w:p>
    <w:p>
      <w:pPr>
        <w:spacing w:after="0" w:line="115" w:lineRule="exact"/>
        <w:rPr>
          <w:sz w:val="20"/>
          <w:szCs w:val="20"/>
          <w:color w:val="auto"/>
        </w:rPr>
      </w:pPr>
    </w:p>
    <w:p>
      <w:pPr>
        <w:ind w:left="1980" w:right="879" w:firstLine="294"/>
        <w:spacing w:after="0" w:line="307" w:lineRule="auto"/>
        <w:rPr>
          <w:sz w:val="20"/>
          <w:szCs w:val="20"/>
          <w:color w:val="auto"/>
        </w:rPr>
      </w:pPr>
      <w:r>
        <w:rPr>
          <w:rFonts w:ascii="Arial" w:cs="Arial" w:eastAsia="Arial" w:hAnsi="Arial"/>
          <w:sz w:val="10"/>
          <w:szCs w:val="10"/>
          <w:color w:val="auto"/>
        </w:rPr>
        <w:t>The current members of the management board are entitled to a bonus payment in the case of a successful closing of an offering of our shares or of ADSs representing our shares on the New York Stock Exchange or Nasdaq including this offering (the “IPO Bonus”). The amounts to be paid to the beneficiaries under the IPO Bonus depend on the amount of gross proceeds raised in this offering. If the gross proceeds of this offering (taking into account any proceeds of the underwriters’ option to purchase additional ADSs) equal or exceed $150 million, Mr. Altan, Mr. Berndt-von Bülow and Mr. Horwath will be entitled to an IPO Bonus payment of 0.7%, 0.5% and 0.3%, respectively, of the amount of gross proceeds. If the gross proceeds of this offering (taking into account any proceeds of the underwriters’ option to purchase additional ADSs) equal or exceed $100 million but amount to less than $150 million, the IPO Bonus will be calculated on a linear basis in which case the minimum IPO Bonus entitlement (i.e., in case gross proceeds amount to $100 million) of Mr. Altan, Mr. Berndt-von Bülow and Mr. Horwath will amount to 0.35%, 0.25% and 0.15%, respectively, of the gross proceeds of the offering. Furthermore, if this offering takes place under exceptional circumstances, particularly in a substantially negative market environment, the supervisory board is entitled to pass a resolution to reasonably reduce the lower and/or the upper threshold, taking the interests of the Company and the efforts of the management board into account. While the IPO Bonus will be paid out in cash, each beneficiary is obliged to re-invest 50% of such beneficiary’s bonus payment in our shares or ADSs representing shares in the Company (“IPO Bonus Shares”). Each</w:t>
      </w:r>
    </w:p>
    <w:p>
      <w:pPr>
        <w:spacing w:after="0" w:line="6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beneficiary is obliged to hold the IPO Bonus Shares, subject to a repayment obligation further explained below, for a minimum period of 12 months following this offering and may not transfer, pledge or otherwise dispose of the IPO Bonus Shares during such period. If a beneficiary ceases to a be a member of our management board during such 12 month period for reasons that are attributable to such beneficiary, such beneficiary will be obliged to repay to the Company an amount of cash equal to the actual amount re-invested in the IPO Bonus Shares unless the supervisory board decides otherwise.</w:t>
      </w:r>
    </w:p>
    <w:p>
      <w:pPr>
        <w:spacing w:after="0" w:line="128"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In addition, Bulent Altan (CEO) and Stefan Berndt-von Bülow (CFO), both current members of our management board, are entitled to a yearly cash bonus of up to €125,000 and €200,000, respectively, if certain annual goals agreed upon by the management board and the Company have been met. In addition, both are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the service agreements between us and the members of our management board provide for payments and benefits that are in line with customary market practice for similar companies who are operating in our industry.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Remuneration of the Members of the Management Board in 2020</w:t>
      </w:r>
    </w:p>
    <w:p>
      <w:pPr>
        <w:spacing w:after="0" w:line="150"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0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June 30,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56,700</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34"/>
              <w:spacing w:after="0"/>
              <w:rPr>
                <w:sz w:val="20"/>
                <w:szCs w:val="20"/>
                <w:color w:val="auto"/>
              </w:rPr>
            </w:pPr>
            <w:r>
              <w:rPr>
                <w:rFonts w:ascii="Arial" w:cs="Arial" w:eastAsia="Arial" w:hAnsi="Arial"/>
                <w:sz w:val="9"/>
                <w:szCs w:val="9"/>
                <w:color w:val="auto"/>
                <w:w w:val="90"/>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December 30,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(5)</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(5)</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86" w:lineRule="exact"/>
        <w:rPr>
          <w:sz w:val="20"/>
          <w:szCs w:val="20"/>
          <w:color w:val="auto"/>
        </w:rPr>
      </w:pPr>
    </w:p>
    <w:p>
      <w:pPr>
        <w:ind w:left="2260" w:hanging="288"/>
        <w:spacing w:after="0"/>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06"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Granted under the 2021 Plan.</w:t>
      </w:r>
    </w:p>
    <w:p>
      <w:pPr>
        <w:ind w:left="2260" w:hanging="288"/>
        <w:spacing w:after="0" w:line="236"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31"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7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1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28"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 vesting period, in any case within four weeks following the announcement of our annual or half year financial results.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In addition to the 2021 Plan, we intend to implement a restricted stock units program (the “RSU Program”) in connection with this offering. Under the RSU Program, our management board will be authorized to grant up</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to 204,647 restricted stock units (“RSUs”) to (i) selected employees, (ii) selected employees of our affiliates, and (iii) managing directors of our affiliates. Forfeited RSUs under the RSU Program will be available for future grants.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Corporate Governance Code contains principles (</w:t>
      </w:r>
      <w:r>
        <w:rPr>
          <w:rFonts w:ascii="Arial" w:cs="Arial" w:eastAsia="Arial" w:hAnsi="Arial"/>
          <w:sz w:val="10"/>
          <w:szCs w:val="10"/>
          <w:i w:val="1"/>
          <w:iCs w:val="1"/>
          <w:color w:val="auto"/>
        </w:rPr>
        <w:t>Grundsätze</w:t>
      </w:r>
      <w:r>
        <w:rPr>
          <w:rFonts w:ascii="Arial" w:cs="Arial" w:eastAsia="Arial" w:hAnsi="Arial"/>
          <w:sz w:val="10"/>
          <w:szCs w:val="10"/>
          <w:color w:val="auto"/>
        </w:rPr>
        <w:t>), recommendations (</w:t>
      </w:r>
      <w:r>
        <w:rPr>
          <w:rFonts w:ascii="Arial" w:cs="Arial" w:eastAsia="Arial" w:hAnsi="Arial"/>
          <w:sz w:val="10"/>
          <w:szCs w:val="10"/>
          <w:i w:val="1"/>
          <w:iCs w:val="1"/>
          <w:color w:val="auto"/>
        </w:rPr>
        <w:t>Empfehlungen</w:t>
      </w:r>
      <w:r>
        <w:rPr>
          <w:rFonts w:ascii="Arial" w:cs="Arial" w:eastAsia="Arial" w:hAnsi="Arial"/>
          <w:sz w:val="10"/>
          <w:szCs w:val="10"/>
          <w:color w:val="auto"/>
        </w:rPr>
        <w:t>) and suggestions (</w:t>
      </w:r>
      <w:r>
        <w:rPr>
          <w:rFonts w:ascii="Arial" w:cs="Arial" w:eastAsia="Arial" w:hAnsi="Arial"/>
          <w:sz w:val="10"/>
          <w:szCs w:val="10"/>
          <w:i w:val="1"/>
          <w:iCs w:val="1"/>
          <w:color w:val="auto"/>
        </w:rPr>
        <w:t>Anregungen</w:t>
      </w:r>
      <w:r>
        <w:rPr>
          <w:rFonts w:ascii="Arial" w:cs="Arial" w:eastAsia="Arial" w:hAnsi="Arial"/>
          <w:sz w:val="10"/>
          <w:szCs w:val="10"/>
          <w:color w:val="auto"/>
        </w:rPr>
        <w:t>) relating to</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Governance Code is to make the German system of corporate governance transparent for investors. The Corporate Governance Code includes corporate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governance recommendations and suggestions with respect to shareholders and shareholders’ meetings, the management board and the supervisory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transparency, accounting policies and auditing.</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 European Union (or equivalent supervised foreign market) nor do our shares trade on a MTF. Following our listing on Nasdaq,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13"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 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Foreign Private Issuer Exemptions</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0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The significant differences between the corporate governance practices that we follow and those set forth in the Nasdaq stock market rules are described below:</w:t>
      </w:r>
    </w:p>
    <w:p>
      <w:pPr>
        <w:spacing w:after="0" w:line="133" w:lineRule="exact"/>
        <w:rPr>
          <w:sz w:val="20"/>
          <w:szCs w:val="20"/>
          <w:color w:val="auto"/>
        </w:rPr>
      </w:pPr>
    </w:p>
    <w:p>
      <w:pPr>
        <w:ind w:left="2540" w:right="919" w:hanging="280"/>
        <w:spacing w:after="0" w:line="285" w:lineRule="auto"/>
        <w:tabs>
          <w:tab w:leader="none" w:pos="254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Distribution of Annual and Interim Reports</w:t>
      </w:r>
      <w:r>
        <w:rPr>
          <w:rFonts w:ascii="Arial" w:cs="Arial" w:eastAsia="Arial" w:hAnsi="Arial"/>
          <w:sz w:val="11"/>
          <w:szCs w:val="11"/>
          <w:color w:val="auto"/>
        </w:rPr>
        <w:t>. Nasdaq Listing Rule 5250(d) requires that annual and interim reports be distributed or made</w:t>
      </w:r>
      <w:r>
        <w:rPr>
          <w:rFonts w:ascii="Arial" w:cs="Arial" w:eastAsia="Arial" w:hAnsi="Arial"/>
          <w:sz w:val="11"/>
          <w:szCs w:val="11"/>
          <w:i w:val="1"/>
          <w:iCs w:val="1"/>
          <w:color w:val="auto"/>
        </w:rPr>
        <w:t xml:space="preserve"> </w:t>
      </w:r>
      <w:r>
        <w:rPr>
          <w:rFonts w:ascii="Arial" w:cs="Arial" w:eastAsia="Arial" w:hAnsi="Arial"/>
          <w:sz w:val="11"/>
          <w:szCs w:val="11"/>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1"/>
          <w:szCs w:val="11"/>
          <w:i w:val="1"/>
          <w:iCs w:val="1"/>
          <w:color w:val="auto"/>
        </w:rPr>
        <w:t>Unternehmensregister</w:t>
      </w:r>
      <w:r>
        <w:rPr>
          <w:rFonts w:ascii="Arial" w:cs="Arial" w:eastAsia="Arial" w:hAnsi="Arial"/>
          <w:sz w:val="11"/>
          <w:szCs w:val="11"/>
          <w:color w:val="auto"/>
        </w:rPr>
        <w:t>).</w:t>
      </w:r>
    </w:p>
    <w:p>
      <w:pPr>
        <w:spacing w:after="0" w:line="131" w:lineRule="exact"/>
        <w:rPr>
          <w:rFonts w:ascii="Arial" w:cs="Arial" w:eastAsia="Arial" w:hAnsi="Arial"/>
          <w:sz w:val="11"/>
          <w:szCs w:val="11"/>
          <w:color w:val="auto"/>
        </w:rPr>
      </w:pPr>
    </w:p>
    <w:p>
      <w:pPr>
        <w:ind w:left="2540" w:right="999" w:hanging="280"/>
        <w:spacing w:after="0" w:line="256" w:lineRule="auto"/>
        <w:tabs>
          <w:tab w:leader="none" w:pos="254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Independent Directors</w:t>
      </w:r>
      <w:r>
        <w:rPr>
          <w:rFonts w:ascii="Arial" w:cs="Arial" w:eastAsia="Arial" w:hAnsi="Arial"/>
          <w:sz w:val="12"/>
          <w:szCs w:val="12"/>
          <w:color w:val="auto"/>
        </w:rPr>
        <w:t>. Nasdaq Listing Rule 5605(b)(1) requires listed companies to have a majority of independent directors. There is no</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146" w:lineRule="exact"/>
        <w:rPr>
          <w:rFonts w:ascii="Arial" w:cs="Arial" w:eastAsia="Arial" w:hAnsi="Arial"/>
          <w:sz w:val="12"/>
          <w:szCs w:val="12"/>
          <w:color w:val="auto"/>
        </w:rPr>
      </w:pPr>
    </w:p>
    <w:p>
      <w:pPr>
        <w:ind w:left="2540" w:right="939" w:hanging="280"/>
        <w:spacing w:after="0" w:line="289" w:lineRule="auto"/>
        <w:tabs>
          <w:tab w:leader="none" w:pos="254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Executive Sessions</w:t>
      </w:r>
      <w:r>
        <w:rPr>
          <w:rFonts w:ascii="Arial" w:cs="Arial" w:eastAsia="Arial" w:hAnsi="Arial"/>
          <w:sz w:val="11"/>
          <w:szCs w:val="11"/>
          <w:color w:val="auto"/>
        </w:rPr>
        <w:t>. Nasdaq Listing Rule 5605(b)(2) requires that independent directors have regularly scheduled meetings during which</w:t>
      </w:r>
      <w:r>
        <w:rPr>
          <w:rFonts w:ascii="Arial" w:cs="Arial" w:eastAsia="Arial" w:hAnsi="Arial"/>
          <w:sz w:val="11"/>
          <w:szCs w:val="11"/>
          <w:i w:val="1"/>
          <w:iCs w:val="1"/>
          <w:color w:val="auto"/>
        </w:rPr>
        <w:t xml:space="preserve"> </w:t>
      </w:r>
      <w:r>
        <w:rPr>
          <w:rFonts w:ascii="Arial" w:cs="Arial" w:eastAsia="Arial" w:hAnsi="Arial"/>
          <w:sz w:val="11"/>
          <w:szCs w:val="11"/>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128" w:lineRule="exact"/>
        <w:rPr>
          <w:rFonts w:ascii="Arial" w:cs="Arial" w:eastAsia="Arial" w:hAnsi="Arial"/>
          <w:sz w:val="11"/>
          <w:szCs w:val="11"/>
          <w:color w:val="auto"/>
        </w:rPr>
      </w:pPr>
    </w:p>
    <w:p>
      <w:pPr>
        <w:ind w:left="2540" w:right="859" w:hanging="280"/>
        <w:spacing w:after="0" w:line="283" w:lineRule="auto"/>
        <w:tabs>
          <w:tab w:leader="none" w:pos="254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Audit Committee Responsibilities and Authority</w:t>
      </w:r>
      <w:r>
        <w:rPr>
          <w:rFonts w:ascii="Arial" w:cs="Arial" w:eastAsia="Arial" w:hAnsi="Arial"/>
          <w:sz w:val="11"/>
          <w:szCs w:val="11"/>
          <w:color w:val="auto"/>
        </w:rPr>
        <w:t>. Nasdaq Listing Rule 5605(c)(1) requires companies to adopt a formal written audit</w:t>
      </w:r>
      <w:r>
        <w:rPr>
          <w:rFonts w:ascii="Arial" w:cs="Arial" w:eastAsia="Arial" w:hAnsi="Arial"/>
          <w:sz w:val="11"/>
          <w:szCs w:val="11"/>
          <w:i w:val="1"/>
          <w:iCs w:val="1"/>
          <w:color w:val="auto"/>
        </w:rPr>
        <w:t xml:space="preserve"> </w:t>
      </w:r>
      <w:r>
        <w:rPr>
          <w:rFonts w:ascii="Arial" w:cs="Arial" w:eastAsia="Arial" w:hAnsi="Arial"/>
          <w:sz w:val="11"/>
          <w:szCs w:val="11"/>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131" w:lineRule="exact"/>
        <w:rPr>
          <w:rFonts w:ascii="Arial" w:cs="Arial" w:eastAsia="Arial" w:hAnsi="Arial"/>
          <w:sz w:val="11"/>
          <w:szCs w:val="11"/>
          <w:color w:val="auto"/>
        </w:rPr>
      </w:pPr>
    </w:p>
    <w:p>
      <w:pPr>
        <w:ind w:left="2540" w:right="919" w:hanging="280"/>
        <w:spacing w:after="0" w:line="285" w:lineRule="auto"/>
        <w:tabs>
          <w:tab w:leader="none" w:pos="254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 xml:space="preserve">Proxy Solicitation. </w:t>
      </w:r>
      <w:r>
        <w:rPr>
          <w:rFonts w:ascii="Arial" w:cs="Arial" w:eastAsia="Arial" w:hAnsi="Arial"/>
          <w:sz w:val="11"/>
          <w:szCs w:val="11"/>
          <w:color w:val="auto"/>
        </w:rPr>
        <w:t>Nasdaq Listing Rule 5620(b) requires companies that are not a limited partnership to solicit proxies and provide proxy</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131" w:lineRule="exact"/>
        <w:rPr>
          <w:rFonts w:ascii="Arial" w:cs="Arial" w:eastAsia="Arial" w:hAnsi="Arial"/>
          <w:sz w:val="11"/>
          <w:szCs w:val="11"/>
          <w:color w:val="auto"/>
        </w:rPr>
      </w:pPr>
    </w:p>
    <w:p>
      <w:pPr>
        <w:ind w:left="2540" w:right="999" w:hanging="280"/>
        <w:spacing w:after="0" w:line="263" w:lineRule="auto"/>
        <w:tabs>
          <w:tab w:leader="none" w:pos="254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Quorum</w:t>
      </w:r>
      <w:r>
        <w:rPr>
          <w:rFonts w:ascii="Arial" w:cs="Arial" w:eastAsia="Arial" w:hAnsi="Arial"/>
          <w:sz w:val="12"/>
          <w:szCs w:val="12"/>
          <w:color w:val="auto"/>
        </w:rPr>
        <w:t>. Nasdaq Listing Rule 5605(c) provides that the minimum quorum requirement for a meeting of shareholders is 331/3%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ordinary shares. Neither German law nor our articles of association provide for a minimum participation for a quorum for our shareholders’ meetings.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339" w:hanging="280"/>
        <w:spacing w:after="0" w:line="276" w:lineRule="auto"/>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t>Shareholder Approval</w:t>
      </w:r>
      <w:r>
        <w:rPr>
          <w:rFonts w:ascii="Arial" w:cs="Arial" w:eastAsia="Arial" w:hAnsi="Arial"/>
          <w:sz w:val="12"/>
          <w:szCs w:val="12"/>
          <w:color w:val="auto"/>
        </w:rPr>
        <w:t>. Nasdaq Listing Rule 5635 requires companies to obtain shareholder approval before undertaking any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transactions:</w:t>
      </w:r>
    </w:p>
    <w:p>
      <w:pPr>
        <w:spacing w:after="0" w:line="132" w:lineRule="exact"/>
        <w:rPr>
          <w:rFonts w:ascii="Arial" w:cs="Arial" w:eastAsia="Arial" w:hAnsi="Arial"/>
          <w:sz w:val="12"/>
          <w:szCs w:val="12"/>
          <w:color w:val="auto"/>
        </w:rPr>
      </w:pPr>
    </w:p>
    <w:p>
      <w:pPr>
        <w:ind w:left="2920" w:right="979" w:hanging="288"/>
        <w:spacing w:after="0" w:line="276" w:lineRule="auto"/>
        <w:rPr>
          <w:rFonts w:ascii="Arial" w:cs="Arial" w:eastAsia="Arial" w:hAnsi="Arial"/>
          <w:sz w:val="12"/>
          <w:szCs w:val="12"/>
          <w:color w:val="auto"/>
        </w:rPr>
      </w:pPr>
      <w:r>
        <w:rPr>
          <w:rFonts w:ascii="Arial" w:cs="Arial" w:eastAsia="Arial" w:hAnsi="Arial"/>
          <w:sz w:val="12"/>
          <w:szCs w:val="12"/>
          <w:color w:val="auto"/>
        </w:rPr>
        <w:t>–acquiring the stock or assets of another company, where such acquisition results in the issuance of 20% or more of our outstanding share capital or voting power;</w:t>
      </w:r>
    </w:p>
    <w:p>
      <w:pPr>
        <w:spacing w:after="0" w:line="132"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entering into any change of control transaction;</w:t>
      </w:r>
    </w:p>
    <w:p>
      <w:pPr>
        <w:spacing w:after="0" w:line="168"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establishing or materially amending any equity compensation arrangement; and</w:t>
      </w:r>
    </w:p>
    <w:p>
      <w:pPr>
        <w:spacing w:after="0" w:line="168" w:lineRule="exact"/>
        <w:rPr>
          <w:rFonts w:ascii="Arial" w:cs="Arial" w:eastAsia="Arial" w:hAnsi="Arial"/>
          <w:sz w:val="12"/>
          <w:szCs w:val="12"/>
          <w:color w:val="auto"/>
        </w:rPr>
      </w:pPr>
    </w:p>
    <w:p>
      <w:pPr>
        <w:ind w:left="2920" w:right="1059" w:hanging="288"/>
        <w:spacing w:after="0" w:line="298"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05" w:lineRule="exact"/>
        <w:rPr>
          <w:sz w:val="20"/>
          <w:szCs w:val="20"/>
          <w:color w:val="auto"/>
        </w:rPr>
      </w:pPr>
    </w:p>
    <w:p>
      <w:pPr>
        <w:ind w:left="2640" w:right="919"/>
        <w:spacing w:after="0" w:line="323" w:lineRule="auto"/>
        <w:rPr>
          <w:sz w:val="20"/>
          <w:szCs w:val="20"/>
          <w:color w:val="auto"/>
        </w:rPr>
      </w:pPr>
      <w:r>
        <w:rPr>
          <w:rFonts w:ascii="Arial" w:cs="Arial" w:eastAsia="Arial" w:hAnsi="Arial"/>
          <w:sz w:val="11"/>
          <w:szCs w:val="11"/>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may utilize these and other exemptions for as long as we continue to qualify as a foreign private issuer.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2260"/>
        <w:spacing w:after="0"/>
        <w:tabs>
          <w:tab w:leader="none" w:pos="5060" w:val="left"/>
        </w:tabs>
        <w:rPr>
          <w:sz w:val="20"/>
          <w:szCs w:val="20"/>
          <w:color w:val="auto"/>
        </w:rPr>
      </w:pPr>
      <w:r>
        <w:rPr>
          <w:rFonts w:ascii="Arial" w:cs="Arial" w:eastAsia="Arial" w:hAnsi="Arial"/>
          <w:sz w:val="12"/>
          <w:szCs w:val="12"/>
          <w:color w:val="auto"/>
        </w:rPr>
        <w:t>The following table sets forth information, as of</w:t>
      </w:r>
      <w:r>
        <w:rPr>
          <w:sz w:val="20"/>
          <w:szCs w:val="20"/>
          <w:color w:val="auto"/>
        </w:rPr>
        <w:tab/>
      </w:r>
      <w:r>
        <w:rPr>
          <w:rFonts w:ascii="Arial" w:cs="Arial" w:eastAsia="Arial" w:hAnsi="Arial"/>
          <w:sz w:val="11"/>
          <w:szCs w:val="11"/>
          <w:color w:val="auto"/>
        </w:rPr>
        <w:t>, 2021, regarding the beneficial ownership of our ordinary shares: (i) prior to the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completion of this offering and (ii) as adjusted to reflect the sale of the ADSs in this offering, for:</w:t>
      </w:r>
    </w:p>
    <w:p>
      <w:pPr>
        <w:spacing w:after="0" w:line="159" w:lineRule="exact"/>
        <w:rPr>
          <w:sz w:val="20"/>
          <w:szCs w:val="20"/>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w:t>
      </w:r>
    </w:p>
    <w:p>
      <w:pPr>
        <w:spacing w:after="0" w:line="1" w:lineRule="exact"/>
        <w:rPr>
          <w:sz w:val="20"/>
          <w:szCs w:val="20"/>
          <w:color w:val="auto"/>
        </w:rPr>
      </w:pPr>
    </w:p>
    <w:p>
      <w:pPr>
        <w:ind w:left="1980" w:right="1019"/>
        <w:spacing w:after="0" w:line="255" w:lineRule="auto"/>
        <w:rPr>
          <w:sz w:val="20"/>
          <w:szCs w:val="20"/>
          <w:color w:val="auto"/>
        </w:rPr>
      </w:pPr>
      <w:r>
        <w:rPr>
          <w:rFonts w:ascii="Arial" w:cs="Arial" w:eastAsia="Arial" w:hAnsi="Arial"/>
          <w:sz w:val="12"/>
          <w:szCs w:val="12"/>
          <w:color w:val="auto"/>
        </w:rPr>
        <w:t>or investment power as well 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27" w:lineRule="exact"/>
        <w:rPr>
          <w:sz w:val="20"/>
          <w:szCs w:val="20"/>
          <w:color w:val="auto"/>
        </w:rPr>
      </w:pPr>
    </w:p>
    <w:p>
      <w:pPr>
        <w:ind w:left="2260"/>
        <w:spacing w:after="0"/>
        <w:tabs>
          <w:tab w:leader="none" w:pos="7220" w:val="left"/>
        </w:tabs>
        <w:rPr>
          <w:sz w:val="20"/>
          <w:szCs w:val="20"/>
          <w:color w:val="auto"/>
        </w:rPr>
      </w:pPr>
      <w:r>
        <w:rPr>
          <w:rFonts w:ascii="Arial" w:cs="Arial" w:eastAsia="Arial" w:hAnsi="Arial"/>
          <w:sz w:val="12"/>
          <w:szCs w:val="12"/>
          <w:color w:val="auto"/>
        </w:rPr>
        <w:t>The percentage of shares beneficially owned before this offering is computed on the basis of</w:t>
      </w:r>
      <w:r>
        <w:rPr>
          <w:sz w:val="20"/>
          <w:szCs w:val="20"/>
          <w:color w:val="auto"/>
        </w:rPr>
        <w:tab/>
      </w:r>
      <w:r>
        <w:rPr>
          <w:rFonts w:ascii="Arial" w:cs="Arial" w:eastAsia="Arial" w:hAnsi="Arial"/>
          <w:sz w:val="10"/>
          <w:szCs w:val="10"/>
          <w:color w:val="auto"/>
        </w:rPr>
        <w:t>outstanding ordinary shares as of</w:t>
      </w:r>
    </w:p>
    <w:p>
      <w:pPr>
        <w:spacing w:after="0" w:line="15" w:lineRule="exact"/>
        <w:rPr>
          <w:sz w:val="20"/>
          <w:szCs w:val="20"/>
          <w:color w:val="auto"/>
        </w:rPr>
      </w:pPr>
    </w:p>
    <w:p>
      <w:pPr>
        <w:ind w:left="2460"/>
        <w:spacing w:after="0"/>
        <w:tabs>
          <w:tab w:leader="none" w:pos="8340" w:val="left"/>
        </w:tabs>
        <w:rPr>
          <w:sz w:val="20"/>
          <w:szCs w:val="20"/>
          <w:color w:val="auto"/>
        </w:rPr>
      </w:pPr>
      <w:r>
        <w:rPr>
          <w:rFonts w:ascii="Arial" w:cs="Arial" w:eastAsia="Arial" w:hAnsi="Arial"/>
          <w:sz w:val="12"/>
          <w:szCs w:val="12"/>
          <w:color w:val="auto"/>
        </w:rPr>
        <w:t>, 2021. The percentage of ordinary shares beneficially owned on an adjusted basis after this offering is based on</w:t>
      </w:r>
      <w:r>
        <w:rPr>
          <w:sz w:val="20"/>
          <w:szCs w:val="20"/>
          <w:color w:val="auto"/>
        </w:rPr>
        <w:tab/>
      </w:r>
      <w:r>
        <w:rPr>
          <w:rFonts w:ascii="Arial" w:cs="Arial" w:eastAsia="Arial" w:hAnsi="Arial"/>
          <w:sz w:val="10"/>
          <w:szCs w:val="10"/>
          <w:color w:val="auto"/>
        </w:rPr>
        <w:t>ordinary shares to</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 outstanding after this offering after giving effect to completion of this offering assuming no exercise of the underwriters’ option to purchase</w:t>
      </w:r>
    </w:p>
    <w:p>
      <w:pPr>
        <w:spacing w:after="0" w:line="18" w:lineRule="exact"/>
        <w:rPr>
          <w:sz w:val="20"/>
          <w:szCs w:val="20"/>
          <w:color w:val="auto"/>
        </w:rPr>
      </w:pPr>
    </w:p>
    <w:p>
      <w:pPr>
        <w:ind w:left="1980"/>
        <w:spacing w:after="0"/>
        <w:tabs>
          <w:tab w:leader="none" w:pos="3920" w:val="left"/>
        </w:tabs>
        <w:rPr>
          <w:sz w:val="20"/>
          <w:szCs w:val="20"/>
          <w:color w:val="auto"/>
        </w:rPr>
      </w:pPr>
      <w:r>
        <w:rPr>
          <w:rFonts w:ascii="Arial" w:cs="Arial" w:eastAsia="Arial" w:hAnsi="Arial"/>
          <w:sz w:val="12"/>
          <w:szCs w:val="12"/>
          <w:color w:val="auto"/>
        </w:rPr>
        <w:t>additional ADSs from us, and</w:t>
      </w:r>
      <w:r>
        <w:rPr>
          <w:sz w:val="20"/>
          <w:szCs w:val="20"/>
          <w:color w:val="auto"/>
        </w:rPr>
        <w:tab/>
      </w:r>
      <w:r>
        <w:rPr>
          <w:rFonts w:ascii="Arial" w:cs="Arial" w:eastAsia="Arial" w:hAnsi="Arial"/>
          <w:sz w:val="11"/>
          <w:szCs w:val="11"/>
          <w:color w:val="auto"/>
        </w:rPr>
        <w:t>ordinary shares to be outstanding after this offering after giving effect to completion of this offering and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assuming full exercise of the underwriters’ option to purchase additional ADSs from us. Shares that a person has the right to acquire within 60 days of</w:t>
      </w:r>
    </w:p>
    <w:p>
      <w:pPr>
        <w:spacing w:after="0" w:line="18" w:lineRule="exact"/>
        <w:rPr>
          <w:sz w:val="20"/>
          <w:szCs w:val="20"/>
          <w:color w:val="auto"/>
        </w:rPr>
      </w:pPr>
    </w:p>
    <w:p>
      <w:pPr>
        <w:ind w:left="1980" w:right="859" w:firstLine="472"/>
        <w:spacing w:after="0" w:line="253" w:lineRule="auto"/>
        <w:tabs>
          <w:tab w:leader="none" w:pos="25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4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8"/>
          </w:tcPr>
          <w:p>
            <w:pPr>
              <w:ind w:left="380"/>
              <w:spacing w:after="0"/>
              <w:rPr>
                <w:sz w:val="20"/>
                <w:szCs w:val="20"/>
                <w:color w:val="auto"/>
              </w:rPr>
            </w:pPr>
            <w:r>
              <w:rPr>
                <w:rFonts w:ascii="Arial" w:cs="Arial" w:eastAsia="Arial" w:hAnsi="Arial"/>
                <w:sz w:val="10"/>
                <w:szCs w:val="10"/>
                <w:b w:val="1"/>
                <w:bCs w:val="1"/>
                <w:color w:val="auto"/>
              </w:rPr>
              <w:t>Shares beneficially owned after this offering</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2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20" w:type="dxa"/>
            <w:vAlign w:val="bottom"/>
            <w:gridSpan w:val="5"/>
          </w:tcPr>
          <w:p>
            <w:pPr>
              <w:ind w:left="8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7"/>
              </w:rPr>
              <w:t>additional ADSs from us</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520" w:type="dxa"/>
            <w:vAlign w:val="bottom"/>
            <w:vMerge w:val="restart"/>
          </w:tcPr>
          <w:p>
            <w:pPr>
              <w:spacing w:after="0"/>
              <w:rPr>
                <w:sz w:val="9"/>
                <w:szCs w:val="9"/>
                <w:color w:val="auto"/>
              </w:rPr>
            </w:pPr>
          </w:p>
        </w:tc>
        <w:tc>
          <w:tcPr>
            <w:tcW w:w="1020" w:type="dxa"/>
            <w:vAlign w:val="bottom"/>
            <w:gridSpan w:val="3"/>
          </w:tcPr>
          <w:p>
            <w:pPr>
              <w:ind w:left="500"/>
              <w:spacing w:after="0" w:line="114" w:lineRule="exact"/>
              <w:rPr>
                <w:sz w:val="20"/>
                <w:szCs w:val="20"/>
                <w:color w:val="auto"/>
              </w:rPr>
            </w:pPr>
            <w:r>
              <w:rPr>
                <w:rFonts w:ascii="Arial" w:cs="Arial" w:eastAsia="Arial" w:hAnsi="Arial"/>
                <w:sz w:val="10"/>
                <w:szCs w:val="10"/>
                <w:b w:val="1"/>
                <w:bCs w:val="1"/>
                <w:color w:val="auto"/>
                <w:w w:val="86"/>
              </w:rPr>
              <w:t>this offering</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220" w:type="dxa"/>
            <w:vAlign w:val="bottom"/>
          </w:tcPr>
          <w:p>
            <w:pPr>
              <w:spacing w:after="0"/>
              <w:rPr>
                <w:sz w:val="9"/>
                <w:szCs w:val="9"/>
                <w:color w:val="auto"/>
              </w:rPr>
            </w:pPr>
          </w:p>
        </w:tc>
        <w:tc>
          <w:tcPr>
            <w:tcW w:w="120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1020" w:type="dxa"/>
            <w:vAlign w:val="bottom"/>
            <w:tcBorders>
              <w:top w:val="single" w:sz="8" w:color="auto"/>
            </w:tcBorders>
            <w:gridSpan w:val="3"/>
          </w:tcPr>
          <w:p>
            <w:pPr>
              <w:ind w:left="16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8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6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252,347</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6.2</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242,900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5.9</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Hans Königsmann</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Vincent Wobbe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220,527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5.4</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All members of our supervisory board and management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b w:val="1"/>
                <w:bCs w:val="1"/>
                <w:color w:val="auto"/>
              </w:rPr>
              <w:t>board, as a group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224,972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720,219</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59" w:hanging="288"/>
        <w:spacing w:after="0" w:line="214" w:lineRule="auto"/>
        <w:tabs>
          <w:tab w:leader="none" w:pos="2260" w:val="left"/>
        </w:tabs>
        <w:numPr>
          <w:ilvl w:val="0"/>
          <w:numId w:val="61"/>
        </w:numPr>
        <w:rPr>
          <w:rFonts w:ascii="Arial" w:cs="Arial" w:eastAsia="Arial" w:hAnsi="Arial"/>
          <w:sz w:val="10"/>
          <w:szCs w:val="10"/>
          <w:color w:val="auto"/>
        </w:rPr>
      </w:pPr>
      <w:r>
        <w:rPr>
          <w:rFonts w:ascii="Arial" w:cs="Arial" w:eastAsia="Arial" w:hAnsi="Arial"/>
          <w:sz w:val="10"/>
          <w:szCs w:val="10"/>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2260" w:right="859" w:hanging="288"/>
        <w:spacing w:after="0" w:line="258" w:lineRule="auto"/>
        <w:tabs>
          <w:tab w:leader="none" w:pos="2260" w:val="left"/>
        </w:tabs>
        <w:numPr>
          <w:ilvl w:val="0"/>
          <w:numId w:val="61"/>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21" w:lineRule="auto"/>
        <w:tabs>
          <w:tab w:leader="none" w:pos="2260" w:val="left"/>
        </w:tabs>
        <w:numPr>
          <w:ilvl w:val="0"/>
          <w:numId w:val="61"/>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Opportunity Agreement</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Bulent Altan, member of our management board and Chief Executive Officer, is an investment partner (together with the founder of Apeiron Investment Group Ltd., one of our shareholders) with, and serves as 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member of the recommendation committee of, Alpine Space Ventures Management GmbH, which acts as the alternative investment fund manager of Alpine Space Ventures Fund I GmbH &amp; Co. KG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113"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In order to address such potential conflicts of interests, we will enter into a business opportunity agreement with Bulent Altan and the ASV Fund (the “Business Opportunity Agreement”) prior to or upon completion of this offering. Pursuant to the Business Opportunity Agreement, the ASV Fund will be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will also have a right of first offer, pursuant to which we will be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 October 2020 and other capital markets related advice. Related party expenses involving Pinsent Masons LLP amounted to €135 thousand and €75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Ariane Knapek is the spouse of Markus Knapek, a former member of our management board and a significant shareholder in our Company.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Ms. Knapek was a part-time employee with the Company from June 2016 to January 2021 and received a salary at arm’s length terms.</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2260"/>
        <w:spacing w:after="0"/>
        <w:tabs>
          <w:tab w:leader="none" w:pos="7560" w:val="left"/>
        </w:tabs>
        <w:rPr>
          <w:sz w:val="20"/>
          <w:szCs w:val="20"/>
          <w:color w:val="auto"/>
        </w:rPr>
      </w:pPr>
      <w:r>
        <w:rPr>
          <w:rFonts w:ascii="Arial" w:cs="Arial" w:eastAsia="Arial" w:hAnsi="Arial"/>
          <w:sz w:val="12"/>
          <w:szCs w:val="12"/>
          <w:color w:val="auto"/>
        </w:rPr>
        <w:t>As of the date of this prospectus, our share capital registered in the commercial register amounts to €</w:t>
      </w:r>
      <w:r>
        <w:rPr>
          <w:sz w:val="20"/>
          <w:szCs w:val="20"/>
          <w:color w:val="auto"/>
        </w:rPr>
        <w:tab/>
      </w:r>
      <w:r>
        <w:rPr>
          <w:rFonts w:ascii="Arial" w:cs="Arial" w:eastAsia="Arial" w:hAnsi="Arial"/>
          <w:sz w:val="11"/>
          <w:szCs w:val="11"/>
          <w:color w:val="auto"/>
        </w:rPr>
        <w:t>, which is divided in to</w:t>
      </w:r>
    </w:p>
    <w:p>
      <w:pPr>
        <w:spacing w:after="0" w:line="15" w:lineRule="exact"/>
        <w:rPr>
          <w:sz w:val="20"/>
          <w:szCs w:val="20"/>
          <w:color w:val="auto"/>
        </w:rPr>
      </w:pPr>
    </w:p>
    <w:p>
      <w:pPr>
        <w:ind w:left="1980" w:right="1299"/>
        <w:spacing w:after="0" w:line="260" w:lineRule="auto"/>
        <w:rPr>
          <w:sz w:val="20"/>
          <w:szCs w:val="20"/>
          <w:color w:val="auto"/>
        </w:rPr>
      </w:pPr>
      <w:r>
        <w:rPr>
          <w:rFonts w:ascii="Arial" w:cs="Arial" w:eastAsia="Arial" w:hAnsi="Arial"/>
          <w:sz w:val="12"/>
          <w:szCs w:val="12"/>
          <w:color w:val="auto"/>
        </w:rPr>
        <w:t>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 ohne</w:t>
      </w:r>
      <w:r>
        <w:rPr>
          <w:rFonts w:ascii="Arial" w:cs="Arial" w:eastAsia="Arial" w:hAnsi="Arial"/>
          <w:sz w:val="12"/>
          <w:szCs w:val="12"/>
          <w:color w:val="auto"/>
        </w:rPr>
        <w:t xml:space="preserve"> </w:t>
      </w:r>
      <w:r>
        <w:rPr>
          <w:rFonts w:ascii="Arial" w:cs="Arial" w:eastAsia="Arial" w:hAnsi="Arial"/>
          <w:sz w:val="12"/>
          <w:szCs w:val="12"/>
          <w:i w:val="1"/>
          <w:iCs w:val="1"/>
          <w:color w:val="auto"/>
        </w:rPr>
        <w:t>Nennbetrag</w:t>
      </w:r>
      <w:r>
        <w:rPr>
          <w:rFonts w:ascii="Arial" w:cs="Arial" w:eastAsia="Arial" w:hAnsi="Arial"/>
          <w:sz w:val="12"/>
          <w:szCs w:val="12"/>
          <w:color w:val="auto"/>
        </w:rPr>
        <w: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2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AWV amendment described under “Regulatory Environment—German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ectPr>
          <w:pgSz w:w="11900" w:h="16838" w:orient="portrait"/>
          <w:cols w:equalWidth="0" w:num="1">
            <w:col w:w="10159"/>
          </w:cols>
          <w:pgMar w:left="300" w:top="354" w:right="1440" w:bottom="1440" w:gutter="0" w:footer="0" w:header="0"/>
        </w:sectPr>
      </w:pPr>
    </w:p>
    <w:p>
      <w:pPr>
        <w:spacing w:after="0" w:line="154" w:lineRule="exact"/>
        <w:rPr>
          <w:sz w:val="20"/>
          <w:szCs w:val="20"/>
          <w:color w:val="auto"/>
        </w:rPr>
      </w:pPr>
    </w:p>
    <w:p>
      <w:pPr>
        <w:ind w:left="1980" w:firstLine="294"/>
        <w:spacing w:after="0" w:line="276" w:lineRule="auto"/>
        <w:rPr>
          <w:sz w:val="20"/>
          <w:szCs w:val="20"/>
          <w:color w:val="auto"/>
        </w:rPr>
      </w:pPr>
      <w:r>
        <w:rPr>
          <w:rFonts w:ascii="Arial" w:cs="Arial" w:eastAsia="Arial" w:hAnsi="Arial"/>
          <w:sz w:val="12"/>
          <w:szCs w:val="12"/>
          <w:color w:val="auto"/>
        </w:rPr>
        <w:t>As of , 2021, our share capital as registered with the commercial register amounted to € capital has changed as follows: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 Since January 1, 2018, our share</w:t>
      </w:r>
    </w:p>
    <w:p>
      <w:pPr>
        <w:spacing w:after="0" w:line="335" w:lineRule="exact"/>
        <w:rPr>
          <w:sz w:val="20"/>
          <w:szCs w:val="20"/>
          <w:color w:val="auto"/>
        </w:rPr>
      </w:pPr>
    </w:p>
    <w:p>
      <w:pPr>
        <w:sectPr>
          <w:pgSz w:w="11900" w:h="16838" w:orient="portrait"/>
          <w:cols w:equalWidth="0" w:num="2">
            <w:col w:w="6940" w:space="480"/>
            <w:col w:w="2739"/>
          </w:cols>
          <w:pgMar w:left="300" w:top="354" w:right="1440" w:bottom="1440" w:gutter="0" w:footer="0" w:header="0"/>
          <w:type w:val="continuous"/>
        </w:sectPr>
      </w:pPr>
    </w:p>
    <w:p>
      <w:pPr>
        <w:ind w:left="2620" w:right="879" w:hanging="288"/>
        <w:spacing w:after="0" w:line="263" w:lineRule="auto"/>
        <w:tabs>
          <w:tab w:leader="none" w:pos="2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authorized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54" w:right="1440" w:bottom="1440" w:gutter="0" w:footer="0" w:header="0"/>
          <w:type w:val="continuous"/>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99" w:hanging="288"/>
        <w:spacing w:after="0" w:line="278" w:lineRule="auto"/>
        <w:tabs>
          <w:tab w:leader="none" w:pos="2620" w:val="left"/>
        </w:tabs>
        <w:numPr>
          <w:ilvl w:val="0"/>
          <w:numId w:val="63"/>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conditional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As of the date of this prospectus, no stock options under the 2017 Plan are outstanding and we do not intend to grant additional stock options under the 2017 Plan.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0159"/>
          </w:cols>
          <w:pgMar w:left="30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0159"/>
          </w:cols>
          <w:pgMar w:left="300" w:top="354"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employee co-determination requirements.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articles of association of the company must specify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the supervisory board has more than three members.</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120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138</w:t>
      </w:r>
    </w:p>
    <w:p>
      <w:pPr>
        <w:sectPr>
          <w:pgSz w:w="11900" w:h="16838" w:orient="portrait"/>
          <w:cols w:equalWidth="0" w:num="1">
            <w:col w:w="10159"/>
          </w:cols>
          <w:pgMar w:left="300" w:top="354" w:right="1440" w:bottom="1440" w:gutter="0" w:footer="0" w:header="0"/>
          <w:type w:val="continuous"/>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33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159"/>
          </w:cols>
          <w:pgMar w:left="30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53" w:name="page154"/>
    <w:bookmarkEnd w:id="153"/>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-423545</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66"/>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66"/>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144</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67"/>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67"/>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67"/>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67"/>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146</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68"/>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68"/>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American Depositary Shares</w:t>
      </w:r>
    </w:p>
    <w:p>
      <w:pPr>
        <w:spacing w:after="0" w:line="154" w:lineRule="exact"/>
        <w:rPr>
          <w:sz w:val="20"/>
          <w:szCs w:val="20"/>
          <w:color w:val="auto"/>
        </w:rPr>
      </w:pPr>
    </w:p>
    <w:p>
      <w:pPr>
        <w:ind w:left="2260"/>
        <w:spacing w:after="0"/>
        <w:tabs>
          <w:tab w:leader="none" w:pos="7000" w:val="left"/>
        </w:tabs>
        <w:rPr>
          <w:sz w:val="20"/>
          <w:szCs w:val="20"/>
          <w:color w:val="auto"/>
        </w:rPr>
      </w:pPr>
      <w:r>
        <w:rPr>
          <w:rFonts w:ascii="Arial" w:cs="Arial" w:eastAsia="Arial" w:hAnsi="Arial"/>
          <w:sz w:val="12"/>
          <w:szCs w:val="12"/>
          <w:color w:val="auto"/>
        </w:rPr>
        <w:t>The Bank of New York Mellon, as depositary, will register and deliver the ADSs. Every</w:t>
      </w:r>
      <w:r>
        <w:rPr>
          <w:sz w:val="20"/>
          <w:szCs w:val="20"/>
          <w:color w:val="auto"/>
        </w:rPr>
        <w:tab/>
      </w:r>
      <w:r>
        <w:rPr>
          <w:rFonts w:ascii="Arial" w:cs="Arial" w:eastAsia="Arial" w:hAnsi="Arial"/>
          <w:sz w:val="10"/>
          <w:szCs w:val="10"/>
          <w:color w:val="auto"/>
        </w:rPr>
        <w:t>ADSs will represent one ordinary share (or a</w:t>
      </w:r>
    </w:p>
    <w:p>
      <w:pPr>
        <w:spacing w:after="0" w:line="15" w:lineRule="exact"/>
        <w:rPr>
          <w:sz w:val="20"/>
          <w:szCs w:val="20"/>
          <w:color w:val="auto"/>
        </w:rPr>
      </w:pPr>
    </w:p>
    <w:p>
      <w:pPr>
        <w:jc w:val="both"/>
        <w:ind w:left="1980" w:right="939"/>
        <w:spacing w:after="0" w:line="284" w:lineRule="auto"/>
        <w:rPr>
          <w:sz w:val="20"/>
          <w:szCs w:val="20"/>
          <w:color w:val="auto"/>
        </w:rPr>
      </w:pPr>
      <w:r>
        <w:rPr>
          <w:rFonts w:ascii="Arial" w:cs="Arial" w:eastAsia="Arial" w:hAnsi="Arial"/>
          <w:sz w:val="11"/>
          <w:szCs w:val="11"/>
          <w:color w:val="auto"/>
        </w:rPr>
        <w:t>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1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ADS holders receive dividends and other distributions on the shares?</w:t>
      </w:r>
    </w:p>
    <w:p>
      <w:pPr>
        <w:spacing w:after="0" w:line="150"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included elsewhere in this prospectus. The depositary will distribute only whole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b w:val="1"/>
          <w:bCs w:val="1"/>
          <w:i w:val="1"/>
          <w:iCs w:val="1"/>
          <w:color w:val="auto"/>
        </w:rPr>
        <w:t>Shares</w:t>
      </w:r>
      <w:r>
        <w:rPr>
          <w:rFonts w:ascii="Arial" w:cs="Arial" w:eastAsia="Arial" w:hAnsi="Arial"/>
          <w:sz w:val="12"/>
          <w:szCs w:val="12"/>
          <w:color w:val="auto"/>
        </w:rPr>
        <w:t>. The depositary may distribute additional ADSs representing any ordinary shares we distribute as a dividend or free distribution.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 thinks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0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ordinary shares are not voted as you requested.</w:t>
      </w:r>
    </w:p>
    <w:p>
      <w:pPr>
        <w:spacing w:after="0" w:line="12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32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130" w:lineRule="exact"/>
        <w:rPr>
          <w:sz w:val="20"/>
          <w:szCs w:val="20"/>
          <w:color w:val="auto"/>
        </w:rPr>
      </w:pPr>
    </w:p>
    <w:p>
      <w:pPr>
        <w:ind w:left="1980" w:right="200"/>
        <w:spacing w:after="0" w:line="274" w:lineRule="auto"/>
        <w:rPr>
          <w:sz w:val="20"/>
          <w:szCs w:val="20"/>
          <w:color w:val="auto"/>
        </w:rPr>
      </w:pPr>
      <w:r>
        <w:rPr>
          <w:rFonts w:ascii="Arial" w:cs="Arial" w:eastAsia="Arial" w:hAnsi="Arial"/>
          <w:sz w:val="11"/>
          <w:szCs w:val="11"/>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84" w:lineRule="exact"/>
        <w:rPr>
          <w:sz w:val="20"/>
          <w:szCs w:val="20"/>
          <w:color w:val="auto"/>
        </w:rPr>
      </w:pPr>
    </w:p>
    <w:p>
      <w:pPr>
        <w:sectPr>
          <w:pgSz w:w="11900" w:h="16838" w:orient="portrait"/>
          <w:cols w:equalWidth="0" w:num="2">
            <w:col w:w="5600" w:space="260"/>
            <w:col w:w="4299"/>
          </w:cols>
          <w:pgMar w:left="300" w:top="354" w:right="1440" w:bottom="1440" w:gutter="0" w:footer="0" w:header="0"/>
        </w:sect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1"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type w:val="continuous"/>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depositary has reason to believe the ADSs have become, or will become, ineligible for registration on Form F-6 under the Securities Act of 1933;</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132"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control from performing our or its obligations under the deposit agreement;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 and</w:t>
      </w:r>
    </w:p>
    <w:p>
      <w:pPr>
        <w:spacing w:after="0" w:line="168"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11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73"/>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86" w:lineRule="exact"/>
        <w:rPr>
          <w:rFonts w:ascii="Arial" w:cs="Arial" w:eastAsia="Arial" w:hAnsi="Arial"/>
          <w:sz w:val="10"/>
          <w:szCs w:val="10"/>
          <w:color w:val="auto"/>
        </w:rPr>
      </w:pPr>
    </w:p>
    <w:p>
      <w:pPr>
        <w:ind w:left="2620" w:hanging="288"/>
        <w:spacing w:after="0"/>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59" w:hanging="288"/>
        <w:spacing w:after="0" w:line="276" w:lineRule="auto"/>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Exclusive Forum Provisions for Certain U.S. Securities Law Claims</w:t>
      </w:r>
    </w:p>
    <w:p>
      <w:pPr>
        <w:spacing w:after="0" w:line="154"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The deposit agreement provides that, unless we consent in writing to the selection of an alternative forum, the federal district courts of the United States of America shall be the exclusive forum for the resolution of any claim arising under the U.S. Securities Act of 1933, as amended, the U.S. Securities Exchange Act of 1934, as amended,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1079" w:firstLine="294"/>
        <w:spacing w:after="0" w:line="255" w:lineRule="auto"/>
        <w:rPr>
          <w:sz w:val="20"/>
          <w:szCs w:val="20"/>
          <w:color w:val="auto"/>
        </w:rPr>
      </w:pPr>
      <w:r>
        <w:rPr>
          <w:rFonts w:ascii="Arial" w:cs="Arial" w:eastAsia="Arial" w:hAnsi="Arial"/>
          <w:sz w:val="12"/>
          <w:szCs w:val="12"/>
          <w:color w:val="auto"/>
        </w:rPr>
        <w:t>Our ordinary shares are traded on the Scale segment of the Frankfurt Stock Exchange under the symbol “M0Y.” On , 2021, the last closing price of our ordinary shares on the Frankfurt Stock Exchange was € per ordinary share, equivalent to a price of $ per ADS, after giving effect to the Euro/U.S. dollar exchange rate of £1.00 to $ as of , 2021, and an ADS to share ratio of to .</w:t>
      </w:r>
    </w:p>
    <w:p>
      <w:pPr>
        <w:spacing w:after="0" w:line="1" w:lineRule="exact"/>
        <w:rPr>
          <w:sz w:val="20"/>
          <w:szCs w:val="20"/>
          <w:color w:val="auto"/>
        </w:rPr>
      </w:pPr>
    </w:p>
    <w:p>
      <w:pPr>
        <w:ind w:left="1980" w:right="979"/>
        <w:spacing w:after="0" w:line="306" w:lineRule="auto"/>
        <w:rPr>
          <w:sz w:val="20"/>
          <w:szCs w:val="20"/>
          <w:color w:val="auto"/>
        </w:rPr>
      </w:pPr>
      <w:r>
        <w:rPr>
          <w:rFonts w:ascii="Arial" w:cs="Arial" w:eastAsia="Arial" w:hAnsi="Arial"/>
          <w:sz w:val="11"/>
          <w:szCs w:val="11"/>
          <w:color w:val="auto"/>
        </w:rPr>
        <w:t>Prior to this offering, there has been no market for our ADSs. Future sales of substantial amounts of our ordinary shares or ADSs in the public market, or the perception that such sales may occur, could adversely affect prevailing market prices of our ordinary shares or ADSs.</w:t>
      </w:r>
    </w:p>
    <w:p>
      <w:pPr>
        <w:spacing w:after="0" w:line="101" w:lineRule="exact"/>
        <w:rPr>
          <w:sz w:val="20"/>
          <w:szCs w:val="20"/>
          <w:color w:val="auto"/>
        </w:rPr>
      </w:pPr>
    </w:p>
    <w:p>
      <w:pPr>
        <w:ind w:left="1980" w:right="959" w:firstLine="294"/>
        <w:spacing w:after="0" w:line="258" w:lineRule="auto"/>
        <w:rPr>
          <w:sz w:val="20"/>
          <w:szCs w:val="20"/>
          <w:color w:val="auto"/>
        </w:rPr>
      </w:pPr>
      <w:r>
        <w:rPr>
          <w:rFonts w:ascii="Arial" w:cs="Arial" w:eastAsia="Arial" w:hAnsi="Arial"/>
          <w:sz w:val="12"/>
          <w:szCs w:val="12"/>
          <w:color w:val="auto"/>
        </w:rPr>
        <w:t>Upon completion of this offering, ADSs will be outstanding, representing approximately % of our outstanding ordinary shares or, if the underwriters exercise in full their option to buy additional ADSs, ADSs outstanding representing approximately % of our outstanding</w:t>
      </w:r>
    </w:p>
    <w:p>
      <w:pPr>
        <w:ind w:left="1980" w:right="1179"/>
        <w:spacing w:after="0" w:line="260" w:lineRule="auto"/>
        <w:rPr>
          <w:sz w:val="20"/>
          <w:szCs w:val="20"/>
          <w:color w:val="auto"/>
        </w:rPr>
      </w:pPr>
      <w:r>
        <w:rPr>
          <w:rFonts w:ascii="Arial" w:cs="Arial" w:eastAsia="Arial" w:hAnsi="Arial"/>
          <w:sz w:val="12"/>
          <w:szCs w:val="12"/>
          <w:color w:val="auto"/>
        </w:rPr>
        <w:t>ordinary shares. All of the ADSs sold in this offering will be freely transferable by persons other than by our “affiliates,” as that term is defined in Rule 144 under the Securities Act, without restriction or further registration under the Securities Act.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have agreed to certain restrictions on our ability to sell additional ADSs or ordinary shares for a period of 180 days after the date of this prospectus. In addition, certain members of our management board and supervisory board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and Jefferies. The agreements provide exceptions for, among other things, sales to underwriters pursuant to the underwriting agreement. For more information, see “Underwriting.”</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represented by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75"/>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Persons who have beneficially owned our ordinary shares, represented by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right="1659" w:hanging="288"/>
        <w:spacing w:after="0" w:line="276"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represented by ADSs or otherwise, which will equal approximately ordinary shares immediately after the completion of this offering; and</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average weekly trading volume of the ADSs on Nasdaq during the four calendar weeks preceding the filing of a notice on Form 144 with respect to the sale;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represented by ADSs or otherwise, under Rule 144 held by our affiliates are also subject to requirements regarding the manner of sale, notice and the availability of current public information about us. Rule 144 also requires that affiliates relying on Rule 144 to sell ordinary shares, represented by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the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For example, certain member states of the 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to sales and/or transfers of ADSs. In addition, in Germany, for example, there are currently ongoing discussions regarding an increase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30"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2"/>
          <w:szCs w:val="12"/>
          <w:i w:val="1"/>
          <w:iCs w:val="1"/>
          <w:color w:val="auto"/>
        </w:rPr>
        <w:t>Bundesfinanzministerium</w:t>
      </w:r>
      <w:r>
        <w:rPr>
          <w:rFonts w:ascii="Arial" w:cs="Arial" w:eastAsia="Arial" w:hAnsi="Arial"/>
          <w:sz w:val="12"/>
          <w:szCs w:val="12"/>
          <w:color w:val="auto"/>
        </w:rPr>
        <w:t>) dated May 24, 2013, reference number IV C 1-S2204/12/10003, as amended by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 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2"/>
          <w:szCs w:val="12"/>
          <w:i w:val="1"/>
          <w:iCs w:val="1"/>
          <w:color w:val="auto"/>
        </w:rPr>
        <w:t>Kirchensteuer</w:t>
      </w:r>
      <w:r>
        <w:rPr>
          <w:rFonts w:ascii="Arial" w:cs="Arial" w:eastAsia="Arial" w:hAnsi="Arial"/>
          <w:sz w:val="12"/>
          <w:szCs w:val="12"/>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8"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b w:val="1"/>
          <w:bCs w:val="1"/>
          <w:i w:val="1"/>
          <w:iCs w:val="1"/>
          <w:color w:val="auto"/>
        </w:rPr>
        <w:t xml:space="preserve">German Taxation of Capital Gains of U.S. Treaty Beneficiaries of the ADSs. </w:t>
      </w:r>
      <w:r>
        <w:rPr>
          <w:rFonts w:ascii="Arial" w:cs="Arial" w:eastAsia="Arial" w:hAnsi="Arial"/>
          <w:sz w:val="12"/>
          <w:szCs w:val="12"/>
          <w:color w:val="auto"/>
        </w:rPr>
        <w:t>Capital gains from the disposition of ADSs realized by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ADSs without consideration, the previous owner’s holding period and quota would be taken into account when calculating the above holding period and the participation threshold.</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most recently amended by a circular dated June 3, 2021, reference number IV C 1 -S 2252/19/10003 :002 (published in the German Federal Tax Gazette 2021 vol. I pp. 723),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Under the Withholding Tax Relief Modernization Act (</w:t>
      </w:r>
      <w:r>
        <w:rPr>
          <w:rFonts w:ascii="Arial" w:cs="Arial" w:eastAsia="Arial" w:hAnsi="Arial"/>
          <w:sz w:val="12"/>
          <w:szCs w:val="12"/>
          <w:i w:val="1"/>
          <w:iCs w:val="1"/>
          <w:color w:val="auto"/>
        </w:rPr>
        <w:t>Abzugsteuerentlastungsmodernisierungsgesetz</w:t>
      </w:r>
      <w:r>
        <w:rPr>
          <w:rFonts w:ascii="Arial" w:cs="Arial" w:eastAsia="Arial" w:hAnsi="Arial"/>
          <w:sz w:val="12"/>
          <w:szCs w:val="12"/>
          <w:color w:val="auto"/>
        </w:rPr>
        <w:t>) which was passed into law on June 9,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28"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1019" w:hanging="8"/>
        <w:spacing w:after="0" w:line="260" w:lineRule="auto"/>
        <w:tabs>
          <w:tab w:leader="none" w:pos="2123" w:val="left"/>
        </w:tabs>
        <w:numPr>
          <w:ilvl w:val="0"/>
          <w:numId w:val="80"/>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9, 2021, reference number IV C 1 – S 2252/19/10035 :014 (published in the German Federal Tax Gazette 2021 vol. I pp. 995), as amended, the withholding tax credit may also be denied as an anti-abuse measure.</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6"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married couples and registered civil unions (</w:t>
      </w:r>
      <w:r>
        <w:rPr>
          <w:rFonts w:ascii="Arial" w:cs="Arial" w:eastAsia="Arial" w:hAnsi="Arial"/>
          <w:sz w:val="12"/>
          <w:szCs w:val="12"/>
          <w:i w:val="1"/>
          <w:iCs w:val="1"/>
          <w:color w:val="auto"/>
        </w:rPr>
        <w:t>eingetragene Lebenspartnerschaften</w:t>
      </w:r>
      <w:r>
        <w:rPr>
          <w:rFonts w:ascii="Arial" w:cs="Arial" w:eastAsia="Arial" w:hAnsi="Arial"/>
          <w:sz w:val="12"/>
          <w:szCs w:val="12"/>
          <w:color w:val="auto"/>
        </w:rPr>
        <w:t>)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28"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jc w:val="both"/>
        <w:ind w:left="1980" w:right="1119" w:firstLine="294"/>
        <w:spacing w:after="0" w:line="263" w:lineRule="auto"/>
        <w:rPr>
          <w:sz w:val="20"/>
          <w:szCs w:val="20"/>
          <w:color w:val="auto"/>
        </w:rPr>
      </w:pPr>
      <w:r>
        <w:rPr>
          <w:rFonts w:ascii="Arial" w:cs="Arial" w:eastAsia="Arial" w:hAnsi="Arial"/>
          <w:sz w:val="12"/>
          <w:szCs w:val="12"/>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3"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12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Since 2021, the basis for the calculation of the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has been reduced for certain individuals subject to tax assessments (other than withholding taxes), and in certain cases, the solidarity surcharge has been eliminated for individuals.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There are currently no German net worth, transfer, stamp or other similar taxes that would apply to a U.S. holder on the acquisition, ownership, sale or other disposition of the ADSs. Certain member states of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on sales and/or transfer of ADS.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 on Nasdaq and we therefore expect that dividends we pay with respect to the ADSs will be qualified dividend income.</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20"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the ADSs:</w:t>
      </w:r>
    </w:p>
    <w:p>
      <w:pPr>
        <w:spacing w:after="0" w:line="168" w:lineRule="exact"/>
        <w:rPr>
          <w:sz w:val="20"/>
          <w:szCs w:val="20"/>
          <w:color w:val="auto"/>
        </w:rPr>
      </w:pPr>
    </w:p>
    <w:p>
      <w:pPr>
        <w:ind w:left="2620" w:hanging="288"/>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2620" w:hanging="288"/>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any gain you realize on the sale or other disposition of your ADSs and</w:t>
      </w:r>
    </w:p>
    <w:p>
      <w:pPr>
        <w:spacing w:after="0" w:line="168"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59"/>
        <w:spacing w:after="0" w:line="276" w:lineRule="auto"/>
        <w:rPr>
          <w:sz w:val="20"/>
          <w:szCs w:val="20"/>
          <w:color w:val="auto"/>
        </w:rPr>
      </w:pPr>
      <w:r>
        <w:rPr>
          <w:rFonts w:ascii="Arial" w:cs="Arial" w:eastAsia="Arial" w:hAnsi="Arial"/>
          <w:sz w:val="12"/>
          <w:szCs w:val="12"/>
          <w:color w:val="auto"/>
        </w:rPr>
        <w:t>125% of the average annual distributions received by you in respect of the ADSs during the three preceding taxable years or, if shorter, your holding period for the ADSs that preceded the taxable year in which you receive the distribution).</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1"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2260"/>
        <w:spacing w:after="0"/>
        <w:tabs>
          <w:tab w:leader="none" w:pos="7160" w:val="left"/>
        </w:tabs>
        <w:rPr>
          <w:sz w:val="20"/>
          <w:szCs w:val="20"/>
          <w:color w:val="auto"/>
        </w:rPr>
      </w:pPr>
      <w:r>
        <w:rPr>
          <w:rFonts w:ascii="Arial" w:cs="Arial" w:eastAsia="Arial" w:hAnsi="Arial"/>
          <w:sz w:val="12"/>
          <w:szCs w:val="12"/>
          <w:color w:val="auto"/>
        </w:rPr>
        <w:t>Under the terms and subject to the conditions contained in an underwriting agreement dated</w:t>
      </w:r>
      <w:r>
        <w:rPr>
          <w:sz w:val="20"/>
          <w:szCs w:val="20"/>
          <w:color w:val="auto"/>
        </w:rPr>
        <w:tab/>
      </w:r>
      <w:r>
        <w:rPr>
          <w:rFonts w:ascii="Arial" w:cs="Arial" w:eastAsia="Arial" w:hAnsi="Arial"/>
          <w:sz w:val="10"/>
          <w:szCs w:val="10"/>
          <w:color w:val="auto"/>
        </w:rPr>
        <w:t>, 2021, we have agreed to sell to the</w:t>
      </w:r>
    </w:p>
    <w:p>
      <w:pPr>
        <w:spacing w:after="0" w:line="15" w:lineRule="exact"/>
        <w:rPr>
          <w:sz w:val="20"/>
          <w:szCs w:val="20"/>
          <w:color w:val="auto"/>
        </w:rPr>
      </w:pPr>
    </w:p>
    <w:p>
      <w:pPr>
        <w:ind w:left="1980" w:right="1119"/>
        <w:spacing w:after="0" w:line="260" w:lineRule="auto"/>
        <w:rPr>
          <w:sz w:val="20"/>
          <w:szCs w:val="20"/>
          <w:color w:val="auto"/>
        </w:rPr>
      </w:pPr>
      <w:r>
        <w:rPr>
          <w:rFonts w:ascii="Arial" w:cs="Arial" w:eastAsia="Arial" w:hAnsi="Arial"/>
          <w:sz w:val="12"/>
          <w:szCs w:val="12"/>
          <w:color w:val="auto"/>
        </w:rPr>
        <w:t>underwriters named below, for whom Credit Suisse Securities (USA) LLC and Jefferies LLC are acting as representatives, the following respective numbers of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740" w:type="dxa"/>
            <w:vAlign w:val="bottom"/>
            <w:gridSpan w:val="2"/>
            <w:vMerge w:val="continue"/>
          </w:tcPr>
          <w:p>
            <w:pPr>
              <w:spacing w:after="0"/>
              <w:rPr>
                <w:sz w:val="9"/>
                <w:szCs w:val="9"/>
                <w:color w:val="auto"/>
              </w:rPr>
            </w:pPr>
          </w:p>
        </w:tc>
        <w:tc>
          <w:tcPr>
            <w:tcW w:w="60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Credit Suisse Securities (USA) LLC</w:t>
            </w: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Jefferies LLC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Canaccord Genuity LLC</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gridSpan w:val="2"/>
          </w:tcPr>
          <w:p>
            <w:pPr>
              <w:spacing w:after="0"/>
              <w:rPr>
                <w:sz w:val="20"/>
                <w:szCs w:val="20"/>
                <w:color w:val="auto"/>
              </w:rPr>
            </w:pPr>
            <w:r>
              <w:rPr>
                <w:rFonts w:ascii="Arial" w:cs="Arial" w:eastAsia="Arial" w:hAnsi="Arial"/>
                <w:sz w:val="12"/>
                <w:szCs w:val="12"/>
                <w:color w:val="auto"/>
              </w:rPr>
              <w:t>Beech Hill Securities, Inc.</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propose to offer the ADSs initially at the public offering price on the cover page of this prospectus and to selling group members</w:t>
      </w:r>
    </w:p>
    <w:p>
      <w:pPr>
        <w:spacing w:after="0" w:line="26"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at that price less a selling concession of up to $ per ADS. After the initial public offering, the representatives may change the public offering price and selling concession.</w:t>
      </w:r>
    </w:p>
    <w:p>
      <w:pPr>
        <w:spacing w:after="0" w:line="124" w:lineRule="exact"/>
        <w:rPr>
          <w:sz w:val="20"/>
          <w:szCs w:val="20"/>
          <w:color w:val="auto"/>
        </w:rPr>
      </w:pPr>
    </w:p>
    <w:p>
      <w:pPr>
        <w:jc w:val="both"/>
        <w:ind w:left="1980" w:right="979" w:firstLine="294"/>
        <w:spacing w:after="0" w:line="277" w:lineRule="auto"/>
        <w:rPr>
          <w:sz w:val="20"/>
          <w:szCs w:val="20"/>
          <w:color w:val="auto"/>
        </w:rPr>
      </w:pPr>
      <w:r>
        <w:rPr>
          <w:rFonts w:ascii="Arial" w:cs="Arial" w:eastAsia="Arial" w:hAnsi="Arial"/>
          <w:sz w:val="11"/>
          <w:szCs w:val="11"/>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all of the new ordinary shares representing such additional ADSs on behalf of the underwriters, at an issue price of € per share. This issue price will be credited against the amount due from</w:t>
      </w:r>
    </w:p>
    <w:p>
      <w:pPr>
        <w:spacing w:after="0" w:line="1"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the underwriters at the closing of such optional purchase. The offering of the ADSs by the underwriters is subject to receipt and acceptance and subject to the underwriters’ right to reject any order in whole or in part.</w:t>
      </w:r>
    </w:p>
    <w:p>
      <w:pPr>
        <w:spacing w:after="0" w:line="124"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ADSs.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r>
      <w:tr>
        <w:trPr>
          <w:trHeight w:val="88"/>
        </w:trPr>
        <w:tc>
          <w:tcPr>
            <w:tcW w:w="528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66"/>
              <w:spacing w:after="0" w:line="88" w:lineRule="exact"/>
              <w:rPr>
                <w:sz w:val="20"/>
                <w:szCs w:val="20"/>
                <w:color w:val="auto"/>
              </w:rPr>
            </w:pPr>
            <w:r>
              <w:rPr>
                <w:rFonts w:ascii="Arial" w:cs="Arial" w:eastAsia="Arial" w:hAnsi="Arial"/>
                <w:sz w:val="10"/>
                <w:szCs w:val="10"/>
                <w:b w:val="1"/>
                <w:bCs w:val="1"/>
                <w:color w:val="auto"/>
              </w:rPr>
              <w:t>Per ADS</w:t>
            </w:r>
          </w:p>
        </w:tc>
        <w:tc>
          <w:tcPr>
            <w:tcW w:w="1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5"/>
              </w:rPr>
              <w:t>Non Exercise</w:t>
            </w:r>
          </w:p>
        </w:tc>
        <w:tc>
          <w:tcPr>
            <w:tcW w:w="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7"/>
              </w:rPr>
              <w:t>Full Exercise</w:t>
            </w:r>
          </w:p>
        </w:tc>
        <w:tc>
          <w:tcPr>
            <w:tcW w:w="40" w:type="dxa"/>
            <w:vAlign w:val="bottom"/>
            <w:tcBorders>
              <w:bottom w:val="single" w:sz="8" w:color="CCEEFF"/>
            </w:tcBorders>
          </w:tcPr>
          <w:p>
            <w:pPr>
              <w:spacing w:after="0"/>
              <w:rPr>
                <w:sz w:val="7"/>
                <w:szCs w:val="7"/>
                <w:color w:val="auto"/>
              </w:rPr>
            </w:pPr>
          </w:p>
        </w:tc>
      </w:tr>
      <w:tr>
        <w:trPr>
          <w:trHeight w:val="124"/>
        </w:trPr>
        <w:tc>
          <w:tcPr>
            <w:tcW w:w="528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28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472"/>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r>
        <w:trPr>
          <w:trHeight w:val="288"/>
        </w:trPr>
        <w:tc>
          <w:tcPr>
            <w:tcW w:w="6540" w:type="dxa"/>
            <w:vAlign w:val="bottom"/>
            <w:gridSpan w:val="4"/>
          </w:tcPr>
          <w:p>
            <w:pPr>
              <w:ind w:left="280"/>
              <w:spacing w:after="0"/>
              <w:rPr>
                <w:sz w:val="20"/>
                <w:szCs w:val="20"/>
                <w:color w:val="auto"/>
              </w:rPr>
            </w:pPr>
            <w:r>
              <w:rPr>
                <w:rFonts w:ascii="Arial" w:cs="Arial" w:eastAsia="Arial" w:hAnsi="Arial"/>
                <w:sz w:val="12"/>
                <w:szCs w:val="12"/>
                <w:color w:val="auto"/>
                <w:w w:val="95"/>
              </w:rPr>
              <w:t>The estimated offering expenses payable by us, exclusive of underwriting discounts and commissions, are approximately $</w:t>
            </w:r>
          </w:p>
        </w:tc>
        <w:tc>
          <w:tcPr>
            <w:tcW w:w="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color w:val="auto"/>
              </w:rPr>
              <w:t>. We have</w:t>
            </w:r>
          </w:p>
        </w:tc>
      </w:tr>
    </w:tbl>
    <w:p>
      <w:pPr>
        <w:ind w:left="1980"/>
        <w:spacing w:after="0"/>
        <w:rPr>
          <w:sz w:val="20"/>
          <w:szCs w:val="20"/>
          <w:color w:val="auto"/>
        </w:rPr>
      </w:pPr>
      <w:r>
        <w:rPr>
          <w:rFonts w:ascii="Arial" w:cs="Arial" w:eastAsia="Arial" w:hAnsi="Arial"/>
          <w:sz w:val="11"/>
          <w:szCs w:val="11"/>
          <w:color w:val="auto"/>
        </w:rPr>
        <w:t>agreed to reimburse the underwriters for expenses related to clearance of this offering with the Financial Industry Regulatory Authority, Inc., or FINRA.</w:t>
      </w:r>
    </w:p>
    <w:p>
      <w:pPr>
        <w:spacing w:after="0" w:line="153"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Bulent Altan, our Chief Executive Officer and a member of our management board, has indicated an interest in purchasing an aggregate of up to $75 thousand of ADSs in this offering at the initial public offering price. Because this indication of interest is not a binding agreement or commitment to purchase, Mr. Altan could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determine to purchase more, less or no ADSs in this offering, or the underwriters could determine to sell less or no ADSs to Mr. Altan. The underwriters will receive the same discount with respect to the ADSs sold to Mr. Altan as they will with respect to any other ADSs sold in this offering.</w:t>
      </w:r>
    </w:p>
    <w:p>
      <w:pPr>
        <w:spacing w:after="0" w:line="9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agreed, subject to certain exceptions, that we will not offer, sell, contract to sell, pledge or otherwise dispose of, directly or indirectly, or file with the SEC a registration statement under the Securities Act relating to, any ADSs, our ordinary shares or securities convertible into or exchangeable or exercisable for any ADSs or our ordinary shares, or publicly disclose the intention to make any offer, sale, pledge, disposition or 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13"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The members of our supervisory board and management board and certain existing shareholders have agreed, subject to certain exceptions, that they will not offer, sell, contract to sell, pledge or otherwise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such transaction, swap, hedge or other arrangement, without, in each case, the prior written consent of Credit Suisse Securities (USA) LLC and Jefferies LLC for a period of 180 days after the date of this prospectus.</w:t>
      </w:r>
    </w:p>
    <w:p>
      <w:pPr>
        <w:spacing w:after="0" w:line="10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Prior to this offering, there has been no public market for the ADSs. Our ordinary shares are listed on the Frankfurt Stock Exchange (</w:t>
      </w:r>
      <w:r>
        <w:rPr>
          <w:rFonts w:ascii="Arial" w:cs="Arial" w:eastAsia="Arial" w:hAnsi="Arial"/>
          <w:sz w:val="11"/>
          <w:szCs w:val="11"/>
          <w:i w:val="1"/>
          <w:iCs w:val="1"/>
          <w:color w:val="auto"/>
        </w:rPr>
        <w:t>Frankfurter</w:t>
      </w:r>
    </w:p>
    <w:p>
      <w:pPr>
        <w:spacing w:after="0" w:line="2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w:t>
      </w:r>
      <w:r>
        <w:rPr>
          <w:sz w:val="20"/>
          <w:szCs w:val="20"/>
          <w:color w:val="auto"/>
        </w:rPr>
        <w:tab/>
      </w:r>
      <w:r>
        <w:rPr>
          <w:rFonts w:ascii="Arial" w:cs="Arial" w:eastAsia="Arial" w:hAnsi="Arial"/>
          <w:sz w:val="10"/>
          <w:szCs w:val="10"/>
          <w:color w:val="auto"/>
        </w:rPr>
        <w:t>, 2021, the closing price of our ordinary shares on the Frankfurt Stock Exchange was</w:t>
      </w:r>
    </w:p>
    <w:p>
      <w:pPr>
        <w:spacing w:after="0" w:line="6" w:lineRule="exact"/>
        <w:rPr>
          <w:sz w:val="20"/>
          <w:szCs w:val="20"/>
          <w:color w:val="auto"/>
        </w:rPr>
      </w:pPr>
    </w:p>
    <w:p>
      <w:pPr>
        <w:ind w:left="1980"/>
        <w:spacing w:after="0"/>
        <w:tabs>
          <w:tab w:leader="none" w:pos="2520" w:val="left"/>
          <w:tab w:leader="none" w:pos="40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per ordinary share ($</w:t>
      </w:r>
      <w:r>
        <w:rPr>
          <w:sz w:val="20"/>
          <w:szCs w:val="20"/>
          <w:color w:val="auto"/>
        </w:rPr>
        <w:tab/>
      </w:r>
      <w:r>
        <w:rPr>
          <w:rFonts w:ascii="Arial" w:cs="Arial" w:eastAsia="Arial" w:hAnsi="Arial"/>
          <w:sz w:val="10"/>
          <w:szCs w:val="10"/>
          <w:color w:val="auto"/>
        </w:rPr>
        <w:t>per ordinary share, based on the Euro/U.S. dollar exchange rate published by the European Central Bank on</w:t>
      </w:r>
    </w:p>
    <w:p>
      <w:pPr>
        <w:spacing w:after="0" w:line="6" w:lineRule="exact"/>
        <w:rPr>
          <w:sz w:val="20"/>
          <w:szCs w:val="20"/>
          <w:color w:val="auto"/>
        </w:rPr>
      </w:pPr>
    </w:p>
    <w:p>
      <w:pPr>
        <w:ind w:left="2460"/>
        <w:spacing w:after="0"/>
        <w:tabs>
          <w:tab w:leader="none" w:pos="4300" w:val="left"/>
        </w:tabs>
        <w:rPr>
          <w:sz w:val="20"/>
          <w:szCs w:val="20"/>
          <w:color w:val="auto"/>
        </w:rPr>
      </w:pPr>
      <w:r>
        <w:rPr>
          <w:rFonts w:ascii="Arial" w:cs="Arial" w:eastAsia="Arial" w:hAnsi="Arial"/>
          <w:sz w:val="12"/>
          <w:szCs w:val="12"/>
          <w:color w:val="auto"/>
        </w:rPr>
        <w:t>, 2021, which was €1.00 to $</w:t>
      </w:r>
      <w:r>
        <w:rPr>
          <w:sz w:val="20"/>
          <w:szCs w:val="20"/>
          <w:color w:val="auto"/>
        </w:rPr>
        <w:tab/>
      </w:r>
      <w:r>
        <w:rPr>
          <w:rFonts w:ascii="Arial" w:cs="Arial" w:eastAsia="Arial" w:hAnsi="Arial"/>
          <w:sz w:val="8"/>
          <w:szCs w:val="8"/>
          <w:color w:val="auto"/>
        </w:rPr>
        <w:t>).</w:t>
      </w:r>
    </w:p>
    <w:p>
      <w:pPr>
        <w:spacing w:after="0" w:line="141"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color w:val="auto"/>
        </w:rPr>
        <w:t>The initial public offering price for the ADSs will be determined through discussions between us and the representatives of the underwriters and will be based in large part on the closing price of our ordinary shares on the Frankfurt Stock Exchange. Based on the closing price of our ordinary shares</w:t>
      </w:r>
    </w:p>
    <w:p>
      <w:pPr>
        <w:spacing w:after="0" w:line="1"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on the Frankfurt Stock Exchange on , 2021, based on the Euro/U.S. dollar exchange rate of €1.00 to $ as of , 2021, and an ADS to ordinary share ratio of to , after deducting the estimated underwriting discounts and commissions and estimated offering expenses payable by us, the assumed offer price per ADS would be $ .</w:t>
      </w:r>
    </w:p>
    <w:p>
      <w:pPr>
        <w:spacing w:after="0" w:line="127"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88"/>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340" w:lineRule="auto"/>
        <w:tabs>
          <w:tab w:leader="none" w:pos="2620" w:val="left"/>
        </w:tabs>
        <w:numPr>
          <w:ilvl w:val="0"/>
          <w:numId w:val="88"/>
        </w:numPr>
        <w:rPr>
          <w:rFonts w:ascii="Arial" w:cs="Arial" w:eastAsia="Arial" w:hAnsi="Arial"/>
          <w:sz w:val="10"/>
          <w:szCs w:val="10"/>
          <w:color w:val="auto"/>
        </w:rPr>
      </w:pPr>
      <w:r>
        <w:rPr>
          <w:rFonts w:ascii="Arial" w:cs="Arial" w:eastAsia="Arial" w:hAnsi="Arial"/>
          <w:sz w:val="10"/>
          <w:szCs w:val="10"/>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39"/>
        <w:spacing w:after="0" w:line="263" w:lineRule="auto"/>
        <w:rPr>
          <w:sz w:val="20"/>
          <w:szCs w:val="20"/>
          <w:color w:val="auto"/>
        </w:rPr>
      </w:pPr>
      <w:r>
        <w:rPr>
          <w:rFonts w:ascii="Arial" w:cs="Arial" w:eastAsia="Arial" w:hAnsi="Arial"/>
          <w:sz w:val="12"/>
          <w:szCs w:val="12"/>
          <w:color w:val="auto"/>
        </w:rPr>
        <w:t>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40" w:lineRule="exact"/>
        <w:rPr>
          <w:sz w:val="20"/>
          <w:szCs w:val="20"/>
          <w:color w:val="auto"/>
        </w:rPr>
      </w:pPr>
    </w:p>
    <w:p>
      <w:pPr>
        <w:ind w:left="2620" w:right="939" w:hanging="288"/>
        <w:spacing w:after="0" w:line="254" w:lineRule="auto"/>
        <w:tabs>
          <w:tab w:leader="none" w:pos="26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47" w:lineRule="exact"/>
        <w:rPr>
          <w:rFonts w:ascii="Arial" w:cs="Arial" w:eastAsia="Arial" w:hAnsi="Arial"/>
          <w:sz w:val="12"/>
          <w:szCs w:val="12"/>
          <w:color w:val="auto"/>
        </w:rPr>
      </w:pPr>
    </w:p>
    <w:p>
      <w:pPr>
        <w:ind w:left="2620" w:right="1259" w:hanging="288"/>
        <w:spacing w:after="0" w:line="379" w:lineRule="auto"/>
        <w:tabs>
          <w:tab w:leader="none" w:pos="2620" w:val="left"/>
        </w:tabs>
        <w:numPr>
          <w:ilvl w:val="0"/>
          <w:numId w:val="89"/>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 exist in the open market. These transactions may be effected on the Nasdaq and, if commenced, may be discontinued at any time.</w:t>
      </w:r>
    </w:p>
    <w:p>
      <w:pPr>
        <w:spacing w:after="0" w:line="105"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 The address of Jefferies LLC is 520 Madison Avenue, New York, New York 10022, United States of America.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50"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The ADSs may be sold only to purchasers purchasing, or deemed to be purchasing, as principal that are accredited investors, as defined in National Instrument 45-106 Prospectus Exemptions or subsection 73.3(1)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22"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w:t>
      </w:r>
    </w:p>
    <w:p>
      <w:pPr>
        <w:spacing w:after="0" w:line="1" w:lineRule="exact"/>
        <w:rPr>
          <w:sz w:val="20"/>
          <w:szCs w:val="20"/>
          <w:color w:val="auto"/>
        </w:rPr>
      </w:pPr>
    </w:p>
    <w:p>
      <w:pPr>
        <w:jc w:val="both"/>
        <w:ind w:left="1980" w:right="839" w:hanging="8"/>
        <w:spacing w:after="0" w:line="284" w:lineRule="auto"/>
        <w:tabs>
          <w:tab w:leader="none" w:pos="2123" w:val="left"/>
        </w:tabs>
        <w:numPr>
          <w:ilvl w:val="0"/>
          <w:numId w:val="92"/>
        </w:numPr>
        <w:rPr>
          <w:rFonts w:ascii="Arial" w:cs="Arial" w:eastAsia="Arial" w:hAnsi="Arial"/>
          <w:sz w:val="11"/>
          <w:szCs w:val="11"/>
          <w:color w:val="auto"/>
        </w:rPr>
      </w:pPr>
      <w:r>
        <w:rPr>
          <w:rFonts w:ascii="Arial" w:cs="Arial" w:eastAsia="Arial" w:hAnsi="Arial"/>
          <w:sz w:val="11"/>
          <w:szCs w:val="11"/>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93"/>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94"/>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94"/>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Set forth below is an itemization of the total expenses, excluding underwriting discounts and commissions, that we expect to incur in connection with the offer and sale of the ADSs. With the exception of the Securities and Exchange Commission registration fee, the Nasdaq listing fee and the FINRA filing fee, all of these amounts are estimates.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9"/>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5,562</w:t>
            </w:r>
          </w:p>
        </w:tc>
        <w:tc>
          <w:tcPr>
            <w:tcW w:w="100" w:type="dxa"/>
            <w:vAlign w:val="bottom"/>
            <w:tcBorders>
              <w:top w:val="single" w:sz="8" w:color="CCEEFF"/>
            </w:tcBorders>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9,500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Nasdaq listing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25,000</w:t>
            </w: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6660" w:type="dxa"/>
            <w:vAlign w:val="bottom"/>
          </w:tcPr>
          <w:p>
            <w:pPr>
              <w:spacing w:after="0"/>
              <w:rPr>
                <w:sz w:val="20"/>
                <w:szCs w:val="20"/>
                <w:color w:val="auto"/>
              </w:rPr>
            </w:pPr>
            <w:r>
              <w:rPr>
                <w:rFonts w:ascii="Arial" w:cs="Arial" w:eastAsia="Arial" w:hAnsi="Arial"/>
                <w:sz w:val="11"/>
                <w:szCs w:val="11"/>
                <w:color w:val="auto"/>
              </w:rPr>
              <w:t>Legal fees and expenses</w:t>
            </w:r>
          </w:p>
        </w:tc>
        <w:tc>
          <w:tcPr>
            <w:tcW w:w="5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tcPr>
          <w:p>
            <w:pPr>
              <w:spacing w:after="0"/>
              <w:rPr>
                <w:sz w:val="20"/>
                <w:szCs w:val="20"/>
                <w:color w:val="auto"/>
              </w:rPr>
            </w:pPr>
            <w:r>
              <w:rPr>
                <w:rFonts w:ascii="Arial" w:cs="Arial" w:eastAsia="Arial" w:hAnsi="Arial"/>
                <w:sz w:val="11"/>
                <w:szCs w:val="11"/>
                <w:color w:val="auto"/>
              </w:rPr>
              <w:t>Corporate advisory fees and expenses</w:t>
            </w:r>
          </w:p>
        </w:tc>
        <w:tc>
          <w:tcPr>
            <w:tcW w:w="5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shd w:val="clear" w:color="auto" w:fill="CCEEFF"/>
          </w:tcPr>
          <w:p>
            <w:pPr>
              <w:spacing w:after="0"/>
              <w:rPr>
                <w:sz w:val="20"/>
                <w:szCs w:val="20"/>
                <w:color w:val="auto"/>
              </w:rPr>
            </w:pPr>
            <w:r>
              <w:rPr>
                <w:rFonts w:ascii="Arial" w:cs="Arial" w:eastAsia="Arial" w:hAnsi="Arial"/>
                <w:sz w:val="11"/>
                <w:szCs w:val="11"/>
                <w:color w:val="auto"/>
              </w:rPr>
              <w:t>Printing fee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tcPr>
          <w:p>
            <w:pPr>
              <w:spacing w:after="0"/>
              <w:rPr>
                <w:sz w:val="20"/>
                <w:szCs w:val="20"/>
                <w:color w:val="auto"/>
              </w:rPr>
            </w:pPr>
            <w:r>
              <w:rPr>
                <w:rFonts w:ascii="Arial" w:cs="Arial" w:eastAsia="Arial" w:hAnsi="Arial"/>
                <w:sz w:val="11"/>
                <w:szCs w:val="11"/>
                <w:color w:val="auto"/>
              </w:rPr>
              <w:t>Other fees and expenses</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42"/>
        </w:trPr>
        <w:tc>
          <w:tcPr>
            <w:tcW w:w="6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b w:val="1"/>
                <w:bCs w:val="1"/>
                <w:color w:val="auto"/>
                <w:w w:val="89"/>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95"/>
        </w:numPr>
        <w:rPr>
          <w:rFonts w:ascii="Arial" w:cs="Arial" w:eastAsia="Arial" w:hAnsi="Arial"/>
          <w:sz w:val="10"/>
          <w:szCs w:val="10"/>
          <w:color w:val="auto"/>
        </w:rPr>
      </w:pPr>
      <w:r>
        <w:rPr>
          <w:rFonts w:ascii="Arial" w:cs="Arial" w:eastAsia="Arial" w:hAnsi="Arial"/>
          <w:sz w:val="10"/>
          <w:szCs w:val="10"/>
          <w:color w:val="auto"/>
        </w:rPr>
        <w:t>To be provided by amendment.</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181</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182</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87"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 audit report covering the December 31, 2020 consolidated financial statements contains an explanatory paragraph that states that the Company faces material uncertainties related to: a) its operational cash flows in fiscal 2022, and b) requirements for additional financing, that raise substantial doubt about the Company’s ability to continue as a going concern. The consolidated financial statements do not include any adjustments that might result from the outcome of that uncertainty.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183</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three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184</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185</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1"/>
              </w:rPr>
              <w:t>Page</w:t>
            </w:r>
          </w:p>
        </w:tc>
      </w:tr>
      <w:tr>
        <w:trPr>
          <w:trHeight w:val="124"/>
        </w:trPr>
        <w:tc>
          <w:tcPr>
            <w:tcW w:w="7020" w:type="dxa"/>
            <w:vAlign w:val="bottom"/>
            <w:tcBorders>
              <w:top w:val="single" w:sz="8" w:color="CCEEFF"/>
            </w:tcBorders>
            <w:gridSpan w:val="11"/>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Unaudited Consolidated Interim Financial Statements of Mynaric AG</w:t>
            </w: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7020" w:type="dxa"/>
            <w:vAlign w:val="bottom"/>
            <w:gridSpan w:val="11"/>
          </w:tcPr>
          <w:p>
            <w:pPr>
              <w:spacing w:after="0" w:line="117" w:lineRule="exact"/>
              <w:rPr>
                <w:rFonts w:ascii="Arial" w:cs="Arial" w:eastAsia="Arial" w:hAnsi="Arial"/>
                <w:sz w:val="12"/>
                <w:szCs w:val="12"/>
                <w:color w:val="0000EE"/>
              </w:rPr>
            </w:pPr>
            <w:hyperlink w:anchor="page198">
              <w:r>
                <w:rPr>
                  <w:rFonts w:ascii="Arial" w:cs="Arial" w:eastAsia="Arial" w:hAnsi="Arial"/>
                  <w:sz w:val="12"/>
                  <w:szCs w:val="12"/>
                  <w:color w:val="0000EE"/>
                </w:rPr>
                <w:t>Condensed Consolidated Statements of Profit or Loss and Other Comprehensive Income</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w:t>
            </w:r>
          </w:p>
        </w:tc>
      </w:tr>
      <w:tr>
        <w:trPr>
          <w:trHeight w:val="124"/>
        </w:trPr>
        <w:tc>
          <w:tcPr>
            <w:tcW w:w="278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199">
              <w:r>
                <w:rPr>
                  <w:rFonts w:ascii="Arial" w:cs="Arial" w:eastAsia="Arial" w:hAnsi="Arial"/>
                  <w:sz w:val="12"/>
                  <w:szCs w:val="12"/>
                  <w:color w:val="0000EE"/>
                  <w:w w:val="89"/>
                </w:rPr>
                <w:t>Condensed Consolidated Statements of Financial Position</w:t>
              </w:r>
            </w:hyperlink>
          </w:p>
        </w:tc>
        <w:tc>
          <w:tcPr>
            <w:tcW w:w="146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2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F-3</w:t>
            </w:r>
          </w:p>
        </w:tc>
      </w:tr>
      <w:tr>
        <w:trPr>
          <w:trHeight w:val="124"/>
        </w:trPr>
        <w:tc>
          <w:tcPr>
            <w:tcW w:w="2800" w:type="dxa"/>
            <w:vAlign w:val="bottom"/>
            <w:tcBorders>
              <w:bottom w:val="single" w:sz="8" w:color="0000EE"/>
            </w:tcBorders>
            <w:gridSpan w:val="7"/>
          </w:tcPr>
          <w:p>
            <w:pPr>
              <w:spacing w:after="0" w:line="117" w:lineRule="exact"/>
              <w:rPr>
                <w:rFonts w:ascii="Arial" w:cs="Arial" w:eastAsia="Arial" w:hAnsi="Arial"/>
                <w:sz w:val="12"/>
                <w:szCs w:val="12"/>
                <w:color w:val="0000EE"/>
                <w:w w:val="88"/>
              </w:rPr>
            </w:pPr>
            <w:hyperlink w:anchor="page200">
              <w:r>
                <w:rPr>
                  <w:rFonts w:ascii="Arial" w:cs="Arial" w:eastAsia="Arial" w:hAnsi="Arial"/>
                  <w:sz w:val="12"/>
                  <w:szCs w:val="12"/>
                  <w:color w:val="0000EE"/>
                  <w:w w:val="88"/>
                </w:rPr>
                <w:t>Condensed Consolidated Statements of Changes in Equity</w:t>
              </w:r>
            </w:hyperlink>
          </w:p>
        </w:tc>
        <w:tc>
          <w:tcPr>
            <w:tcW w:w="4220" w:type="dxa"/>
            <w:vAlign w:val="bottom"/>
            <w:gridSpan w:val="4"/>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F-4</w:t>
            </w:r>
          </w:p>
        </w:tc>
      </w:tr>
      <w:tr>
        <w:trPr>
          <w:trHeight w:val="117"/>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01">
              <w:r>
                <w:rPr>
                  <w:rFonts w:ascii="Arial" w:cs="Arial" w:eastAsia="Arial" w:hAnsi="Arial"/>
                  <w:sz w:val="12"/>
                  <w:szCs w:val="12"/>
                  <w:color w:val="0000EE"/>
                </w:rPr>
                <w:t>Condensed Consolidated Statements of Cash Flows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F-5</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02">
              <w:r>
                <w:rPr>
                  <w:rFonts w:ascii="Arial" w:cs="Arial" w:eastAsia="Arial" w:hAnsi="Arial"/>
                  <w:sz w:val="12"/>
                  <w:szCs w:val="12"/>
                  <w:color w:val="0000EE"/>
                </w:rPr>
                <w:t>Notes to the Condensed Consolidated Interim Financial Statements</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F-6</w:t>
            </w:r>
          </w:p>
        </w:tc>
      </w:tr>
      <w:tr>
        <w:trPr>
          <w:trHeight w:val="151"/>
        </w:trPr>
        <w:tc>
          <w:tcPr>
            <w:tcW w:w="1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7020" w:type="dxa"/>
            <w:vAlign w:val="bottom"/>
            <w:gridSpan w:val="11"/>
            <w:shd w:val="clear" w:color="auto" w:fill="CCEEFF"/>
          </w:tcPr>
          <w:p>
            <w:pPr>
              <w:spacing w:after="0"/>
              <w:rPr>
                <w:sz w:val="20"/>
                <w:szCs w:val="20"/>
                <w:color w:val="auto"/>
              </w:rPr>
            </w:pPr>
            <w:r>
              <w:rPr>
                <w:rFonts w:ascii="Arial" w:cs="Arial" w:eastAsia="Arial" w:hAnsi="Arial"/>
                <w:sz w:val="12"/>
                <w:szCs w:val="12"/>
                <w:b w:val="1"/>
                <w:bCs w:val="1"/>
                <w:color w:val="auto"/>
              </w:rPr>
              <w:t>Audited Consolidated Financial Statements of Mynaric AG</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14">
              <w:r>
                <w:rPr>
                  <w:rFonts w:ascii="Arial" w:cs="Arial" w:eastAsia="Arial" w:hAnsi="Arial"/>
                  <w:sz w:val="12"/>
                  <w:szCs w:val="12"/>
                  <w:color w:val="0000EE"/>
                </w:rPr>
                <w:t>Independent Auditor’s Report</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F-18</w:t>
            </w:r>
          </w:p>
        </w:tc>
      </w:tr>
      <w:tr>
        <w:trPr>
          <w:trHeight w:val="27"/>
        </w:trPr>
        <w:tc>
          <w:tcPr>
            <w:tcW w:w="14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89"/>
              </w:rPr>
            </w:pPr>
            <w:hyperlink w:anchor="page215">
              <w:r>
                <w:rPr>
                  <w:rFonts w:ascii="Arial" w:cs="Arial" w:eastAsia="Arial" w:hAnsi="Arial"/>
                  <w:sz w:val="12"/>
                  <w:szCs w:val="12"/>
                  <w:color w:val="0000EE"/>
                  <w:w w:val="89"/>
                </w:rPr>
                <w:t>Consolidated Statements of Profit or Loss and Other Comprehensive Income</w:t>
              </w:r>
            </w:hyperlink>
          </w:p>
        </w:tc>
        <w:tc>
          <w:tcPr>
            <w:tcW w:w="3340" w:type="dxa"/>
            <w:vAlign w:val="bottom"/>
            <w:tcBorders>
              <w:bottom w:val="single" w:sz="8" w:color="CCEEFF"/>
            </w:tcBorders>
            <w:gridSpan w:val="2"/>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F-19</w:t>
            </w:r>
          </w:p>
        </w:tc>
      </w:tr>
      <w:tr>
        <w:trPr>
          <w:trHeight w:val="124"/>
        </w:trPr>
        <w:tc>
          <w:tcPr>
            <w:tcW w:w="2220" w:type="dxa"/>
            <w:vAlign w:val="bottom"/>
            <w:tcBorders>
              <w:bottom w:val="single" w:sz="8" w:color="0000EE"/>
            </w:tcBorders>
            <w:gridSpan w:val="3"/>
          </w:tcPr>
          <w:p>
            <w:pPr>
              <w:spacing w:after="0" w:line="117" w:lineRule="exact"/>
              <w:rPr>
                <w:rFonts w:ascii="Arial" w:cs="Arial" w:eastAsia="Arial" w:hAnsi="Arial"/>
                <w:sz w:val="12"/>
                <w:szCs w:val="12"/>
                <w:color w:val="0000EE"/>
                <w:w w:val="89"/>
              </w:rPr>
            </w:pPr>
            <w:hyperlink w:anchor="page216">
              <w:r>
                <w:rPr>
                  <w:rFonts w:ascii="Arial" w:cs="Arial" w:eastAsia="Arial" w:hAnsi="Arial"/>
                  <w:sz w:val="12"/>
                  <w:szCs w:val="12"/>
                  <w:color w:val="0000EE"/>
                  <w:w w:val="89"/>
                </w:rPr>
                <w:t>Consolidated Statements of Financial Position</w:t>
              </w:r>
            </w:hyperlink>
          </w:p>
        </w:tc>
        <w:tc>
          <w:tcPr>
            <w:tcW w:w="4800" w:type="dxa"/>
            <w:vAlign w:val="bottom"/>
            <w:gridSpan w:val="8"/>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F-20</w:t>
            </w: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7">
              <w:r>
                <w:rPr>
                  <w:rFonts w:ascii="Arial" w:cs="Arial" w:eastAsia="Arial" w:hAnsi="Arial"/>
                  <w:sz w:val="12"/>
                  <w:szCs w:val="12"/>
                  <w:color w:val="0000EE"/>
                </w:rPr>
                <w:t>Consolidated Statements of Changes in Equity</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F-21</w:t>
            </w:r>
          </w:p>
        </w:tc>
      </w:tr>
      <w:tr>
        <w:trPr>
          <w:trHeight w:val="117"/>
        </w:trPr>
        <w:tc>
          <w:tcPr>
            <w:tcW w:w="2220" w:type="dxa"/>
            <w:vAlign w:val="bottom"/>
            <w:tcBorders>
              <w:top w:val="single" w:sz="8" w:color="0000EE"/>
            </w:tcBorders>
            <w:gridSpan w:val="3"/>
          </w:tcPr>
          <w:p>
            <w:pPr>
              <w:spacing w:after="0" w:line="117" w:lineRule="exact"/>
              <w:rPr>
                <w:rFonts w:ascii="Arial" w:cs="Arial" w:eastAsia="Arial" w:hAnsi="Arial"/>
                <w:sz w:val="12"/>
                <w:szCs w:val="12"/>
                <w:color w:val="0000EE"/>
              </w:rPr>
            </w:pPr>
            <w:hyperlink w:anchor="page218">
              <w:r>
                <w:rPr>
                  <w:rFonts w:ascii="Arial" w:cs="Arial" w:eastAsia="Arial" w:hAnsi="Arial"/>
                  <w:sz w:val="12"/>
                  <w:szCs w:val="12"/>
                  <w:color w:val="0000EE"/>
                </w:rPr>
                <w:t>Consolidated Statements of Cash Flows</w:t>
              </w:r>
            </w:hyperlink>
          </w:p>
        </w:tc>
        <w:tc>
          <w:tcPr>
            <w:tcW w:w="4800" w:type="dxa"/>
            <w:vAlign w:val="bottom"/>
            <w:tcBorders>
              <w:top w:val="single" w:sz="8" w:color="CCEEFF"/>
            </w:tcBorders>
            <w:gridSpan w:val="8"/>
          </w:tcPr>
          <w:p>
            <w:pPr>
              <w:spacing w:after="0"/>
              <w:rPr>
                <w:sz w:val="10"/>
                <w:szCs w:val="10"/>
                <w:color w:val="auto"/>
              </w:rPr>
            </w:pPr>
          </w:p>
        </w:tc>
        <w:tc>
          <w:tcPr>
            <w:tcW w:w="32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rPr>
              <w:t>F-22</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9">
              <w:r>
                <w:rPr>
                  <w:rFonts w:ascii="Arial" w:cs="Arial" w:eastAsia="Arial" w:hAnsi="Arial"/>
                  <w:sz w:val="12"/>
                  <w:szCs w:val="12"/>
                  <w:color w:val="0000EE"/>
                </w:rPr>
                <w:t>Notes to the Consolidated Financial Statements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F-23</w:t>
            </w:r>
          </w:p>
        </w:tc>
      </w:tr>
      <w:tr>
        <w:trPr>
          <w:trHeight w:val="243"/>
        </w:trPr>
        <w:tc>
          <w:tcPr>
            <w:tcW w:w="14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gridSpan w:val="3"/>
          </w:tcPr>
          <w:p>
            <w:pPr>
              <w:ind w:left="360"/>
              <w:spacing w:after="0"/>
              <w:rPr>
                <w:sz w:val="20"/>
                <w:szCs w:val="20"/>
                <w:color w:val="auto"/>
              </w:rPr>
            </w:pPr>
            <w:r>
              <w:rPr>
                <w:rFonts w:ascii="Arial" w:cs="Arial" w:eastAsia="Arial" w:hAnsi="Arial"/>
                <w:sz w:val="12"/>
                <w:szCs w:val="12"/>
                <w:color w:val="auto"/>
              </w:rPr>
              <w:t>F-1</w:t>
            </w: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1,349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Cost of materials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(4,431)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work capitalized 2021: (632); 2020: (1,710)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(10,812)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(1,392); 2020: (2,247)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(1,916)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(187); 2020: (462)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(4,160)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(260); 2020: (333)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(16,240)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Income tax expense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loss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loss per share in 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loss per share in EUR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June 30, 2021 and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19,845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17,884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7,848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7,942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12,729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10,075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401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359</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40,823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36,260</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9,071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5,230</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14.</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3,749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1,338</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18,444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31,264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86,576</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3,995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113,869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108,189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314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(63,367)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(47,290)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54,771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194</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6,654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6,800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6,848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1,281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1,156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6,512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5,128</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1,166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1,196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411</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10,468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17,316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15,868</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86,576</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12,053</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12,343</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926</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(7,293)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(7,293)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3,194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58,672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20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(34,813)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27,022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2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5,402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(16,077)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(16,077)</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(138)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June 30,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4,093</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113,869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176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(63,367)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54,771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(16,077)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(7,293)</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Adjustments for: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814</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Gain from disposals of fixed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926</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Inventories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(3,839)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(2,954)</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(2,449)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(1,080)</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Trade and other payables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1,464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1,168</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(18,220)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(7,854)</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Acquisition of intangible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(2,505)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(4,748)</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(1,630)</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(5,972)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(6,378)</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issue of share capital</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11,627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Payments of lease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Interests received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Interests paid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other financial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778</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4"/>
              </w:rPr>
              <w:t>12,022</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(24,780)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(2,210)</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January 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43,198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5"/>
        </w:trPr>
        <w:tc>
          <w:tcPr>
            <w:tcW w:w="6380" w:type="dxa"/>
            <w:vAlign w:val="bottom"/>
            <w:gridSpan w:val="3"/>
          </w:tcPr>
          <w:p>
            <w:pPr>
              <w:spacing w:after="0"/>
              <w:rPr>
                <w:sz w:val="20"/>
                <w:szCs w:val="20"/>
                <w:color w:val="auto"/>
              </w:rPr>
            </w:pPr>
            <w:r>
              <w:rPr>
                <w:rFonts w:ascii="Arial" w:cs="Arial" w:eastAsia="Arial" w:hAnsi="Arial"/>
                <w:sz w:val="11"/>
                <w:szCs w:val="11"/>
                <w:color w:val="auto"/>
              </w:rPr>
              <w:t>Effects of movements in exchange rates on cash held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June 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18,444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6,700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CONDENSED CONSOLIDATED INTERIM FINANCIAL STATEMENTS</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AS OF JUNE 30, 2021 AND FOR THE SIX MONTHS ENDED JUNE 30, 2021 AND 2020</w:t>
      </w:r>
    </w:p>
    <w:p>
      <w:pPr>
        <w:spacing w:after="0" w:line="168" w:lineRule="exact"/>
        <w:rPr>
          <w:sz w:val="20"/>
          <w:szCs w:val="20"/>
          <w:color w:val="auto"/>
        </w:rPr>
      </w:pPr>
    </w:p>
    <w:p>
      <w:pPr>
        <w:ind w:left="2260" w:hanging="288"/>
        <w:spacing w:after="0"/>
        <w:tabs>
          <w:tab w:leader="none" w:pos="226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 has three operating subsidiaries as of June 30,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unaudited interim consolidated financial statements of Mynaric were authorized for issue by the Management Board on September 24, 2021.</w:t>
      </w:r>
    </w:p>
    <w:p>
      <w:pPr>
        <w:spacing w:after="0" w:line="257" w:lineRule="exact"/>
        <w:rPr>
          <w:sz w:val="20"/>
          <w:szCs w:val="20"/>
          <w:color w:val="auto"/>
        </w:rPr>
      </w:pPr>
    </w:p>
    <w:p>
      <w:pPr>
        <w:ind w:left="2260" w:hanging="288"/>
        <w:spacing w:after="0"/>
        <w:tabs>
          <w:tab w:leader="none" w:pos="2260"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39"/>
        <w:spacing w:after="0" w:line="280" w:lineRule="auto"/>
        <w:rPr>
          <w:sz w:val="20"/>
          <w:szCs w:val="20"/>
          <w:color w:val="auto"/>
        </w:rPr>
      </w:pPr>
      <w:r>
        <w:rPr>
          <w:rFonts w:ascii="Arial" w:cs="Arial" w:eastAsia="Arial" w:hAnsi="Arial"/>
          <w:sz w:val="11"/>
          <w:szCs w:val="11"/>
          <w:color w:val="auto"/>
        </w:rPr>
        <w:t>These interim condensed consolidated financial statements as of June 30, 2021 and for the six months ended June 30, 2021 and 2020 were prepared in accordance with International Accounting Standard 34 ‘Interim Financial Reporting’, as issued by the International Accounting Standards Board (“IASB”). The interim condensed consolidated financial statements should be read in conjunction with the annual consolidated financial statements for fiscal 2020, which have been prepared in accordance with International Financial Reporting Standards (“IFRS”) as issued by the IASB, taking into account the recommendations of the International Financial Reporting Standards Interpretations Committee (“IFRIC”). They do not include all of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of operations since the last annual financial statements.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interim condensed consolidated financial statements are prepared under the assumption that the business will continue as a going concern.</w:t>
      </w:r>
    </w:p>
    <w:p>
      <w:pPr>
        <w:spacing w:after="0" w:line="257" w:lineRule="exact"/>
        <w:rPr>
          <w:sz w:val="20"/>
          <w:szCs w:val="20"/>
          <w:color w:val="auto"/>
        </w:rPr>
      </w:pPr>
    </w:p>
    <w:p>
      <w:pPr>
        <w:ind w:left="2260" w:hanging="288"/>
        <w:spacing w:after="0"/>
        <w:tabs>
          <w:tab w:leader="none" w:pos="226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Impacts to the consolidated financial statements due to Covid-19 pandemic</w:t>
      </w:r>
    </w:p>
    <w:p>
      <w:pPr>
        <w:spacing w:after="0" w:line="154"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23" w:lineRule="exact"/>
        <w:rPr>
          <w:sz w:val="20"/>
          <w:szCs w:val="20"/>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5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consolidation and accounting policies applied by Mynaric Group in these interim condensed consolidated financial statements are the same as those applied by Mynaric Group in its consolidated financial statements for fiscal 2020, except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In accordance with IAS 34 (Interim Financial Reporting) income tax expense for the condensed consolidated interim financial statements is calculated on the basis of the average annual tax rate that is expected for the entire fiscal year. The effective tax rate is 0% for the six months ended June 30, 2020 and 0% for the six months ended June 30,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main reason for the change of the average annual tax rate is expected loss for the year.</w:t>
      </w:r>
    </w:p>
    <w:p>
      <w:pPr>
        <w:spacing w:after="0" w:line="245" w:lineRule="exact"/>
        <w:rPr>
          <w:sz w:val="20"/>
          <w:szCs w:val="20"/>
          <w:color w:val="auto"/>
        </w:rPr>
      </w:pPr>
    </w:p>
    <w:p>
      <w:pPr>
        <w:ind w:left="2260" w:hanging="288"/>
        <w:spacing w:after="0"/>
        <w:tabs>
          <w:tab w:leader="none" w:pos="226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2020.</w:t>
      </w:r>
    </w:p>
    <w:p>
      <w:pPr>
        <w:spacing w:after="0" w:line="217" w:lineRule="exact"/>
        <w:rPr>
          <w:sz w:val="20"/>
          <w:szCs w:val="20"/>
          <w:color w:val="auto"/>
        </w:rPr>
      </w:pPr>
    </w:p>
    <w:p>
      <w:pPr>
        <w:ind w:left="2260" w:hanging="288"/>
        <w:spacing w:after="0"/>
        <w:tabs>
          <w:tab w:leader="none" w:pos="226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right"/>
              <w:ind w:right="38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(3,352)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3</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(7,901)</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(52)</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(10,812)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(1,434)</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3</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(3,236)</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(391)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568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2,471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(11,288)</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(16,240)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expenses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4"/>
              </w:rPr>
              <w:t>Six months ended June 30, 2020</w:t>
            </w:r>
          </w:p>
        </w:tc>
        <w:tc>
          <w:tcPr>
            <w:tcW w:w="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gridSpan w:val="2"/>
          </w:tcPr>
          <w:p>
            <w:pPr>
              <w:jc w:val="right"/>
              <w:ind w:right="360"/>
              <w:spacing w:after="0" w:line="74" w:lineRule="exact"/>
              <w:rPr>
                <w:sz w:val="20"/>
                <w:szCs w:val="20"/>
                <w:color w:val="auto"/>
              </w:rPr>
            </w:pPr>
            <w:r>
              <w:rPr>
                <w:rFonts w:ascii="Arial" w:cs="Arial" w:eastAsia="Arial" w:hAnsi="Arial"/>
                <w:sz w:val="8"/>
                <w:szCs w:val="8"/>
                <w:b w:val="1"/>
                <w:bCs w:val="1"/>
                <w:color w:val="auto"/>
              </w:rPr>
              <w:t>Not</w:t>
            </w: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320" w:type="dxa"/>
            <w:vAlign w:val="bottom"/>
            <w:gridSpan w:val="2"/>
            <w:vMerge w:val="continue"/>
          </w:tcPr>
          <w:p>
            <w:pPr>
              <w:spacing w:after="0"/>
              <w:rPr>
                <w:sz w:val="10"/>
                <w:szCs w:val="10"/>
                <w:color w:val="auto"/>
              </w:rPr>
            </w:pPr>
          </w:p>
        </w:tc>
        <w:tc>
          <w:tcPr>
            <w:tcW w:w="500" w:type="dxa"/>
            <w:vAlign w:val="bottom"/>
            <w:gridSpan w:val="2"/>
          </w:tcPr>
          <w:p>
            <w:pPr>
              <w:jc w:val="right"/>
              <w:ind w:right="232"/>
              <w:spacing w:after="0" w:line="105" w:lineRule="exact"/>
              <w:rPr>
                <w:sz w:val="20"/>
                <w:szCs w:val="20"/>
                <w:color w:val="auto"/>
              </w:rPr>
            </w:pPr>
            <w:r>
              <w:rPr>
                <w:rFonts w:ascii="Arial" w:cs="Arial" w:eastAsia="Arial" w:hAnsi="Arial"/>
                <w:sz w:val="10"/>
                <w:szCs w:val="10"/>
                <w:b w:val="1"/>
                <w:bCs w:val="1"/>
                <w:color w:val="auto"/>
              </w:rPr>
              <w:t>Air</w:t>
            </w:r>
          </w:p>
        </w:tc>
        <w:tc>
          <w:tcPr>
            <w:tcW w:w="520" w:type="dxa"/>
            <w:vAlign w:val="bottom"/>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w w:val="88"/>
              </w:rPr>
              <w:t>Space</w:t>
            </w:r>
          </w:p>
        </w:tc>
        <w:tc>
          <w:tcPr>
            <w:tcW w:w="62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78"/>
              </w:rPr>
              <w:t>allocated</w:t>
            </w:r>
          </w:p>
        </w:tc>
        <w:tc>
          <w:tcPr>
            <w:tcW w:w="38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7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00" w:type="dxa"/>
            <w:vAlign w:val="bottom"/>
            <w:gridSpan w:val="2"/>
          </w:tcPr>
          <w:p>
            <w:pPr>
              <w:jc w:val="right"/>
              <w:ind w:right="152"/>
              <w:spacing w:after="0"/>
              <w:rPr>
                <w:sz w:val="20"/>
                <w:szCs w:val="20"/>
                <w:color w:val="auto"/>
              </w:rPr>
            </w:pPr>
            <w:r>
              <w:rPr>
                <w:rFonts w:ascii="Arial" w:cs="Arial" w:eastAsia="Arial" w:hAnsi="Arial"/>
                <w:sz w:val="11"/>
                <w:szCs w:val="11"/>
                <w:color w:val="auto"/>
              </w:rPr>
              <w:t>89</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141</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3</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color w:val="auto"/>
              </w:rPr>
              <w:t>(696)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(1,826)</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(2,522)</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3</w:t>
            </w:r>
          </w:p>
        </w:tc>
        <w:tc>
          <w:tcPr>
            <w:tcW w:w="500" w:type="dxa"/>
            <w:vAlign w:val="bottom"/>
            <w:gridSpan w:val="2"/>
          </w:tcPr>
          <w:p>
            <w:pPr>
              <w:jc w:val="right"/>
              <w:ind w:right="112"/>
              <w:spacing w:after="0"/>
              <w:rPr>
                <w:sz w:val="20"/>
                <w:szCs w:val="20"/>
                <w:color w:val="auto"/>
              </w:rPr>
            </w:pPr>
            <w:r>
              <w:rPr>
                <w:rFonts w:ascii="Arial" w:cs="Arial" w:eastAsia="Arial" w:hAnsi="Arial"/>
                <w:sz w:val="11"/>
                <w:szCs w:val="11"/>
                <w:color w:val="auto"/>
                <w:w w:val="91"/>
              </w:rPr>
              <w:t>(2,763)</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(4,840)</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(7,603)</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3</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color w:val="auto"/>
              </w:rPr>
              <w:t>(384)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3</w:t>
            </w:r>
          </w:p>
        </w:tc>
        <w:tc>
          <w:tcPr>
            <w:tcW w:w="500" w:type="dxa"/>
            <w:vAlign w:val="bottom"/>
            <w:gridSpan w:val="2"/>
          </w:tcPr>
          <w:p>
            <w:pPr>
              <w:jc w:val="right"/>
              <w:ind w:right="112"/>
              <w:spacing w:after="0"/>
              <w:rPr>
                <w:sz w:val="20"/>
                <w:szCs w:val="20"/>
                <w:color w:val="auto"/>
              </w:rPr>
            </w:pPr>
            <w:r>
              <w:rPr>
                <w:rFonts w:ascii="Arial" w:cs="Arial" w:eastAsia="Arial" w:hAnsi="Arial"/>
                <w:sz w:val="11"/>
                <w:szCs w:val="11"/>
                <w:color w:val="auto"/>
              </w:rPr>
              <w:t>(627)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(1,409)</w:t>
            </w: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(111)</w:t>
            </w:r>
            <w:r>
              <w:rPr>
                <w:rFonts w:ascii="Arial" w:cs="Arial" w:eastAsia="Arial" w:hAnsi="Arial"/>
                <w:sz w:val="15"/>
                <w:szCs w:val="15"/>
                <w:color w:val="auto"/>
                <w:vertAlign w:val="superscript"/>
              </w:rPr>
              <w:t>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(2,147)</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1"/>
                <w:szCs w:val="11"/>
                <w:color w:val="auto"/>
              </w:rPr>
              <w:t>740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3</w:t>
            </w:r>
          </w:p>
        </w:tc>
        <w:tc>
          <w:tcPr>
            <w:tcW w:w="500" w:type="dxa"/>
            <w:vAlign w:val="bottom"/>
            <w:gridSpan w:val="2"/>
          </w:tcPr>
          <w:p>
            <w:pPr>
              <w:jc w:val="right"/>
              <w:ind w:right="152"/>
              <w:spacing w:after="0"/>
              <w:rPr>
                <w:sz w:val="20"/>
                <w:szCs w:val="20"/>
                <w:color w:val="auto"/>
              </w:rPr>
            </w:pPr>
            <w:r>
              <w:rPr>
                <w:rFonts w:ascii="Arial" w:cs="Arial" w:eastAsia="Arial" w:hAnsi="Arial"/>
                <w:sz w:val="11"/>
                <w:szCs w:val="11"/>
                <w:color w:val="auto"/>
              </w:rPr>
              <w:t>1,422</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3,330</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b w:val="1"/>
                <w:bCs w:val="1"/>
                <w:color w:val="auto"/>
                <w:w w:val="91"/>
              </w:rPr>
              <w:t>(2,219)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(111)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(7,274)</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(7,293)</w:t>
            </w:r>
          </w:p>
        </w:tc>
        <w:tc>
          <w:tcPr>
            <w:tcW w:w="0" w:type="dxa"/>
            <w:vAlign w:val="bottom"/>
          </w:tcPr>
          <w:p>
            <w:pPr>
              <w:spacing w:after="0"/>
              <w:rPr>
                <w:sz w:val="1"/>
                <w:szCs w:val="1"/>
                <w:color w:val="auto"/>
              </w:rPr>
            </w:pPr>
          </w:p>
        </w:tc>
      </w:tr>
      <w:tr>
        <w:trPr>
          <w:trHeight w:val="140"/>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1"/>
              </w:rPr>
              <w:t>(7,293)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53975</wp:posOffset>
            </wp:positionV>
            <wp:extent cx="5143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0" w:lineRule="exact"/>
        <w:rPr>
          <w:sz w:val="20"/>
          <w:szCs w:val="20"/>
          <w:color w:val="auto"/>
        </w:rPr>
      </w:pPr>
    </w:p>
    <w:p>
      <w:pPr>
        <w:ind w:left="2260" w:hanging="288"/>
        <w:spacing w:after="0"/>
        <w:tabs>
          <w:tab w:leader="none" w:pos="226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Including expenses for IPO-bonus to the board of management and selected employees.</w:t>
      </w:r>
    </w:p>
    <w:p>
      <w:pPr>
        <w:ind w:left="2260" w:hanging="288"/>
        <w:spacing w:after="0" w:line="206" w:lineRule="auto"/>
        <w:tabs>
          <w:tab w:leader="none" w:pos="2260" w:val="left"/>
        </w:tabs>
        <w:numPr>
          <w:ilvl w:val="0"/>
          <w:numId w:val="103"/>
        </w:numPr>
        <w:rPr>
          <w:rFonts w:ascii="Arial" w:cs="Arial" w:eastAsia="Arial" w:hAnsi="Arial"/>
          <w:sz w:val="10"/>
          <w:szCs w:val="10"/>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1139" w:hanging="288"/>
        <w:spacing w:after="0" w:line="221" w:lineRule="auto"/>
        <w:tabs>
          <w:tab w:leader="none" w:pos="226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9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7"/>
                <w:szCs w:val="7"/>
                <w:b w:val="1"/>
                <w:bCs w:val="1"/>
                <w:color w:val="auto"/>
                <w:w w:val="90"/>
              </w:rPr>
              <w:t>For the six months ended June 30,</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0"/>
        </w:trPr>
        <w:tc>
          <w:tcPr>
            <w:tcW w:w="49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3"/>
          </w:tcPr>
          <w:p>
            <w:pPr>
              <w:jc w:val="right"/>
              <w:ind w:right="20"/>
              <w:spacing w:after="0" w:line="70" w:lineRule="exact"/>
              <w:rPr>
                <w:sz w:val="20"/>
                <w:szCs w:val="20"/>
                <w:color w:val="auto"/>
              </w:rPr>
            </w:pPr>
            <w:r>
              <w:rPr>
                <w:rFonts w:ascii="Arial" w:cs="Arial" w:eastAsia="Arial" w:hAnsi="Arial"/>
                <w:sz w:val="7"/>
                <w:szCs w:val="7"/>
                <w:b w:val="1"/>
                <w:bCs w:val="1"/>
                <w:color w:val="auto"/>
              </w:rPr>
              <w:t>2021</w:t>
            </w: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7"/>
                <w:szCs w:val="7"/>
                <w:b w:val="1"/>
                <w:bCs w:val="1"/>
                <w:color w:val="auto"/>
              </w:rPr>
              <w:t>2020</w:t>
            </w: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61"/>
        </w:trPr>
        <w:tc>
          <w:tcPr>
            <w:tcW w:w="4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5"/>
          </w:tcPr>
          <w:p>
            <w:pPr>
              <w:jc w:val="right"/>
              <w:ind w:right="218"/>
              <w:spacing w:after="0" w:line="61" w:lineRule="exact"/>
              <w:rPr>
                <w:sz w:val="20"/>
                <w:szCs w:val="20"/>
                <w:color w:val="auto"/>
              </w:rPr>
            </w:pPr>
            <w:r>
              <w:rPr>
                <w:rFonts w:ascii="Arial" w:cs="Arial" w:eastAsia="Arial" w:hAnsi="Arial"/>
                <w:sz w:val="7"/>
                <w:szCs w:val="7"/>
                <w:b w:val="1"/>
                <w:bCs w:val="1"/>
                <w:color w:val="auto"/>
              </w:rPr>
              <w:t>(in € thousand)</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tcPr>
          <w:p>
            <w:pPr>
              <w:jc w:val="right"/>
              <w:ind w:right="20"/>
              <w:spacing w:after="0" w:line="61" w:lineRule="exact"/>
              <w:rPr>
                <w:sz w:val="20"/>
                <w:szCs w:val="20"/>
                <w:color w:val="auto"/>
              </w:rPr>
            </w:pPr>
            <w:r>
              <w:rPr>
                <w:rFonts w:ascii="Arial" w:cs="Arial" w:eastAsia="Arial" w:hAnsi="Arial"/>
                <w:sz w:val="7"/>
                <w:szCs w:val="7"/>
                <w:b w:val="1"/>
                <w:bCs w:val="1"/>
                <w:color w:val="auto"/>
                <w:w w:val="95"/>
              </w:rPr>
              <w:t>(in € thousand)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90"/>
        </w:trPr>
        <w:tc>
          <w:tcPr>
            <w:tcW w:w="4980" w:type="dxa"/>
            <w:vAlign w:val="bottom"/>
          </w:tcPr>
          <w:p>
            <w:pPr>
              <w:spacing w:after="0"/>
              <w:rPr>
                <w:sz w:val="7"/>
                <w:szCs w:val="7"/>
                <w:color w:val="auto"/>
              </w:rPr>
            </w:pPr>
          </w:p>
        </w:tc>
        <w:tc>
          <w:tcPr>
            <w:tcW w:w="180" w:type="dxa"/>
            <w:vAlign w:val="bottom"/>
          </w:tcPr>
          <w:p>
            <w:pPr>
              <w:ind w:left="40"/>
              <w:spacing w:after="0"/>
              <w:rPr>
                <w:sz w:val="20"/>
                <w:szCs w:val="20"/>
                <w:color w:val="auto"/>
              </w:rPr>
            </w:pPr>
            <w:r>
              <w:rPr>
                <w:rFonts w:ascii="Arial" w:cs="Arial" w:eastAsia="Arial" w:hAnsi="Arial"/>
                <w:sz w:val="7"/>
                <w:szCs w:val="7"/>
                <w:b w:val="1"/>
                <w:bCs w:val="1"/>
                <w:color w:val="auto"/>
              </w:rPr>
              <w:t>Air</w:t>
            </w:r>
          </w:p>
        </w:tc>
        <w:tc>
          <w:tcPr>
            <w:tcW w:w="100" w:type="dxa"/>
            <w:vAlign w:val="bottom"/>
          </w:tcPr>
          <w:p>
            <w:pPr>
              <w:spacing w:after="0"/>
              <w:rPr>
                <w:sz w:val="7"/>
                <w:szCs w:val="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rPr>
              <w:t>Space</w:t>
            </w:r>
          </w:p>
        </w:tc>
        <w:tc>
          <w:tcPr>
            <w:tcW w:w="10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Group</w:t>
            </w:r>
          </w:p>
        </w:tc>
        <w:tc>
          <w:tcPr>
            <w:tcW w:w="3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Air</w:t>
            </w:r>
          </w:p>
        </w:tc>
        <w:tc>
          <w:tcPr>
            <w:tcW w:w="60" w:type="dxa"/>
            <w:vAlign w:val="bottom"/>
          </w:tcPr>
          <w:p>
            <w:pPr>
              <w:spacing w:after="0"/>
              <w:rPr>
                <w:sz w:val="7"/>
                <w:szCs w:val="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Space</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Group</w:t>
            </w:r>
          </w:p>
        </w:tc>
      </w:tr>
      <w:tr>
        <w:trPr>
          <w:trHeight w:val="88"/>
        </w:trPr>
        <w:tc>
          <w:tcPr>
            <w:tcW w:w="49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180" w:type="dxa"/>
            <w:vAlign w:val="bottom"/>
            <w:tcBorders>
              <w:top w:val="single" w:sz="8" w:color="auto"/>
            </w:tcBorders>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(1,127)</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(1,710)</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98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18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(1,392)</w:t>
            </w:r>
          </w:p>
        </w:tc>
        <w:tc>
          <w:tcPr>
            <w:tcW w:w="54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(1,392)</w:t>
            </w: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(620)</w:t>
            </w:r>
          </w:p>
        </w:tc>
        <w:tc>
          <w:tcPr>
            <w:tcW w:w="520" w:type="dxa"/>
            <w:vAlign w:val="bottom"/>
            <w:gridSpan w:val="3"/>
          </w:tcPr>
          <w:p>
            <w:pPr>
              <w:jc w:val="right"/>
              <w:ind w:right="120"/>
              <w:spacing w:after="0" w:line="99" w:lineRule="exact"/>
              <w:rPr>
                <w:sz w:val="20"/>
                <w:szCs w:val="20"/>
                <w:color w:val="auto"/>
              </w:rPr>
            </w:pPr>
            <w:r>
              <w:rPr>
                <w:rFonts w:ascii="Arial" w:cs="Arial" w:eastAsia="Arial" w:hAnsi="Arial"/>
                <w:sz w:val="10"/>
                <w:szCs w:val="10"/>
                <w:color w:val="auto"/>
              </w:rPr>
              <w:t>(1,627)</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(2,247)</w:t>
            </w:r>
          </w:p>
        </w:tc>
      </w:tr>
      <w:tr>
        <w:trPr>
          <w:trHeight w:val="99"/>
        </w:trPr>
        <w:tc>
          <w:tcPr>
            <w:tcW w:w="49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18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(187)</w:t>
            </w:r>
          </w:p>
        </w:tc>
        <w:tc>
          <w:tcPr>
            <w:tcW w:w="54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(127)</w:t>
            </w:r>
          </w:p>
        </w:tc>
        <w:tc>
          <w:tcPr>
            <w:tcW w:w="5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(335)</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(462)</w:t>
            </w:r>
          </w:p>
        </w:tc>
      </w:tr>
      <w:tr>
        <w:trPr>
          <w:trHeight w:val="121"/>
        </w:trPr>
        <w:tc>
          <w:tcPr>
            <w:tcW w:w="4980" w:type="dxa"/>
            <w:vAlign w:val="bottom"/>
          </w:tcPr>
          <w:p>
            <w:pPr>
              <w:spacing w:after="0"/>
              <w:rPr>
                <w:sz w:val="20"/>
                <w:szCs w:val="20"/>
                <w:color w:val="auto"/>
              </w:rPr>
            </w:pPr>
            <w:r>
              <w:rPr>
                <w:rFonts w:ascii="Arial" w:cs="Arial" w:eastAsia="Arial" w:hAnsi="Arial"/>
                <w:sz w:val="10"/>
                <w:szCs w:val="10"/>
                <w:color w:val="auto"/>
              </w:rPr>
              <w:t>Other operating costs</w:t>
            </w: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420" w:type="dxa"/>
            <w:vAlign w:val="bottom"/>
            <w:gridSpan w:val="3"/>
          </w:tcPr>
          <w:p>
            <w:pPr>
              <w:jc w:val="right"/>
              <w:spacing w:after="0"/>
              <w:rPr>
                <w:sz w:val="20"/>
                <w:szCs w:val="20"/>
                <w:color w:val="auto"/>
              </w:rPr>
            </w:pPr>
            <w:r>
              <w:rPr>
                <w:rFonts w:ascii="Arial" w:cs="Arial" w:eastAsia="Arial" w:hAnsi="Arial"/>
                <w:sz w:val="10"/>
                <w:szCs w:val="10"/>
                <w:color w:val="auto"/>
              </w:rPr>
              <w:t>(260)</w:t>
            </w:r>
          </w:p>
        </w:tc>
        <w:tc>
          <w:tcPr>
            <w:tcW w:w="540" w:type="dxa"/>
            <w:vAlign w:val="bottom"/>
            <w:gridSpan w:val="3"/>
          </w:tcPr>
          <w:p>
            <w:pPr>
              <w:jc w:val="right"/>
              <w:ind w:right="100"/>
              <w:spacing w:after="0"/>
              <w:rPr>
                <w:sz w:val="20"/>
                <w:szCs w:val="20"/>
                <w:color w:val="auto"/>
              </w:rPr>
            </w:pPr>
            <w:r>
              <w:rPr>
                <w:rFonts w:ascii="Arial" w:cs="Arial" w:eastAsia="Arial" w:hAnsi="Arial"/>
                <w:sz w:val="10"/>
                <w:szCs w:val="10"/>
                <w:color w:val="auto"/>
              </w:rPr>
              <w:t>(260)</w:t>
            </w:r>
          </w:p>
        </w:tc>
        <w:tc>
          <w:tcPr>
            <w:tcW w:w="300" w:type="dxa"/>
            <w:vAlign w:val="bottom"/>
            <w:gridSpan w:val="2"/>
          </w:tcPr>
          <w:p>
            <w:pPr>
              <w:jc w:val="right"/>
              <w:ind w:right="40"/>
              <w:spacing w:after="0"/>
              <w:rPr>
                <w:sz w:val="20"/>
                <w:szCs w:val="20"/>
                <w:color w:val="auto"/>
              </w:rPr>
            </w:pPr>
            <w:r>
              <w:rPr>
                <w:rFonts w:ascii="Arial" w:cs="Arial" w:eastAsia="Arial" w:hAnsi="Arial"/>
                <w:sz w:val="10"/>
                <w:szCs w:val="10"/>
                <w:color w:val="auto"/>
              </w:rPr>
              <w:t>(92)</w:t>
            </w:r>
          </w:p>
        </w:tc>
        <w:tc>
          <w:tcPr>
            <w:tcW w:w="520" w:type="dxa"/>
            <w:vAlign w:val="bottom"/>
            <w:gridSpan w:val="3"/>
          </w:tcPr>
          <w:p>
            <w:pPr>
              <w:jc w:val="right"/>
              <w:ind w:right="120"/>
              <w:spacing w:after="0"/>
              <w:rPr>
                <w:sz w:val="20"/>
                <w:szCs w:val="20"/>
                <w:color w:val="auto"/>
              </w:rPr>
            </w:pPr>
            <w:r>
              <w:rPr>
                <w:rFonts w:ascii="Arial" w:cs="Arial" w:eastAsia="Arial" w:hAnsi="Arial"/>
                <w:sz w:val="10"/>
                <w:szCs w:val="10"/>
                <w:color w:val="auto"/>
              </w:rPr>
              <w:t>(241)</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(333)</w:t>
            </w:r>
          </w:p>
        </w:tc>
      </w:tr>
    </w:tbl>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 amount of €1,240 thousand (six months ended June 30, 2020: €90 thousand), corresponding to a share of 92% (previous period: 100%) of total revenue, was attributable to one customer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2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10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60" w:type="dxa"/>
            <w:vAlign w:val="bottom"/>
            <w:vMerge w:val="restart"/>
          </w:tcPr>
          <w:p>
            <w:pPr>
              <w:spacing w:after="0"/>
              <w:rPr>
                <w:sz w:val="6"/>
                <w:szCs w:val="6"/>
                <w:color w:val="auto"/>
              </w:rPr>
            </w:pPr>
          </w:p>
        </w:tc>
        <w:tc>
          <w:tcPr>
            <w:tcW w:w="64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340" w:type="dxa"/>
            <w:vAlign w:val="bottom"/>
          </w:tcPr>
          <w:p>
            <w:pPr>
              <w:jc w:val="right"/>
              <w:ind w:right="30"/>
              <w:spacing w:after="0" w:line="105" w:lineRule="exact"/>
              <w:rPr>
                <w:sz w:val="20"/>
                <w:szCs w:val="20"/>
                <w:color w:val="auto"/>
              </w:rPr>
            </w:pPr>
            <w:r>
              <w:rPr>
                <w:rFonts w:ascii="Arial" w:cs="Arial" w:eastAsia="Arial" w:hAnsi="Arial"/>
                <w:sz w:val="10"/>
                <w:szCs w:val="10"/>
                <w:b w:val="1"/>
                <w:bCs w:val="1"/>
                <w:color w:val="auto"/>
              </w:rPr>
              <w:t>2021</w:t>
            </w:r>
          </w:p>
        </w:tc>
        <w:tc>
          <w:tcPr>
            <w:tcW w:w="300" w:type="dxa"/>
            <w:vAlign w:val="bottom"/>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USA</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2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non-current assets are allocated to the location of the respective asset.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assets can be broken down by country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auto"/>
              </w:rPr>
              <w:t>June 30,</w:t>
            </w:r>
          </w:p>
        </w:tc>
        <w:tc>
          <w:tcPr>
            <w:tcW w:w="5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December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540" w:type="dxa"/>
            <w:vAlign w:val="bottom"/>
          </w:tcPr>
          <w:p>
            <w:pPr>
              <w:jc w:val="right"/>
              <w:ind w:right="127"/>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10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w w:val="94"/>
              </w:rPr>
              <w:t>19,845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17,884</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11,831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9,849</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6,436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6,886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38,112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34,619</w:t>
            </w: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899</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1,411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USA, total</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2,310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40,422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35,901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217" w:lineRule="exact"/>
        <w:rPr>
          <w:sz w:val="20"/>
          <w:szCs w:val="20"/>
          <w:color w:val="auto"/>
        </w:rPr>
      </w:pPr>
    </w:p>
    <w:p>
      <w:pPr>
        <w:ind w:left="2620" w:hanging="360"/>
        <w:spacing w:after="0"/>
        <w:tabs>
          <w:tab w:leader="none" w:pos="2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Disaggregation of revenue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40" w:type="dxa"/>
            <w:vAlign w:val="bottom"/>
            <w:vMerge w:val="restart"/>
          </w:tcPr>
          <w:p>
            <w:pPr>
              <w:spacing w:after="0"/>
              <w:rPr>
                <w:sz w:val="6"/>
                <w:szCs w:val="6"/>
                <w:color w:val="auto"/>
              </w:rPr>
            </w:pPr>
          </w:p>
        </w:tc>
        <w:tc>
          <w:tcPr>
            <w:tcW w:w="6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6"/>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Deliveries</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433</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Services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916</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Contract balances</w:t>
      </w:r>
    </w:p>
    <w:p>
      <w:pPr>
        <w:spacing w:after="0" w:line="82"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contract liabilities in the amount of €1,166 thousand (December 31, 2020: €1.195 thousand) consist of payments in advance made by customers of Mynaric presented in accordance with IFRS 15. An amount of €915 thousand recognized in contract liabilities at the beginning of the period has been recognized as revenue in the six months ended June 30, 2021.</w:t>
      </w:r>
    </w:p>
    <w:p>
      <w:pPr>
        <w:spacing w:after="0" w:line="55" w:lineRule="exact"/>
        <w:rPr>
          <w:sz w:val="20"/>
          <w:szCs w:val="20"/>
          <w:color w:val="auto"/>
        </w:rPr>
      </w:pPr>
    </w:p>
    <w:p>
      <w:pPr>
        <w:ind w:left="2260" w:hanging="288"/>
        <w:spacing w:after="0"/>
        <w:tabs>
          <w:tab w:leader="none" w:pos="226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six months ended June 30, 2021 Mynaric granted 20,350 stocks options to selected employees under the 2019 Stock option plan. The conditions remain the same as described in the financial statements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Stock Option Plan</w:t>
      </w:r>
    </w:p>
    <w:p>
      <w:pPr>
        <w:spacing w:after="0" w:line="15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During the six months ended June 30, 2021, Mynaric granted 100,000 stock options to the management board under a new 2021 Stock Option Plan. A stock option entitles the holder to the right to purchase Company shares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13"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2021:</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2"/>
              </w:rPr>
              <w:t>Tranche</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2"/>
              </w:rPr>
              <w:t>Tranche</w:t>
            </w:r>
          </w:p>
        </w:tc>
      </w:tr>
      <w:tr>
        <w:trPr>
          <w:trHeight w:val="113"/>
        </w:trPr>
        <w:tc>
          <w:tcPr>
            <w:tcW w:w="638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2021 I</w:t>
            </w:r>
          </w:p>
        </w:tc>
        <w:tc>
          <w:tcPr>
            <w:tcW w:w="4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2021 II</w:t>
            </w:r>
          </w:p>
        </w:tc>
      </w:tr>
      <w:tr>
        <w:trPr>
          <w:trHeight w:val="124"/>
        </w:trPr>
        <w:tc>
          <w:tcPr>
            <w:tcW w:w="63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68.97</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71.15</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Term in years</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64.20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80.20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36.90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(0.40)</w:t>
            </w:r>
          </w:p>
        </w:tc>
      </w:tr>
      <w:tr>
        <w:trPr>
          <w:trHeight w:val="136"/>
        </w:trPr>
        <w:tc>
          <w:tcPr>
            <w:tcW w:w="6380" w:type="dxa"/>
            <w:vAlign w:val="bottom"/>
          </w:tcPr>
          <w:p>
            <w:pPr>
              <w:spacing w:after="0"/>
              <w:rPr>
                <w:sz w:val="20"/>
                <w:szCs w:val="20"/>
                <w:color w:val="auto"/>
              </w:rPr>
            </w:pPr>
            <w:r>
              <w:rPr>
                <w:rFonts w:ascii="Arial" w:cs="Arial" w:eastAsia="Arial" w:hAnsi="Arial"/>
                <w:sz w:val="11"/>
                <w:szCs w:val="11"/>
                <w:color w:val="auto"/>
              </w:rPr>
              <w:t>Option value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14.18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25.17</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€278 thousand (six months ended June 30, 2020: €926 thousand).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share-based payments recognized in the capital reserve amount to €2,581 thousand as of June 30, 2021 (December 31, 2020: €2,303 thousand).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IPO Bonus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$ 100 million, no IPO bonus will be paid out. In the case the gross proceeds are between $ 100 and $ 150 million, the IPO bonus will increase on a linear basis starting in a range between 0.15 % and 0.35 % up to a range between 0.3 % and 0.7 %.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fair value of the US IPO Bonus Plan has been measured using a Monte Carlo simulation. Service and non-market performance conditions attached to the arrangements were not taken into account in measuring fair value.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inputs used in the measurement of the fair values at grant date and measurement date of the US IPO Bonus Plan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7"/>
              </w:rPr>
              <w:t>Grant Date</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7"/>
              </w:rPr>
              <w:t>Measurement Date</w:t>
            </w:r>
          </w:p>
        </w:tc>
      </w:tr>
      <w:tr>
        <w:trPr>
          <w:trHeight w:val="113"/>
        </w:trPr>
        <w:tc>
          <w:tcPr>
            <w:tcW w:w="5340" w:type="dxa"/>
            <w:vAlign w:val="bottom"/>
          </w:tcPr>
          <w:p>
            <w:pPr>
              <w:spacing w:after="0"/>
              <w:rPr>
                <w:sz w:val="9"/>
                <w:szCs w:val="9"/>
                <w:color w:val="auto"/>
              </w:rPr>
            </w:pPr>
          </w:p>
        </w:tc>
        <w:tc>
          <w:tcPr>
            <w:tcW w:w="1140" w:type="dxa"/>
            <w:vAlign w:val="bottom"/>
            <w:gridSpan w:val="2"/>
          </w:tcPr>
          <w:p>
            <w:pPr>
              <w:jc w:val="right"/>
              <w:ind w:right="580"/>
              <w:spacing w:after="0" w:line="114" w:lineRule="exact"/>
              <w:rPr>
                <w:sz w:val="20"/>
                <w:szCs w:val="20"/>
                <w:color w:val="auto"/>
              </w:rPr>
            </w:pPr>
            <w:r>
              <w:rPr>
                <w:rFonts w:ascii="Arial" w:cs="Arial" w:eastAsia="Arial" w:hAnsi="Arial"/>
                <w:sz w:val="10"/>
                <w:szCs w:val="10"/>
                <w:b w:val="1"/>
                <w:bCs w:val="1"/>
                <w:color w:val="auto"/>
                <w:w w:val="82"/>
              </w:rPr>
              <w:t>June 20, 2021</w:t>
            </w:r>
          </w:p>
        </w:tc>
        <w:tc>
          <w:tcPr>
            <w:tcW w:w="8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rPr>
              <w:t>June 30, 2021</w:t>
            </w:r>
          </w:p>
        </w:tc>
      </w:tr>
      <w:tr>
        <w:trPr>
          <w:trHeight w:val="124"/>
        </w:trPr>
        <w:tc>
          <w:tcPr>
            <w:tcW w:w="53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Share Price (in €)</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73.80</w:t>
            </w:r>
          </w:p>
        </w:tc>
        <w:tc>
          <w:tcPr>
            <w:tcW w:w="5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80.20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3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color w:val="auto"/>
              </w:rPr>
              <w:t>38.56</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30.88</w:t>
            </w: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6"/>
        </w:trPr>
        <w:tc>
          <w:tcPr>
            <w:tcW w:w="5340" w:type="dxa"/>
            <w:vAlign w:val="bottom"/>
          </w:tcPr>
          <w:p>
            <w:pPr>
              <w:spacing w:after="0"/>
              <w:rPr>
                <w:sz w:val="20"/>
                <w:szCs w:val="20"/>
                <w:color w:val="auto"/>
              </w:rPr>
            </w:pPr>
            <w:r>
              <w:rPr>
                <w:rFonts w:ascii="Arial" w:cs="Arial" w:eastAsia="Arial" w:hAnsi="Arial"/>
                <w:sz w:val="11"/>
                <w:szCs w:val="11"/>
                <w:color w:val="auto"/>
              </w:rPr>
              <w:t>Risk-free interest rate (in %)</w:t>
            </w:r>
          </w:p>
        </w:tc>
        <w:tc>
          <w:tcPr>
            <w:tcW w:w="1140" w:type="dxa"/>
            <w:vAlign w:val="bottom"/>
            <w:gridSpan w:val="2"/>
          </w:tcPr>
          <w:p>
            <w:pPr>
              <w:jc w:val="right"/>
              <w:ind w:right="540"/>
              <w:spacing w:after="0"/>
              <w:rPr>
                <w:sz w:val="20"/>
                <w:szCs w:val="20"/>
                <w:color w:val="auto"/>
              </w:rPr>
            </w:pPr>
            <w:r>
              <w:rPr>
                <w:rFonts w:ascii="Arial" w:cs="Arial" w:eastAsia="Arial" w:hAnsi="Arial"/>
                <w:sz w:val="11"/>
                <w:szCs w:val="11"/>
                <w:color w:val="auto"/>
              </w:rPr>
              <w:t>(0.66)</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(0.66)</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Expected volatility has been based on an evaluation of the historical volatility for matching maturities of Mynaric peer group.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Details of the liabilities arising from the IPO bonus as of June 30, 2021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6500" w:type="dxa"/>
            <w:vAlign w:val="bottom"/>
            <w:vMerge w:val="restart"/>
          </w:tcPr>
          <w:p>
            <w:pPr>
              <w:spacing w:after="0"/>
              <w:rPr>
                <w:sz w:val="10"/>
                <w:szCs w:val="10"/>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June 30,</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9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carrying amount of liabilities for US IPO bonus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half year period 2021 Mynaric recognized a total expense € 52 thousand from the US IPO Bonus Plan.</w:t>
      </w:r>
    </w:p>
    <w:p>
      <w:pPr>
        <w:spacing w:after="0" w:line="245" w:lineRule="exact"/>
        <w:rPr>
          <w:sz w:val="20"/>
          <w:szCs w:val="20"/>
          <w:color w:val="auto"/>
        </w:rPr>
      </w:pPr>
    </w:p>
    <w:p>
      <w:pPr>
        <w:ind w:left="2260" w:hanging="288"/>
        <w:spacing w:after="0"/>
        <w:tabs>
          <w:tab w:leader="none" w:pos="22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20" w:type="dxa"/>
            <w:vAlign w:val="bottom"/>
            <w:vMerge w:val="restart"/>
          </w:tcPr>
          <w:p>
            <w:pPr>
              <w:spacing w:after="0"/>
              <w:rPr>
                <w:sz w:val="6"/>
                <w:szCs w:val="6"/>
                <w:color w:val="auto"/>
              </w:rPr>
            </w:pPr>
          </w:p>
        </w:tc>
        <w:tc>
          <w:tcPr>
            <w:tcW w:w="66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8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18</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80" w:type="dxa"/>
            <w:vAlign w:val="bottom"/>
            <w:gridSpan w:val="2"/>
          </w:tcPr>
          <w:p>
            <w:pPr>
              <w:spacing w:after="0"/>
              <w:rPr>
                <w:sz w:val="20"/>
                <w:szCs w:val="20"/>
                <w:color w:val="auto"/>
              </w:rPr>
            </w:pPr>
            <w:r>
              <w:rPr>
                <w:rFonts w:ascii="Arial" w:cs="Arial" w:eastAsia="Arial" w:hAnsi="Arial"/>
                <w:sz w:val="11"/>
                <w:szCs w:val="11"/>
                <w:color w:val="auto"/>
              </w:rPr>
              <w:t>Increase in inventories of finished goods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Write-downs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6"/>
        </w:trPr>
        <w:tc>
          <w:tcPr>
            <w:tcW w:w="6280" w:type="dxa"/>
            <w:vAlign w:val="bottom"/>
            <w:gridSpan w:val="2"/>
          </w:tcPr>
          <w:p>
            <w:pPr>
              <w:spacing w:after="0"/>
              <w:rPr>
                <w:sz w:val="20"/>
                <w:szCs w:val="20"/>
                <w:color w:val="auto"/>
              </w:rPr>
            </w:pPr>
            <w:r>
              <w:rPr>
                <w:rFonts w:ascii="Arial" w:cs="Arial" w:eastAsia="Arial" w:hAnsi="Arial"/>
                <w:sz w:val="11"/>
                <w:szCs w:val="11"/>
                <w:color w:val="auto"/>
              </w:rPr>
              <w:t>Total changes in inventories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988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write-downs in the six months ended June 30, 2020 presented refer to HAWK terminals that were written down to their recoverable amount.</w:t>
      </w:r>
    </w:p>
    <w:p>
      <w:pPr>
        <w:spacing w:after="0" w:line="257" w:lineRule="exact"/>
        <w:rPr>
          <w:sz w:val="20"/>
          <w:szCs w:val="20"/>
          <w:color w:val="auto"/>
        </w:rPr>
      </w:pPr>
    </w:p>
    <w:p>
      <w:pPr>
        <w:ind w:left="2260" w:hanging="288"/>
        <w:spacing w:after="0"/>
        <w:tabs>
          <w:tab w:leader="none" w:pos="226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Six Months Ended</w:t>
            </w:r>
          </w:p>
        </w:tc>
        <w:tc>
          <w:tcPr>
            <w:tcW w:w="0" w:type="dxa"/>
            <w:vAlign w:val="bottom"/>
          </w:tcPr>
          <w:p>
            <w:pPr>
              <w:spacing w:after="0"/>
              <w:rPr>
                <w:sz w:val="1"/>
                <w:szCs w:val="1"/>
                <w:color w:val="auto"/>
              </w:rPr>
            </w:pPr>
          </w:p>
        </w:tc>
      </w:tr>
      <w:tr>
        <w:trPr>
          <w:trHeight w:val="74"/>
        </w:trPr>
        <w:tc>
          <w:tcPr>
            <w:tcW w:w="6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tcBorders>
              <w:top w:val="single" w:sz="8" w:color="auto"/>
            </w:tcBorders>
            <w:gridSpan w:val="2"/>
          </w:tcPr>
          <w:p>
            <w:pPr>
              <w:jc w:val="right"/>
              <w:ind w:right="24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380" w:type="dxa"/>
            <w:vAlign w:val="bottom"/>
            <w:gridSpan w:val="2"/>
            <w:vMerge w:val="continue"/>
          </w:tcPr>
          <w:p>
            <w:pPr>
              <w:spacing w:after="0"/>
              <w:rPr>
                <w:sz w:val="9"/>
                <w:szCs w:val="9"/>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632</w:t>
            </w: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Personnel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1,392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2,247</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Other operating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260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2,471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4,752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68" w:lineRule="exact"/>
        <w:rPr>
          <w:sz w:val="20"/>
          <w:szCs w:val="20"/>
          <w:color w:val="auto"/>
        </w:rPr>
      </w:pPr>
    </w:p>
    <w:p>
      <w:pPr>
        <w:ind w:left="2620" w:hanging="360"/>
        <w:spacing w:after="0"/>
        <w:tabs>
          <w:tab w:leader="none" w:pos="262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 of Software and Licenses</w:t>
      </w:r>
    </w:p>
    <w:p>
      <w:pPr>
        <w:spacing w:after="0" w:line="15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During the six months ended June 30, 2021 the group acquired software and licenses with cost of €80 thousand (six months ended June 30, 2020: €102 thousand).</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Assets with a carrying amount of € 8 thousand were disposed of during the six months ended June 30, 2021 (six months ended June 30, 2021: € 0 thousand).</w:t>
      </w:r>
    </w:p>
    <w:p>
      <w:pPr>
        <w:spacing w:after="0" w:line="210" w:lineRule="exact"/>
        <w:rPr>
          <w:sz w:val="20"/>
          <w:szCs w:val="20"/>
          <w:color w:val="auto"/>
        </w:rPr>
      </w:pPr>
    </w:p>
    <w:p>
      <w:pPr>
        <w:ind w:left="2620" w:hanging="360"/>
        <w:spacing w:after="0"/>
        <w:tabs>
          <w:tab w:leader="none" w:pos="262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of Development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six months ended June 30, 2021 Mynaric capitalized development costs for the basic SPACE technology of €2,345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six months ended June 30, 2020 development costs for the basic AIR and SPACE technologies of €4,590 thousand were capitalized.</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In the first six months of 2021, finance expenses in the amount of €71 thousand (six months ended June 30, 2020: €63 thousand) were capitalized as cost of the development projects in accordance with IAS 23.</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10" w:lineRule="exact"/>
        <w:rPr>
          <w:sz w:val="20"/>
          <w:szCs w:val="20"/>
          <w:color w:val="auto"/>
        </w:rPr>
      </w:pPr>
    </w:p>
    <w:p>
      <w:pPr>
        <w:ind w:left="2260" w:hanging="288"/>
        <w:spacing w:after="0"/>
        <w:tabs>
          <w:tab w:leader="none" w:pos="226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68" w:lineRule="exact"/>
        <w:rPr>
          <w:sz w:val="20"/>
          <w:szCs w:val="20"/>
          <w:color w:val="auto"/>
        </w:rPr>
      </w:pPr>
    </w:p>
    <w:p>
      <w:pPr>
        <w:ind w:left="2620" w:hanging="360"/>
        <w:spacing w:after="0"/>
        <w:tabs>
          <w:tab w:leader="none" w:pos="262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w:t>
      </w:r>
    </w:p>
    <w:p>
      <w:pPr>
        <w:spacing w:after="0" w:line="154"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Investments in property, plant, and equipment made in the first six months of 2021 in the amount of €3,478 thousand (six months ended June 30, 2020: €1,745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1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first six months of 2021, finance expenses in the amount of €7 thousand (six months ended June 30, 2020: €2 thousand) were recorded as cost of property, plant, and equipment in accordance with IAS 23.</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Assets with a carrying amount of €22 thousand were disposed of during the six months ended June 30, 2021 (six months ended June 30, 2020: € 2 thousand).</w:t>
      </w:r>
    </w:p>
    <w:p>
      <w:pPr>
        <w:spacing w:after="0" w:line="210" w:lineRule="exact"/>
        <w:rPr>
          <w:sz w:val="20"/>
          <w:szCs w:val="20"/>
          <w:color w:val="auto"/>
        </w:rPr>
      </w:pPr>
    </w:p>
    <w:p>
      <w:pPr>
        <w:ind w:left="2620" w:hanging="360"/>
        <w:spacing w:after="0"/>
        <w:tabs>
          <w:tab w:leader="none" w:pos="262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Outstanding Purchase Orders for Property, Plant, and Equipment</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of June 30, 2021, the group has open financial obligations from outstanding purchase orders for property, plant, and equipment in the amount of €536 thousand (June 30, 2020: €1,607 thousand).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w:t>
      </w:r>
    </w:p>
    <w:p>
      <w:pPr>
        <w:spacing w:after="0" w:line="154"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During the six months ended June 30, 2021, Mynaric entered in a new lease agreement for an office in Washington (DC), USA. On lease commencement, the Group recognized €442 thousand of right right-of-use asset and lease liability.</w:t>
      </w:r>
    </w:p>
    <w:p>
      <w:pPr>
        <w:spacing w:after="0" w:line="210" w:lineRule="exact"/>
        <w:rPr>
          <w:sz w:val="20"/>
          <w:szCs w:val="20"/>
          <w:color w:val="auto"/>
        </w:rPr>
      </w:pPr>
    </w:p>
    <w:p>
      <w:pPr>
        <w:ind w:left="2260" w:hanging="288"/>
        <w:spacing w:after="0"/>
        <w:tabs>
          <w:tab w:leader="none" w:pos="226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non-financial assets include €994 thousand of IPO preparation costs.</w:t>
      </w:r>
    </w:p>
    <w:p>
      <w:pPr>
        <w:spacing w:after="0" w:line="245" w:lineRule="exact"/>
        <w:rPr>
          <w:sz w:val="20"/>
          <w:szCs w:val="20"/>
          <w:color w:val="auto"/>
        </w:rPr>
      </w:pPr>
    </w:p>
    <w:p>
      <w:pPr>
        <w:ind w:left="2260" w:hanging="288"/>
        <w:spacing w:after="0"/>
        <w:tabs>
          <w:tab w:leader="none" w:pos="226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Capital and Reserves</w:t>
      </w:r>
    </w:p>
    <w:p>
      <w:pPr>
        <w:spacing w:after="0" w:line="168" w:lineRule="exact"/>
        <w:rPr>
          <w:sz w:val="20"/>
          <w:szCs w:val="20"/>
          <w:color w:val="auto"/>
        </w:rPr>
      </w:pPr>
    </w:p>
    <w:p>
      <w:pPr>
        <w:ind w:left="2620" w:hanging="360"/>
        <w:spacing w:after="0"/>
        <w:tabs>
          <w:tab w:leader="none" w:pos="262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Issue of ordinary shares</w:t>
      </w:r>
    </w:p>
    <w:p>
      <w:pPr>
        <w:spacing w:after="0" w:line="154"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six months ended June 30, 2021, share capital was increased to €4,092,948 through the issuance of a total of 98,214 bearer shares with a nominal value of €1.00 per share. This was due to the following transaction:</w:t>
      </w:r>
    </w:p>
    <w:p>
      <w:pPr>
        <w:spacing w:after="0" w:line="52" w:lineRule="exact"/>
        <w:rPr>
          <w:sz w:val="20"/>
          <w:szCs w:val="20"/>
          <w:color w:val="auto"/>
        </w:rPr>
      </w:pPr>
    </w:p>
    <w:p>
      <w:pPr>
        <w:ind w:left="2620" w:right="859" w:hanging="288"/>
        <w:spacing w:after="0" w:line="281" w:lineRule="auto"/>
        <w:tabs>
          <w:tab w:leader="none" w:pos="262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As a result, the prepaid share reserve shown in the previous year’s financial statements in the amount of € 5,500,000 was transferred to the subscribed capital and the capital reserve.</w:t>
      </w:r>
    </w:p>
    <w:p>
      <w:pPr>
        <w:spacing w:after="0" w:line="210" w:lineRule="exact"/>
        <w:rPr>
          <w:sz w:val="20"/>
          <w:szCs w:val="20"/>
          <w:color w:val="auto"/>
        </w:rPr>
      </w:pPr>
    </w:p>
    <w:p>
      <w:pPr>
        <w:ind w:left="2620" w:hanging="360"/>
        <w:spacing w:after="0"/>
        <w:tabs>
          <w:tab w:leader="none" w:pos="262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620" w:hanging="360"/>
        <w:spacing w:after="0"/>
        <w:tabs>
          <w:tab w:leader="none" w:pos="262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00" w:lineRule="exact"/>
        <w:rPr>
          <w:sz w:val="20"/>
          <w:szCs w:val="20"/>
          <w:color w:val="auto"/>
        </w:rPr>
      </w:pPr>
    </w:p>
    <w:p>
      <w:pPr>
        <w:ind w:left="2620" w:hanging="360"/>
        <w:spacing w:after="0"/>
        <w:tabs>
          <w:tab w:leader="none" w:pos="2620"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six months ended June 30, 2021, there are no related party expenses involving MCConsult Dr. Peschko (six months ended June 30,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as a related party in the amount of €363 thousand (June 30, 2020: €54 thousand).</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the six months ended June 30, 2021, the related party expenses involving Pinsent Masons LLP amounted to €1 thousand (six months ended June 30, 2020: €144 thousand). Trade and other payables reported as of the reporting date include outstanding obligations from transactions with Pinsent Masons LLP in the amount of €0 thousand (June 30, 2021: €12 thousand).</w:t>
      </w:r>
    </w:p>
    <w:p>
      <w:pPr>
        <w:spacing w:after="0" w:line="217" w:lineRule="exact"/>
        <w:rPr>
          <w:sz w:val="20"/>
          <w:szCs w:val="20"/>
          <w:color w:val="auto"/>
        </w:rPr>
      </w:pPr>
    </w:p>
    <w:p>
      <w:pPr>
        <w:ind w:left="2620" w:hanging="360"/>
        <w:spacing w:after="0"/>
        <w:tabs>
          <w:tab w:leader="none" w:pos="262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the six months ended June 30, 2021 a new Stock Option Plan 2021 has been set up to exclusively grant stock option rights for shares to members of the Management Board of the Company.</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In the context of this plan, stock options were issued to the Management Board in the six months ended June 2021, which entitle the holder to subscribe to Mynaric shares. Detailed information about the granted stock options are presented in Note 8. Share-based payments.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the six months ended June 30, 2021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Short-term</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tcPr>
          <w:p>
            <w:pPr>
              <w:jc w:val="center"/>
              <w:ind w:right="82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Basic</w:t>
            </w:r>
          </w:p>
        </w:tc>
        <w:tc>
          <w:tcPr>
            <w:tcW w:w="9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variable</w:t>
            </w:r>
          </w:p>
        </w:tc>
        <w:tc>
          <w:tcPr>
            <w:tcW w:w="4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of stock</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1"/>
              </w:rPr>
              <w:t>Six Months ended</w:t>
            </w:r>
          </w:p>
        </w:tc>
        <w:tc>
          <w:tcPr>
            <w:tcW w:w="2300" w:type="dxa"/>
            <w:vAlign w:val="bottom"/>
          </w:tcPr>
          <w:p>
            <w:pPr>
              <w:spacing w:after="0"/>
              <w:rPr>
                <w:sz w:val="8"/>
                <w:szCs w:val="8"/>
                <w:color w:val="auto"/>
              </w:rPr>
            </w:pP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2"/>
              </w:rPr>
              <w:t>options</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1"/>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vMerge w:val="continue"/>
          </w:tcPr>
          <w:p>
            <w:pPr>
              <w:spacing w:after="0"/>
              <w:rPr>
                <w:sz w:val="10"/>
                <w:szCs w:val="10"/>
                <w:color w:val="auto"/>
              </w:rPr>
            </w:pPr>
          </w:p>
        </w:tc>
        <w:tc>
          <w:tcPr>
            <w:tcW w:w="23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4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87"/>
              </w:rPr>
              <w:t>granted</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113"/>
        </w:trPr>
        <w:tc>
          <w:tcPr>
            <w:tcW w:w="7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June 30, 2021</w:t>
            </w:r>
          </w:p>
        </w:tc>
        <w:tc>
          <w:tcPr>
            <w:tcW w:w="2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345</w:t>
            </w:r>
          </w:p>
        </w:tc>
        <w:tc>
          <w:tcPr>
            <w:tcW w:w="4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w:t>
            </w:r>
          </w:p>
        </w:tc>
        <w:tc>
          <w:tcPr>
            <w:tcW w:w="4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100,000</w:t>
            </w:r>
          </w:p>
        </w:tc>
        <w:tc>
          <w:tcPr>
            <w:tcW w:w="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101</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13" w:lineRule="exact"/>
              <w:rPr>
                <w:sz w:val="20"/>
                <w:szCs w:val="20"/>
                <w:color w:val="auto"/>
              </w:rPr>
            </w:pPr>
            <w:r>
              <w:rPr>
                <w:rFonts w:ascii="Arial" w:cs="Arial" w:eastAsia="Arial" w:hAnsi="Arial"/>
                <w:sz w:val="11"/>
                <w:szCs w:val="11"/>
                <w:color w:val="auto"/>
                <w:w w:val="76"/>
              </w:rPr>
              <w:t>636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20" w:type="dxa"/>
            <w:vAlign w:val="bottom"/>
          </w:tcPr>
          <w:p>
            <w:pPr>
              <w:spacing w:after="0"/>
              <w:rPr>
                <w:sz w:val="20"/>
                <w:szCs w:val="20"/>
                <w:color w:val="auto"/>
              </w:rPr>
            </w:pPr>
            <w:r>
              <w:rPr>
                <w:rFonts w:ascii="Arial" w:cs="Arial" w:eastAsia="Arial" w:hAnsi="Arial"/>
                <w:sz w:val="11"/>
                <w:szCs w:val="11"/>
                <w:color w:val="auto"/>
              </w:rPr>
              <w:t>June 30, 2020</w:t>
            </w:r>
          </w:p>
        </w:tc>
        <w:tc>
          <w:tcPr>
            <w:tcW w:w="3280" w:type="dxa"/>
            <w:vAlign w:val="bottom"/>
            <w:gridSpan w:val="3"/>
          </w:tcPr>
          <w:p>
            <w:pPr>
              <w:jc w:val="right"/>
              <w:ind w:right="400"/>
              <w:spacing w:after="0"/>
              <w:rPr>
                <w:sz w:val="20"/>
                <w:szCs w:val="20"/>
                <w:color w:val="auto"/>
              </w:rPr>
            </w:pPr>
            <w:r>
              <w:rPr>
                <w:rFonts w:ascii="Arial" w:cs="Arial" w:eastAsia="Arial" w:hAnsi="Arial"/>
                <w:sz w:val="11"/>
                <w:szCs w:val="11"/>
                <w:color w:val="auto"/>
              </w:rPr>
              <w:t>297</w:t>
            </w:r>
          </w:p>
        </w:tc>
        <w:tc>
          <w:tcPr>
            <w:tcW w:w="980" w:type="dxa"/>
            <w:vAlign w:val="bottom"/>
            <w:gridSpan w:val="2"/>
          </w:tcPr>
          <w:p>
            <w:pPr>
              <w:jc w:val="right"/>
              <w:ind w:right="400"/>
              <w:spacing w:after="0"/>
              <w:rPr>
                <w:sz w:val="20"/>
                <w:szCs w:val="20"/>
                <w:color w:val="auto"/>
              </w:rPr>
            </w:pPr>
            <w:r>
              <w:rPr>
                <w:rFonts w:ascii="Arial" w:cs="Arial" w:eastAsia="Arial" w:hAnsi="Arial"/>
                <w:sz w:val="11"/>
                <w:szCs w:val="11"/>
                <w:color w:val="auto"/>
              </w:rPr>
              <w:t>196</w:t>
            </w: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3,000</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color w:val="auto"/>
              </w:rPr>
              <w:t>487</w:t>
            </w:r>
          </w:p>
        </w:tc>
        <w:tc>
          <w:tcPr>
            <w:tcW w:w="580" w:type="dxa"/>
            <w:vAlign w:val="bottom"/>
            <w:gridSpan w:val="2"/>
          </w:tcPr>
          <w:p>
            <w:pPr>
              <w:ind w:left="380"/>
              <w:spacing w:after="0"/>
              <w:rPr>
                <w:sz w:val="20"/>
                <w:szCs w:val="20"/>
                <w:color w:val="auto"/>
              </w:rPr>
            </w:pPr>
            <w:r>
              <w:rPr>
                <w:rFonts w:ascii="Arial" w:cs="Arial" w:eastAsia="Arial" w:hAnsi="Arial"/>
                <w:sz w:val="11"/>
                <w:szCs w:val="11"/>
                <w:color w:val="auto"/>
                <w:w w:val="97"/>
              </w:rPr>
              <w:t>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amounts in the table for the chairman of the Management Board, Bulent Altan, include remuneration received in his capacity as CEO of the subsidiary Mynaric USA Inc.</w:t>
      </w:r>
    </w:p>
    <w:p>
      <w:pPr>
        <w:spacing w:after="0" w:line="210" w:lineRule="exact"/>
        <w:rPr>
          <w:sz w:val="20"/>
          <w:szCs w:val="20"/>
          <w:color w:val="auto"/>
        </w:rPr>
      </w:pPr>
    </w:p>
    <w:p>
      <w:pPr>
        <w:ind w:left="2620" w:hanging="360"/>
        <w:spacing w:after="0"/>
        <w:tabs>
          <w:tab w:leader="none" w:pos="262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200" w:lineRule="exact"/>
        <w:rPr>
          <w:sz w:val="20"/>
          <w:szCs w:val="20"/>
          <w:color w:val="auto"/>
        </w:rPr>
      </w:pPr>
    </w:p>
    <w:p>
      <w:pPr>
        <w:spacing w:after="0" w:line="253" w:lineRule="exact"/>
        <w:rPr>
          <w:sz w:val="20"/>
          <w:szCs w:val="20"/>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282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420" w:type="dxa"/>
            <w:vAlign w:val="bottom"/>
            <w:gridSpan w:val="3"/>
          </w:tcPr>
          <w:p>
            <w:pPr>
              <w:spacing w:after="0"/>
              <w:rPr>
                <w:sz w:val="20"/>
                <w:szCs w:val="20"/>
                <w:color w:val="auto"/>
              </w:rPr>
            </w:pPr>
            <w:r>
              <w:rPr>
                <w:rFonts w:ascii="Arial" w:cs="Arial" w:eastAsia="Arial" w:hAnsi="Arial"/>
                <w:sz w:val="12"/>
                <w:szCs w:val="12"/>
                <w:color w:val="auto"/>
                <w:w w:val="94"/>
              </w:rPr>
              <w:t>The financial instruments were allocated to the following categories:</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0"/>
                <w:szCs w:val="10"/>
                <w:b w:val="1"/>
                <w:bCs w:val="1"/>
                <w:color w:val="auto"/>
              </w:rPr>
              <w:t>June 30, 2021</w:t>
            </w:r>
          </w:p>
        </w:tc>
        <w:tc>
          <w:tcPr>
            <w:tcW w:w="10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 31, 2020</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14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8"/>
              <w:spacing w:after="0" w:line="74" w:lineRule="exact"/>
              <w:rPr>
                <w:sz w:val="20"/>
                <w:szCs w:val="20"/>
                <w:color w:val="auto"/>
              </w:rPr>
            </w:pPr>
            <w:r>
              <w:rPr>
                <w:rFonts w:ascii="Arial" w:cs="Arial" w:eastAsia="Arial" w:hAnsi="Arial"/>
                <w:sz w:val="8"/>
                <w:szCs w:val="8"/>
                <w:b w:val="1"/>
                <w:bCs w:val="1"/>
                <w:color w:val="auto"/>
              </w:rPr>
              <w:t>Non-</w:t>
            </w:r>
          </w:p>
        </w:tc>
        <w:tc>
          <w:tcPr>
            <w:tcW w:w="3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Non-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Current</w:t>
            </w:r>
          </w:p>
        </w:tc>
        <w:tc>
          <w:tcPr>
            <w:tcW w:w="6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6"/>
              </w:rPr>
              <w:t>current</w:t>
            </w:r>
          </w:p>
        </w:tc>
        <w:tc>
          <w:tcPr>
            <w:tcW w:w="6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Current</w:t>
            </w:r>
          </w:p>
        </w:tc>
        <w:tc>
          <w:tcPr>
            <w:tcW w:w="3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1"/>
              </w:rPr>
              <w:t>current</w:t>
            </w:r>
          </w:p>
        </w:tc>
        <w:tc>
          <w:tcPr>
            <w:tcW w:w="0" w:type="dxa"/>
            <w:vAlign w:val="bottom"/>
          </w:tcPr>
          <w:p>
            <w:pPr>
              <w:spacing w:after="0"/>
              <w:rPr>
                <w:sz w:val="1"/>
                <w:szCs w:val="1"/>
                <w:color w:val="auto"/>
              </w:rPr>
            </w:pPr>
          </w:p>
        </w:tc>
      </w:tr>
      <w:tr>
        <w:trPr>
          <w:trHeight w:val="104"/>
        </w:trPr>
        <w:tc>
          <w:tcPr>
            <w:tcW w:w="3420" w:type="dxa"/>
            <w:vAlign w:val="bottom"/>
            <w:tcBorders>
              <w:top w:val="single" w:sz="8" w:color="CCEEFF"/>
            </w:tcBorders>
            <w:gridSpan w:val="3"/>
            <w:shd w:val="clear" w:color="auto" w:fill="CCEEFF"/>
          </w:tcPr>
          <w:p>
            <w:pPr>
              <w:spacing w:after="0" w:line="104" w:lineRule="exact"/>
              <w:rPr>
                <w:sz w:val="20"/>
                <w:szCs w:val="20"/>
                <w:color w:val="auto"/>
              </w:rPr>
            </w:pPr>
            <w:r>
              <w:rPr>
                <w:rFonts w:ascii="Arial" w:cs="Arial" w:eastAsia="Arial" w:hAnsi="Arial"/>
                <w:sz w:val="11"/>
                <w:szCs w:val="11"/>
                <w:color w:val="auto"/>
              </w:rPr>
              <w:t>Amortized cost (AmC)</w:t>
            </w:r>
          </w:p>
        </w:tc>
        <w:tc>
          <w:tcPr>
            <w:tcW w:w="16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44</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401</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18,444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43,198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550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82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18.488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401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43,824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w:t>
            </w:r>
          </w:p>
        </w:tc>
        <w:tc>
          <w:tcPr>
            <w:tcW w:w="0" w:type="dxa"/>
            <w:vAlign w:val="bottom"/>
          </w:tcPr>
          <w:p>
            <w:pPr>
              <w:spacing w:after="0"/>
              <w:rPr>
                <w:sz w:val="1"/>
                <w:szCs w:val="1"/>
                <w:color w:val="auto"/>
              </w:rPr>
            </w:pP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2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6,512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5,128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1,281</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1,156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6,800</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80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2820" w:type="dxa"/>
            <w:vAlign w:val="bottom"/>
          </w:tcPr>
          <w:p>
            <w:pPr>
              <w:spacing w:after="0"/>
              <w:rPr>
                <w:sz w:val="12"/>
                <w:szCs w:val="12"/>
                <w:color w:val="auto"/>
              </w:rPr>
            </w:pPr>
          </w:p>
        </w:tc>
        <w:tc>
          <w:tcPr>
            <w:tcW w:w="22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7,873</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6,308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6,800</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80" w:type="dxa"/>
            <w:vAlign w:val="bottom"/>
            <w:gridSpan w:val="3"/>
          </w:tcPr>
          <w:p>
            <w:pPr>
              <w:ind w:left="140"/>
              <w:spacing w:after="0"/>
              <w:rPr>
                <w:sz w:val="20"/>
                <w:szCs w:val="20"/>
                <w:color w:val="auto"/>
              </w:rPr>
            </w:pPr>
            <w:r>
              <w:rPr>
                <w:rFonts w:ascii="Arial" w:cs="Arial" w:eastAsia="Arial" w:hAnsi="Arial"/>
                <w:sz w:val="12"/>
                <w:szCs w:val="12"/>
                <w:color w:val="auto"/>
              </w:rPr>
              <w:t>F-15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2021</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2020</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risk</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On September 15, 2021, the Company entered into a credit agreement with a credit line of approximately €25 million. The loan agreement has a term until March 31, 2022 with a conditional option for a one-time extension for three months.</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For the six months ended June 30, 2021, the Group recognized a net loss of €16.0 million. The Group’s net current assets as at June 30, 2021 were €54.8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discussions with a variety of other potential investors which are ongoing and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20"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These condensed consolidated interim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168" w:lineRule="exact"/>
        <w:rPr>
          <w:sz w:val="20"/>
          <w:szCs w:val="20"/>
          <w:color w:val="auto"/>
        </w:rPr>
      </w:pPr>
    </w:p>
    <w:p>
      <w:pPr>
        <w:ind w:left="2920" w:hanging="219"/>
        <w:spacing w:after="0"/>
        <w:tabs>
          <w:tab w:leader="none" w:pos="29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Joachim Horwath, CTO, Dipl.-Ing, Gilching (since February 17,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168" w:lineRule="exact"/>
        <w:rPr>
          <w:sz w:val="20"/>
          <w:szCs w:val="20"/>
          <w:color w:val="auto"/>
        </w:rPr>
      </w:pPr>
    </w:p>
    <w:p>
      <w:pPr>
        <w:ind w:left="2920" w:hanging="219"/>
        <w:spacing w:after="0"/>
        <w:tabs>
          <w:tab w:leader="none" w:pos="2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(until June 24, 2021)</w:t>
      </w:r>
    </w:p>
    <w:p>
      <w:pPr>
        <w:spacing w:after="0" w:line="98" w:lineRule="exact"/>
        <w:rPr>
          <w:rFonts w:ascii="Arial" w:cs="Arial" w:eastAsia="Arial" w:hAnsi="Arial"/>
          <w:sz w:val="11"/>
          <w:szCs w:val="11"/>
          <w:color w:val="auto"/>
        </w:rPr>
      </w:pPr>
    </w:p>
    <w:p>
      <w:pPr>
        <w:ind w:left="2920" w:hanging="219"/>
        <w:spacing w:after="0"/>
        <w:tabs>
          <w:tab w:leader="none" w:pos="2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Steve Geskos, member of the Supervisory Board, Managing Director Rose Park Advisors (since May 14, 2021)</w:t>
      </w:r>
    </w:p>
    <w:p>
      <w:pPr>
        <w:spacing w:after="0" w:line="87" w:lineRule="exact"/>
        <w:rPr>
          <w:rFonts w:ascii="Arial" w:cs="Arial" w:eastAsia="Arial" w:hAnsi="Arial"/>
          <w:sz w:val="12"/>
          <w:szCs w:val="12"/>
          <w:color w:val="auto"/>
        </w:rPr>
      </w:pPr>
    </w:p>
    <w:p>
      <w:pPr>
        <w:ind w:left="2920" w:right="939" w:hanging="219"/>
        <w:spacing w:after="0" w:line="276" w:lineRule="auto"/>
        <w:tabs>
          <w:tab w:leader="none" w:pos="2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Vincent Wobbe, member of the Supervisory Board, Head of Public Markets Investments Apeiron Investment Group (since June 24, 2021)</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 (until May 14, 2021)</w:t>
      </w:r>
    </w:p>
    <w:p>
      <w:pPr>
        <w:spacing w:after="0" w:line="245" w:lineRule="exact"/>
        <w:rPr>
          <w:rFonts w:ascii="Arial" w:cs="Arial" w:eastAsia="Arial" w:hAnsi="Arial"/>
          <w:sz w:val="12"/>
          <w:szCs w:val="12"/>
          <w:color w:val="auto"/>
        </w:rPr>
      </w:pPr>
    </w:p>
    <w:p>
      <w:pPr>
        <w:ind w:left="2260" w:hanging="288"/>
        <w:spacing w:after="0"/>
        <w:tabs>
          <w:tab w:leader="none" w:pos="226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Going Concern</w:t>
      </w:r>
    </w:p>
    <w:p>
      <w:pPr>
        <w:spacing w:after="0" w:line="150"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34. b) (ii) to the consolidated financial statements, the Company faces material uncertainties related to: a) its operational cash flows in fiscal 2022, and b) requirements for additional financing, that raise substantial doubt about its ability to continue as a going concern. Management’s plans in regard to these matters are also described in Note 34. b) (ii). The consolidated financial statements do not include any adjustments that might result from the outcome of this uncertainty.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October 18,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679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Cost of materials</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8.</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(6,221)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(4,073); 2019: (2,089)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(16,834)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(3,921); 2019: (2,551)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(802); 2019: (494)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(5,344)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(579); 2019: (277)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637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9,375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(19,257)</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Net foreign exchange gain / (loss)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(513)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expense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Consolidated net loss for the 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 for the year after tax</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Total comprehensive income/loss for the year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(19,403)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(9,939)</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71"/>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17,884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8,780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7,942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6,810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359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36,260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19,626</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20.</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5,230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1,266</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1,338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1,769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43,198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31,575</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3,995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2,904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108,189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46,409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314</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(47,290)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6,800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5,972</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1,156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5,128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2,461</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1,196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15,868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9,835</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4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81"/>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2,704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35,044</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(17,624)</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(9,896)</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(27,520)</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2,904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40" w:type="dxa"/>
            <w:vAlign w:val="bottom"/>
            <w:vMerge w:val="continue"/>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w w:val="94"/>
              </w:rPr>
              <w:t>1,091</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64,052</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(19,770)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(19,770)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367</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3,995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0"/>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(9,896)</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Adjustments for: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1,117</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Gain from disposals of fixed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1,146</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(589)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(600)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(209)</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280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Trade and other payables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2,422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272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31</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(16,935)</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(8,319)</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Acquisition of intangible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(5,277)</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(6,724)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(1,890)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(15,010)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(7,167)</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issue of share capital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61,746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10,419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issue of convertible notes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short-term loans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2,500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 of short-term loans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Payments of lease liabilities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(675)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(439)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Interests received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Interests paid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(555)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(93)</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other financial assets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1,571</w:t>
            </w:r>
          </w:p>
        </w:tc>
      </w:tr>
      <w:tr>
        <w:trPr>
          <w:trHeight w:val="131"/>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11,466</w:t>
            </w: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34,395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(4,020)</w:t>
            </w:r>
          </w:p>
        </w:tc>
      </w:tr>
      <w:tr>
        <w:trPr>
          <w:trHeight w:val="205"/>
        </w:trPr>
        <w:tc>
          <w:tcPr>
            <w:tcW w:w="6000" w:type="dxa"/>
            <w:vAlign w:val="bottom"/>
          </w:tcPr>
          <w:p>
            <w:pPr>
              <w:spacing w:after="0"/>
              <w:rPr>
                <w:sz w:val="20"/>
                <w:szCs w:val="20"/>
                <w:color w:val="auto"/>
              </w:rPr>
            </w:pPr>
            <w:r>
              <w:rPr>
                <w:rFonts w:ascii="Arial" w:cs="Arial" w:eastAsia="Arial" w:hAnsi="Arial"/>
                <w:sz w:val="11"/>
                <w:szCs w:val="11"/>
                <w:color w:val="auto"/>
              </w:rPr>
              <w:t>Cash and cash equivalents at January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8,914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12,923</w:t>
            </w:r>
          </w:p>
        </w:tc>
      </w:tr>
      <w:tr>
        <w:trPr>
          <w:trHeight w:val="137"/>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Effects of movements in exchange rates on cash held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Cash and cash equivalents at 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60" w:type="dxa"/>
            <w:vAlign w:val="bottom"/>
          </w:tcPr>
          <w:p>
            <w:pPr>
              <w:spacing w:after="0"/>
              <w:rPr>
                <w:sz w:val="11"/>
                <w:szCs w:val="11"/>
                <w:color w:val="auto"/>
              </w:rPr>
            </w:pPr>
          </w:p>
        </w:tc>
      </w:tr>
    </w:tbl>
    <w:p>
      <w:pPr>
        <w:spacing w:after="0" w:line="3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AS OF AND FOR THE YEARS ENDED DECEMBER 31, 2020 AND 2019</w:t>
      </w:r>
    </w:p>
    <w:p>
      <w:pPr>
        <w:spacing w:after="0" w:line="168" w:lineRule="exact"/>
        <w:rPr>
          <w:sz w:val="20"/>
          <w:szCs w:val="20"/>
          <w:color w:val="auto"/>
        </w:rPr>
      </w:pPr>
    </w:p>
    <w:p>
      <w:pPr>
        <w:ind w:left="2260" w:hanging="288"/>
        <w:spacing w:after="0"/>
        <w:tabs>
          <w:tab w:leader="none" w:pos="226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October 18, 2021.</w:t>
      </w:r>
    </w:p>
    <w:p>
      <w:pPr>
        <w:spacing w:after="0" w:line="124"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color w:val="auto"/>
        </w:rPr>
        <w:t>The consolidated financial statements were prepared on a going concern basis; however, as described more fully in Note 34. b) (ii), management has indentified material uncertainties that may cast significant doubt on the Group’s ability to continue as a going concern.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11" w:lineRule="exact"/>
        <w:rPr>
          <w:sz w:val="20"/>
          <w:szCs w:val="20"/>
          <w:color w:val="auto"/>
        </w:rPr>
      </w:pPr>
    </w:p>
    <w:p>
      <w:pPr>
        <w:ind w:left="1980" w:right="899"/>
        <w:spacing w:after="0" w:line="316" w:lineRule="auto"/>
        <w:rPr>
          <w:sz w:val="20"/>
          <w:szCs w:val="20"/>
          <w:color w:val="auto"/>
        </w:rPr>
      </w:pPr>
      <w:r>
        <w:rPr>
          <w:rFonts w:ascii="Arial" w:cs="Arial" w:eastAsia="Arial" w:hAnsi="Arial"/>
          <w:sz w:val="10"/>
          <w:szCs w:val="10"/>
          <w:color w:val="auto"/>
        </w:rPr>
        <w:t>The consolidated statement of profit and loss was prepared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95" w:lineRule="exact"/>
        <w:rPr>
          <w:sz w:val="20"/>
          <w:szCs w:val="20"/>
          <w:color w:val="auto"/>
        </w:rPr>
      </w:pPr>
    </w:p>
    <w:p>
      <w:pPr>
        <w:ind w:left="2260" w:hanging="288"/>
        <w:spacing w:after="0"/>
        <w:tabs>
          <w:tab w:leader="none" w:pos="226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340" w:lineRule="auto"/>
        <w:rPr>
          <w:sz w:val="20"/>
          <w:szCs w:val="20"/>
          <w:color w:val="auto"/>
        </w:rPr>
      </w:pPr>
      <w:r>
        <w:rPr>
          <w:rFonts w:ascii="Arial" w:cs="Arial" w:eastAsia="Arial" w:hAnsi="Arial"/>
          <w:sz w:val="10"/>
          <w:szCs w:val="10"/>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w:t>
      </w:r>
    </w:p>
    <w:p>
      <w:pPr>
        <w:spacing w:after="0" w:line="4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its power over the entity. The financial statements of subsidiaries are included in the consolidated financial statements from the date on which control commences until the date on which control ceases.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280"/>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22"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Type of</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Sale of products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and timing of satisfaction of performance obligation including significant payment terms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80" w:space="80"/>
            <w:col w:w="840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1360"/>
          </w:cols>
          <w:pgMar w:left="300" w:top="354" w:right="239" w:bottom="1440" w:gutter="0" w:footer="0" w:header="0"/>
          <w:type w:val="continuous"/>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In accordance with IAS 38, development costs must be capitalized if the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145"/>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149"/>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260" w:hanging="288"/>
        <w:spacing w:after="0"/>
        <w:tabs>
          <w:tab w:leader="none" w:pos="226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245" w:lineRule="exact"/>
        <w:rPr>
          <w:sz w:val="20"/>
          <w:szCs w:val="20"/>
          <w:color w:val="auto"/>
        </w:rPr>
      </w:pPr>
    </w:p>
    <w:p>
      <w:pPr>
        <w:ind w:left="2620" w:hanging="360"/>
        <w:spacing w:after="0"/>
        <w:tabs>
          <w:tab w:leader="none" w:pos="2620"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the Note 17. for more information). The assumptions made for planning may be subject to changes, which in turn may result in impairment losses required to be recorded for these assets.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9. a) Share-based payments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10" w:lineRule="exact"/>
        <w:rPr>
          <w:sz w:val="20"/>
          <w:szCs w:val="20"/>
          <w:color w:val="auto"/>
        </w:rPr>
      </w:pPr>
    </w:p>
    <w:p>
      <w:pPr>
        <w:ind w:left="2260" w:hanging="288"/>
        <w:spacing w:after="0"/>
        <w:tabs>
          <w:tab w:leader="none" w:pos="226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2020</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74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220</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(2,290)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(3,931)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(4,923)</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87"/>
              </w:rPr>
              <w:t>(11,911)</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(16,834)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(1,177)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(1,320)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(3,581)</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(443)</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626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2,102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7,273</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(6,423)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87"/>
              </w:rPr>
              <w:t>(12,391)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(19,257)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272"/>
        </w:trPr>
        <w:tc>
          <w:tcPr>
            <w:tcW w:w="6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2019</w:t>
            </w: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105</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(926)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(1,864)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(3,781)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(4,585)</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(1,041)</w:t>
            </w:r>
            <w:r>
              <w:rPr>
                <w:rFonts w:ascii="Arial" w:cs="Arial" w:eastAsia="Arial" w:hAnsi="Arial"/>
                <w:sz w:val="15"/>
                <w:szCs w:val="15"/>
                <w:color w:val="auto"/>
                <w:vertAlign w:val="superscript"/>
              </w:rPr>
              <w:t>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(501)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(616)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(1,078)</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(1,556)</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(179)</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2,184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3,227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(3,767)</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(5,091)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(10,078)</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53975</wp:posOffset>
            </wp:positionV>
            <wp:extent cx="51435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0" w:lineRule="exact"/>
        <w:rPr>
          <w:sz w:val="20"/>
          <w:szCs w:val="20"/>
          <w:color w:val="auto"/>
        </w:rPr>
      </w:pPr>
    </w:p>
    <w:p>
      <w:pPr>
        <w:ind w:left="2260" w:hanging="288"/>
        <w:spacing w:after="0"/>
        <w:tabs>
          <w:tab w:leader="none" w:pos="2260" w:val="left"/>
        </w:tabs>
        <w:numPr>
          <w:ilvl w:val="0"/>
          <w:numId w:val="165"/>
        </w:numPr>
        <w:rPr>
          <w:rFonts w:ascii="Arial" w:cs="Arial" w:eastAsia="Arial" w:hAnsi="Arial"/>
          <w:sz w:val="8"/>
          <w:szCs w:val="8"/>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1139" w:hanging="288"/>
        <w:spacing w:after="0" w:line="221" w:lineRule="auto"/>
        <w:tabs>
          <w:tab w:leader="none" w:pos="2260" w:val="left"/>
        </w:tabs>
        <w:numPr>
          <w:ilvl w:val="0"/>
          <w:numId w:val="166"/>
        </w:numPr>
        <w:rPr>
          <w:rFonts w:ascii="Arial" w:cs="Arial" w:eastAsia="Arial" w:hAnsi="Arial"/>
          <w:sz w:val="8"/>
          <w:szCs w:val="8"/>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7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7"/>
                <w:szCs w:val="7"/>
                <w:b w:val="1"/>
                <w:bCs w:val="1"/>
                <w:color w:val="auto"/>
                <w:w w:val="90"/>
              </w:rPr>
              <w:t>For the year ended December 31,</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0"/>
        </w:trPr>
        <w:tc>
          <w:tcPr>
            <w:tcW w:w="47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jc w:val="center"/>
              <w:ind w:left="57"/>
              <w:spacing w:after="0" w:line="70" w:lineRule="exact"/>
              <w:rPr>
                <w:sz w:val="20"/>
                <w:szCs w:val="20"/>
                <w:color w:val="auto"/>
              </w:rPr>
            </w:pPr>
            <w:r>
              <w:rPr>
                <w:rFonts w:ascii="Arial" w:cs="Arial" w:eastAsia="Arial" w:hAnsi="Arial"/>
                <w:sz w:val="7"/>
                <w:szCs w:val="7"/>
                <w:b w:val="1"/>
                <w:bCs w:val="1"/>
                <w:color w:val="auto"/>
                <w:w w:val="89"/>
              </w:rPr>
              <w:t>2020</w:t>
            </w: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center"/>
              <w:ind w:left="37"/>
              <w:spacing w:after="0" w:line="70" w:lineRule="exact"/>
              <w:rPr>
                <w:sz w:val="20"/>
                <w:szCs w:val="20"/>
                <w:color w:val="auto"/>
              </w:rPr>
            </w:pPr>
            <w:r>
              <w:rPr>
                <w:rFonts w:ascii="Arial" w:cs="Arial" w:eastAsia="Arial" w:hAnsi="Arial"/>
                <w:sz w:val="7"/>
                <w:szCs w:val="7"/>
                <w:b w:val="1"/>
                <w:bCs w:val="1"/>
                <w:color w:val="auto"/>
                <w:w w:val="89"/>
              </w:rPr>
              <w:t>2019</w:t>
            </w: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61"/>
        </w:trPr>
        <w:tc>
          <w:tcPr>
            <w:tcW w:w="4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tcPr>
          <w:p>
            <w:pPr>
              <w:jc w:val="center"/>
              <w:spacing w:after="0" w:line="61" w:lineRule="exact"/>
              <w:rPr>
                <w:sz w:val="20"/>
                <w:szCs w:val="20"/>
                <w:color w:val="auto"/>
              </w:rPr>
            </w:pPr>
            <w:r>
              <w:rPr>
                <w:rFonts w:ascii="Arial" w:cs="Arial" w:eastAsia="Arial" w:hAnsi="Arial"/>
                <w:sz w:val="7"/>
                <w:szCs w:val="7"/>
                <w:b w:val="1"/>
                <w:bCs w:val="1"/>
                <w:color w:val="auto"/>
                <w:w w:val="91"/>
              </w:rPr>
              <w:t>(in € thousand)</w:t>
            </w: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3"/>
          </w:tcPr>
          <w:p>
            <w:pPr>
              <w:jc w:val="center"/>
              <w:ind w:right="60"/>
              <w:spacing w:after="0" w:line="61" w:lineRule="exact"/>
              <w:rPr>
                <w:sz w:val="20"/>
                <w:szCs w:val="20"/>
                <w:color w:val="auto"/>
              </w:rPr>
            </w:pPr>
            <w:r>
              <w:rPr>
                <w:rFonts w:ascii="Arial" w:cs="Arial" w:eastAsia="Arial" w:hAnsi="Arial"/>
                <w:sz w:val="7"/>
                <w:szCs w:val="7"/>
                <w:b w:val="1"/>
                <w:bCs w:val="1"/>
                <w:color w:val="auto"/>
                <w:w w:val="91"/>
              </w:rPr>
              <w:t>(in € thousand)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90"/>
        </w:trPr>
        <w:tc>
          <w:tcPr>
            <w:tcW w:w="4760" w:type="dxa"/>
            <w:vAlign w:val="bottom"/>
          </w:tcPr>
          <w:p>
            <w:pPr>
              <w:spacing w:after="0"/>
              <w:rPr>
                <w:sz w:val="7"/>
                <w:szCs w:val="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Air</w:t>
            </w:r>
          </w:p>
        </w:tc>
        <w:tc>
          <w:tcPr>
            <w:tcW w:w="100" w:type="dxa"/>
            <w:vAlign w:val="bottom"/>
          </w:tcPr>
          <w:p>
            <w:pPr>
              <w:spacing w:after="0"/>
              <w:rPr>
                <w:sz w:val="7"/>
                <w:szCs w:val="7"/>
                <w:color w:val="auto"/>
              </w:rPr>
            </w:pPr>
          </w:p>
        </w:tc>
        <w:tc>
          <w:tcPr>
            <w:tcW w:w="420" w:type="dxa"/>
            <w:vAlign w:val="bottom"/>
            <w:gridSpan w:val="2"/>
          </w:tcPr>
          <w:p>
            <w:pPr>
              <w:jc w:val="center"/>
              <w:ind w:right="84"/>
              <w:spacing w:after="0"/>
              <w:rPr>
                <w:sz w:val="20"/>
                <w:szCs w:val="20"/>
                <w:color w:val="auto"/>
              </w:rPr>
            </w:pPr>
            <w:r>
              <w:rPr>
                <w:rFonts w:ascii="Arial" w:cs="Arial" w:eastAsia="Arial" w:hAnsi="Arial"/>
                <w:sz w:val="7"/>
                <w:szCs w:val="7"/>
                <w:b w:val="1"/>
                <w:bCs w:val="1"/>
                <w:color w:val="auto"/>
                <w:w w:val="87"/>
              </w:rPr>
              <w:t>Space</w:t>
            </w: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Group</w:t>
            </w:r>
          </w:p>
        </w:tc>
        <w:tc>
          <w:tcPr>
            <w:tcW w:w="3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7"/>
                <w:szCs w:val="7"/>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7"/>
              </w:rPr>
              <w:t>Space</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Group</w:t>
            </w:r>
          </w:p>
        </w:tc>
      </w:tr>
      <w:tr>
        <w:trPr>
          <w:trHeight w:val="88"/>
        </w:trPr>
        <w:tc>
          <w:tcPr>
            <w:tcW w:w="47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(1,263)</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(2,810)</w:t>
            </w: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(4,073)</w:t>
            </w: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(570)</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(1,519)</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(2,089)</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76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34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(621)</w:t>
            </w:r>
          </w:p>
        </w:tc>
        <w:tc>
          <w:tcPr>
            <w:tcW w:w="52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(3,300)</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(3,921)</w:t>
            </w:r>
          </w:p>
        </w:tc>
        <w:tc>
          <w:tcPr>
            <w:tcW w:w="36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(1,239)</w:t>
            </w: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(1,312)</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(2,551)</w:t>
            </w:r>
          </w:p>
        </w:tc>
      </w:tr>
      <w:tr>
        <w:trPr>
          <w:trHeight w:val="99"/>
        </w:trPr>
        <w:tc>
          <w:tcPr>
            <w:tcW w:w="4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3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(126)</w:t>
            </w:r>
          </w:p>
        </w:tc>
        <w:tc>
          <w:tcPr>
            <w:tcW w:w="520" w:type="dxa"/>
            <w:vAlign w:val="bottom"/>
            <w:gridSpan w:val="3"/>
            <w:shd w:val="clear" w:color="auto" w:fill="CCEEFF"/>
          </w:tcPr>
          <w:p>
            <w:pPr>
              <w:jc w:val="right"/>
              <w:ind w:right="64"/>
              <w:spacing w:after="0" w:line="99" w:lineRule="exact"/>
              <w:rPr>
                <w:sz w:val="20"/>
                <w:szCs w:val="20"/>
                <w:color w:val="auto"/>
              </w:rPr>
            </w:pPr>
            <w:r>
              <w:rPr>
                <w:rFonts w:ascii="Arial" w:cs="Arial" w:eastAsia="Arial" w:hAnsi="Arial"/>
                <w:sz w:val="10"/>
                <w:szCs w:val="10"/>
                <w:color w:val="auto"/>
              </w:rPr>
              <w:t>(676)</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(802)</w:t>
            </w:r>
          </w:p>
        </w:tc>
        <w:tc>
          <w:tcPr>
            <w:tcW w:w="3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(240)</w:t>
            </w:r>
          </w:p>
        </w:tc>
        <w:tc>
          <w:tcPr>
            <w:tcW w:w="5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(254)</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(494)</w:t>
            </w:r>
          </w:p>
        </w:tc>
      </w:tr>
      <w:tr>
        <w:trPr>
          <w:trHeight w:val="121"/>
        </w:trPr>
        <w:tc>
          <w:tcPr>
            <w:tcW w:w="4760" w:type="dxa"/>
            <w:vAlign w:val="bottom"/>
          </w:tcPr>
          <w:p>
            <w:pPr>
              <w:spacing w:after="0"/>
              <w:rPr>
                <w:sz w:val="20"/>
                <w:szCs w:val="20"/>
                <w:color w:val="auto"/>
              </w:rPr>
            </w:pPr>
            <w:r>
              <w:rPr>
                <w:rFonts w:ascii="Arial" w:cs="Arial" w:eastAsia="Arial" w:hAnsi="Arial"/>
                <w:sz w:val="10"/>
                <w:szCs w:val="10"/>
                <w:color w:val="auto"/>
              </w:rPr>
              <w:t>Other operating costs</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(92)</w:t>
            </w:r>
          </w:p>
        </w:tc>
        <w:tc>
          <w:tcPr>
            <w:tcW w:w="520" w:type="dxa"/>
            <w:vAlign w:val="bottom"/>
            <w:gridSpan w:val="3"/>
          </w:tcPr>
          <w:p>
            <w:pPr>
              <w:jc w:val="right"/>
              <w:ind w:right="64"/>
              <w:spacing w:after="0"/>
              <w:rPr>
                <w:sz w:val="20"/>
                <w:szCs w:val="20"/>
                <w:color w:val="auto"/>
              </w:rPr>
            </w:pPr>
            <w:r>
              <w:rPr>
                <w:rFonts w:ascii="Arial" w:cs="Arial" w:eastAsia="Arial" w:hAnsi="Arial"/>
                <w:sz w:val="10"/>
                <w:szCs w:val="10"/>
                <w:color w:val="auto"/>
              </w:rPr>
              <w:t>(487)</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(579)</w:t>
            </w: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(135)</w:t>
            </w:r>
          </w:p>
        </w:tc>
        <w:tc>
          <w:tcPr>
            <w:tcW w:w="520" w:type="dxa"/>
            <w:vAlign w:val="bottom"/>
            <w:gridSpan w:val="3"/>
          </w:tcPr>
          <w:p>
            <w:pPr>
              <w:jc w:val="right"/>
              <w:ind w:right="100"/>
              <w:spacing w:after="0"/>
              <w:rPr>
                <w:sz w:val="20"/>
                <w:szCs w:val="20"/>
                <w:color w:val="auto"/>
              </w:rPr>
            </w:pPr>
            <w:r>
              <w:rPr>
                <w:rFonts w:ascii="Arial" w:cs="Arial" w:eastAsia="Arial" w:hAnsi="Arial"/>
                <w:sz w:val="10"/>
                <w:szCs w:val="10"/>
                <w:color w:val="auto"/>
              </w:rPr>
              <w:t>(142)</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(277)</w:t>
            </w:r>
          </w:p>
        </w:tc>
      </w:tr>
    </w:tbl>
    <w:p>
      <w:pPr>
        <w:spacing w:after="0" w:line="46" w:lineRule="exact"/>
        <w:rPr>
          <w:sz w:val="20"/>
          <w:szCs w:val="20"/>
          <w:color w:val="auto"/>
        </w:rPr>
      </w:pPr>
    </w:p>
    <w:p>
      <w:pPr>
        <w:ind w:left="2260" w:right="919" w:hanging="288"/>
        <w:spacing w:after="0" w:line="230" w:lineRule="auto"/>
        <w:tabs>
          <w:tab w:leader="none" w:pos="2260" w:val="left"/>
        </w:tabs>
        <w:numPr>
          <w:ilvl w:val="0"/>
          <w:numId w:val="167"/>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7.</w:t>
            </w:r>
          </w:p>
        </w:tc>
        <w:tc>
          <w:tcPr>
            <w:tcW w:w="32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3520" w:type="dxa"/>
            <w:vAlign w:val="bottom"/>
            <w:gridSpan w:val="3"/>
          </w:tcPr>
          <w:p>
            <w:pPr>
              <w:spacing w:after="0"/>
              <w:rPr>
                <w:sz w:val="20"/>
                <w:szCs w:val="20"/>
                <w:color w:val="auto"/>
              </w:rPr>
            </w:pPr>
            <w:r>
              <w:rPr>
                <w:rFonts w:ascii="Arial" w:cs="Arial" w:eastAsia="Arial" w:hAnsi="Arial"/>
                <w:sz w:val="12"/>
                <w:szCs w:val="12"/>
                <w:color w:val="auto"/>
                <w:w w:val="91"/>
              </w:rPr>
              <w:t>The following table shows the breakdown of the other operating income:</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35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5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33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35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600" w:type="dxa"/>
            <w:vAlign w:val="bottom"/>
            <w:gridSpan w:val="3"/>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3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3"/>
          </w:tcPr>
          <w:p>
            <w:pPr>
              <w:ind w:left="40"/>
              <w:spacing w:after="0"/>
              <w:rPr>
                <w:sz w:val="20"/>
                <w:szCs w:val="20"/>
                <w:color w:val="auto"/>
              </w:rPr>
            </w:pPr>
            <w:r>
              <w:rPr>
                <w:rFonts w:ascii="Arial" w:cs="Arial" w:eastAsia="Arial" w:hAnsi="Arial"/>
                <w:sz w:val="12"/>
                <w:szCs w:val="12"/>
                <w:color w:val="auto"/>
              </w:rPr>
              <w:t>F-38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8.</w:t>
            </w:r>
          </w:p>
        </w:tc>
        <w:tc>
          <w:tcPr>
            <w:tcW w:w="6420" w:type="dxa"/>
            <w:vAlign w:val="bottom"/>
            <w:gridSpan w:val="2"/>
          </w:tcPr>
          <w:p>
            <w:pPr>
              <w:ind w:left="40"/>
              <w:spacing w:after="0"/>
              <w:rPr>
                <w:sz w:val="20"/>
                <w:szCs w:val="20"/>
                <w:color w:val="auto"/>
              </w:rPr>
            </w:pPr>
            <w:r>
              <w:rPr>
                <w:rFonts w:ascii="Arial" w:cs="Arial" w:eastAsia="Arial" w:hAnsi="Arial"/>
                <w:sz w:val="12"/>
                <w:szCs w:val="12"/>
                <w:b w:val="1"/>
                <w:bCs w:val="1"/>
                <w:color w:val="auto"/>
              </w:rPr>
              <w:t>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3"/>
          </w:tcPr>
          <w:p>
            <w:pPr>
              <w:spacing w:after="0"/>
              <w:rPr>
                <w:sz w:val="20"/>
                <w:szCs w:val="20"/>
                <w:color w:val="auto"/>
              </w:rPr>
            </w:pPr>
            <w:r>
              <w:rPr>
                <w:rFonts w:ascii="Arial" w:cs="Arial" w:eastAsia="Arial" w:hAnsi="Arial"/>
                <w:sz w:val="11"/>
                <w:szCs w:val="11"/>
                <w:color w:val="auto"/>
              </w:rPr>
              <w:t>Costs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9.</w:t>
            </w:r>
          </w:p>
        </w:tc>
        <w:tc>
          <w:tcPr>
            <w:tcW w:w="63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Personnel costs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0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personnel costs: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0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3"/>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costs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 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Tranche</w:t>
            </w:r>
          </w:p>
        </w:tc>
        <w:tc>
          <w:tcPr>
            <w:tcW w:w="38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IV</w:t>
            </w:r>
          </w:p>
        </w:tc>
        <w:tc>
          <w:tcPr>
            <w:tcW w:w="4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2019 V</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VI</w:t>
            </w:r>
          </w:p>
        </w:tc>
        <w:tc>
          <w:tcPr>
            <w:tcW w:w="4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243"/>
        </w:trPr>
        <w:tc>
          <w:tcPr>
            <w:tcW w:w="340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F-40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the previous year:</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Tranche</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7"/>
              </w:rPr>
              <w:t>Tranche</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ind w:left="40"/>
              <w:spacing w:after="0"/>
              <w:rPr>
                <w:sz w:val="20"/>
                <w:szCs w:val="20"/>
                <w:color w:val="auto"/>
              </w:rPr>
            </w:pPr>
            <w:r>
              <w:rPr>
                <w:rFonts w:ascii="Arial" w:cs="Arial" w:eastAsia="Arial" w:hAnsi="Arial"/>
                <w:sz w:val="10"/>
                <w:szCs w:val="10"/>
                <w:b w:val="1"/>
                <w:bCs w:val="1"/>
                <w:color w:val="auto"/>
                <w:w w:val="97"/>
              </w:rPr>
              <w:t>Tranche</w:t>
            </w:r>
          </w:p>
        </w:tc>
      </w:tr>
      <w:tr>
        <w:trPr>
          <w:trHeight w:val="113"/>
        </w:trPr>
        <w:tc>
          <w:tcPr>
            <w:tcW w:w="5320" w:type="dxa"/>
            <w:vAlign w:val="bottom"/>
          </w:tcPr>
          <w:p>
            <w:pPr>
              <w:spacing w:after="0"/>
              <w:rPr>
                <w:sz w:val="9"/>
                <w:szCs w:val="9"/>
                <w:color w:val="auto"/>
              </w:rPr>
            </w:pPr>
          </w:p>
        </w:tc>
        <w:tc>
          <w:tcPr>
            <w:tcW w:w="36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3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Options outstanding at the beginning of the 2019 reporting period (Jan. 1, 2019)</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24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109,800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17,800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2,400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outstanding at the end of the 2019 reporting period (Dec. 31, 2019)</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2,200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107,400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exercisable at the end of the 2019 reporting period (Dec. 31, 2019)</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58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2019 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5"/>
              </w:rPr>
              <w:t>2019 III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IV</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4"/>
              </w:rPr>
              <w:t>2019 V</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VI</w:t>
            </w: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2020 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Term in years</w:t>
            </w:r>
          </w:p>
        </w:tc>
        <w:tc>
          <w:tcPr>
            <w:tcW w:w="3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6.50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0.35</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340" w:type="dxa"/>
            <w:vAlign w:val="bottom"/>
          </w:tcPr>
          <w:p>
            <w:pPr>
              <w:jc w:val="right"/>
              <w:spacing w:after="0"/>
              <w:rPr>
                <w:sz w:val="20"/>
                <w:szCs w:val="20"/>
                <w:color w:val="auto"/>
              </w:rPr>
            </w:pPr>
            <w:r>
              <w:rPr>
                <w:rFonts w:ascii="Arial" w:cs="Arial" w:eastAsia="Arial" w:hAnsi="Arial"/>
                <w:sz w:val="11"/>
                <w:szCs w:val="11"/>
                <w:color w:val="auto"/>
              </w:rPr>
              <w:t>52.20</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51.00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340" w:type="dxa"/>
            <w:vAlign w:val="bottom"/>
          </w:tcPr>
          <w:p>
            <w:pPr>
              <w:jc w:val="right"/>
              <w:spacing w:after="0"/>
              <w:rPr>
                <w:sz w:val="20"/>
                <w:szCs w:val="20"/>
                <w:color w:val="auto"/>
              </w:rPr>
            </w:pPr>
            <w:r>
              <w:rPr>
                <w:rFonts w:ascii="Arial" w:cs="Arial" w:eastAsia="Arial" w:hAnsi="Arial"/>
                <w:sz w:val="11"/>
                <w:szCs w:val="11"/>
                <w:color w:val="auto"/>
              </w:rPr>
              <w:t>46.41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45.91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48.45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580" w:type="dxa"/>
            <w:vAlign w:val="bottom"/>
          </w:tcPr>
          <w:p>
            <w:pPr>
              <w:spacing w:after="0"/>
              <w:rPr>
                <w:sz w:val="20"/>
                <w:szCs w:val="20"/>
                <w:color w:val="auto"/>
              </w:rPr>
            </w:pPr>
            <w:r>
              <w:rPr>
                <w:rFonts w:ascii="Arial" w:cs="Arial" w:eastAsia="Arial" w:hAnsi="Arial"/>
                <w:sz w:val="11"/>
                <w:szCs w:val="11"/>
                <w:color w:val="auto"/>
              </w:rPr>
              <w:t>Option value (in €)</w:t>
            </w:r>
          </w:p>
        </w:tc>
        <w:tc>
          <w:tcPr>
            <w:tcW w:w="340" w:type="dxa"/>
            <w:vAlign w:val="bottom"/>
          </w:tcPr>
          <w:p>
            <w:pPr>
              <w:jc w:val="right"/>
              <w:spacing w:after="0"/>
              <w:rPr>
                <w:sz w:val="20"/>
                <w:szCs w:val="20"/>
                <w:color w:val="auto"/>
              </w:rPr>
            </w:pPr>
            <w:r>
              <w:rPr>
                <w:rFonts w:ascii="Arial" w:cs="Arial" w:eastAsia="Arial" w:hAnsi="Arial"/>
                <w:sz w:val="11"/>
                <w:szCs w:val="11"/>
                <w:color w:val="auto"/>
              </w:rPr>
              <w:t>15.71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11.53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19.55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04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6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 I</w:t>
            </w:r>
          </w:p>
        </w:tc>
        <w:tc>
          <w:tcPr>
            <w:tcW w:w="6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7"/>
              </w:rPr>
              <w:t>2019 II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0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7.00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1.35</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38.00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38.50</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45.91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45.66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(0.74)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11.53</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12.42</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54" w:right="1440" w:bottom="1440" w:gutter="0" w:footer="0" w:header="0"/>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10.</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6660" w:type="dxa"/>
            <w:vAlign w:val="bottom"/>
            <w:gridSpan w:val="2"/>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bl>
    <w:p>
      <w:pPr>
        <w:spacing w:after="0" w:line="229"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Other Operating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costs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Office and IT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Costs for preparation and audit of financial statements, and accounting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bl>
    <w:p>
      <w:pPr>
        <w:spacing w:after="0" w:line="13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Other office supplies refer mainly to purchased services as well as costs for tools and devices. Other personnel costs mainly include recruiting costs.</w:t>
      </w:r>
    </w:p>
    <w:p>
      <w:pPr>
        <w:spacing w:after="0" w:line="257" w:lineRule="exact"/>
        <w:rPr>
          <w:sz w:val="20"/>
          <w:szCs w:val="20"/>
          <w:color w:val="auto"/>
        </w:rPr>
      </w:pPr>
    </w:p>
    <w:p>
      <w:pPr>
        <w:ind w:left="2260" w:hanging="288"/>
        <w:spacing w:after="0"/>
        <w:tabs>
          <w:tab w:leader="none" w:pos="2260" w:val="left"/>
        </w:tabs>
        <w:numPr>
          <w:ilvl w:val="0"/>
          <w:numId w:val="170"/>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93"/>
              </w:rPr>
              <w:t>(120)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terminals that were written down to their recoverable amount.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4,073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2,089</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Personnel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3,921</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2,551</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802</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494</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operating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579</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277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5,411</w:t>
            </w: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own work capitalized: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8,248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5,324</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Property, plant and equipment</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1,127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5,411</w:t>
            </w:r>
          </w:p>
        </w:tc>
      </w:tr>
      <w:tr>
        <w:trPr>
          <w:trHeight w:val="387"/>
        </w:trPr>
        <w:tc>
          <w:tcPr>
            <w:tcW w:w="6540" w:type="dxa"/>
            <w:vAlign w:val="bottom"/>
            <w:gridSpan w:val="3"/>
          </w:tcPr>
          <w:p>
            <w:pPr>
              <w:spacing w:after="0"/>
              <w:rPr>
                <w:sz w:val="20"/>
                <w:szCs w:val="20"/>
                <w:color w:val="auto"/>
              </w:rPr>
            </w:pPr>
            <w:r>
              <w:rPr>
                <w:rFonts w:ascii="Arial" w:cs="Arial" w:eastAsia="Arial" w:hAnsi="Arial"/>
                <w:sz w:val="12"/>
                <w:szCs w:val="12"/>
                <w:b w:val="1"/>
                <w:bCs w:val="1"/>
                <w:color w:val="auto"/>
              </w:rPr>
              <w:t>14.  Net Finance Costs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financial result is calculated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540" w:type="dxa"/>
            <w:vAlign w:val="bottom"/>
            <w:gridSpan w:val="3"/>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interest income from loans and receivables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18</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73</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FINANCIAL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Interest on leases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color w:val="auto"/>
              </w:rPr>
              <w:t>(137)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1,055</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0</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0</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109</w:t>
            </w:r>
          </w:p>
        </w:tc>
        <w:tc>
          <w:tcPr>
            <w:tcW w:w="40" w:type="dxa"/>
            <w:vAlign w:val="bottom"/>
            <w:shd w:val="clear" w:color="auto" w:fill="CCEEFF"/>
          </w:tcPr>
          <w:p>
            <w:pPr>
              <w:spacing w:after="0"/>
              <w:rPr>
                <w:sz w:val="11"/>
                <w:szCs w:val="11"/>
                <w:color w:val="auto"/>
              </w:rPr>
            </w:pPr>
          </w:p>
        </w:tc>
      </w:tr>
      <w:tr>
        <w:trPr>
          <w:trHeight w:val="140"/>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Net finance costs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(513)</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2"/>
                <w:szCs w:val="12"/>
                <w:color w:val="auto"/>
              </w:rPr>
            </w:pPr>
          </w:p>
        </w:tc>
      </w:tr>
      <w:tr>
        <w:trPr>
          <w:trHeight w:val="283"/>
        </w:trPr>
        <w:tc>
          <w:tcPr>
            <w:tcW w:w="6540" w:type="dxa"/>
            <w:vAlign w:val="bottom"/>
            <w:gridSpan w:val="3"/>
          </w:tcPr>
          <w:p>
            <w:pPr>
              <w:spacing w:after="0"/>
              <w:rPr>
                <w:sz w:val="20"/>
                <w:szCs w:val="20"/>
                <w:color w:val="auto"/>
              </w:rPr>
            </w:pPr>
            <w:r>
              <w:rPr>
                <w:rFonts w:ascii="Arial" w:cs="Arial" w:eastAsia="Arial" w:hAnsi="Arial"/>
                <w:sz w:val="12"/>
                <w:szCs w:val="12"/>
                <w:color w:val="auto"/>
              </w:rPr>
              <w:t>Borrowing costs capitalized as the cost in accordance with IAS 23 are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0"/>
              </w:rPr>
              <w:t>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65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thereof capitalized as the cost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4"/>
              </w:rPr>
              <w:t>1,010</w:t>
            </w:r>
          </w:p>
        </w:tc>
        <w:tc>
          <w:tcPr>
            <w:tcW w:w="6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ind w:left="200"/>
              <w:spacing w:after="0"/>
              <w:rPr>
                <w:sz w:val="20"/>
                <w:szCs w:val="20"/>
                <w:color w:val="auto"/>
              </w:rPr>
            </w:pPr>
            <w:r>
              <w:rPr>
                <w:rFonts w:ascii="Arial" w:cs="Arial" w:eastAsia="Arial" w:hAnsi="Arial"/>
                <w:sz w:val="11"/>
                <w:szCs w:val="11"/>
                <w:color w:val="auto"/>
              </w:rPr>
              <w:t>construction in progress</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11"/>
                <w:szCs w:val="11"/>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1"/>
              </w:rPr>
              <w:t>10.69%</w:t>
            </w:r>
          </w:p>
        </w:tc>
        <w:tc>
          <w:tcPr>
            <w:tcW w:w="6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w w:val="89"/>
              </w:rPr>
              <w:t>2.00%</w:t>
            </w: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0" w:type="dxa"/>
            <w:vAlign w:val="bottom"/>
          </w:tcPr>
          <w:p>
            <w:pPr>
              <w:ind w:left="3020"/>
              <w:spacing w:after="0"/>
              <w:rPr>
                <w:sz w:val="20"/>
                <w:szCs w:val="20"/>
                <w:color w:val="auto"/>
              </w:rPr>
            </w:pPr>
            <w:r>
              <w:rPr>
                <w:rFonts w:ascii="Arial" w:cs="Arial" w:eastAsia="Arial" w:hAnsi="Arial"/>
                <w:sz w:val="12"/>
                <w:szCs w:val="12"/>
                <w:color w:val="auto"/>
              </w:rPr>
              <w:t>F-43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Jan. 1 -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780" w:type="dxa"/>
            <w:vAlign w:val="bottom"/>
            <w:gridSpan w:val="2"/>
            <w:vMerge w:val="continue"/>
          </w:tcPr>
          <w:p>
            <w:pPr>
              <w:spacing w:after="0"/>
              <w:rPr>
                <w:sz w:val="9"/>
                <w:szCs w:val="9"/>
                <w:color w:val="auto"/>
              </w:rPr>
            </w:pPr>
          </w:p>
        </w:tc>
        <w:tc>
          <w:tcPr>
            <w:tcW w:w="96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Dec. 31, 2020</w:t>
            </w:r>
          </w:p>
        </w:tc>
        <w:tc>
          <w:tcPr>
            <w:tcW w:w="6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4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(5,481)</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(120)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ind w:right="169"/>
              <w:spacing w:after="0"/>
              <w:rPr>
                <w:sz w:val="20"/>
                <w:szCs w:val="20"/>
                <w:color w:val="auto"/>
              </w:rPr>
            </w:pPr>
            <w:r>
              <w:rPr>
                <w:rFonts w:ascii="Arial" w:cs="Arial" w:eastAsia="Arial" w:hAnsi="Arial"/>
                <w:sz w:val="10"/>
                <w:szCs w:val="10"/>
                <w:b w:val="1"/>
                <w:bCs w:val="1"/>
                <w:color w:val="auto"/>
                <w:w w:val="86"/>
              </w:rPr>
              <w:t>Jan. 1 -</w:t>
            </w: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jc w:val="center"/>
              <w:ind w:right="149"/>
              <w:spacing w:after="0" w:line="99" w:lineRule="exact"/>
              <w:rPr>
                <w:sz w:val="20"/>
                <w:szCs w:val="20"/>
                <w:color w:val="auto"/>
              </w:rPr>
            </w:pPr>
            <w:r>
              <w:rPr>
                <w:rFonts w:ascii="Arial" w:cs="Arial" w:eastAsia="Arial" w:hAnsi="Arial"/>
                <w:sz w:val="10"/>
                <w:szCs w:val="10"/>
                <w:b w:val="1"/>
                <w:bCs w:val="1"/>
                <w:color w:val="auto"/>
                <w:w w:val="84"/>
              </w:rPr>
              <w:t>Dec. 31,</w:t>
            </w:r>
          </w:p>
        </w:tc>
        <w:tc>
          <w:tcPr>
            <w:tcW w:w="620" w:type="dxa"/>
            <w:vAlign w:val="bottom"/>
            <w:gridSpan w:val="2"/>
          </w:tcPr>
          <w:p>
            <w:pPr>
              <w:jc w:val="center"/>
              <w:ind w:left="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gridSpan w:val="4"/>
          </w:tcPr>
          <w:p>
            <w:pPr>
              <w:jc w:val="right"/>
              <w:ind w:right="700"/>
              <w:spacing w:after="0" w:line="114" w:lineRule="exact"/>
              <w:rPr>
                <w:sz w:val="20"/>
                <w:szCs w:val="20"/>
                <w:color w:val="auto"/>
              </w:rPr>
            </w:pPr>
            <w:r>
              <w:rPr>
                <w:rFonts w:ascii="Arial" w:cs="Arial" w:eastAsia="Arial" w:hAnsi="Arial"/>
                <w:sz w:val="10"/>
                <w:szCs w:val="10"/>
                <w:b w:val="1"/>
                <w:bCs w:val="1"/>
                <w:color w:val="auto"/>
              </w:rPr>
              <w:t>Dec. 31, 2020</w:t>
            </w:r>
          </w:p>
        </w:tc>
        <w:tc>
          <w:tcPr>
            <w:tcW w:w="1680" w:type="dxa"/>
            <w:vAlign w:val="bottom"/>
            <w:gridSpan w:val="4"/>
          </w:tcPr>
          <w:p>
            <w:pPr>
              <w:jc w:val="right"/>
              <w:ind w:right="720"/>
              <w:spacing w:after="0" w:line="114" w:lineRule="exact"/>
              <w:rPr>
                <w:sz w:val="20"/>
                <w:szCs w:val="20"/>
                <w:color w:val="auto"/>
              </w:rPr>
            </w:pPr>
            <w:r>
              <w:rPr>
                <w:rFonts w:ascii="Arial" w:cs="Arial" w:eastAsia="Arial" w:hAnsi="Arial"/>
                <w:sz w:val="10"/>
                <w:szCs w:val="10"/>
                <w:b w:val="1"/>
                <w:bCs w:val="1"/>
                <w:color w:val="auto"/>
              </w:rPr>
              <w:t>Dec. 31, 2019</w:t>
            </w:r>
          </w:p>
        </w:tc>
        <w:tc>
          <w:tcPr>
            <w:tcW w:w="600" w:type="dxa"/>
            <w:vAlign w:val="bottom"/>
          </w:tcPr>
          <w:p>
            <w:pPr>
              <w:jc w:val="center"/>
              <w:ind w:right="149"/>
              <w:spacing w:after="0" w:line="114" w:lineRule="exact"/>
              <w:rPr>
                <w:sz w:val="20"/>
                <w:szCs w:val="20"/>
                <w:color w:val="auto"/>
              </w:rPr>
            </w:pPr>
            <w:r>
              <w:rPr>
                <w:rFonts w:ascii="Arial" w:cs="Arial" w:eastAsia="Arial" w:hAnsi="Arial"/>
                <w:sz w:val="10"/>
                <w:szCs w:val="10"/>
                <w:b w:val="1"/>
                <w:bCs w:val="1"/>
                <w:color w:val="auto"/>
                <w:w w:val="89"/>
              </w:rPr>
              <w:t>2020</w:t>
            </w:r>
          </w:p>
        </w:tc>
        <w:tc>
          <w:tcPr>
            <w:tcW w:w="56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84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20" w:type="dxa"/>
            <w:vAlign w:val="bottom"/>
          </w:tcPr>
          <w:p>
            <w:pPr>
              <w:spacing w:after="0"/>
              <w:rPr>
                <w:sz w:val="6"/>
                <w:szCs w:val="6"/>
                <w:color w:val="auto"/>
              </w:rPr>
            </w:pPr>
          </w:p>
        </w:tc>
        <w:tc>
          <w:tcPr>
            <w:tcW w:w="1160" w:type="dxa"/>
            <w:vAlign w:val="bottom"/>
            <w:tcBorders>
              <w:top w:val="single" w:sz="8" w:color="auto"/>
            </w:tcBorders>
            <w:gridSpan w:val="2"/>
          </w:tcPr>
          <w:p>
            <w:pPr>
              <w:jc w:val="right"/>
              <w:ind w:right="68"/>
              <w:spacing w:after="0" w:line="74" w:lineRule="exact"/>
              <w:rPr>
                <w:sz w:val="20"/>
                <w:szCs w:val="20"/>
                <w:color w:val="auto"/>
              </w:rPr>
            </w:pPr>
            <w:r>
              <w:rPr>
                <w:rFonts w:ascii="Arial" w:cs="Arial" w:eastAsia="Arial" w:hAnsi="Arial"/>
                <w:sz w:val="8"/>
                <w:szCs w:val="8"/>
                <w:b w:val="1"/>
                <w:bCs w:val="1"/>
                <w:color w:val="auto"/>
              </w:rPr>
              <w:t>Changes recognized 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00" w:type="dxa"/>
            <w:vAlign w:val="bottom"/>
            <w:gridSpan w:val="2"/>
            <w:vMerge w:val="continue"/>
          </w:tcPr>
          <w:p>
            <w:pPr>
              <w:spacing w:after="0"/>
              <w:rPr>
                <w:sz w:val="9"/>
                <w:szCs w:val="9"/>
                <w:color w:val="auto"/>
              </w:rPr>
            </w:pPr>
          </w:p>
        </w:tc>
        <w:tc>
          <w:tcPr>
            <w:tcW w:w="82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98"/>
              </w:rPr>
              <w:t>liabilities</w:t>
            </w:r>
          </w:p>
        </w:tc>
        <w:tc>
          <w:tcPr>
            <w:tcW w:w="84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liabilities</w:t>
            </w:r>
          </w:p>
        </w:tc>
        <w:tc>
          <w:tcPr>
            <w:tcW w:w="1220" w:type="dxa"/>
            <w:vAlign w:val="bottom"/>
            <w:gridSpan w:val="3"/>
          </w:tcPr>
          <w:p>
            <w:pPr>
              <w:jc w:val="right"/>
              <w:ind w:right="38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1"/>
                <w:szCs w:val="11"/>
                <w:color w:val="auto"/>
              </w:rPr>
              <w:t>(2,528)</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Leases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13</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52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09"/>
              <w:spacing w:after="0"/>
              <w:rPr>
                <w:sz w:val="20"/>
                <w:szCs w:val="20"/>
                <w:color w:val="auto"/>
              </w:rPr>
            </w:pPr>
            <w:r>
              <w:rPr>
                <w:rFonts w:ascii="Arial" w:cs="Arial" w:eastAsia="Arial" w:hAnsi="Arial"/>
                <w:sz w:val="11"/>
                <w:szCs w:val="11"/>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46</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4,877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2,477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(4,957)</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(4,957)</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0159"/>
          </w:cols>
          <w:pgMar w:left="300" w:top="354" w:right="1440" w:bottom="1440" w:gutter="0" w:footer="0" w:header="0"/>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3,349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8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104,830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type w:val="continuous"/>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discount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100" w:type="dxa"/>
            <w:vAlign w:val="bottom"/>
          </w:tcPr>
          <w:p>
            <w:pPr>
              <w:spacing w:after="0"/>
              <w:rPr>
                <w:sz w:val="8"/>
                <w:szCs w:val="8"/>
                <w:color w:val="auto"/>
              </w:rPr>
            </w:pP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5"/>
              </w:rPr>
              <w:t>Land and</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and office</w:t>
            </w:r>
          </w:p>
        </w:tc>
        <w:tc>
          <w:tcPr>
            <w:tcW w:w="8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5"/>
              </w:rPr>
              <w:t>buildings</w:t>
            </w:r>
          </w:p>
        </w:tc>
        <w:tc>
          <w:tcPr>
            <w:tcW w:w="76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88"/>
              </w:rPr>
              <w:t>Machinery</w:t>
            </w:r>
          </w:p>
        </w:tc>
        <w:tc>
          <w:tcPr>
            <w:tcW w:w="84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6"/>
              </w:rPr>
              <w:t>equipment</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90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434</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461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991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1,063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1,180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472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1820" w:type="dxa"/>
            <w:vAlign w:val="bottom"/>
            <w:gridSpan w:val="3"/>
          </w:tcPr>
          <w:p>
            <w:pPr>
              <w:jc w:val="right"/>
              <w:ind w:right="28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81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1,790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1,977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3,277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542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490</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26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1,256</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4,303</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3,151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2,717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11,427</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2"/>
                <w:szCs w:val="12"/>
                <w:color w:val="auto"/>
              </w:rPr>
              <w:t>F-46</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5"/>
              </w:rPr>
              <w:t>Land and</w:t>
            </w: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90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80" w:type="dxa"/>
            <w:vAlign w:val="bottom"/>
            <w:gridSpan w:val="2"/>
            <w:vMerge w:val="continue"/>
          </w:tcPr>
          <w:p>
            <w:pPr>
              <w:spacing w:after="0"/>
              <w:rPr>
                <w:sz w:val="9"/>
                <w:szCs w:val="9"/>
                <w:color w:val="auto"/>
              </w:rPr>
            </w:pPr>
          </w:p>
        </w:tc>
        <w:tc>
          <w:tcPr>
            <w:tcW w:w="74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w w:val="85"/>
              </w:rPr>
              <w:t>buildings</w:t>
            </w:r>
          </w:p>
        </w:tc>
        <w:tc>
          <w:tcPr>
            <w:tcW w:w="8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4"/>
              </w:rPr>
              <w:t>Machinery</w:t>
            </w:r>
          </w:p>
        </w:tc>
        <w:tc>
          <w:tcPr>
            <w:tcW w:w="8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right"/>
              <w:ind w:right="40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188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(46)</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color w:val="auto"/>
              </w:rPr>
              <w:t>(188)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232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415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1"/>
                <w:szCs w:val="11"/>
                <w:color w:val="auto"/>
              </w:rPr>
              <w:t>(116)</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(131)</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7,278</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7,289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7,289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7,300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2,012</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9,216</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19</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0159"/>
          </w:cols>
          <w:pgMar w:left="300" w:top="354" w:right="1440" w:bottom="1440" w:gutter="0" w:footer="0" w:header="0"/>
          <w:type w:val="continuous"/>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ind w:left="460"/>
              <w:spacing w:after="0"/>
              <w:rPr>
                <w:sz w:val="20"/>
                <w:szCs w:val="20"/>
                <w:color w:val="auto"/>
              </w:rPr>
            </w:pPr>
            <w:r>
              <w:rPr>
                <w:rFonts w:ascii="Arial" w:cs="Arial" w:eastAsia="Arial" w:hAnsi="Arial"/>
                <w:sz w:val="5"/>
                <w:szCs w:val="5"/>
                <w:color w:val="auto"/>
                <w:w w:val="70"/>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801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1,287</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6</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54" w:right="1440" w:bottom="1440" w:gutter="0" w:footer="0" w:header="0"/>
          <w:type w:val="continuous"/>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68" w:lineRule="exact"/>
        <w:rPr>
          <w:sz w:val="20"/>
          <w:szCs w:val="20"/>
          <w:color w:val="auto"/>
        </w:rPr>
      </w:pPr>
    </w:p>
    <w:p>
      <w:pPr>
        <w:ind w:left="2260" w:hanging="288"/>
        <w:spacing w:after="0"/>
        <w:tabs>
          <w:tab w:leader="none" w:pos="226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Issued share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78"/>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78"/>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jc w:val="both"/>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260" w:hanging="288"/>
        <w:spacing w:after="0"/>
        <w:tabs>
          <w:tab w:leader="none" w:pos="2260"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82"/>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1" w:lineRule="auto"/>
        <w:tabs>
          <w:tab w:leader="none" w:pos="2620" w:val="left"/>
        </w:tabs>
        <w:numPr>
          <w:ilvl w:val="1"/>
          <w:numId w:val="183"/>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F-53</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w w:val="80"/>
              </w:rPr>
              <w:t>Non-cash changes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Balance</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arising</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as of</w:t>
            </w:r>
          </w:p>
        </w:tc>
        <w:tc>
          <w:tcPr>
            <w:tcW w:w="5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760" w:type="dxa"/>
            <w:vAlign w:val="bottom"/>
            <w:vMerge w:val="restart"/>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Jan. 1,</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8"/>
              </w:rPr>
              <w:t>cash</w:t>
            </w:r>
          </w:p>
        </w:tc>
        <w:tc>
          <w:tcPr>
            <w:tcW w:w="46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Additions/</w:t>
            </w:r>
          </w:p>
        </w:tc>
        <w:tc>
          <w:tcPr>
            <w:tcW w:w="140" w:type="dxa"/>
            <w:vAlign w:val="bottom"/>
          </w:tcPr>
          <w:p>
            <w:pPr>
              <w:spacing w:after="0"/>
              <w:rPr>
                <w:sz w:val="8"/>
                <w:szCs w:val="8"/>
                <w:color w:val="auto"/>
              </w:rPr>
            </w:pPr>
          </w:p>
        </w:tc>
        <w:tc>
          <w:tcPr>
            <w:tcW w:w="4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Fair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5"/>
              </w:rPr>
              <w:t>flows</w:t>
            </w:r>
          </w:p>
        </w:tc>
        <w:tc>
          <w:tcPr>
            <w:tcW w:w="46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7"/>
              </w:rPr>
              <w:t>disposals</w:t>
            </w:r>
          </w:p>
        </w:tc>
        <w:tc>
          <w:tcPr>
            <w:tcW w:w="140" w:type="dxa"/>
            <w:vAlign w:val="bottom"/>
          </w:tcPr>
          <w:p>
            <w:pPr>
              <w:spacing w:after="0"/>
              <w:rPr>
                <w:sz w:val="10"/>
                <w:szCs w:val="10"/>
                <w:color w:val="auto"/>
              </w:rPr>
            </w:pPr>
          </w:p>
        </w:tc>
        <w:tc>
          <w:tcPr>
            <w:tcW w:w="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3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3"/>
              </w:rPr>
              <w:t>FX</w:t>
            </w:r>
          </w:p>
        </w:tc>
        <w:tc>
          <w:tcPr>
            <w:tcW w:w="4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78"/>
              </w:rPr>
              <w:t>value</w:t>
            </w:r>
          </w:p>
        </w:tc>
        <w:tc>
          <w:tcPr>
            <w:tcW w:w="88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6,762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1"/>
              </w:rPr>
              <w:t>(79)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6,762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4,326</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1,947</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(79)</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Balance</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as of</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18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6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0"/>
                <w:szCs w:val="10"/>
                <w:color w:val="auto"/>
                <w:w w:val="76"/>
              </w:rPr>
              <w:t>(439)</w:t>
            </w: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26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F-54</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89"/>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context of these plans, stock options were issued to the Management Board in 2019 and 2020, which entitle the holder to subscribe to Mynaric shares. Detailed information about the granted stock options are presented in Note 9. a) Share-based payments.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91"/>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chairperson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F-57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9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Detailed disclosures concerning the concentration of revenue in particular areas/regions can be found in Note 5. Segment reporting and information on geographical areas.</w:t>
      </w:r>
    </w:p>
    <w:p>
      <w:pPr>
        <w:spacing w:after="0" w:line="115"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9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9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w:t>
      </w:r>
    </w:p>
    <w:p>
      <w:pPr>
        <w:spacing w:after="0" w:line="111"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utilised amount. Outstanding loans under the credit agreement bear interest at a rate of 1% per beginning 30 days. The credit agreement also requires the Company to pay a commitment fee totaling 6% of the aggregate commitments of approximately €25 million. The commitment fee and interest on the drawn amount and the commitment fee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15, 2021, an amount of €7.5 million has been drawn.</w:t>
      </w:r>
    </w:p>
    <w:p>
      <w:pPr>
        <w:spacing w:after="0" w:line="131"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For the year ended 31 December 2020, the Group recognised a net loss of €19.4 million. The Group’s net current assets as at 31 December 2020 were €41.4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 with a variety of other potential investors which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05" w:lineRule="exact"/>
        <w:rPr>
          <w:sz w:val="20"/>
          <w:szCs w:val="20"/>
          <w:color w:val="auto"/>
        </w:rPr>
      </w:pPr>
    </w:p>
    <w:p>
      <w:pPr>
        <w:ind w:left="1980" w:right="999"/>
        <w:spacing w:after="0" w:line="323" w:lineRule="auto"/>
        <w:rPr>
          <w:sz w:val="20"/>
          <w:szCs w:val="20"/>
          <w:color w:val="auto"/>
        </w:rPr>
      </w:pPr>
      <w:r>
        <w:rPr>
          <w:rFonts w:ascii="Arial" w:cs="Arial" w:eastAsia="Arial" w:hAnsi="Arial"/>
          <w:sz w:val="11"/>
          <w:szCs w:val="11"/>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9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 31, 2020</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180"/>
              <w:spacing w:after="0" w:line="79" w:lineRule="exact"/>
              <w:rPr>
                <w:sz w:val="20"/>
                <w:szCs w:val="20"/>
                <w:color w:val="auto"/>
              </w:rPr>
            </w:pPr>
            <w:r>
              <w:rPr>
                <w:rFonts w:ascii="Arial" w:cs="Arial" w:eastAsia="Arial" w:hAnsi="Arial"/>
                <w:sz w:val="8"/>
                <w:szCs w:val="8"/>
                <w:b w:val="1"/>
                <w:bCs w:val="1"/>
                <w:color w:val="auto"/>
              </w:rPr>
              <w:t>EUR</w:t>
            </w:r>
          </w:p>
        </w:tc>
        <w:tc>
          <w:tcPr>
            <w:tcW w:w="80" w:type="dxa"/>
            <w:vAlign w:val="bottom"/>
          </w:tcPr>
          <w:p>
            <w:pPr>
              <w:spacing w:after="0"/>
              <w:rPr>
                <w:sz w:val="8"/>
                <w:szCs w:val="8"/>
                <w:color w:val="auto"/>
              </w:rPr>
            </w:pP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500" w:type="dxa"/>
            <w:vAlign w:val="bottom"/>
            <w:gridSpan w:val="4"/>
          </w:tcPr>
          <w:p>
            <w:pPr>
              <w:jc w:val="right"/>
              <w:ind w:right="14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3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50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862</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 31, 2019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500" w:type="dxa"/>
            <w:vAlign w:val="bottom"/>
            <w:gridSpan w:val="4"/>
          </w:tcPr>
          <w:p>
            <w:pPr>
              <w:jc w:val="right"/>
              <w:ind w:right="2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875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2</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w w:val="91"/>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1,750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20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228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(92)</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Effects on Group equity</w:t>
            </w:r>
          </w:p>
        </w:tc>
        <w:tc>
          <w:tcPr>
            <w:tcW w:w="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199</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560" w:type="dxa"/>
            <w:vAlign w:val="bottom"/>
            <w:gridSpan w:val="2"/>
          </w:tcPr>
          <w:p>
            <w:pPr>
              <w:spacing w:after="0"/>
              <w:rPr>
                <w:sz w:val="20"/>
                <w:szCs w:val="20"/>
                <w:color w:val="auto"/>
              </w:rPr>
            </w:pPr>
            <w:r>
              <w:rPr>
                <w:rFonts w:ascii="Arial" w:cs="Arial" w:eastAsia="Arial" w:hAnsi="Arial"/>
                <w:sz w:val="12"/>
                <w:szCs w:val="12"/>
                <w:color w:val="auto"/>
              </w:rPr>
              <w:t>The following exchange rates were used:</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0"/>
                <w:szCs w:val="10"/>
                <w:b w:val="1"/>
                <w:bCs w:val="1"/>
                <w:color w:val="auto"/>
                <w:w w:val="84"/>
              </w:rPr>
              <w:t>Spot exchange rate as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right"/>
              <w:ind w:right="200"/>
              <w:spacing w:after="0" w:line="99" w:lineRule="exact"/>
              <w:rPr>
                <w:sz w:val="20"/>
                <w:szCs w:val="20"/>
                <w:color w:val="auto"/>
              </w:rPr>
            </w:pPr>
            <w:r>
              <w:rPr>
                <w:rFonts w:ascii="Arial" w:cs="Arial" w:eastAsia="Arial" w:hAnsi="Arial"/>
                <w:sz w:val="10"/>
                <w:szCs w:val="10"/>
                <w:b w:val="1"/>
                <w:bCs w:val="1"/>
                <w:color w:val="auto"/>
              </w:rPr>
              <w:t>of the reporting</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Average rate</w:t>
            </w:r>
          </w:p>
        </w:tc>
        <w:tc>
          <w:tcPr>
            <w:tcW w:w="380" w:type="dxa"/>
            <w:vAlign w:val="bottom"/>
          </w:tcPr>
          <w:p>
            <w:pPr>
              <w:spacing w:after="0"/>
              <w:rPr>
                <w:sz w:val="9"/>
                <w:szCs w:val="9"/>
                <w:color w:val="auto"/>
              </w:rPr>
            </w:pPr>
          </w:p>
        </w:tc>
        <w:tc>
          <w:tcPr>
            <w:tcW w:w="200" w:type="dxa"/>
            <w:vAlign w:val="bottom"/>
          </w:tcPr>
          <w:p>
            <w:pPr>
              <w:ind w:left="20"/>
              <w:spacing w:after="0" w:line="114" w:lineRule="exact"/>
              <w:rPr>
                <w:sz w:val="20"/>
                <w:szCs w:val="20"/>
                <w:color w:val="auto"/>
              </w:rPr>
            </w:pPr>
            <w:r>
              <w:rPr>
                <w:rFonts w:ascii="Arial" w:cs="Arial" w:eastAsia="Arial" w:hAnsi="Arial"/>
                <w:sz w:val="10"/>
                <w:szCs w:val="10"/>
                <w:b w:val="1"/>
                <w:bCs w:val="1"/>
                <w:color w:val="auto"/>
                <w:w w:val="77"/>
              </w:rPr>
              <w:t>date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56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1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60" w:type="dxa"/>
            <w:vAlign w:val="bottom"/>
            <w:tcBorders>
              <w:top w:val="single" w:sz="8" w:color="auto"/>
            </w:tcBorders>
            <w:shd w:val="clear" w:color="auto" w:fill="CCEEFF"/>
          </w:tcPr>
          <w:p>
            <w:pPr>
              <w:ind w:left="160"/>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2020</w:t>
            </w: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0.88258</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0.81540</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0.89160</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0.90446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6"/>
              <w:spacing w:after="0"/>
              <w:rPr>
                <w:sz w:val="20"/>
                <w:szCs w:val="20"/>
                <w:color w:val="auto"/>
              </w:rPr>
            </w:pPr>
            <w:r>
              <w:rPr>
                <w:rFonts w:ascii="Arial" w:cs="Arial" w:eastAsia="Arial" w:hAnsi="Arial"/>
                <w:sz w:val="11"/>
                <w:szCs w:val="11"/>
                <w:color w:val="auto"/>
              </w:rPr>
              <w:t>0.92390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c>
          <w:tcPr>
            <w:tcW w:w="0" w:type="dxa"/>
            <w:vAlign w:val="bottom"/>
          </w:tcPr>
          <w:p>
            <w:pPr>
              <w:spacing w:after="0"/>
              <w:rPr>
                <w:sz w:val="1"/>
                <w:szCs w:val="1"/>
                <w:color w:val="auto"/>
              </w:rPr>
            </w:pPr>
          </w:p>
        </w:tc>
      </w:tr>
      <w:tr>
        <w:trPr>
          <w:trHeight w:val="136"/>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0.12747</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0.12481</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0.12796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20" w:hanging="360"/>
        <w:spacing w:after="0"/>
        <w:tabs>
          <w:tab w:leader="none" w:pos="2620" w:val="left"/>
        </w:tabs>
        <w:numPr>
          <w:ilvl w:val="0"/>
          <w:numId w:val="200"/>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201"/>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202"/>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0159"/>
          </w:cols>
          <w:pgMar w:left="300" w:top="354"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203"/>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430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840" w:type="dxa"/>
            <w:vAlign w:val="bottom"/>
            <w:gridSpan w:val="2"/>
          </w:tcPr>
          <w:p>
            <w:pPr>
              <w:spacing w:after="0"/>
              <w:rPr>
                <w:sz w:val="20"/>
                <w:szCs w:val="20"/>
                <w:color w:val="auto"/>
              </w:rPr>
            </w:pPr>
            <w:r>
              <w:rPr>
                <w:rFonts w:ascii="Arial" w:cs="Arial" w:eastAsia="Arial" w:hAnsi="Arial"/>
                <w:sz w:val="12"/>
                <w:szCs w:val="12"/>
                <w:color w:val="auto"/>
              </w:rPr>
              <w:t>Other financial obligations as of December 31, 2020 are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4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4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48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84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4300" w:type="dxa"/>
            <w:vAlign w:val="bottom"/>
          </w:tcPr>
          <w:p>
            <w:pPr>
              <w:spacing w:after="0"/>
              <w:rPr>
                <w:sz w:val="11"/>
                <w:szCs w:val="1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bl>
    <w:p>
      <w:pPr>
        <w:spacing w:after="0" w:line="134"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230" w:lineRule="exact"/>
        <w:rPr>
          <w:sz w:val="20"/>
          <w:szCs w:val="20"/>
          <w:color w:val="auto"/>
        </w:rPr>
      </w:pPr>
    </w:p>
    <w:p>
      <w:pPr>
        <w:ind w:left="2260" w:hanging="288"/>
        <w:spacing w:after="0"/>
        <w:tabs>
          <w:tab w:leader="none" w:pos="2260" w:val="left"/>
        </w:tabs>
        <w:numPr>
          <w:ilvl w:val="0"/>
          <w:numId w:val="204"/>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207"/>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79"/>
        <w:spacing w:after="0" w:line="313" w:lineRule="auto"/>
        <w:rPr>
          <w:sz w:val="20"/>
          <w:szCs w:val="20"/>
          <w:color w:val="auto"/>
        </w:rPr>
      </w:pPr>
      <w:r>
        <w:rPr>
          <w:rFonts w:ascii="Arial" w:cs="Arial" w:eastAsia="Arial" w:hAnsi="Arial"/>
          <w:sz w:val="10"/>
          <w:szCs w:val="10"/>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$100 million, no IPO bonus will be paid out. In the case the gross proceeds are between $100 and $150 million, the IPO bonus will increase on a linear basis starting in a range between 0.15% and 0.35% up to a range between 0.3% and 0.7%.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02"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54"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American Depositary Shares</w:t>
      </w:r>
    </w:p>
    <w:p>
      <w:pPr>
        <w:spacing w:after="0" w:line="134"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20"/>
        <w:spacing w:after="0"/>
        <w:tabs>
          <w:tab w:leader="none" w:pos="7300" w:val="left"/>
        </w:tabs>
        <w:rPr>
          <w:sz w:val="20"/>
          <w:szCs w:val="20"/>
          <w:color w:val="auto"/>
        </w:rPr>
      </w:pPr>
      <w:r>
        <w:rPr>
          <w:rFonts w:ascii="Arial" w:cs="Arial" w:eastAsia="Arial" w:hAnsi="Arial"/>
          <w:sz w:val="17"/>
          <w:szCs w:val="17"/>
          <w:b w:val="1"/>
          <w:bCs w:val="1"/>
          <w:color w:val="auto"/>
        </w:rPr>
        <w:t>Credit Suisse</w:t>
      </w:r>
      <w:r>
        <w:rPr>
          <w:sz w:val="20"/>
          <w:szCs w:val="20"/>
          <w:color w:val="auto"/>
        </w:rPr>
        <w:tab/>
      </w:r>
      <w:r>
        <w:rPr>
          <w:rFonts w:ascii="Arial" w:cs="Arial" w:eastAsia="Arial" w:hAnsi="Arial"/>
          <w:sz w:val="15"/>
          <w:szCs w:val="15"/>
          <w:b w:val="1"/>
          <w:bCs w:val="1"/>
          <w:color w:val="auto"/>
        </w:rPr>
        <w:t>Jefferies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136525</wp:posOffset>
            </wp:positionV>
            <wp:extent cx="9829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980" w:right="919"/>
        <w:spacing w:after="0" w:line="302" w:lineRule="auto"/>
        <w:rPr>
          <w:sz w:val="20"/>
          <w:szCs w:val="20"/>
          <w:color w:val="auto"/>
        </w:rPr>
      </w:pPr>
      <w:r>
        <w:rPr>
          <w:rFonts w:ascii="Arial" w:cs="Arial" w:eastAsia="Arial" w:hAnsi="Arial"/>
          <w:sz w:val="11"/>
          <w:szCs w:val="11"/>
          <w:b w:val="1"/>
          <w:bCs w:val="1"/>
          <w:color w:val="auto"/>
        </w:rPr>
        <w:t>Through and including , 2021 (25 days after the commencement of this offering), all dealers that buy, sell or trade the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0159"/>
          </w:cols>
          <w:pgMar w:left="300" w:top="354" w:right="1440" w:bottom="1440" w:gutter="0" w:footer="0" w:header="0"/>
        </w:sectPr>
      </w:pPr>
    </w:p>
    <w:bookmarkStart w:id="262" w:name="page263"/>
    <w:bookmarkEnd w:id="2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Indemnification of Directors and Officers</w:t>
      </w:r>
    </w:p>
    <w:p>
      <w:pPr>
        <w:spacing w:after="0" w:line="15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22"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Set forth below are the sales of all securities sold by Mynaric AG within the past three years (</w:t>
      </w:r>
      <w:r>
        <w:rPr>
          <w:rFonts w:ascii="Arial" w:cs="Arial" w:eastAsia="Arial" w:hAnsi="Arial"/>
          <w:sz w:val="12"/>
          <w:szCs w:val="12"/>
          <w:i w:val="1"/>
          <w:iCs w:val="1"/>
          <w:color w:val="auto"/>
        </w:rPr>
        <w:t>i.e.</w:t>
      </w:r>
      <w:r>
        <w:rPr>
          <w:rFonts w:ascii="Arial" w:cs="Arial" w:eastAsia="Arial" w:hAnsi="Arial"/>
          <w:sz w:val="12"/>
          <w:szCs w:val="12"/>
          <w:color w:val="auto"/>
        </w:rPr>
        <w:t>, since January 1, 2018 up to the date of this registration statement) which were not registered under the Securities Act:</w:t>
      </w:r>
    </w:p>
    <w:p>
      <w:pPr>
        <w:spacing w:after="0" w:line="52" w:lineRule="exact"/>
        <w:rPr>
          <w:sz w:val="20"/>
          <w:szCs w:val="20"/>
          <w:color w:val="auto"/>
        </w:rPr>
      </w:pPr>
    </w:p>
    <w:p>
      <w:pPr>
        <w:ind w:left="2620" w:right="919" w:hanging="360"/>
        <w:spacing w:after="0" w:line="289" w:lineRule="auto"/>
        <w:tabs>
          <w:tab w:leader="none" w:pos="2620" w:val="left"/>
        </w:tabs>
        <w:numPr>
          <w:ilvl w:val="0"/>
          <w:numId w:val="209"/>
        </w:numPr>
        <w:rPr>
          <w:rFonts w:ascii="Arial" w:cs="Arial" w:eastAsia="Arial" w:hAnsi="Arial"/>
          <w:sz w:val="11"/>
          <w:szCs w:val="11"/>
          <w:color w:val="auto"/>
        </w:rPr>
      </w:pPr>
      <w:r>
        <w:rPr>
          <w:rFonts w:ascii="Arial" w:cs="Arial" w:eastAsia="Arial" w:hAnsi="Arial"/>
          <w:sz w:val="11"/>
          <w:szCs w:val="11"/>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47" w:lineRule="exact"/>
        <w:rPr>
          <w:rFonts w:ascii="Arial" w:cs="Arial" w:eastAsia="Arial" w:hAnsi="Arial"/>
          <w:sz w:val="11"/>
          <w:szCs w:val="11"/>
          <w:color w:val="auto"/>
        </w:rPr>
      </w:pPr>
    </w:p>
    <w:p>
      <w:pPr>
        <w:ind w:left="2620" w:right="879" w:hanging="360"/>
        <w:spacing w:after="0" w:line="283" w:lineRule="auto"/>
        <w:tabs>
          <w:tab w:leader="none" w:pos="2620" w:val="left"/>
        </w:tabs>
        <w:numPr>
          <w:ilvl w:val="0"/>
          <w:numId w:val="209"/>
        </w:numPr>
        <w:rPr>
          <w:rFonts w:ascii="Arial" w:cs="Arial" w:eastAsia="Arial" w:hAnsi="Arial"/>
          <w:sz w:val="11"/>
          <w:szCs w:val="11"/>
          <w:color w:val="auto"/>
        </w:rPr>
      </w:pPr>
      <w:r>
        <w:rPr>
          <w:rFonts w:ascii="Arial" w:cs="Arial" w:eastAsia="Arial" w:hAnsi="Arial"/>
          <w:sz w:val="11"/>
          <w:szCs w:val="11"/>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50" w:lineRule="exact"/>
        <w:rPr>
          <w:rFonts w:ascii="Arial" w:cs="Arial" w:eastAsia="Arial" w:hAnsi="Arial"/>
          <w:sz w:val="11"/>
          <w:szCs w:val="11"/>
          <w:color w:val="auto"/>
        </w:rPr>
      </w:pPr>
    </w:p>
    <w:p>
      <w:pPr>
        <w:ind w:left="2620" w:right="859" w:hanging="360"/>
        <w:spacing w:after="0" w:line="320" w:lineRule="auto"/>
        <w:tabs>
          <w:tab w:leader="none" w:pos="2620" w:val="left"/>
        </w:tabs>
        <w:numPr>
          <w:ilvl w:val="0"/>
          <w:numId w:val="209"/>
        </w:numPr>
        <w:rPr>
          <w:rFonts w:ascii="Arial" w:cs="Arial" w:eastAsia="Arial" w:hAnsi="Arial"/>
          <w:sz w:val="10"/>
          <w:szCs w:val="10"/>
          <w:color w:val="auto"/>
        </w:rPr>
      </w:pPr>
      <w:r>
        <w:rPr>
          <w:rFonts w:ascii="Arial" w:cs="Arial" w:eastAsia="Arial" w:hAnsi="Arial"/>
          <w:sz w:val="10"/>
          <w:szCs w:val="10"/>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34" w:lineRule="exact"/>
        <w:rPr>
          <w:rFonts w:ascii="Arial" w:cs="Arial" w:eastAsia="Arial" w:hAnsi="Arial"/>
          <w:sz w:val="10"/>
          <w:szCs w:val="10"/>
          <w:color w:val="auto"/>
        </w:rPr>
      </w:pPr>
    </w:p>
    <w:p>
      <w:pPr>
        <w:ind w:left="2620" w:hanging="360"/>
        <w:spacing w:after="0"/>
        <w:tabs>
          <w:tab w:leader="none" w:pos="2620" w:val="left"/>
        </w:tabs>
        <w:numPr>
          <w:ilvl w:val="0"/>
          <w:numId w:val="209"/>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263" w:name="page264"/>
    <w:bookmarkEnd w:id="2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offers, sales and issuances of the securities described in the preceding paragraphs were exempt from registration either (a) under Section 4(a)</w:t>
      </w:r>
    </w:p>
    <w:p>
      <w:pPr>
        <w:spacing w:after="0" w:line="38" w:lineRule="exact"/>
        <w:rPr>
          <w:sz w:val="20"/>
          <w:szCs w:val="20"/>
          <w:color w:val="auto"/>
        </w:rPr>
      </w:pPr>
    </w:p>
    <w:p>
      <w:pPr>
        <w:ind w:left="1980" w:right="899" w:hanging="8"/>
        <w:spacing w:after="0" w:line="284" w:lineRule="auto"/>
        <w:tabs>
          <w:tab w:leader="none" w:pos="2150" w:val="left"/>
        </w:tabs>
        <w:numPr>
          <w:ilvl w:val="0"/>
          <w:numId w:val="210"/>
        </w:numPr>
        <w:rPr>
          <w:rFonts w:ascii="Arial" w:cs="Arial" w:eastAsia="Arial" w:hAnsi="Arial"/>
          <w:sz w:val="11"/>
          <w:szCs w:val="11"/>
          <w:color w:val="auto"/>
        </w:rPr>
      </w:pPr>
      <w:r>
        <w:rPr>
          <w:rFonts w:ascii="Arial" w:cs="Arial" w:eastAsia="Arial" w:hAnsi="Arial"/>
          <w:sz w:val="11"/>
          <w:szCs w:val="11"/>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20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Exhibits and Financial Statement Schedule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exhibits listed in the exhibit index, appearing elsewhere in this registration statement, have been filed as a part of this registration statement.</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All schedules have been omitted since they are not required or are not applicable or the required information is shown in the audited consolidated financial statements or notes thereto.</w:t>
      </w:r>
    </w:p>
    <w:p>
      <w:pPr>
        <w:spacing w:after="0" w:line="210"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1980" w:right="919" w:firstLine="286"/>
        <w:spacing w:after="0" w:line="323" w:lineRule="auto"/>
        <w:tabs>
          <w:tab w:leader="none" w:pos="2443" w:val="left"/>
        </w:tabs>
        <w:numPr>
          <w:ilvl w:val="1"/>
          <w:numId w:val="211"/>
        </w:numPr>
        <w:rPr>
          <w:rFonts w:ascii="Arial" w:cs="Arial" w:eastAsia="Arial" w:hAnsi="Arial"/>
          <w:sz w:val="11"/>
          <w:szCs w:val="11"/>
          <w:color w:val="auto"/>
        </w:rPr>
      </w:pPr>
      <w:r>
        <w:rPr>
          <w:rFonts w:ascii="Arial" w:cs="Arial" w:eastAsia="Arial" w:hAnsi="Arial"/>
          <w:sz w:val="11"/>
          <w:szCs w:val="11"/>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1" w:lineRule="exact"/>
        <w:rPr>
          <w:rFonts w:ascii="Arial" w:cs="Arial" w:eastAsia="Arial" w:hAnsi="Arial"/>
          <w:sz w:val="11"/>
          <w:szCs w:val="11"/>
          <w:color w:val="auto"/>
        </w:rPr>
      </w:pPr>
    </w:p>
    <w:p>
      <w:pPr>
        <w:ind w:left="1980" w:right="839" w:firstLine="286"/>
        <w:spacing w:after="0" w:line="280" w:lineRule="auto"/>
        <w:tabs>
          <w:tab w:leader="none" w:pos="2443" w:val="left"/>
        </w:tabs>
        <w:numPr>
          <w:ilvl w:val="1"/>
          <w:numId w:val="211"/>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440" w:hanging="174"/>
        <w:spacing w:after="0"/>
        <w:tabs>
          <w:tab w:leader="none" w:pos="2440" w:val="left"/>
        </w:tabs>
        <w:numPr>
          <w:ilvl w:val="1"/>
          <w:numId w:val="211"/>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87" w:lineRule="exact"/>
        <w:rPr>
          <w:rFonts w:ascii="Arial" w:cs="Arial" w:eastAsia="Arial" w:hAnsi="Arial"/>
          <w:sz w:val="12"/>
          <w:szCs w:val="12"/>
          <w:color w:val="auto"/>
        </w:rPr>
      </w:pPr>
    </w:p>
    <w:p>
      <w:pPr>
        <w:ind w:left="2620" w:right="879" w:hanging="360"/>
        <w:spacing w:after="0" w:line="298" w:lineRule="auto"/>
        <w:tabs>
          <w:tab w:leader="none" w:pos="2620" w:val="left"/>
        </w:tabs>
        <w:numPr>
          <w:ilvl w:val="0"/>
          <w:numId w:val="212"/>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1"/>
          <w:szCs w:val="11"/>
          <w:color w:val="auto"/>
        </w:rPr>
      </w:pPr>
    </w:p>
    <w:p>
      <w:pPr>
        <w:ind w:left="2620" w:right="939" w:hanging="360"/>
        <w:spacing w:after="0" w:line="263" w:lineRule="auto"/>
        <w:tabs>
          <w:tab w:leader="none" w:pos="262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II-ii</w:t>
      </w:r>
    </w:p>
    <w:p>
      <w:pPr>
        <w:sectPr>
          <w:pgSz w:w="11900" w:h="16838" w:orient="portrait"/>
          <w:cols w:equalWidth="0" w:num="1">
            <w:col w:w="10159"/>
          </w:cols>
          <w:pgMar w:left="300" w:top="354" w:right="1440" w:bottom="1440" w:gutter="0" w:footer="0" w:header="0"/>
        </w:sectPr>
      </w:pPr>
    </w:p>
    <w:bookmarkStart w:id="264" w:name="page265"/>
    <w:bookmarkEnd w:id="2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140" w:type="dxa"/>
            <w:vAlign w:val="bottom"/>
            <w:gridSpan w:val="9"/>
          </w:tcPr>
          <w:p>
            <w:pPr>
              <w:spacing w:after="0"/>
              <w:rPr>
                <w:sz w:val="20"/>
                <w:szCs w:val="20"/>
                <w:color w:val="auto"/>
              </w:rPr>
            </w:pPr>
            <w:r>
              <w:rPr>
                <w:rFonts w:ascii="Arial" w:cs="Arial" w:eastAsia="Arial" w:hAnsi="Arial"/>
                <w:sz w:val="12"/>
                <w:szCs w:val="12"/>
                <w:b w:val="1"/>
                <w:bCs w:val="1"/>
                <w:color w:val="auto"/>
              </w:rPr>
              <w:t>EXHIBIT INDEX</w:t>
            </w:r>
          </w:p>
        </w:tc>
      </w:tr>
      <w:tr>
        <w:trPr>
          <w:trHeight w:val="247"/>
        </w:trPr>
        <w:tc>
          <w:tcPr>
            <w:tcW w:w="360" w:type="dxa"/>
            <w:vAlign w:val="bottom"/>
          </w:tcPr>
          <w:p>
            <w:pPr>
              <w:ind w:left="20"/>
              <w:spacing w:after="0"/>
              <w:rPr>
                <w:sz w:val="20"/>
                <w:szCs w:val="20"/>
                <w:color w:val="auto"/>
              </w:rPr>
            </w:pPr>
            <w:r>
              <w:rPr>
                <w:rFonts w:ascii="Arial" w:cs="Arial" w:eastAsia="Arial" w:hAnsi="Arial"/>
                <w:sz w:val="10"/>
                <w:szCs w:val="10"/>
                <w:b w:val="1"/>
                <w:bCs w:val="1"/>
                <w:color w:val="auto"/>
                <w:w w:val="95"/>
              </w:rPr>
              <w:t>Exhibit</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13"/>
        </w:trPr>
        <w:tc>
          <w:tcPr>
            <w:tcW w:w="360" w:type="dxa"/>
            <w:vAlign w:val="bottom"/>
            <w:tcBorders>
              <w:bottom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w w:val="84"/>
              </w:rPr>
              <w:t>Number</w:t>
            </w:r>
          </w:p>
        </w:tc>
        <w:tc>
          <w:tcPr>
            <w:tcW w:w="3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gridSpan w:val="7"/>
          </w:tcPr>
          <w:p>
            <w:pPr>
              <w:ind w:left="60"/>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5"/>
        </w:trPr>
        <w:tc>
          <w:tcPr>
            <w:tcW w:w="360" w:type="dxa"/>
            <w:vAlign w:val="bottom"/>
          </w:tcPr>
          <w:p>
            <w:pPr>
              <w:spacing w:after="0"/>
              <w:rPr>
                <w:sz w:val="20"/>
                <w:szCs w:val="20"/>
                <w:color w:val="auto"/>
              </w:rPr>
            </w:pPr>
            <w:r>
              <w:rPr>
                <w:rFonts w:ascii="Arial" w:cs="Arial" w:eastAsia="Arial" w:hAnsi="Arial"/>
                <w:sz w:val="12"/>
                <w:szCs w:val="12"/>
                <w:color w:val="auto"/>
              </w:rPr>
              <w:t>1.1*</w:t>
            </w:r>
          </w:p>
        </w:tc>
        <w:tc>
          <w:tcPr>
            <w:tcW w:w="360" w:type="dxa"/>
            <w:vAlign w:val="bottom"/>
          </w:tcPr>
          <w:p>
            <w:pPr>
              <w:spacing w:after="0"/>
              <w:rPr>
                <w:sz w:val="17"/>
                <w:szCs w:val="17"/>
                <w:color w:val="auto"/>
              </w:rPr>
            </w:pPr>
          </w:p>
        </w:tc>
        <w:tc>
          <w:tcPr>
            <w:tcW w:w="6620" w:type="dxa"/>
            <w:vAlign w:val="bottom"/>
            <w:gridSpan w:val="13"/>
          </w:tcPr>
          <w:p>
            <w:pPr>
              <w:ind w:left="20"/>
              <w:spacing w:after="0"/>
              <w:rPr>
                <w:sz w:val="20"/>
                <w:szCs w:val="20"/>
                <w:color w:val="auto"/>
              </w:rPr>
            </w:pPr>
            <w:r>
              <w:rPr>
                <w:rFonts w:ascii="Arial" w:cs="Arial" w:eastAsia="Arial" w:hAnsi="Arial"/>
                <w:sz w:val="12"/>
                <w:szCs w:val="12"/>
                <w:color w:val="auto"/>
              </w:rPr>
              <w:t>Form of Underwriting Agreement</w:t>
            </w:r>
          </w:p>
        </w:tc>
      </w:tr>
      <w:tr>
        <w:trPr>
          <w:trHeight w:val="189"/>
        </w:trPr>
        <w:tc>
          <w:tcPr>
            <w:tcW w:w="360" w:type="dxa"/>
            <w:vAlign w:val="bottom"/>
          </w:tcPr>
          <w:p>
            <w:pPr>
              <w:spacing w:after="0"/>
              <w:rPr>
                <w:sz w:val="20"/>
                <w:szCs w:val="20"/>
                <w:color w:val="auto"/>
              </w:rPr>
            </w:pPr>
            <w:r>
              <w:rPr>
                <w:rFonts w:ascii="Arial" w:cs="Arial" w:eastAsia="Arial" w:hAnsi="Arial"/>
                <w:sz w:val="12"/>
                <w:szCs w:val="12"/>
                <w:color w:val="auto"/>
              </w:rPr>
              <w:t>3.1†</w:t>
            </w:r>
          </w:p>
        </w:tc>
        <w:tc>
          <w:tcPr>
            <w:tcW w:w="360" w:type="dxa"/>
            <w:vAlign w:val="bottom"/>
          </w:tcPr>
          <w:p>
            <w:pPr>
              <w:spacing w:after="0"/>
              <w:rPr>
                <w:sz w:val="16"/>
                <w:szCs w:val="16"/>
                <w:color w:val="auto"/>
              </w:rPr>
            </w:pPr>
          </w:p>
        </w:tc>
        <w:tc>
          <w:tcPr>
            <w:tcW w:w="3080" w:type="dxa"/>
            <w:vAlign w:val="bottom"/>
            <w:tcBorders>
              <w:bottom w:val="single" w:sz="8" w:color="0000EE"/>
            </w:tcBorders>
            <w:gridSpan w:val="9"/>
          </w:tcPr>
          <w:p>
            <w:pPr>
              <w:ind w:left="20"/>
              <w:spacing w:after="0"/>
              <w:rPr>
                <w:rFonts w:ascii="Arial" w:cs="Arial" w:eastAsia="Arial" w:hAnsi="Arial"/>
                <w:sz w:val="12"/>
                <w:szCs w:val="12"/>
                <w:color w:val="0000EE"/>
                <w:w w:val="93"/>
              </w:rPr>
            </w:pPr>
            <w:hyperlink r:id="rId354">
              <w:r>
                <w:rPr>
                  <w:rFonts w:ascii="Arial" w:cs="Arial" w:eastAsia="Arial" w:hAnsi="Arial"/>
                  <w:sz w:val="12"/>
                  <w:szCs w:val="12"/>
                  <w:color w:val="0000EE"/>
                  <w:w w:val="93"/>
                </w:rPr>
                <w:t>Articles of Association of Mynaric AG (translated into English)</w:t>
              </w:r>
            </w:hyperlink>
          </w:p>
        </w:tc>
        <w:tc>
          <w:tcPr>
            <w:tcW w:w="3540" w:type="dxa"/>
            <w:vAlign w:val="bottom"/>
            <w:gridSpan w:val="4"/>
          </w:tcPr>
          <w:p>
            <w:pPr>
              <w:spacing w:after="0"/>
              <w:rPr>
                <w:sz w:val="16"/>
                <w:szCs w:val="16"/>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3.2†</w:t>
            </w:r>
          </w:p>
        </w:tc>
        <w:tc>
          <w:tcPr>
            <w:tcW w:w="360" w:type="dxa"/>
            <w:vAlign w:val="bottom"/>
          </w:tcPr>
          <w:p>
            <w:pPr>
              <w:spacing w:after="0"/>
              <w:rPr>
                <w:sz w:val="17"/>
                <w:szCs w:val="17"/>
                <w:color w:val="auto"/>
              </w:rPr>
            </w:pPr>
          </w:p>
        </w:tc>
        <w:tc>
          <w:tcPr>
            <w:tcW w:w="6620" w:type="dxa"/>
            <w:vAlign w:val="bottom"/>
            <w:gridSpan w:val="13"/>
          </w:tcPr>
          <w:p>
            <w:pPr>
              <w:ind w:left="20"/>
              <w:spacing w:after="0"/>
              <w:rPr>
                <w:rFonts w:ascii="Arial" w:cs="Arial" w:eastAsia="Arial" w:hAnsi="Arial"/>
                <w:sz w:val="12"/>
                <w:szCs w:val="12"/>
                <w:color w:val="0000EE"/>
              </w:rPr>
            </w:pPr>
            <w:hyperlink r:id="rId355">
              <w:r>
                <w:rPr>
                  <w:rFonts w:ascii="Arial" w:cs="Arial" w:eastAsia="Arial" w:hAnsi="Arial"/>
                  <w:sz w:val="12"/>
                  <w:szCs w:val="12"/>
                  <w:color w:val="0000EE"/>
                </w:rPr>
                <w:t>Rules of Procedure of the Management Board of Mynaric AG</w:t>
              </w:r>
            </w:hyperlink>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3.3†</w:t>
            </w:r>
          </w:p>
        </w:tc>
        <w:tc>
          <w:tcPr>
            <w:tcW w:w="3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ind w:left="20"/>
              <w:spacing w:after="0"/>
              <w:rPr>
                <w:rFonts w:ascii="Arial" w:cs="Arial" w:eastAsia="Arial" w:hAnsi="Arial"/>
                <w:sz w:val="12"/>
                <w:szCs w:val="12"/>
                <w:color w:val="0000EE"/>
                <w:w w:val="91"/>
              </w:rPr>
            </w:pPr>
            <w:hyperlink r:id="rId356">
              <w:r>
                <w:rPr>
                  <w:rFonts w:ascii="Arial" w:cs="Arial" w:eastAsia="Arial" w:hAnsi="Arial"/>
                  <w:sz w:val="12"/>
                  <w:szCs w:val="12"/>
                  <w:color w:val="0000EE"/>
                  <w:w w:val="91"/>
                </w:rPr>
                <w:t>Rules of Procedure of the Supervisory Board of Mynaric AG</w:t>
              </w:r>
            </w:hyperlink>
          </w:p>
        </w:tc>
        <w:tc>
          <w:tcPr>
            <w:tcW w:w="40" w:type="dxa"/>
            <w:vAlign w:val="bottom"/>
            <w:tcBorders>
              <w:top w:val="single" w:sz="8" w:color="0000EE"/>
            </w:tcBorders>
          </w:tcPr>
          <w:p>
            <w:pPr>
              <w:spacing w:after="0"/>
              <w:rPr>
                <w:sz w:val="17"/>
                <w:szCs w:val="17"/>
                <w:color w:val="auto"/>
              </w:rPr>
            </w:pPr>
          </w:p>
        </w:tc>
        <w:tc>
          <w:tcPr>
            <w:tcW w:w="3640" w:type="dxa"/>
            <w:vAlign w:val="bottom"/>
            <w:gridSpan w:val="5"/>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4.1</w:t>
            </w:r>
          </w:p>
        </w:tc>
        <w:tc>
          <w:tcPr>
            <w:tcW w:w="360" w:type="dxa"/>
            <w:vAlign w:val="bottom"/>
          </w:tcPr>
          <w:p>
            <w:pPr>
              <w:spacing w:after="0"/>
              <w:rPr>
                <w:sz w:val="17"/>
                <w:szCs w:val="17"/>
                <w:color w:val="auto"/>
              </w:rPr>
            </w:pPr>
          </w:p>
        </w:tc>
        <w:tc>
          <w:tcPr>
            <w:tcW w:w="6440" w:type="dxa"/>
            <w:vAlign w:val="bottom"/>
            <w:tcBorders>
              <w:bottom w:val="single" w:sz="8" w:color="0000EE"/>
            </w:tcBorders>
            <w:gridSpan w:val="12"/>
          </w:tcPr>
          <w:p>
            <w:pPr>
              <w:ind w:left="20"/>
              <w:spacing w:after="0"/>
              <w:rPr>
                <w:rFonts w:ascii="Arial" w:cs="Arial" w:eastAsia="Arial" w:hAnsi="Arial"/>
                <w:sz w:val="12"/>
                <w:szCs w:val="12"/>
                <w:color w:val="0000EE"/>
                <w:w w:val="90"/>
              </w:rPr>
            </w:pPr>
            <w:hyperlink w:anchor="page268">
              <w:r>
                <w:rPr>
                  <w:rFonts w:ascii="Arial" w:cs="Arial" w:eastAsia="Arial" w:hAnsi="Arial"/>
                  <w:sz w:val="12"/>
                  <w:szCs w:val="12"/>
                  <w:color w:val="0000EE"/>
                  <w:w w:val="90"/>
                </w:rPr>
                <w:t>Form of Deposit Agreement between the Registrant, the depositary and holders and beneficial owners of American Depositary Shares</w:t>
              </w:r>
            </w:hyperlink>
          </w:p>
        </w:tc>
        <w:tc>
          <w:tcPr>
            <w:tcW w:w="180" w:type="dxa"/>
            <w:vAlign w:val="bottom"/>
          </w:tcPr>
          <w:p>
            <w:pPr>
              <w:spacing w:after="0"/>
              <w:rPr>
                <w:sz w:val="17"/>
                <w:szCs w:val="17"/>
                <w:color w:val="auto"/>
              </w:rPr>
            </w:pPr>
          </w:p>
        </w:tc>
      </w:tr>
      <w:tr>
        <w:trPr>
          <w:trHeight w:val="124"/>
        </w:trPr>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Borders>
              <w:bottom w:val="single" w:sz="8" w:color="0000EE"/>
            </w:tcBorders>
          </w:tcPr>
          <w:p>
            <w:pPr>
              <w:ind w:left="20"/>
              <w:spacing w:after="0" w:line="124" w:lineRule="exact"/>
              <w:rPr>
                <w:rFonts w:ascii="Arial" w:cs="Arial" w:eastAsia="Arial" w:hAnsi="Arial"/>
                <w:sz w:val="12"/>
                <w:szCs w:val="12"/>
                <w:color w:val="0000EE"/>
                <w:w w:val="85"/>
              </w:rPr>
            </w:pPr>
            <w:hyperlink w:anchor="page268">
              <w:r>
                <w:rPr>
                  <w:rFonts w:ascii="Arial" w:cs="Arial" w:eastAsia="Arial" w:hAnsi="Arial"/>
                  <w:sz w:val="12"/>
                  <w:szCs w:val="12"/>
                  <w:color w:val="0000EE"/>
                  <w:w w:val="85"/>
                </w:rPr>
                <w:t>issued thereunder</w:t>
              </w:r>
            </w:hyperlink>
          </w:p>
        </w:tc>
        <w:tc>
          <w:tcPr>
            <w:tcW w:w="5760" w:type="dxa"/>
            <w:vAlign w:val="bottom"/>
            <w:gridSpan w:val="12"/>
          </w:tcPr>
          <w:p>
            <w:pPr>
              <w:spacing w:after="0"/>
              <w:rPr>
                <w:sz w:val="10"/>
                <w:szCs w:val="10"/>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4.2</w:t>
            </w:r>
          </w:p>
        </w:tc>
        <w:tc>
          <w:tcPr>
            <w:tcW w:w="360" w:type="dxa"/>
            <w:vAlign w:val="bottom"/>
          </w:tcPr>
          <w:p>
            <w:pPr>
              <w:spacing w:after="0"/>
              <w:rPr>
                <w:sz w:val="17"/>
                <w:szCs w:val="17"/>
                <w:color w:val="auto"/>
              </w:rPr>
            </w:pPr>
          </w:p>
        </w:tc>
        <w:tc>
          <w:tcPr>
            <w:tcW w:w="6620" w:type="dxa"/>
            <w:vAlign w:val="bottom"/>
            <w:gridSpan w:val="13"/>
          </w:tcPr>
          <w:p>
            <w:pPr>
              <w:ind w:left="20"/>
              <w:spacing w:after="0"/>
              <w:rPr>
                <w:rFonts w:ascii="Arial" w:cs="Arial" w:eastAsia="Arial" w:hAnsi="Arial"/>
                <w:sz w:val="12"/>
                <w:szCs w:val="12"/>
                <w:color w:val="0000EE"/>
              </w:rPr>
            </w:pPr>
            <w:hyperlink w:anchor="page268">
              <w:r>
                <w:rPr>
                  <w:rFonts w:ascii="Arial" w:cs="Arial" w:eastAsia="Arial" w:hAnsi="Arial"/>
                  <w:sz w:val="12"/>
                  <w:szCs w:val="12"/>
                  <w:color w:val="0000EE"/>
                </w:rPr>
                <w:t>Form of American Depositary Receipt evidencing American Depositary Shares (included in Exhibit 4.1)</w:t>
              </w:r>
            </w:hyperlink>
          </w:p>
        </w:tc>
      </w:tr>
      <w:tr>
        <w:trPr>
          <w:trHeight w:val="223"/>
        </w:trPr>
        <w:tc>
          <w:tcPr>
            <w:tcW w:w="360" w:type="dxa"/>
            <w:vAlign w:val="bottom"/>
          </w:tcPr>
          <w:p>
            <w:pPr>
              <w:spacing w:after="0"/>
              <w:rPr>
                <w:sz w:val="20"/>
                <w:szCs w:val="20"/>
                <w:color w:val="auto"/>
              </w:rPr>
            </w:pPr>
            <w:r>
              <w:rPr>
                <w:rFonts w:ascii="Arial" w:cs="Arial" w:eastAsia="Arial" w:hAnsi="Arial"/>
                <w:sz w:val="12"/>
                <w:szCs w:val="12"/>
                <w:color w:val="auto"/>
              </w:rPr>
              <w:t>5.1*</w:t>
            </w:r>
          </w:p>
        </w:tc>
        <w:tc>
          <w:tcPr>
            <w:tcW w:w="360" w:type="dxa"/>
            <w:vAlign w:val="bottom"/>
          </w:tcPr>
          <w:p>
            <w:pPr>
              <w:spacing w:after="0"/>
              <w:rPr>
                <w:sz w:val="19"/>
                <w:szCs w:val="19"/>
                <w:color w:val="auto"/>
              </w:rPr>
            </w:pPr>
          </w:p>
        </w:tc>
        <w:tc>
          <w:tcPr>
            <w:tcW w:w="5020" w:type="dxa"/>
            <w:vAlign w:val="bottom"/>
            <w:tcBorders>
              <w:top w:val="single" w:sz="8" w:color="0000EE"/>
            </w:tcBorders>
            <w:gridSpan w:val="11"/>
          </w:tcPr>
          <w:p>
            <w:pPr>
              <w:ind w:left="20"/>
              <w:spacing w:after="0"/>
              <w:rPr>
                <w:sz w:val="20"/>
                <w:szCs w:val="20"/>
                <w:color w:val="auto"/>
              </w:rPr>
            </w:pPr>
            <w:r>
              <w:rPr>
                <w:rFonts w:ascii="Arial" w:cs="Arial" w:eastAsia="Arial" w:hAnsi="Arial"/>
                <w:sz w:val="12"/>
                <w:szCs w:val="12"/>
                <w:color w:val="auto"/>
              </w:rPr>
              <w:t>Opinion of Sullivan &amp; Cromwell LLP as to the validity of the ordinary shares</w:t>
            </w:r>
          </w:p>
        </w:tc>
        <w:tc>
          <w:tcPr>
            <w:tcW w:w="1600" w:type="dxa"/>
            <w:vAlign w:val="bottom"/>
            <w:gridSpan w:val="2"/>
          </w:tcPr>
          <w:p>
            <w:pPr>
              <w:spacing w:after="0"/>
              <w:rPr>
                <w:sz w:val="19"/>
                <w:szCs w:val="19"/>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8.1*</w:t>
            </w:r>
          </w:p>
        </w:tc>
        <w:tc>
          <w:tcPr>
            <w:tcW w:w="360" w:type="dxa"/>
            <w:vAlign w:val="bottom"/>
          </w:tcPr>
          <w:p>
            <w:pPr>
              <w:spacing w:after="0"/>
              <w:rPr>
                <w:sz w:val="18"/>
                <w:szCs w:val="18"/>
                <w:color w:val="auto"/>
              </w:rPr>
            </w:pPr>
          </w:p>
        </w:tc>
        <w:tc>
          <w:tcPr>
            <w:tcW w:w="6620" w:type="dxa"/>
            <w:vAlign w:val="bottom"/>
            <w:gridSpan w:val="13"/>
          </w:tcPr>
          <w:p>
            <w:pPr>
              <w:ind w:left="20"/>
              <w:spacing w:after="0"/>
              <w:rPr>
                <w:sz w:val="20"/>
                <w:szCs w:val="20"/>
                <w:color w:val="auto"/>
              </w:rPr>
            </w:pPr>
            <w:r>
              <w:rPr>
                <w:rFonts w:ascii="Arial" w:cs="Arial" w:eastAsia="Arial" w:hAnsi="Arial"/>
                <w:sz w:val="12"/>
                <w:szCs w:val="12"/>
                <w:color w:val="auto"/>
              </w:rPr>
              <w:t>Opinion of Sullivan &amp; Cromwell LLP as to U.S. tax matters</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8.2*</w:t>
            </w:r>
          </w:p>
        </w:tc>
        <w:tc>
          <w:tcPr>
            <w:tcW w:w="360" w:type="dxa"/>
            <w:vAlign w:val="bottom"/>
          </w:tcPr>
          <w:p>
            <w:pPr>
              <w:spacing w:after="0"/>
              <w:rPr>
                <w:sz w:val="18"/>
                <w:szCs w:val="18"/>
                <w:color w:val="auto"/>
              </w:rPr>
            </w:pPr>
          </w:p>
        </w:tc>
        <w:tc>
          <w:tcPr>
            <w:tcW w:w="6620" w:type="dxa"/>
            <w:vAlign w:val="bottom"/>
            <w:gridSpan w:val="13"/>
          </w:tcPr>
          <w:p>
            <w:pPr>
              <w:ind w:left="20"/>
              <w:spacing w:after="0"/>
              <w:rPr>
                <w:sz w:val="20"/>
                <w:szCs w:val="20"/>
                <w:color w:val="auto"/>
              </w:rPr>
            </w:pPr>
            <w:r>
              <w:rPr>
                <w:rFonts w:ascii="Arial" w:cs="Arial" w:eastAsia="Arial" w:hAnsi="Arial"/>
                <w:sz w:val="12"/>
                <w:szCs w:val="12"/>
                <w:color w:val="auto"/>
              </w:rPr>
              <w:t>Opinion of Sullivan &amp; Cromwell LLP as to German tax matters (included in Exhibit 5.1)</w:t>
            </w:r>
          </w:p>
        </w:tc>
      </w:tr>
      <w:tr>
        <w:trPr>
          <w:trHeight w:val="189"/>
        </w:trPr>
        <w:tc>
          <w:tcPr>
            <w:tcW w:w="360" w:type="dxa"/>
            <w:vAlign w:val="bottom"/>
          </w:tcPr>
          <w:p>
            <w:pPr>
              <w:spacing w:after="0"/>
              <w:rPr>
                <w:sz w:val="20"/>
                <w:szCs w:val="20"/>
                <w:color w:val="auto"/>
              </w:rPr>
            </w:pPr>
            <w:r>
              <w:rPr>
                <w:rFonts w:ascii="Arial" w:cs="Arial" w:eastAsia="Arial" w:hAnsi="Arial"/>
                <w:sz w:val="12"/>
                <w:szCs w:val="12"/>
                <w:color w:val="auto"/>
              </w:rPr>
              <w:t>10.1†</w:t>
            </w:r>
          </w:p>
        </w:tc>
        <w:tc>
          <w:tcPr>
            <w:tcW w:w="360" w:type="dxa"/>
            <w:vAlign w:val="bottom"/>
          </w:tcPr>
          <w:p>
            <w:pPr>
              <w:spacing w:after="0"/>
              <w:rPr>
                <w:sz w:val="16"/>
                <w:szCs w:val="16"/>
                <w:color w:val="auto"/>
              </w:rPr>
            </w:pPr>
          </w:p>
        </w:tc>
        <w:tc>
          <w:tcPr>
            <w:tcW w:w="6620" w:type="dxa"/>
            <w:vAlign w:val="bottom"/>
            <w:gridSpan w:val="13"/>
          </w:tcPr>
          <w:p>
            <w:pPr>
              <w:ind w:left="20"/>
              <w:spacing w:after="0"/>
              <w:rPr>
                <w:rFonts w:ascii="Arial" w:cs="Arial" w:eastAsia="Arial" w:hAnsi="Arial"/>
                <w:sz w:val="12"/>
                <w:szCs w:val="12"/>
                <w:color w:val="0000EE"/>
              </w:rPr>
            </w:pPr>
            <w:hyperlink r:id="rId357">
              <w:r>
                <w:rPr>
                  <w:rFonts w:ascii="Arial" w:cs="Arial" w:eastAsia="Arial" w:hAnsi="Arial"/>
                  <w:sz w:val="12"/>
                  <w:szCs w:val="12"/>
                  <w:color w:val="0000EE"/>
                </w:rPr>
                <w:t>Mynaric AG, Stock Option Program 2019</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10.2†</w:t>
            </w:r>
          </w:p>
        </w:tc>
        <w:tc>
          <w:tcPr>
            <w:tcW w:w="360" w:type="dxa"/>
            <w:vAlign w:val="bottom"/>
          </w:tcPr>
          <w:p>
            <w:pPr>
              <w:spacing w:after="0"/>
              <w:rPr>
                <w:sz w:val="17"/>
                <w:szCs w:val="17"/>
                <w:color w:val="auto"/>
              </w:rPr>
            </w:pPr>
          </w:p>
        </w:tc>
        <w:tc>
          <w:tcPr>
            <w:tcW w:w="6620" w:type="dxa"/>
            <w:vAlign w:val="bottom"/>
            <w:gridSpan w:val="13"/>
          </w:tcPr>
          <w:p>
            <w:pPr>
              <w:ind w:left="20"/>
              <w:spacing w:after="0"/>
              <w:rPr>
                <w:rFonts w:ascii="Arial" w:cs="Arial" w:eastAsia="Arial" w:hAnsi="Arial"/>
                <w:sz w:val="12"/>
                <w:szCs w:val="12"/>
                <w:color w:val="0000EE"/>
              </w:rPr>
            </w:pPr>
            <w:hyperlink r:id="rId358">
              <w:r>
                <w:rPr>
                  <w:rFonts w:ascii="Arial" w:cs="Arial" w:eastAsia="Arial" w:hAnsi="Arial"/>
                  <w:sz w:val="12"/>
                  <w:szCs w:val="12"/>
                  <w:color w:val="0000EE"/>
                </w:rPr>
                <w:t>Mynaric AG, Stock Option Program 2020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10.3†</w:t>
            </w:r>
          </w:p>
        </w:tc>
        <w:tc>
          <w:tcPr>
            <w:tcW w:w="360" w:type="dxa"/>
            <w:vAlign w:val="bottom"/>
          </w:tcPr>
          <w:p>
            <w:pPr>
              <w:spacing w:after="0"/>
              <w:rPr>
                <w:sz w:val="17"/>
                <w:szCs w:val="17"/>
                <w:color w:val="auto"/>
              </w:rPr>
            </w:pPr>
          </w:p>
        </w:tc>
        <w:tc>
          <w:tcPr>
            <w:tcW w:w="6620" w:type="dxa"/>
            <w:vAlign w:val="bottom"/>
            <w:gridSpan w:val="13"/>
          </w:tcPr>
          <w:p>
            <w:pPr>
              <w:ind w:left="20"/>
              <w:spacing w:after="0"/>
              <w:rPr>
                <w:rFonts w:ascii="Arial" w:cs="Arial" w:eastAsia="Arial" w:hAnsi="Arial"/>
                <w:sz w:val="12"/>
                <w:szCs w:val="12"/>
                <w:color w:val="0000EE"/>
              </w:rPr>
            </w:pPr>
            <w:hyperlink r:id="rId359">
              <w:r>
                <w:rPr>
                  <w:rFonts w:ascii="Arial" w:cs="Arial" w:eastAsia="Arial" w:hAnsi="Arial"/>
                  <w:sz w:val="12"/>
                  <w:szCs w:val="12"/>
                  <w:color w:val="0000EE"/>
                </w:rPr>
                <w:t>Mynaric AG, Stock Option Program 2021</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10.4†</w:t>
            </w:r>
          </w:p>
        </w:tc>
        <w:tc>
          <w:tcPr>
            <w:tcW w:w="360" w:type="dxa"/>
            <w:vAlign w:val="bottom"/>
          </w:tcPr>
          <w:p>
            <w:pPr>
              <w:spacing w:after="0"/>
              <w:rPr>
                <w:sz w:val="17"/>
                <w:szCs w:val="17"/>
                <w:color w:val="auto"/>
              </w:rPr>
            </w:pPr>
          </w:p>
        </w:tc>
        <w:tc>
          <w:tcPr>
            <w:tcW w:w="2480" w:type="dxa"/>
            <w:vAlign w:val="bottom"/>
            <w:tcBorders>
              <w:bottom w:val="single" w:sz="8" w:color="0000EE"/>
            </w:tcBorders>
            <w:gridSpan w:val="4"/>
          </w:tcPr>
          <w:p>
            <w:pPr>
              <w:ind w:left="20"/>
              <w:spacing w:after="0"/>
              <w:rPr>
                <w:rFonts w:ascii="Arial" w:cs="Arial" w:eastAsia="Arial" w:hAnsi="Arial"/>
                <w:sz w:val="12"/>
                <w:szCs w:val="12"/>
                <w:color w:val="0000EE"/>
                <w:w w:val="91"/>
              </w:rPr>
            </w:pPr>
            <w:hyperlink r:id="rId360">
              <w:r>
                <w:rPr>
                  <w:rFonts w:ascii="Arial" w:cs="Arial" w:eastAsia="Arial" w:hAnsi="Arial"/>
                  <w:sz w:val="12"/>
                  <w:szCs w:val="12"/>
                  <w:color w:val="0000EE"/>
                  <w:w w:val="91"/>
                </w:rPr>
                <w:t>Mynaric AG, Restricted Stock Units Program 2021</w:t>
              </w:r>
            </w:hyperlink>
          </w:p>
        </w:tc>
        <w:tc>
          <w:tcPr>
            <w:tcW w:w="4140" w:type="dxa"/>
            <w:vAlign w:val="bottom"/>
            <w:gridSpan w:val="9"/>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10.5</w:t>
            </w:r>
          </w:p>
        </w:tc>
        <w:tc>
          <w:tcPr>
            <w:tcW w:w="360" w:type="dxa"/>
            <w:vAlign w:val="bottom"/>
          </w:tcPr>
          <w:p>
            <w:pPr>
              <w:spacing w:after="0"/>
              <w:rPr>
                <w:sz w:val="17"/>
                <w:szCs w:val="17"/>
                <w:color w:val="auto"/>
              </w:rPr>
            </w:pPr>
          </w:p>
        </w:tc>
        <w:tc>
          <w:tcPr>
            <w:tcW w:w="6620" w:type="dxa"/>
            <w:vAlign w:val="bottom"/>
            <w:gridSpan w:val="13"/>
          </w:tcPr>
          <w:p>
            <w:pPr>
              <w:ind w:left="20"/>
              <w:spacing w:after="0"/>
              <w:rPr>
                <w:rFonts w:ascii="Arial" w:cs="Arial" w:eastAsia="Arial" w:hAnsi="Arial"/>
                <w:sz w:val="12"/>
                <w:szCs w:val="12"/>
                <w:color w:val="0000EE"/>
              </w:rPr>
            </w:pPr>
            <w:hyperlink w:anchor="page330">
              <w:r>
                <w:rPr>
                  <w:rFonts w:ascii="Arial" w:cs="Arial" w:eastAsia="Arial" w:hAnsi="Arial"/>
                  <w:sz w:val="12"/>
                  <w:szCs w:val="12"/>
                  <w:color w:val="0000EE"/>
                </w:rPr>
                <w:t>Business Opportunity Agreement, dated October 21, 2021</w:t>
              </w:r>
            </w:hyperlink>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21.1†</w:t>
            </w:r>
          </w:p>
        </w:tc>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ind w:left="20"/>
              <w:spacing w:after="0"/>
              <w:rPr>
                <w:rFonts w:ascii="Arial" w:cs="Arial" w:eastAsia="Arial" w:hAnsi="Arial"/>
                <w:sz w:val="12"/>
                <w:szCs w:val="12"/>
                <w:color w:val="0000EE"/>
                <w:w w:val="90"/>
              </w:rPr>
            </w:pPr>
            <w:hyperlink r:id="rId361">
              <w:r>
                <w:rPr>
                  <w:rFonts w:ascii="Arial" w:cs="Arial" w:eastAsia="Arial" w:hAnsi="Arial"/>
                  <w:sz w:val="12"/>
                  <w:szCs w:val="12"/>
                  <w:color w:val="0000EE"/>
                  <w:w w:val="90"/>
                </w:rPr>
                <w:t>List of Subsidiaries of the Registrant</w:t>
              </w:r>
            </w:hyperlink>
          </w:p>
        </w:tc>
        <w:tc>
          <w:tcPr>
            <w:tcW w:w="1020" w:type="dxa"/>
            <w:vAlign w:val="bottom"/>
            <w:tcBorders>
              <w:top w:val="single" w:sz="8" w:color="0000EE"/>
            </w:tcBorders>
            <w:gridSpan w:val="4"/>
          </w:tcPr>
          <w:p>
            <w:pPr>
              <w:spacing w:after="0"/>
              <w:rPr>
                <w:sz w:val="17"/>
                <w:szCs w:val="17"/>
                <w:color w:val="auto"/>
              </w:rPr>
            </w:pPr>
          </w:p>
        </w:tc>
        <w:tc>
          <w:tcPr>
            <w:tcW w:w="3820" w:type="dxa"/>
            <w:vAlign w:val="bottom"/>
            <w:gridSpan w:val="7"/>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23.1</w:t>
            </w:r>
          </w:p>
        </w:tc>
        <w:tc>
          <w:tcPr>
            <w:tcW w:w="360" w:type="dxa"/>
            <w:vAlign w:val="bottom"/>
          </w:tcPr>
          <w:p>
            <w:pPr>
              <w:spacing w:after="0"/>
              <w:rPr>
                <w:sz w:val="17"/>
                <w:szCs w:val="17"/>
                <w:color w:val="auto"/>
              </w:rPr>
            </w:pPr>
          </w:p>
        </w:tc>
        <w:tc>
          <w:tcPr>
            <w:tcW w:w="6620" w:type="dxa"/>
            <w:vAlign w:val="bottom"/>
            <w:gridSpan w:val="13"/>
          </w:tcPr>
          <w:p>
            <w:pPr>
              <w:ind w:left="20"/>
              <w:spacing w:after="0"/>
              <w:rPr>
                <w:rFonts w:ascii="Arial" w:cs="Arial" w:eastAsia="Arial" w:hAnsi="Arial"/>
                <w:sz w:val="12"/>
                <w:szCs w:val="12"/>
                <w:color w:val="0000EE"/>
              </w:rPr>
            </w:pPr>
            <w:hyperlink w:anchor="page337">
              <w:r>
                <w:rPr>
                  <w:rFonts w:ascii="Arial" w:cs="Arial" w:eastAsia="Arial" w:hAnsi="Arial"/>
                  <w:sz w:val="12"/>
                  <w:szCs w:val="12"/>
                  <w:color w:val="0000EE"/>
                </w:rPr>
                <w:t>Consent of KPMG AG Wirtschaftsprüfungsgesellschaft</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Arial" w:cs="Arial" w:eastAsia="Arial" w:hAnsi="Arial"/>
                <w:sz w:val="12"/>
                <w:szCs w:val="12"/>
                <w:color w:val="auto"/>
              </w:rPr>
              <w:t>23.2*</w:t>
            </w:r>
          </w:p>
        </w:tc>
        <w:tc>
          <w:tcPr>
            <w:tcW w:w="360" w:type="dxa"/>
            <w:vAlign w:val="bottom"/>
          </w:tcPr>
          <w:p>
            <w:pPr>
              <w:spacing w:after="0"/>
              <w:rPr>
                <w:sz w:val="19"/>
                <w:szCs w:val="19"/>
                <w:color w:val="auto"/>
              </w:rPr>
            </w:pPr>
          </w:p>
        </w:tc>
        <w:tc>
          <w:tcPr>
            <w:tcW w:w="6620" w:type="dxa"/>
            <w:vAlign w:val="bottom"/>
            <w:gridSpan w:val="13"/>
          </w:tcPr>
          <w:p>
            <w:pPr>
              <w:ind w:left="20"/>
              <w:spacing w:after="0"/>
              <w:rPr>
                <w:sz w:val="20"/>
                <w:szCs w:val="20"/>
                <w:color w:val="auto"/>
              </w:rPr>
            </w:pPr>
            <w:r>
              <w:rPr>
                <w:rFonts w:ascii="Arial" w:cs="Arial" w:eastAsia="Arial" w:hAnsi="Arial"/>
                <w:sz w:val="12"/>
                <w:szCs w:val="12"/>
                <w:color w:val="auto"/>
              </w:rPr>
              <w:t>Consent of Sullivan &amp; Cromwell LLP (included in Exhibits 5.1, 8.1 and 8.2)</w:t>
            </w:r>
          </w:p>
        </w:tc>
      </w:tr>
      <w:tr>
        <w:trPr>
          <w:trHeight w:val="189"/>
        </w:trPr>
        <w:tc>
          <w:tcPr>
            <w:tcW w:w="360" w:type="dxa"/>
            <w:vAlign w:val="bottom"/>
          </w:tcPr>
          <w:p>
            <w:pPr>
              <w:spacing w:after="0"/>
              <w:rPr>
                <w:sz w:val="20"/>
                <w:szCs w:val="20"/>
                <w:color w:val="auto"/>
              </w:rPr>
            </w:pPr>
            <w:r>
              <w:rPr>
                <w:rFonts w:ascii="Arial" w:cs="Arial" w:eastAsia="Arial" w:hAnsi="Arial"/>
                <w:sz w:val="12"/>
                <w:szCs w:val="12"/>
                <w:color w:val="auto"/>
              </w:rPr>
              <w:t>24.1†</w:t>
            </w:r>
          </w:p>
        </w:tc>
        <w:tc>
          <w:tcPr>
            <w:tcW w:w="360" w:type="dxa"/>
            <w:vAlign w:val="bottom"/>
          </w:tcPr>
          <w:p>
            <w:pPr>
              <w:spacing w:after="0"/>
              <w:rPr>
                <w:sz w:val="16"/>
                <w:szCs w:val="16"/>
                <w:color w:val="auto"/>
              </w:rPr>
            </w:pPr>
          </w:p>
        </w:tc>
        <w:tc>
          <w:tcPr>
            <w:tcW w:w="3720" w:type="dxa"/>
            <w:vAlign w:val="bottom"/>
            <w:tcBorders>
              <w:bottom w:val="single" w:sz="8" w:color="0000EE"/>
            </w:tcBorders>
            <w:gridSpan w:val="10"/>
          </w:tcPr>
          <w:p>
            <w:pPr>
              <w:ind w:left="20"/>
              <w:spacing w:after="0"/>
              <w:rPr>
                <w:rFonts w:ascii="Arial" w:cs="Arial" w:eastAsia="Arial" w:hAnsi="Arial"/>
                <w:sz w:val="12"/>
                <w:szCs w:val="12"/>
                <w:color w:val="0000EE"/>
                <w:w w:val="89"/>
              </w:rPr>
            </w:pPr>
            <w:hyperlink w:anchor="page266">
              <w:r>
                <w:rPr>
                  <w:rFonts w:ascii="Arial" w:cs="Arial" w:eastAsia="Arial" w:hAnsi="Arial"/>
                  <w:sz w:val="12"/>
                  <w:szCs w:val="12"/>
                  <w:color w:val="0000EE"/>
                  <w:w w:val="89"/>
                </w:rPr>
                <w:t>Powers of Attorney (included on signature page to the registration statement)</w:t>
              </w:r>
            </w:hyperlink>
          </w:p>
        </w:tc>
        <w:tc>
          <w:tcPr>
            <w:tcW w:w="2900" w:type="dxa"/>
            <w:vAlign w:val="bottom"/>
            <w:gridSpan w:val="3"/>
          </w:tcPr>
          <w:p>
            <w:pPr>
              <w:spacing w:after="0"/>
              <w:rPr>
                <w:sz w:val="16"/>
                <w:szCs w:val="16"/>
                <w:color w:val="auto"/>
              </w:rPr>
            </w:pPr>
          </w:p>
        </w:tc>
      </w:tr>
      <w:tr>
        <w:trPr>
          <w:trHeight w:val="214"/>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20" w:type="dxa"/>
            <w:vAlign w:val="bottom"/>
            <w:gridSpan w:val="13"/>
          </w:tcPr>
          <w:p>
            <w:pPr>
              <w:ind w:left="20"/>
              <w:spacing w:after="0"/>
              <w:rPr>
                <w:sz w:val="20"/>
                <w:szCs w:val="20"/>
                <w:color w:val="auto"/>
              </w:rPr>
            </w:pPr>
            <w:r>
              <w:rPr>
                <w:rFonts w:ascii="Arial" w:cs="Arial" w:eastAsia="Arial" w:hAnsi="Arial"/>
                <w:sz w:val="12"/>
                <w:szCs w:val="12"/>
                <w:color w:val="auto"/>
              </w:rPr>
              <w:t>† Previously filed.</w:t>
            </w:r>
          </w:p>
        </w:tc>
      </w:tr>
      <w:tr>
        <w:trPr>
          <w:trHeight w:val="153"/>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20" w:type="dxa"/>
            <w:vAlign w:val="bottom"/>
            <w:gridSpan w:val="13"/>
          </w:tcPr>
          <w:p>
            <w:pPr>
              <w:ind w:left="20"/>
              <w:spacing w:after="0"/>
              <w:rPr>
                <w:sz w:val="20"/>
                <w:szCs w:val="20"/>
                <w:color w:val="auto"/>
              </w:rPr>
            </w:pPr>
            <w:r>
              <w:rPr>
                <w:rFonts w:ascii="Arial" w:cs="Arial" w:eastAsia="Arial" w:hAnsi="Arial"/>
                <w:sz w:val="12"/>
                <w:szCs w:val="12"/>
                <w:color w:val="auto"/>
              </w:rPr>
              <w:t>* To be filed by amendment.</w:t>
            </w: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II-iii</w:t>
      </w:r>
    </w:p>
    <w:p>
      <w:pPr>
        <w:sectPr>
          <w:pgSz w:w="11900" w:h="16838" w:orient="portrait"/>
          <w:cols w:equalWidth="0" w:num="1">
            <w:col w:w="10159"/>
          </w:cols>
          <w:pgMar w:left="300" w:top="354" w:right="1440" w:bottom="1440" w:gutter="0" w:footer="0" w:header="0"/>
        </w:sectPr>
      </w:pPr>
    </w:p>
    <w:bookmarkStart w:id="265" w:name="page266"/>
    <w:bookmarkEnd w:id="2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Munich, the Federal Republic of Germany on November 2, 2021.</w:t>
      </w:r>
    </w:p>
    <w:p>
      <w:pPr>
        <w:spacing w:after="0" w:line="136"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Mynaric AG</w:t>
      </w:r>
    </w:p>
    <w:p>
      <w:pPr>
        <w:spacing w:after="0" w:line="154"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Bulent Altan</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Executive Officer</w:t>
      </w:r>
    </w:p>
    <w:p>
      <w:pPr>
        <w:spacing w:after="0" w:line="141"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Stefan Berndt-von Bülow</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Financial Officer</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KNOW ALL PERSONS BY THESE PRESENTS, that each person whose signature appears below does hereby constitute and appoint Bulent Altan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03"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08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20" w:type="dxa"/>
            <w:vAlign w:val="bottom"/>
            <w:gridSpan w:val="2"/>
          </w:tcPr>
          <w:p>
            <w:pPr>
              <w:jc w:val="center"/>
              <w:ind w:right="1600"/>
              <w:spacing w:after="0"/>
              <w:rPr>
                <w:sz w:val="20"/>
                <w:szCs w:val="20"/>
                <w:color w:val="auto"/>
              </w:rPr>
            </w:pPr>
            <w:r>
              <w:rPr>
                <w:rFonts w:ascii="Arial" w:cs="Arial" w:eastAsia="Arial" w:hAnsi="Arial"/>
                <w:sz w:val="10"/>
                <w:szCs w:val="10"/>
                <w:b w:val="1"/>
                <w:bCs w:val="1"/>
                <w:color w:val="auto"/>
                <w:w w:val="87"/>
              </w:rPr>
              <w:t>Title</w:t>
            </w:r>
          </w:p>
        </w:tc>
        <w:tc>
          <w:tcPr>
            <w:tcW w:w="1040" w:type="dxa"/>
            <w:vAlign w:val="bottom"/>
            <w:gridSpan w:val="3"/>
          </w:tcPr>
          <w:p>
            <w:pPr>
              <w:jc w:val="center"/>
              <w:ind w:left="83"/>
              <w:spacing w:after="0"/>
              <w:rPr>
                <w:sz w:val="20"/>
                <w:szCs w:val="20"/>
                <w:color w:val="auto"/>
              </w:rPr>
            </w:pPr>
            <w:r>
              <w:rPr>
                <w:rFonts w:ascii="Arial" w:cs="Arial" w:eastAsia="Arial" w:hAnsi="Arial"/>
                <w:sz w:val="10"/>
                <w:szCs w:val="10"/>
                <w:b w:val="1"/>
                <w:bCs w:val="1"/>
                <w:color w:val="auto"/>
                <w:w w:val="82"/>
              </w:rPr>
              <w:t>Date</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920"/>
              <w:spacing w:after="0"/>
              <w:rPr>
                <w:sz w:val="20"/>
                <w:szCs w:val="20"/>
                <w:color w:val="auto"/>
              </w:rPr>
            </w:pPr>
            <w:r>
              <w:rPr>
                <w:rFonts w:ascii="Arial" w:cs="Arial" w:eastAsia="Arial" w:hAnsi="Arial"/>
                <w:sz w:val="12"/>
                <w:szCs w:val="12"/>
                <w:color w:val="auto"/>
              </w:rPr>
              <w:t>/s/</w:t>
            </w:r>
          </w:p>
        </w:tc>
        <w:tc>
          <w:tcPr>
            <w:tcW w:w="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80" w:type="dxa"/>
            <w:vAlign w:val="bottom"/>
            <w:tcBorders>
              <w:bottom w:val="single" w:sz="8" w:color="auto"/>
            </w:tcBorders>
            <w:vMerge w:val="continue"/>
          </w:tcPr>
          <w:p>
            <w:pPr>
              <w:spacing w:after="0"/>
              <w:rPr>
                <w:sz w:val="11"/>
                <w:szCs w:val="11"/>
                <w:color w:val="auto"/>
              </w:rPr>
            </w:pPr>
          </w:p>
        </w:tc>
        <w:tc>
          <w:tcPr>
            <w:tcW w:w="162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Bulent Altan</w:t>
            </w: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5"/>
              </w:rPr>
              <w:t>Bulent Altan</w:t>
            </w:r>
          </w:p>
        </w:tc>
        <w:tc>
          <w:tcPr>
            <w:tcW w:w="3360" w:type="dxa"/>
            <w:vAlign w:val="bottom"/>
            <w:gridSpan w:val="3"/>
          </w:tcPr>
          <w:p>
            <w:pPr>
              <w:jc w:val="center"/>
              <w:ind w:right="60"/>
              <w:spacing w:after="0"/>
              <w:rPr>
                <w:sz w:val="20"/>
                <w:szCs w:val="20"/>
                <w:color w:val="auto"/>
              </w:rPr>
            </w:pPr>
            <w:r>
              <w:rPr>
                <w:rFonts w:ascii="Arial" w:cs="Arial" w:eastAsia="Arial" w:hAnsi="Arial"/>
                <w:sz w:val="12"/>
                <w:szCs w:val="12"/>
                <w:color w:val="auto"/>
                <w:w w:val="91"/>
              </w:rPr>
              <w:t>Chief Executive Officer Member of the Management Board</w:t>
            </w:r>
          </w:p>
        </w:tc>
        <w:tc>
          <w:tcPr>
            <w:tcW w:w="1040" w:type="dxa"/>
            <w:vAlign w:val="bottom"/>
            <w:gridSpan w:val="3"/>
          </w:tcPr>
          <w:p>
            <w:pPr>
              <w:jc w:val="center"/>
              <w:ind w:left="83"/>
              <w:spacing w:after="0" w:line="133" w:lineRule="exact"/>
              <w:rPr>
                <w:sz w:val="20"/>
                <w:szCs w:val="20"/>
                <w:color w:val="auto"/>
              </w:rPr>
            </w:pPr>
            <w:r>
              <w:rPr>
                <w:rFonts w:ascii="Arial" w:cs="Arial" w:eastAsia="Arial" w:hAnsi="Arial"/>
                <w:sz w:val="12"/>
                <w:szCs w:val="12"/>
                <w:color w:val="auto"/>
                <w:w w:val="91"/>
              </w:rPr>
              <w:t>November 2,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color w:val="auto"/>
                <w:w w:val="92"/>
              </w:rPr>
              <w:t>/s/ Stefan Berndt-von Bülow</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Stefan Berndt-von Bülow</w:t>
            </w:r>
          </w:p>
        </w:tc>
        <w:tc>
          <w:tcPr>
            <w:tcW w:w="336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Chief Financial Officer and Member of the Management Board</w:t>
            </w:r>
          </w:p>
        </w:tc>
        <w:tc>
          <w:tcPr>
            <w:tcW w:w="1040" w:type="dxa"/>
            <w:vAlign w:val="bottom"/>
            <w:gridSpan w:val="3"/>
          </w:tcPr>
          <w:p>
            <w:pPr>
              <w:jc w:val="center"/>
              <w:ind w:left="83"/>
              <w:spacing w:after="0"/>
              <w:rPr>
                <w:sz w:val="20"/>
                <w:szCs w:val="20"/>
                <w:color w:val="auto"/>
              </w:rPr>
            </w:pPr>
            <w:r>
              <w:rPr>
                <w:rFonts w:ascii="Arial" w:cs="Arial" w:eastAsia="Arial" w:hAnsi="Arial"/>
                <w:sz w:val="12"/>
                <w:szCs w:val="12"/>
                <w:color w:val="auto"/>
                <w:w w:val="91"/>
              </w:rPr>
              <w:t>November 2,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color w:val="auto"/>
                <w:w w:val="90"/>
              </w:rPr>
              <w:t>/s/ Joachim Horwath</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2"/>
              </w:rPr>
              <w:t>Joachim Horwath</w:t>
            </w:r>
          </w:p>
        </w:tc>
        <w:tc>
          <w:tcPr>
            <w:tcW w:w="336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Chief Technology Officer and Member of the Management Board</w:t>
            </w:r>
          </w:p>
        </w:tc>
        <w:tc>
          <w:tcPr>
            <w:tcW w:w="1040" w:type="dxa"/>
            <w:vAlign w:val="bottom"/>
            <w:gridSpan w:val="3"/>
          </w:tcPr>
          <w:p>
            <w:pPr>
              <w:jc w:val="center"/>
              <w:ind w:left="83"/>
              <w:spacing w:after="0"/>
              <w:rPr>
                <w:sz w:val="20"/>
                <w:szCs w:val="20"/>
                <w:color w:val="auto"/>
              </w:rPr>
            </w:pPr>
            <w:r>
              <w:rPr>
                <w:rFonts w:ascii="Arial" w:cs="Arial" w:eastAsia="Arial" w:hAnsi="Arial"/>
                <w:sz w:val="12"/>
                <w:szCs w:val="12"/>
                <w:color w:val="auto"/>
                <w:w w:val="91"/>
              </w:rPr>
              <w:t>November 2, 2021</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360" w:type="dxa"/>
            <w:vAlign w:val="bottom"/>
            <w:gridSpan w:val="3"/>
          </w:tcPr>
          <w:p>
            <w:pPr>
              <w:ind w:left="760"/>
              <w:spacing w:after="0"/>
              <w:rPr>
                <w:sz w:val="20"/>
                <w:szCs w:val="20"/>
                <w:color w:val="auto"/>
              </w:rPr>
            </w:pPr>
            <w:r>
              <w:rPr>
                <w:rFonts w:ascii="Arial" w:cs="Arial" w:eastAsia="Arial" w:hAnsi="Arial"/>
                <w:sz w:val="12"/>
                <w:szCs w:val="12"/>
                <w:color w:val="auto"/>
              </w:rPr>
              <w:t>II-iv</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66" w:name="page267"/>
    <w:bookmarkEnd w:id="2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 OF AUTHORIZED REPRESENTATIVE IN THE UNITED STATES</w:t>
      </w:r>
    </w:p>
    <w:p>
      <w:pPr>
        <w:spacing w:after="0" w:line="154"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Pursuant to the Securities Act of 1933, as amended, the undersigned, the duly appointed representative in the United States of Mynaric AG has signed this registration statement or amendment thereto in the city of Newark, State of Delaware on November 2, 2021.</w:t>
      </w:r>
    </w:p>
    <w:p>
      <w:pPr>
        <w:spacing w:after="0" w:line="106"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Puglisi &amp; Associates</w:t>
      </w:r>
    </w:p>
    <w:p>
      <w:pPr>
        <w:spacing w:after="0" w:line="154"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9525</wp:posOffset>
            </wp:positionV>
            <wp:extent cx="170878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Donald J. Puglisi</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Managing Director</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II-v</w:t>
      </w:r>
    </w:p>
    <w:p>
      <w:pPr>
        <w:sectPr>
          <w:pgSz w:w="11900" w:h="16838" w:orient="portrait"/>
          <w:cols w:equalWidth="0" w:num="1">
            <w:col w:w="10159"/>
          </w:cols>
          <w:pgMar w:left="300" w:top="354" w:right="1440" w:bottom="1440" w:gutter="0" w:footer="0" w:header="0"/>
        </w:sectPr>
      </w:pPr>
    </w:p>
    <w:bookmarkStart w:id="267" w:name="page268"/>
    <w:bookmarkEnd w:id="267"/>
    <w:p>
      <w:pPr>
        <w:jc w:val="right"/>
        <w:ind w:right="839"/>
        <w:spacing w:after="0"/>
        <w:rPr>
          <w:sz w:val="20"/>
          <w:szCs w:val="20"/>
          <w:color w:val="auto"/>
        </w:rPr>
      </w:pPr>
      <w:r>
        <w:rPr>
          <w:rFonts w:ascii="Arial" w:cs="Arial" w:eastAsia="Arial" w:hAnsi="Arial"/>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120650</wp:posOffset>
            </wp:positionV>
            <wp:extent cx="466344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149225</wp:posOffset>
            </wp:positionV>
            <wp:extent cx="466344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MYNARIC AG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BANK OF NEW YORK MELLON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Depositary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OWNERS AND HOLDERS OF AMERICAN DEPOSITARY SHARES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Deposit Agreement</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146685</wp:posOffset>
            </wp:positionV>
            <wp:extent cx="466344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68" w:name="page269"/>
    <w:bookmarkEnd w:id="268"/>
    <w:tbl>
      <w:tblPr>
        <w:tblLayout w:type="fixed"/>
        <w:tblInd w:w="840" w:type="dxa"/>
        <w:tblCellMar>
          <w:top w:w="0" w:type="dxa"/>
          <w:left w:w="0" w:type="dxa"/>
          <w:bottom w:w="0" w:type="dxa"/>
          <w:right w:w="0" w:type="dxa"/>
        </w:tblCellMar>
      </w:tblPr>
      <w:tr>
        <w:trPr>
          <w:trHeight w:val="153"/>
        </w:trPr>
        <w:tc>
          <w:tcPr>
            <w:tcW w:w="1040" w:type="dxa"/>
            <w:vAlign w:val="bottom"/>
          </w:tcPr>
          <w:p>
            <w:pPr>
              <w:spacing w:after="0"/>
              <w:rPr>
                <w:sz w:val="13"/>
                <w:szCs w:val="13"/>
                <w:color w:val="auto"/>
              </w:rPr>
            </w:pPr>
          </w:p>
        </w:tc>
        <w:tc>
          <w:tcPr>
            <w:tcW w:w="5880" w:type="dxa"/>
            <w:vAlign w:val="bottom"/>
          </w:tcPr>
          <w:p>
            <w:pPr>
              <w:ind w:left="2020"/>
              <w:spacing w:after="0"/>
              <w:rPr>
                <w:sz w:val="20"/>
                <w:szCs w:val="20"/>
                <w:color w:val="auto"/>
              </w:rPr>
            </w:pPr>
            <w:r>
              <w:rPr>
                <w:rFonts w:ascii="Arial" w:cs="Arial" w:eastAsia="Arial" w:hAnsi="Arial"/>
                <w:sz w:val="12"/>
                <w:szCs w:val="12"/>
                <w:color w:val="auto"/>
              </w:rPr>
              <w:t>TABLE OF CONTENTS</w:t>
            </w:r>
          </w:p>
        </w:tc>
        <w:tc>
          <w:tcPr>
            <w:tcW w:w="380" w:type="dxa"/>
            <w:vAlign w:val="bottom"/>
          </w:tcPr>
          <w:p>
            <w:pPr>
              <w:spacing w:after="0"/>
              <w:rPr>
                <w:sz w:val="13"/>
                <w:szCs w:val="13"/>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2"/>
                <w:szCs w:val="12"/>
                <w:color w:val="auto"/>
              </w:rPr>
              <w:t>ARTICLE 1.</w:t>
            </w:r>
          </w:p>
        </w:tc>
        <w:tc>
          <w:tcPr>
            <w:tcW w:w="5880" w:type="dxa"/>
            <w:vAlign w:val="bottom"/>
          </w:tcPr>
          <w:p>
            <w:pPr>
              <w:ind w:left="40"/>
              <w:spacing w:after="0"/>
              <w:rPr>
                <w:sz w:val="20"/>
                <w:szCs w:val="20"/>
                <w:color w:val="auto"/>
              </w:rPr>
            </w:pPr>
            <w:r>
              <w:rPr>
                <w:rFonts w:ascii="Arial" w:cs="Arial" w:eastAsia="Arial" w:hAnsi="Arial"/>
                <w:sz w:val="12"/>
                <w:szCs w:val="12"/>
                <w:color w:val="auto"/>
              </w:rPr>
              <w:t>DEFINITIONS</w:t>
            </w: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1.1.</w:t>
            </w:r>
          </w:p>
        </w:tc>
        <w:tc>
          <w:tcPr>
            <w:tcW w:w="5880" w:type="dxa"/>
            <w:vAlign w:val="bottom"/>
          </w:tcPr>
          <w:p>
            <w:pPr>
              <w:ind w:left="280"/>
              <w:spacing w:after="0"/>
              <w:rPr>
                <w:sz w:val="20"/>
                <w:szCs w:val="20"/>
                <w:color w:val="auto"/>
              </w:rPr>
            </w:pPr>
            <w:r>
              <w:rPr>
                <w:rFonts w:ascii="Arial" w:cs="Arial" w:eastAsia="Arial" w:hAnsi="Arial"/>
                <w:sz w:val="12"/>
                <w:szCs w:val="12"/>
                <w:color w:val="auto"/>
              </w:rPr>
              <w:t>American Depositary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1.2.</w:t>
            </w:r>
          </w:p>
        </w:tc>
        <w:tc>
          <w:tcPr>
            <w:tcW w:w="5880" w:type="dxa"/>
            <w:vAlign w:val="bottom"/>
          </w:tcPr>
          <w:p>
            <w:pPr>
              <w:ind w:left="280"/>
              <w:spacing w:after="0"/>
              <w:rPr>
                <w:sz w:val="20"/>
                <w:szCs w:val="20"/>
                <w:color w:val="auto"/>
              </w:rPr>
            </w:pPr>
            <w:r>
              <w:rPr>
                <w:rFonts w:ascii="Arial" w:cs="Arial" w:eastAsia="Arial" w:hAnsi="Arial"/>
                <w:sz w:val="12"/>
                <w:szCs w:val="12"/>
                <w:color w:val="auto"/>
              </w:rPr>
              <w:t>Commission.</w:t>
            </w: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1.3.</w:t>
            </w:r>
          </w:p>
        </w:tc>
        <w:tc>
          <w:tcPr>
            <w:tcW w:w="5880" w:type="dxa"/>
            <w:vAlign w:val="bottom"/>
          </w:tcPr>
          <w:p>
            <w:pPr>
              <w:ind w:left="280"/>
              <w:spacing w:after="0"/>
              <w:rPr>
                <w:sz w:val="20"/>
                <w:szCs w:val="20"/>
                <w:color w:val="auto"/>
              </w:rPr>
            </w:pPr>
            <w:r>
              <w:rPr>
                <w:rFonts w:ascii="Arial" w:cs="Arial" w:eastAsia="Arial" w:hAnsi="Arial"/>
                <w:sz w:val="12"/>
                <w:szCs w:val="12"/>
                <w:color w:val="auto"/>
              </w:rPr>
              <w:t>Company.</w:t>
            </w: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1.4.</w:t>
            </w:r>
          </w:p>
        </w:tc>
        <w:tc>
          <w:tcPr>
            <w:tcW w:w="5880" w:type="dxa"/>
            <w:vAlign w:val="bottom"/>
          </w:tcPr>
          <w:p>
            <w:pPr>
              <w:ind w:left="280"/>
              <w:spacing w:after="0"/>
              <w:rPr>
                <w:sz w:val="20"/>
                <w:szCs w:val="20"/>
                <w:color w:val="auto"/>
              </w:rPr>
            </w:pPr>
            <w:r>
              <w:rPr>
                <w:rFonts w:ascii="Arial" w:cs="Arial" w:eastAsia="Arial" w:hAnsi="Arial"/>
                <w:sz w:val="12"/>
                <w:szCs w:val="12"/>
                <w:color w:val="auto"/>
              </w:rPr>
              <w:t>Custodian.</w:t>
            </w: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1.5.</w:t>
            </w:r>
          </w:p>
        </w:tc>
        <w:tc>
          <w:tcPr>
            <w:tcW w:w="5880" w:type="dxa"/>
            <w:vAlign w:val="bottom"/>
          </w:tcPr>
          <w:p>
            <w:pPr>
              <w:ind w:left="280"/>
              <w:spacing w:after="0"/>
              <w:rPr>
                <w:sz w:val="20"/>
                <w:szCs w:val="20"/>
                <w:color w:val="auto"/>
              </w:rPr>
            </w:pPr>
            <w:r>
              <w:rPr>
                <w:rFonts w:ascii="Arial" w:cs="Arial" w:eastAsia="Arial" w:hAnsi="Arial"/>
                <w:sz w:val="12"/>
                <w:szCs w:val="12"/>
                <w:color w:val="auto"/>
              </w:rPr>
              <w:t>Deliver; Surrender.</w:t>
            </w: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1.6.</w:t>
            </w:r>
          </w:p>
        </w:tc>
        <w:tc>
          <w:tcPr>
            <w:tcW w:w="5880" w:type="dxa"/>
            <w:vAlign w:val="bottom"/>
          </w:tcPr>
          <w:p>
            <w:pPr>
              <w:ind w:left="280"/>
              <w:spacing w:after="0"/>
              <w:rPr>
                <w:sz w:val="20"/>
                <w:szCs w:val="20"/>
                <w:color w:val="auto"/>
              </w:rPr>
            </w:pPr>
            <w:r>
              <w:rPr>
                <w:rFonts w:ascii="Arial" w:cs="Arial" w:eastAsia="Arial" w:hAnsi="Arial"/>
                <w:sz w:val="12"/>
                <w:szCs w:val="12"/>
                <w:color w:val="auto"/>
              </w:rPr>
              <w:t>Deposit Agreement.</w:t>
            </w:r>
          </w:p>
        </w:tc>
        <w:tc>
          <w:tcPr>
            <w:tcW w:w="3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1.7.</w:t>
            </w:r>
          </w:p>
        </w:tc>
        <w:tc>
          <w:tcPr>
            <w:tcW w:w="5880" w:type="dxa"/>
            <w:vAlign w:val="bottom"/>
          </w:tcPr>
          <w:p>
            <w:pPr>
              <w:ind w:left="280"/>
              <w:spacing w:after="0"/>
              <w:rPr>
                <w:sz w:val="20"/>
                <w:szCs w:val="20"/>
                <w:color w:val="auto"/>
              </w:rPr>
            </w:pPr>
            <w:r>
              <w:rPr>
                <w:rFonts w:ascii="Arial" w:cs="Arial" w:eastAsia="Arial" w:hAnsi="Arial"/>
                <w:sz w:val="12"/>
                <w:szCs w:val="12"/>
                <w:color w:val="auto"/>
              </w:rPr>
              <w:t>Depositary; Depositary’s Office.</w:t>
            </w:r>
          </w:p>
        </w:tc>
        <w:tc>
          <w:tcPr>
            <w:tcW w:w="3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1.8.</w:t>
            </w:r>
          </w:p>
        </w:tc>
        <w:tc>
          <w:tcPr>
            <w:tcW w:w="5880" w:type="dxa"/>
            <w:vAlign w:val="bottom"/>
          </w:tcPr>
          <w:p>
            <w:pPr>
              <w:ind w:left="280"/>
              <w:spacing w:after="0"/>
              <w:rPr>
                <w:sz w:val="20"/>
                <w:szCs w:val="20"/>
                <w:color w:val="auto"/>
              </w:rPr>
            </w:pPr>
            <w:r>
              <w:rPr>
                <w:rFonts w:ascii="Arial" w:cs="Arial" w:eastAsia="Arial" w:hAnsi="Arial"/>
                <w:sz w:val="12"/>
                <w:szCs w:val="12"/>
                <w:color w:val="auto"/>
              </w:rPr>
              <w:t>Deposited Securities.</w:t>
            </w:r>
          </w:p>
        </w:tc>
        <w:tc>
          <w:tcPr>
            <w:tcW w:w="3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1.9.</w:t>
            </w:r>
          </w:p>
        </w:tc>
        <w:tc>
          <w:tcPr>
            <w:tcW w:w="5880" w:type="dxa"/>
            <w:vAlign w:val="bottom"/>
          </w:tcPr>
          <w:p>
            <w:pPr>
              <w:ind w:left="280"/>
              <w:spacing w:after="0"/>
              <w:rPr>
                <w:sz w:val="20"/>
                <w:szCs w:val="20"/>
                <w:color w:val="auto"/>
              </w:rPr>
            </w:pPr>
            <w:r>
              <w:rPr>
                <w:rFonts w:ascii="Arial" w:cs="Arial" w:eastAsia="Arial" w:hAnsi="Arial"/>
                <w:sz w:val="12"/>
                <w:szCs w:val="12"/>
                <w:color w:val="auto"/>
              </w:rPr>
              <w:t>Disseminate.</w:t>
            </w:r>
          </w:p>
        </w:tc>
        <w:tc>
          <w:tcPr>
            <w:tcW w:w="3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1.10.</w:t>
            </w:r>
          </w:p>
        </w:tc>
        <w:tc>
          <w:tcPr>
            <w:tcW w:w="5880" w:type="dxa"/>
            <w:vAlign w:val="bottom"/>
          </w:tcPr>
          <w:p>
            <w:pPr>
              <w:ind w:left="280"/>
              <w:spacing w:after="0"/>
              <w:rPr>
                <w:sz w:val="20"/>
                <w:szCs w:val="20"/>
                <w:color w:val="auto"/>
              </w:rPr>
            </w:pPr>
            <w:r>
              <w:rPr>
                <w:rFonts w:ascii="Arial" w:cs="Arial" w:eastAsia="Arial" w:hAnsi="Arial"/>
                <w:sz w:val="12"/>
                <w:szCs w:val="12"/>
                <w:color w:val="auto"/>
              </w:rPr>
              <w:t>Dollars.</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1.11.</w:t>
            </w:r>
          </w:p>
        </w:tc>
        <w:tc>
          <w:tcPr>
            <w:tcW w:w="5880" w:type="dxa"/>
            <w:vAlign w:val="bottom"/>
          </w:tcPr>
          <w:p>
            <w:pPr>
              <w:ind w:left="280"/>
              <w:spacing w:after="0"/>
              <w:rPr>
                <w:sz w:val="20"/>
                <w:szCs w:val="20"/>
                <w:color w:val="auto"/>
              </w:rPr>
            </w:pPr>
            <w:r>
              <w:rPr>
                <w:rFonts w:ascii="Arial" w:cs="Arial" w:eastAsia="Arial" w:hAnsi="Arial"/>
                <w:sz w:val="12"/>
                <w:szCs w:val="12"/>
                <w:color w:val="auto"/>
              </w:rPr>
              <w:t>DTC.</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1.12.</w:t>
            </w:r>
          </w:p>
        </w:tc>
        <w:tc>
          <w:tcPr>
            <w:tcW w:w="5880" w:type="dxa"/>
            <w:vAlign w:val="bottom"/>
          </w:tcPr>
          <w:p>
            <w:pPr>
              <w:ind w:left="280"/>
              <w:spacing w:after="0"/>
              <w:rPr>
                <w:sz w:val="20"/>
                <w:szCs w:val="20"/>
                <w:color w:val="auto"/>
              </w:rPr>
            </w:pPr>
            <w:r>
              <w:rPr>
                <w:rFonts w:ascii="Arial" w:cs="Arial" w:eastAsia="Arial" w:hAnsi="Arial"/>
                <w:sz w:val="12"/>
                <w:szCs w:val="12"/>
                <w:color w:val="auto"/>
              </w:rPr>
              <w:t>Foreign Registrar.</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1.13.</w:t>
            </w:r>
          </w:p>
        </w:tc>
        <w:tc>
          <w:tcPr>
            <w:tcW w:w="5880" w:type="dxa"/>
            <w:vAlign w:val="bottom"/>
          </w:tcPr>
          <w:p>
            <w:pPr>
              <w:ind w:left="280"/>
              <w:spacing w:after="0"/>
              <w:rPr>
                <w:sz w:val="20"/>
                <w:szCs w:val="20"/>
                <w:color w:val="auto"/>
              </w:rPr>
            </w:pPr>
            <w:r>
              <w:rPr>
                <w:rFonts w:ascii="Arial" w:cs="Arial" w:eastAsia="Arial" w:hAnsi="Arial"/>
                <w:sz w:val="12"/>
                <w:szCs w:val="12"/>
                <w:color w:val="auto"/>
              </w:rPr>
              <w:t>Holder.</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1.14.</w:t>
            </w:r>
          </w:p>
        </w:tc>
        <w:tc>
          <w:tcPr>
            <w:tcW w:w="5880" w:type="dxa"/>
            <w:vAlign w:val="bottom"/>
          </w:tcPr>
          <w:p>
            <w:pPr>
              <w:ind w:left="280"/>
              <w:spacing w:after="0"/>
              <w:rPr>
                <w:sz w:val="20"/>
                <w:szCs w:val="20"/>
                <w:color w:val="auto"/>
              </w:rPr>
            </w:pPr>
            <w:r>
              <w:rPr>
                <w:rFonts w:ascii="Arial" w:cs="Arial" w:eastAsia="Arial" w:hAnsi="Arial"/>
                <w:sz w:val="12"/>
                <w:szCs w:val="12"/>
                <w:color w:val="auto"/>
              </w:rPr>
              <w:t>Owner.</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1.15.</w:t>
            </w:r>
          </w:p>
        </w:tc>
        <w:tc>
          <w:tcPr>
            <w:tcW w:w="5880" w:type="dxa"/>
            <w:vAlign w:val="bottom"/>
          </w:tcPr>
          <w:p>
            <w:pPr>
              <w:ind w:left="280"/>
              <w:spacing w:after="0"/>
              <w:rPr>
                <w:sz w:val="20"/>
                <w:szCs w:val="20"/>
                <w:color w:val="auto"/>
              </w:rPr>
            </w:pPr>
            <w:r>
              <w:rPr>
                <w:rFonts w:ascii="Arial" w:cs="Arial" w:eastAsia="Arial" w:hAnsi="Arial"/>
                <w:sz w:val="12"/>
                <w:szCs w:val="12"/>
                <w:color w:val="auto"/>
              </w:rPr>
              <w:t>Receipts.</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1.16.</w:t>
            </w:r>
          </w:p>
        </w:tc>
        <w:tc>
          <w:tcPr>
            <w:tcW w:w="5880" w:type="dxa"/>
            <w:vAlign w:val="bottom"/>
          </w:tcPr>
          <w:p>
            <w:pPr>
              <w:ind w:left="280"/>
              <w:spacing w:after="0"/>
              <w:rPr>
                <w:sz w:val="20"/>
                <w:szCs w:val="20"/>
                <w:color w:val="auto"/>
              </w:rPr>
            </w:pPr>
            <w:r>
              <w:rPr>
                <w:rFonts w:ascii="Arial" w:cs="Arial" w:eastAsia="Arial" w:hAnsi="Arial"/>
                <w:sz w:val="12"/>
                <w:szCs w:val="12"/>
                <w:color w:val="auto"/>
              </w:rPr>
              <w:t>Registrar.</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1.17.</w:t>
            </w:r>
          </w:p>
        </w:tc>
        <w:tc>
          <w:tcPr>
            <w:tcW w:w="5880" w:type="dxa"/>
            <w:vAlign w:val="bottom"/>
          </w:tcPr>
          <w:p>
            <w:pPr>
              <w:ind w:left="280"/>
              <w:spacing w:after="0"/>
              <w:rPr>
                <w:sz w:val="20"/>
                <w:szCs w:val="20"/>
                <w:color w:val="auto"/>
              </w:rPr>
            </w:pPr>
            <w:r>
              <w:rPr>
                <w:rFonts w:ascii="Arial" w:cs="Arial" w:eastAsia="Arial" w:hAnsi="Arial"/>
                <w:sz w:val="12"/>
                <w:szCs w:val="12"/>
                <w:color w:val="auto"/>
              </w:rPr>
              <w:t>Replacement.</w:t>
            </w: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1.18.</w:t>
            </w:r>
          </w:p>
        </w:tc>
        <w:tc>
          <w:tcPr>
            <w:tcW w:w="5880" w:type="dxa"/>
            <w:vAlign w:val="bottom"/>
          </w:tcPr>
          <w:p>
            <w:pPr>
              <w:ind w:left="280"/>
              <w:spacing w:after="0"/>
              <w:rPr>
                <w:sz w:val="20"/>
                <w:szCs w:val="20"/>
                <w:color w:val="auto"/>
              </w:rPr>
            </w:pPr>
            <w:r>
              <w:rPr>
                <w:rFonts w:ascii="Arial" w:cs="Arial" w:eastAsia="Arial" w:hAnsi="Arial"/>
                <w:sz w:val="12"/>
                <w:szCs w:val="12"/>
                <w:color w:val="auto"/>
              </w:rPr>
              <w:t>Restricted Securities.</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1.19.</w:t>
            </w:r>
          </w:p>
        </w:tc>
        <w:tc>
          <w:tcPr>
            <w:tcW w:w="5880" w:type="dxa"/>
            <w:vAlign w:val="bottom"/>
          </w:tcPr>
          <w:p>
            <w:pPr>
              <w:ind w:left="280"/>
              <w:spacing w:after="0"/>
              <w:rPr>
                <w:sz w:val="20"/>
                <w:szCs w:val="20"/>
                <w:color w:val="auto"/>
              </w:rPr>
            </w:pPr>
            <w:r>
              <w:rPr>
                <w:rFonts w:ascii="Arial" w:cs="Arial" w:eastAsia="Arial" w:hAnsi="Arial"/>
                <w:sz w:val="12"/>
                <w:szCs w:val="12"/>
                <w:color w:val="auto"/>
              </w:rPr>
              <w:t>Securities Act of 1933.</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1.20.</w:t>
            </w:r>
          </w:p>
        </w:tc>
        <w:tc>
          <w:tcPr>
            <w:tcW w:w="5880" w:type="dxa"/>
            <w:vAlign w:val="bottom"/>
          </w:tcPr>
          <w:p>
            <w:pPr>
              <w:ind w:left="280"/>
              <w:spacing w:after="0"/>
              <w:rPr>
                <w:sz w:val="20"/>
                <w:szCs w:val="20"/>
                <w:color w:val="auto"/>
              </w:rPr>
            </w:pPr>
            <w:r>
              <w:rPr>
                <w:rFonts w:ascii="Arial" w:cs="Arial" w:eastAsia="Arial" w:hAnsi="Arial"/>
                <w:sz w:val="12"/>
                <w:szCs w:val="12"/>
                <w:color w:val="auto"/>
              </w:rPr>
              <w:t>Shares.</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1.21.</w:t>
            </w:r>
          </w:p>
        </w:tc>
        <w:tc>
          <w:tcPr>
            <w:tcW w:w="5880" w:type="dxa"/>
            <w:vAlign w:val="bottom"/>
          </w:tcPr>
          <w:p>
            <w:pPr>
              <w:ind w:left="280"/>
              <w:spacing w:after="0"/>
              <w:rPr>
                <w:sz w:val="20"/>
                <w:szCs w:val="20"/>
                <w:color w:val="auto"/>
              </w:rPr>
            </w:pPr>
            <w:r>
              <w:rPr>
                <w:rFonts w:ascii="Arial" w:cs="Arial" w:eastAsia="Arial" w:hAnsi="Arial"/>
                <w:sz w:val="12"/>
                <w:szCs w:val="12"/>
                <w:color w:val="auto"/>
              </w:rPr>
              <w:t>SWIFT.</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1.22.</w:t>
            </w:r>
          </w:p>
        </w:tc>
        <w:tc>
          <w:tcPr>
            <w:tcW w:w="5880" w:type="dxa"/>
            <w:vAlign w:val="bottom"/>
          </w:tcPr>
          <w:p>
            <w:pPr>
              <w:ind w:left="280"/>
              <w:spacing w:after="0"/>
              <w:rPr>
                <w:sz w:val="20"/>
                <w:szCs w:val="20"/>
                <w:color w:val="auto"/>
              </w:rPr>
            </w:pPr>
            <w:r>
              <w:rPr>
                <w:rFonts w:ascii="Arial" w:cs="Arial" w:eastAsia="Arial" w:hAnsi="Arial"/>
                <w:sz w:val="12"/>
                <w:szCs w:val="12"/>
                <w:color w:val="auto"/>
              </w:rPr>
              <w:t>Termination Option Event.</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07"/>
        </w:trPr>
        <w:tc>
          <w:tcPr>
            <w:tcW w:w="1040" w:type="dxa"/>
            <w:vAlign w:val="bottom"/>
          </w:tcPr>
          <w:p>
            <w:pPr>
              <w:spacing w:after="0"/>
              <w:rPr>
                <w:sz w:val="20"/>
                <w:szCs w:val="20"/>
                <w:color w:val="auto"/>
              </w:rPr>
            </w:pPr>
            <w:r>
              <w:rPr>
                <w:rFonts w:ascii="Arial" w:cs="Arial" w:eastAsia="Arial" w:hAnsi="Arial"/>
                <w:sz w:val="12"/>
                <w:szCs w:val="12"/>
                <w:color w:val="auto"/>
              </w:rPr>
              <w:t>ARTICLE 2.</w:t>
            </w:r>
          </w:p>
        </w:tc>
        <w:tc>
          <w:tcPr>
            <w:tcW w:w="5880" w:type="dxa"/>
            <w:vAlign w:val="bottom"/>
          </w:tcPr>
          <w:p>
            <w:pPr>
              <w:ind w:left="40"/>
              <w:spacing w:after="0"/>
              <w:rPr>
                <w:sz w:val="20"/>
                <w:szCs w:val="20"/>
                <w:color w:val="auto"/>
              </w:rPr>
            </w:pPr>
            <w:r>
              <w:rPr>
                <w:rFonts w:ascii="Arial" w:cs="Arial" w:eastAsia="Arial" w:hAnsi="Arial"/>
                <w:sz w:val="12"/>
                <w:szCs w:val="12"/>
                <w:color w:val="auto"/>
                <w:w w:val="99"/>
              </w:rPr>
              <w:t>FORM OF RECEIPTS, DEPOSIT OF SHARES, DELIVERY, TRANSFER AND SURRENDER OF AMERICAN</w:t>
            </w:r>
          </w:p>
        </w:tc>
        <w:tc>
          <w:tcPr>
            <w:tcW w:w="380" w:type="dxa"/>
            <w:vAlign w:val="bottom"/>
          </w:tcPr>
          <w:p>
            <w:pPr>
              <w:spacing w:after="0"/>
              <w:rPr>
                <w:sz w:val="18"/>
                <w:szCs w:val="18"/>
                <w:color w:val="auto"/>
              </w:rPr>
            </w:pPr>
          </w:p>
        </w:tc>
      </w:tr>
      <w:tr>
        <w:trPr>
          <w:trHeight w:val="144"/>
        </w:trPr>
        <w:tc>
          <w:tcPr>
            <w:tcW w:w="1040" w:type="dxa"/>
            <w:vAlign w:val="bottom"/>
          </w:tcPr>
          <w:p>
            <w:pPr>
              <w:spacing w:after="0"/>
              <w:rPr>
                <w:sz w:val="12"/>
                <w:szCs w:val="12"/>
                <w:color w:val="auto"/>
              </w:rPr>
            </w:pPr>
          </w:p>
        </w:tc>
        <w:tc>
          <w:tcPr>
            <w:tcW w:w="5880" w:type="dxa"/>
            <w:vAlign w:val="bottom"/>
          </w:tcPr>
          <w:p>
            <w:pPr>
              <w:ind w:left="160"/>
              <w:spacing w:after="0"/>
              <w:rPr>
                <w:sz w:val="20"/>
                <w:szCs w:val="20"/>
                <w:color w:val="auto"/>
              </w:rPr>
            </w:pPr>
            <w:r>
              <w:rPr>
                <w:rFonts w:ascii="Arial" w:cs="Arial" w:eastAsia="Arial" w:hAnsi="Arial"/>
                <w:sz w:val="12"/>
                <w:szCs w:val="12"/>
                <w:color w:val="auto"/>
              </w:rPr>
              <w:t>DEPOSITARY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2.1.</w:t>
            </w:r>
          </w:p>
        </w:tc>
        <w:tc>
          <w:tcPr>
            <w:tcW w:w="5880" w:type="dxa"/>
            <w:vAlign w:val="bottom"/>
          </w:tcPr>
          <w:p>
            <w:pPr>
              <w:ind w:left="280"/>
              <w:spacing w:after="0"/>
              <w:rPr>
                <w:sz w:val="20"/>
                <w:szCs w:val="20"/>
                <w:color w:val="auto"/>
              </w:rPr>
            </w:pPr>
            <w:r>
              <w:rPr>
                <w:rFonts w:ascii="Arial" w:cs="Arial" w:eastAsia="Arial" w:hAnsi="Arial"/>
                <w:sz w:val="12"/>
                <w:szCs w:val="12"/>
                <w:color w:val="auto"/>
              </w:rPr>
              <w:t>Form of Receipts; Registration and Transferability of American Depositary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2.2.</w:t>
            </w:r>
          </w:p>
        </w:tc>
        <w:tc>
          <w:tcPr>
            <w:tcW w:w="5880" w:type="dxa"/>
            <w:vAlign w:val="bottom"/>
          </w:tcPr>
          <w:p>
            <w:pPr>
              <w:ind w:left="280"/>
              <w:spacing w:after="0"/>
              <w:rPr>
                <w:sz w:val="20"/>
                <w:szCs w:val="20"/>
                <w:color w:val="auto"/>
              </w:rPr>
            </w:pPr>
            <w:r>
              <w:rPr>
                <w:rFonts w:ascii="Arial" w:cs="Arial" w:eastAsia="Arial" w:hAnsi="Arial"/>
                <w:sz w:val="12"/>
                <w:szCs w:val="12"/>
                <w:color w:val="auto"/>
              </w:rPr>
              <w:t>Deposit of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2.3.</w:t>
            </w:r>
          </w:p>
        </w:tc>
        <w:tc>
          <w:tcPr>
            <w:tcW w:w="5880" w:type="dxa"/>
            <w:vAlign w:val="bottom"/>
          </w:tcPr>
          <w:p>
            <w:pPr>
              <w:ind w:left="280"/>
              <w:spacing w:after="0"/>
              <w:rPr>
                <w:sz w:val="20"/>
                <w:szCs w:val="20"/>
                <w:color w:val="auto"/>
              </w:rPr>
            </w:pPr>
            <w:r>
              <w:rPr>
                <w:rFonts w:ascii="Arial" w:cs="Arial" w:eastAsia="Arial" w:hAnsi="Arial"/>
                <w:sz w:val="12"/>
                <w:szCs w:val="12"/>
                <w:color w:val="auto"/>
              </w:rPr>
              <w:t>Delivery of American Depositary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2.4.</w:t>
            </w:r>
          </w:p>
        </w:tc>
        <w:tc>
          <w:tcPr>
            <w:tcW w:w="5880" w:type="dxa"/>
            <w:vAlign w:val="bottom"/>
          </w:tcPr>
          <w:p>
            <w:pPr>
              <w:ind w:left="280"/>
              <w:spacing w:after="0"/>
              <w:rPr>
                <w:sz w:val="20"/>
                <w:szCs w:val="20"/>
                <w:color w:val="auto"/>
              </w:rPr>
            </w:pPr>
            <w:r>
              <w:rPr>
                <w:rFonts w:ascii="Arial" w:cs="Arial" w:eastAsia="Arial" w:hAnsi="Arial"/>
                <w:sz w:val="12"/>
                <w:szCs w:val="12"/>
                <w:color w:val="auto"/>
                <w:w w:val="95"/>
              </w:rPr>
              <w:t>Registration of Transfer of American Depositary Shares; Combination and Split-up of Receipts; Interchange of</w:t>
            </w:r>
          </w:p>
        </w:tc>
        <w:tc>
          <w:tcPr>
            <w:tcW w:w="380" w:type="dxa"/>
            <w:vAlign w:val="bottom"/>
          </w:tcPr>
          <w:p>
            <w:pPr>
              <w:spacing w:after="0"/>
              <w:rPr>
                <w:sz w:val="12"/>
                <w:szCs w:val="12"/>
                <w:color w:val="auto"/>
              </w:rPr>
            </w:pPr>
          </w:p>
        </w:tc>
      </w:tr>
      <w:tr>
        <w:trPr>
          <w:trHeight w:val="144"/>
        </w:trPr>
        <w:tc>
          <w:tcPr>
            <w:tcW w:w="104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2"/>
                <w:szCs w:val="12"/>
                <w:color w:val="auto"/>
              </w:rPr>
              <w:t>Certificated and Uncertificated American Depositary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2.5.</w:t>
            </w:r>
          </w:p>
        </w:tc>
        <w:tc>
          <w:tcPr>
            <w:tcW w:w="5880" w:type="dxa"/>
            <w:vAlign w:val="bottom"/>
          </w:tcPr>
          <w:p>
            <w:pPr>
              <w:ind w:left="280"/>
              <w:spacing w:after="0"/>
              <w:rPr>
                <w:sz w:val="20"/>
                <w:szCs w:val="20"/>
                <w:color w:val="auto"/>
              </w:rPr>
            </w:pPr>
            <w:r>
              <w:rPr>
                <w:rFonts w:ascii="Arial" w:cs="Arial" w:eastAsia="Arial" w:hAnsi="Arial"/>
                <w:sz w:val="12"/>
                <w:szCs w:val="12"/>
                <w:color w:val="auto"/>
              </w:rPr>
              <w:t>Surrender of American Depositary Shares and Withdrawal of Deposited Securities.</w:t>
            </w:r>
          </w:p>
        </w:tc>
        <w:tc>
          <w:tcPr>
            <w:tcW w:w="3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2.6.</w:t>
            </w:r>
          </w:p>
        </w:tc>
        <w:tc>
          <w:tcPr>
            <w:tcW w:w="5880" w:type="dxa"/>
            <w:vAlign w:val="bottom"/>
          </w:tcPr>
          <w:p>
            <w:pPr>
              <w:ind w:left="280"/>
              <w:spacing w:after="0"/>
              <w:rPr>
                <w:sz w:val="20"/>
                <w:szCs w:val="20"/>
                <w:color w:val="auto"/>
              </w:rPr>
            </w:pPr>
            <w:r>
              <w:rPr>
                <w:rFonts w:ascii="Arial" w:cs="Arial" w:eastAsia="Arial" w:hAnsi="Arial"/>
                <w:sz w:val="12"/>
                <w:szCs w:val="12"/>
                <w:color w:val="auto"/>
              </w:rPr>
              <w:t>Limitations on Delivery, Registration of Transfer and Surrender of American Depositary Shares.</w:t>
            </w:r>
          </w:p>
        </w:tc>
        <w:tc>
          <w:tcPr>
            <w:tcW w:w="3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1040" w:type="dxa"/>
            <w:vAlign w:val="bottom"/>
          </w:tcPr>
          <w:p>
            <w:pPr>
              <w:ind w:left="240"/>
              <w:spacing w:after="0"/>
              <w:rPr>
                <w:sz w:val="20"/>
                <w:szCs w:val="20"/>
                <w:color w:val="auto"/>
              </w:rPr>
            </w:pPr>
            <w:r>
              <w:rPr>
                <w:rFonts w:ascii="Arial" w:cs="Arial" w:eastAsia="Arial" w:hAnsi="Arial"/>
                <w:sz w:val="12"/>
                <w:szCs w:val="12"/>
                <w:color w:val="auto"/>
              </w:rPr>
              <w:t>SECTION 2.7.</w:t>
            </w:r>
          </w:p>
        </w:tc>
        <w:tc>
          <w:tcPr>
            <w:tcW w:w="5880" w:type="dxa"/>
            <w:vAlign w:val="bottom"/>
          </w:tcPr>
          <w:p>
            <w:pPr>
              <w:ind w:left="280"/>
              <w:spacing w:after="0"/>
              <w:rPr>
                <w:sz w:val="20"/>
                <w:szCs w:val="20"/>
                <w:color w:val="auto"/>
              </w:rPr>
            </w:pPr>
            <w:r>
              <w:rPr>
                <w:rFonts w:ascii="Arial" w:cs="Arial" w:eastAsia="Arial" w:hAnsi="Arial"/>
                <w:sz w:val="12"/>
                <w:szCs w:val="12"/>
                <w:color w:val="auto"/>
              </w:rPr>
              <w:t>Lost Receipts, etc.</w:t>
            </w:r>
          </w:p>
        </w:tc>
        <w:tc>
          <w:tcPr>
            <w:tcW w:w="380" w:type="dxa"/>
            <w:vAlign w:val="bottom"/>
          </w:tcPr>
          <w:p>
            <w:pPr>
              <w:jc w:val="right"/>
              <w:spacing w:after="0"/>
              <w:rPr>
                <w:sz w:val="20"/>
                <w:szCs w:val="20"/>
                <w:color w:val="auto"/>
              </w:rPr>
            </w:pPr>
            <w:r>
              <w:rPr>
                <w:rFonts w:ascii="Arial" w:cs="Arial" w:eastAsia="Arial" w:hAnsi="Arial"/>
                <w:sz w:val="12"/>
                <w:szCs w:val="12"/>
                <w:color w:val="auto"/>
              </w:rPr>
              <w:t>11</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9019"/>
          </w:cols>
          <w:pgMar w:left="1440" w:top="230" w:right="1440" w:bottom="1440" w:gutter="0" w:footer="0" w:header="0"/>
        </w:sectPr>
      </w:pPr>
    </w:p>
    <w:bookmarkStart w:id="269" w:name="page270"/>
    <w:bookmarkEnd w:id="269"/>
    <w:tbl>
      <w:tblPr>
        <w:tblLayout w:type="fixed"/>
        <w:tblInd w:w="840" w:type="dxa"/>
        <w:tblCellMar>
          <w:top w:w="0" w:type="dxa"/>
          <w:left w:w="0" w:type="dxa"/>
          <w:bottom w:w="0" w:type="dxa"/>
          <w:right w:w="0" w:type="dxa"/>
        </w:tblCellMar>
      </w:tblP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2.8.</w:t>
            </w:r>
          </w:p>
        </w:tc>
        <w:tc>
          <w:tcPr>
            <w:tcW w:w="5600" w:type="dxa"/>
            <w:vAlign w:val="bottom"/>
          </w:tcPr>
          <w:p>
            <w:pPr>
              <w:ind w:left="280"/>
              <w:spacing w:after="0"/>
              <w:rPr>
                <w:sz w:val="20"/>
                <w:szCs w:val="20"/>
                <w:color w:val="auto"/>
              </w:rPr>
            </w:pPr>
            <w:r>
              <w:rPr>
                <w:rFonts w:ascii="Arial" w:cs="Arial" w:eastAsia="Arial" w:hAnsi="Arial"/>
                <w:sz w:val="12"/>
                <w:szCs w:val="12"/>
                <w:color w:val="auto"/>
              </w:rPr>
              <w:t>Cancellation and Destruction of Surrendered Receipts.</w:t>
            </w:r>
          </w:p>
        </w:tc>
        <w:tc>
          <w:tcPr>
            <w:tcW w:w="6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1040" w:type="dxa"/>
            <w:vAlign w:val="bottom"/>
          </w:tcPr>
          <w:p>
            <w:pPr>
              <w:ind w:left="240"/>
              <w:spacing w:after="0"/>
              <w:rPr>
                <w:sz w:val="20"/>
                <w:szCs w:val="20"/>
                <w:color w:val="auto"/>
              </w:rPr>
            </w:pPr>
            <w:r>
              <w:rPr>
                <w:rFonts w:ascii="Arial" w:cs="Arial" w:eastAsia="Arial" w:hAnsi="Arial"/>
                <w:sz w:val="12"/>
                <w:szCs w:val="12"/>
                <w:color w:val="auto"/>
              </w:rPr>
              <w:t>SECTION 2.9.</w:t>
            </w:r>
          </w:p>
        </w:tc>
        <w:tc>
          <w:tcPr>
            <w:tcW w:w="5600" w:type="dxa"/>
            <w:vAlign w:val="bottom"/>
          </w:tcPr>
          <w:p>
            <w:pPr>
              <w:ind w:left="280"/>
              <w:spacing w:after="0"/>
              <w:rPr>
                <w:sz w:val="20"/>
                <w:szCs w:val="20"/>
                <w:color w:val="auto"/>
              </w:rPr>
            </w:pPr>
            <w:r>
              <w:rPr>
                <w:rFonts w:ascii="Arial" w:cs="Arial" w:eastAsia="Arial" w:hAnsi="Arial"/>
                <w:sz w:val="12"/>
                <w:szCs w:val="12"/>
                <w:color w:val="auto"/>
              </w:rPr>
              <w:t>DTC Direct Registration System and Profile Modification System.</w:t>
            </w:r>
          </w:p>
        </w:tc>
        <w:tc>
          <w:tcPr>
            <w:tcW w:w="6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07"/>
        </w:trPr>
        <w:tc>
          <w:tcPr>
            <w:tcW w:w="1040" w:type="dxa"/>
            <w:vAlign w:val="bottom"/>
          </w:tcPr>
          <w:p>
            <w:pPr>
              <w:spacing w:after="0"/>
              <w:rPr>
                <w:sz w:val="20"/>
                <w:szCs w:val="20"/>
                <w:color w:val="auto"/>
              </w:rPr>
            </w:pPr>
            <w:r>
              <w:rPr>
                <w:rFonts w:ascii="Arial" w:cs="Arial" w:eastAsia="Arial" w:hAnsi="Arial"/>
                <w:sz w:val="12"/>
                <w:szCs w:val="12"/>
                <w:color w:val="auto"/>
              </w:rPr>
              <w:t>ARTICLE 3.</w:t>
            </w:r>
          </w:p>
        </w:tc>
        <w:tc>
          <w:tcPr>
            <w:tcW w:w="5600" w:type="dxa"/>
            <w:vAlign w:val="bottom"/>
          </w:tcPr>
          <w:p>
            <w:pPr>
              <w:ind w:left="40"/>
              <w:spacing w:after="0"/>
              <w:rPr>
                <w:sz w:val="20"/>
                <w:szCs w:val="20"/>
                <w:color w:val="auto"/>
              </w:rPr>
            </w:pPr>
            <w:r>
              <w:rPr>
                <w:rFonts w:ascii="Arial" w:cs="Arial" w:eastAsia="Arial" w:hAnsi="Arial"/>
                <w:sz w:val="12"/>
                <w:szCs w:val="12"/>
                <w:color w:val="auto"/>
              </w:rPr>
              <w:t>CERTAIN OBLIGATIONS OF OWNERS AND HOLDERS OF AMERICAN DEPOSITARY SHARES</w:t>
            </w:r>
          </w:p>
        </w:tc>
        <w:tc>
          <w:tcPr>
            <w:tcW w:w="6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3.1.</w:t>
            </w:r>
          </w:p>
        </w:tc>
        <w:tc>
          <w:tcPr>
            <w:tcW w:w="5600" w:type="dxa"/>
            <w:vAlign w:val="bottom"/>
          </w:tcPr>
          <w:p>
            <w:pPr>
              <w:ind w:left="280"/>
              <w:spacing w:after="0"/>
              <w:rPr>
                <w:sz w:val="20"/>
                <w:szCs w:val="20"/>
                <w:color w:val="auto"/>
              </w:rPr>
            </w:pPr>
            <w:r>
              <w:rPr>
                <w:rFonts w:ascii="Arial" w:cs="Arial" w:eastAsia="Arial" w:hAnsi="Arial"/>
                <w:sz w:val="12"/>
                <w:szCs w:val="12"/>
                <w:color w:val="auto"/>
              </w:rPr>
              <w:t>Filing Proofs, Certificates and Other Information.</w:t>
            </w:r>
          </w:p>
        </w:tc>
        <w:tc>
          <w:tcPr>
            <w:tcW w:w="6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3.2.</w:t>
            </w:r>
          </w:p>
        </w:tc>
        <w:tc>
          <w:tcPr>
            <w:tcW w:w="5600" w:type="dxa"/>
            <w:vAlign w:val="bottom"/>
          </w:tcPr>
          <w:p>
            <w:pPr>
              <w:ind w:left="280"/>
              <w:spacing w:after="0"/>
              <w:rPr>
                <w:sz w:val="20"/>
                <w:szCs w:val="20"/>
                <w:color w:val="auto"/>
              </w:rPr>
            </w:pPr>
            <w:r>
              <w:rPr>
                <w:rFonts w:ascii="Arial" w:cs="Arial" w:eastAsia="Arial" w:hAnsi="Arial"/>
                <w:sz w:val="12"/>
                <w:szCs w:val="12"/>
                <w:color w:val="auto"/>
              </w:rPr>
              <w:t>Liability of Owner for Taxes.</w:t>
            </w:r>
          </w:p>
        </w:tc>
        <w:tc>
          <w:tcPr>
            <w:tcW w:w="66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3.3.</w:t>
            </w:r>
          </w:p>
        </w:tc>
        <w:tc>
          <w:tcPr>
            <w:tcW w:w="5600" w:type="dxa"/>
            <w:vAlign w:val="bottom"/>
          </w:tcPr>
          <w:p>
            <w:pPr>
              <w:ind w:left="280"/>
              <w:spacing w:after="0"/>
              <w:rPr>
                <w:sz w:val="20"/>
                <w:szCs w:val="20"/>
                <w:color w:val="auto"/>
              </w:rPr>
            </w:pPr>
            <w:r>
              <w:rPr>
                <w:rFonts w:ascii="Arial" w:cs="Arial" w:eastAsia="Arial" w:hAnsi="Arial"/>
                <w:sz w:val="12"/>
                <w:szCs w:val="12"/>
                <w:color w:val="auto"/>
              </w:rPr>
              <w:t>Warranties on Deposit of Shares.</w:t>
            </w:r>
          </w:p>
        </w:tc>
        <w:tc>
          <w:tcPr>
            <w:tcW w:w="66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1040" w:type="dxa"/>
            <w:vAlign w:val="bottom"/>
          </w:tcPr>
          <w:p>
            <w:pPr>
              <w:ind w:left="240"/>
              <w:spacing w:after="0"/>
              <w:rPr>
                <w:sz w:val="20"/>
                <w:szCs w:val="20"/>
                <w:color w:val="auto"/>
              </w:rPr>
            </w:pPr>
            <w:r>
              <w:rPr>
                <w:rFonts w:ascii="Arial" w:cs="Arial" w:eastAsia="Arial" w:hAnsi="Arial"/>
                <w:sz w:val="12"/>
                <w:szCs w:val="12"/>
                <w:color w:val="auto"/>
              </w:rPr>
              <w:t>SECTION 3.4.</w:t>
            </w:r>
          </w:p>
        </w:tc>
        <w:tc>
          <w:tcPr>
            <w:tcW w:w="5600" w:type="dxa"/>
            <w:vAlign w:val="bottom"/>
          </w:tcPr>
          <w:p>
            <w:pPr>
              <w:ind w:left="280"/>
              <w:spacing w:after="0"/>
              <w:rPr>
                <w:sz w:val="20"/>
                <w:szCs w:val="20"/>
                <w:color w:val="auto"/>
              </w:rPr>
            </w:pPr>
            <w:r>
              <w:rPr>
                <w:rFonts w:ascii="Arial" w:cs="Arial" w:eastAsia="Arial" w:hAnsi="Arial"/>
                <w:sz w:val="12"/>
                <w:szCs w:val="12"/>
                <w:color w:val="auto"/>
              </w:rPr>
              <w:t>Disclosure of Interests.</w:t>
            </w:r>
          </w:p>
        </w:tc>
        <w:tc>
          <w:tcPr>
            <w:tcW w:w="6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07"/>
        </w:trPr>
        <w:tc>
          <w:tcPr>
            <w:tcW w:w="1040" w:type="dxa"/>
            <w:vAlign w:val="bottom"/>
          </w:tcPr>
          <w:p>
            <w:pPr>
              <w:spacing w:after="0"/>
              <w:rPr>
                <w:sz w:val="20"/>
                <w:szCs w:val="20"/>
                <w:color w:val="auto"/>
              </w:rPr>
            </w:pPr>
            <w:r>
              <w:rPr>
                <w:rFonts w:ascii="Arial" w:cs="Arial" w:eastAsia="Arial" w:hAnsi="Arial"/>
                <w:sz w:val="12"/>
                <w:szCs w:val="12"/>
                <w:color w:val="auto"/>
              </w:rPr>
              <w:t>ARTICLE 4.</w:t>
            </w:r>
          </w:p>
        </w:tc>
        <w:tc>
          <w:tcPr>
            <w:tcW w:w="5600" w:type="dxa"/>
            <w:vAlign w:val="bottom"/>
          </w:tcPr>
          <w:p>
            <w:pPr>
              <w:ind w:left="40"/>
              <w:spacing w:after="0"/>
              <w:rPr>
                <w:sz w:val="20"/>
                <w:szCs w:val="20"/>
                <w:color w:val="auto"/>
              </w:rPr>
            </w:pPr>
            <w:r>
              <w:rPr>
                <w:rFonts w:ascii="Arial" w:cs="Arial" w:eastAsia="Arial" w:hAnsi="Arial"/>
                <w:sz w:val="12"/>
                <w:szCs w:val="12"/>
                <w:color w:val="auto"/>
              </w:rPr>
              <w:t>THE DEPOSITED SECURITIES</w:t>
            </w:r>
          </w:p>
        </w:tc>
        <w:tc>
          <w:tcPr>
            <w:tcW w:w="6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4.1.</w:t>
            </w:r>
          </w:p>
        </w:tc>
        <w:tc>
          <w:tcPr>
            <w:tcW w:w="5600" w:type="dxa"/>
            <w:vAlign w:val="bottom"/>
          </w:tcPr>
          <w:p>
            <w:pPr>
              <w:ind w:left="280"/>
              <w:spacing w:after="0"/>
              <w:rPr>
                <w:sz w:val="20"/>
                <w:szCs w:val="20"/>
                <w:color w:val="auto"/>
              </w:rPr>
            </w:pPr>
            <w:r>
              <w:rPr>
                <w:rFonts w:ascii="Arial" w:cs="Arial" w:eastAsia="Arial" w:hAnsi="Arial"/>
                <w:sz w:val="12"/>
                <w:szCs w:val="12"/>
                <w:color w:val="auto"/>
              </w:rPr>
              <w:t>Cash Distributions.</w:t>
            </w:r>
          </w:p>
        </w:tc>
        <w:tc>
          <w:tcPr>
            <w:tcW w:w="6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4.2.</w:t>
            </w:r>
          </w:p>
        </w:tc>
        <w:tc>
          <w:tcPr>
            <w:tcW w:w="5600" w:type="dxa"/>
            <w:vAlign w:val="bottom"/>
          </w:tcPr>
          <w:p>
            <w:pPr>
              <w:ind w:left="280"/>
              <w:spacing w:after="0"/>
              <w:rPr>
                <w:sz w:val="20"/>
                <w:szCs w:val="20"/>
                <w:color w:val="auto"/>
              </w:rPr>
            </w:pPr>
            <w:r>
              <w:rPr>
                <w:rFonts w:ascii="Arial" w:cs="Arial" w:eastAsia="Arial" w:hAnsi="Arial"/>
                <w:sz w:val="12"/>
                <w:szCs w:val="12"/>
                <w:color w:val="auto"/>
              </w:rPr>
              <w:t>Distributions Other Than Cash, Shares or Rights.</w:t>
            </w:r>
          </w:p>
        </w:tc>
        <w:tc>
          <w:tcPr>
            <w:tcW w:w="6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4.3.</w:t>
            </w:r>
          </w:p>
        </w:tc>
        <w:tc>
          <w:tcPr>
            <w:tcW w:w="5600" w:type="dxa"/>
            <w:vAlign w:val="bottom"/>
          </w:tcPr>
          <w:p>
            <w:pPr>
              <w:ind w:left="280"/>
              <w:spacing w:after="0"/>
              <w:rPr>
                <w:sz w:val="20"/>
                <w:szCs w:val="20"/>
                <w:color w:val="auto"/>
              </w:rPr>
            </w:pPr>
            <w:r>
              <w:rPr>
                <w:rFonts w:ascii="Arial" w:cs="Arial" w:eastAsia="Arial" w:hAnsi="Arial"/>
                <w:sz w:val="12"/>
                <w:szCs w:val="12"/>
                <w:color w:val="auto"/>
              </w:rPr>
              <w:t>Distributions in Shares.</w:t>
            </w:r>
          </w:p>
        </w:tc>
        <w:tc>
          <w:tcPr>
            <w:tcW w:w="6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4.4.</w:t>
            </w:r>
          </w:p>
        </w:tc>
        <w:tc>
          <w:tcPr>
            <w:tcW w:w="5600" w:type="dxa"/>
            <w:vAlign w:val="bottom"/>
          </w:tcPr>
          <w:p>
            <w:pPr>
              <w:ind w:left="280"/>
              <w:spacing w:after="0"/>
              <w:rPr>
                <w:sz w:val="20"/>
                <w:szCs w:val="20"/>
                <w:color w:val="auto"/>
              </w:rPr>
            </w:pPr>
            <w:r>
              <w:rPr>
                <w:rFonts w:ascii="Arial" w:cs="Arial" w:eastAsia="Arial" w:hAnsi="Arial"/>
                <w:sz w:val="12"/>
                <w:szCs w:val="12"/>
                <w:color w:val="auto"/>
              </w:rPr>
              <w:t>Rights.</w:t>
            </w:r>
          </w:p>
        </w:tc>
        <w:tc>
          <w:tcPr>
            <w:tcW w:w="6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4.5.</w:t>
            </w:r>
          </w:p>
        </w:tc>
        <w:tc>
          <w:tcPr>
            <w:tcW w:w="5600" w:type="dxa"/>
            <w:vAlign w:val="bottom"/>
          </w:tcPr>
          <w:p>
            <w:pPr>
              <w:ind w:left="280"/>
              <w:spacing w:after="0"/>
              <w:rPr>
                <w:sz w:val="20"/>
                <w:szCs w:val="20"/>
                <w:color w:val="auto"/>
              </w:rPr>
            </w:pPr>
            <w:r>
              <w:rPr>
                <w:rFonts w:ascii="Arial" w:cs="Arial" w:eastAsia="Arial" w:hAnsi="Arial"/>
                <w:sz w:val="12"/>
                <w:szCs w:val="12"/>
                <w:color w:val="auto"/>
              </w:rPr>
              <w:t>Conversion of Foreign Currency.</w:t>
            </w:r>
          </w:p>
        </w:tc>
        <w:tc>
          <w:tcPr>
            <w:tcW w:w="6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4.6.</w:t>
            </w:r>
          </w:p>
        </w:tc>
        <w:tc>
          <w:tcPr>
            <w:tcW w:w="5600" w:type="dxa"/>
            <w:vAlign w:val="bottom"/>
          </w:tcPr>
          <w:p>
            <w:pPr>
              <w:ind w:left="280"/>
              <w:spacing w:after="0"/>
              <w:rPr>
                <w:sz w:val="20"/>
                <w:szCs w:val="20"/>
                <w:color w:val="auto"/>
              </w:rPr>
            </w:pPr>
            <w:r>
              <w:rPr>
                <w:rFonts w:ascii="Arial" w:cs="Arial" w:eastAsia="Arial" w:hAnsi="Arial"/>
                <w:sz w:val="12"/>
                <w:szCs w:val="12"/>
                <w:color w:val="auto"/>
              </w:rPr>
              <w:t>Fixing of Record Date.</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4.7.</w:t>
            </w:r>
          </w:p>
        </w:tc>
        <w:tc>
          <w:tcPr>
            <w:tcW w:w="5600" w:type="dxa"/>
            <w:vAlign w:val="bottom"/>
          </w:tcPr>
          <w:p>
            <w:pPr>
              <w:ind w:left="280"/>
              <w:spacing w:after="0"/>
              <w:rPr>
                <w:sz w:val="20"/>
                <w:szCs w:val="20"/>
                <w:color w:val="auto"/>
              </w:rPr>
            </w:pPr>
            <w:r>
              <w:rPr>
                <w:rFonts w:ascii="Arial" w:cs="Arial" w:eastAsia="Arial" w:hAnsi="Arial"/>
                <w:sz w:val="12"/>
                <w:szCs w:val="12"/>
                <w:color w:val="auto"/>
              </w:rPr>
              <w:t>Voting of Deposited Shares.</w:t>
            </w:r>
          </w:p>
        </w:tc>
        <w:tc>
          <w:tcPr>
            <w:tcW w:w="66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4.8.</w:t>
            </w:r>
          </w:p>
        </w:tc>
        <w:tc>
          <w:tcPr>
            <w:tcW w:w="5600" w:type="dxa"/>
            <w:vAlign w:val="bottom"/>
          </w:tcPr>
          <w:p>
            <w:pPr>
              <w:ind w:left="280"/>
              <w:spacing w:after="0"/>
              <w:rPr>
                <w:sz w:val="20"/>
                <w:szCs w:val="20"/>
                <w:color w:val="auto"/>
              </w:rPr>
            </w:pPr>
            <w:r>
              <w:rPr>
                <w:rFonts w:ascii="Arial" w:cs="Arial" w:eastAsia="Arial" w:hAnsi="Arial"/>
                <w:sz w:val="12"/>
                <w:szCs w:val="12"/>
                <w:color w:val="auto"/>
              </w:rPr>
              <w:t>Tender and Exchange Offers; Redemption, Replacement or Cancellation of Deposited Securities.</w:t>
            </w:r>
          </w:p>
        </w:tc>
        <w:tc>
          <w:tcPr>
            <w:tcW w:w="6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4.9.</w:t>
            </w:r>
          </w:p>
        </w:tc>
        <w:tc>
          <w:tcPr>
            <w:tcW w:w="5600" w:type="dxa"/>
            <w:vAlign w:val="bottom"/>
          </w:tcPr>
          <w:p>
            <w:pPr>
              <w:ind w:left="280"/>
              <w:spacing w:after="0"/>
              <w:rPr>
                <w:sz w:val="20"/>
                <w:szCs w:val="20"/>
                <w:color w:val="auto"/>
              </w:rPr>
            </w:pPr>
            <w:r>
              <w:rPr>
                <w:rFonts w:ascii="Arial" w:cs="Arial" w:eastAsia="Arial" w:hAnsi="Arial"/>
                <w:sz w:val="12"/>
                <w:szCs w:val="12"/>
                <w:color w:val="auto"/>
              </w:rPr>
              <w:t>Reports.</w:t>
            </w:r>
          </w:p>
        </w:tc>
        <w:tc>
          <w:tcPr>
            <w:tcW w:w="6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4.10.</w:t>
            </w:r>
          </w:p>
        </w:tc>
        <w:tc>
          <w:tcPr>
            <w:tcW w:w="5600" w:type="dxa"/>
            <w:vAlign w:val="bottom"/>
          </w:tcPr>
          <w:p>
            <w:pPr>
              <w:ind w:left="280"/>
              <w:spacing w:after="0"/>
              <w:rPr>
                <w:sz w:val="20"/>
                <w:szCs w:val="20"/>
                <w:color w:val="auto"/>
              </w:rPr>
            </w:pPr>
            <w:r>
              <w:rPr>
                <w:rFonts w:ascii="Arial" w:cs="Arial" w:eastAsia="Arial" w:hAnsi="Arial"/>
                <w:sz w:val="12"/>
                <w:szCs w:val="12"/>
                <w:color w:val="auto"/>
              </w:rPr>
              <w:t>Lists of Owners.</w:t>
            </w:r>
          </w:p>
        </w:tc>
        <w:tc>
          <w:tcPr>
            <w:tcW w:w="6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53"/>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4.11.</w:t>
            </w:r>
          </w:p>
        </w:tc>
        <w:tc>
          <w:tcPr>
            <w:tcW w:w="5600" w:type="dxa"/>
            <w:vAlign w:val="bottom"/>
          </w:tcPr>
          <w:p>
            <w:pPr>
              <w:ind w:left="280"/>
              <w:spacing w:after="0"/>
              <w:rPr>
                <w:sz w:val="20"/>
                <w:szCs w:val="20"/>
                <w:color w:val="auto"/>
              </w:rPr>
            </w:pPr>
            <w:r>
              <w:rPr>
                <w:rFonts w:ascii="Arial" w:cs="Arial" w:eastAsia="Arial" w:hAnsi="Arial"/>
                <w:sz w:val="12"/>
                <w:szCs w:val="12"/>
                <w:color w:val="auto"/>
              </w:rPr>
              <w:t>Withholding.</w:t>
            </w: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07"/>
        </w:trPr>
        <w:tc>
          <w:tcPr>
            <w:tcW w:w="1040" w:type="dxa"/>
            <w:vAlign w:val="bottom"/>
          </w:tcPr>
          <w:p>
            <w:pPr>
              <w:spacing w:after="0"/>
              <w:rPr>
                <w:sz w:val="20"/>
                <w:szCs w:val="20"/>
                <w:color w:val="auto"/>
              </w:rPr>
            </w:pPr>
            <w:r>
              <w:rPr>
                <w:rFonts w:ascii="Arial" w:cs="Arial" w:eastAsia="Arial" w:hAnsi="Arial"/>
                <w:sz w:val="12"/>
                <w:szCs w:val="12"/>
                <w:color w:val="auto"/>
              </w:rPr>
              <w:t>ARTICLE 5.</w:t>
            </w:r>
          </w:p>
        </w:tc>
        <w:tc>
          <w:tcPr>
            <w:tcW w:w="5600" w:type="dxa"/>
            <w:vAlign w:val="bottom"/>
          </w:tcPr>
          <w:p>
            <w:pPr>
              <w:ind w:left="40"/>
              <w:spacing w:after="0"/>
              <w:rPr>
                <w:sz w:val="20"/>
                <w:szCs w:val="20"/>
                <w:color w:val="auto"/>
              </w:rPr>
            </w:pPr>
            <w:r>
              <w:rPr>
                <w:rFonts w:ascii="Arial" w:cs="Arial" w:eastAsia="Arial" w:hAnsi="Arial"/>
                <w:sz w:val="12"/>
                <w:szCs w:val="12"/>
                <w:color w:val="auto"/>
              </w:rPr>
              <w:t>THE DEPOSITARY, THE CUSTODIANS AND THE COMPANY</w:t>
            </w: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5.1.</w:t>
            </w:r>
          </w:p>
        </w:tc>
        <w:tc>
          <w:tcPr>
            <w:tcW w:w="5600" w:type="dxa"/>
            <w:vAlign w:val="bottom"/>
          </w:tcPr>
          <w:p>
            <w:pPr>
              <w:ind w:left="280"/>
              <w:spacing w:after="0"/>
              <w:rPr>
                <w:sz w:val="20"/>
                <w:szCs w:val="20"/>
                <w:color w:val="auto"/>
              </w:rPr>
            </w:pPr>
            <w:r>
              <w:rPr>
                <w:rFonts w:ascii="Arial" w:cs="Arial" w:eastAsia="Arial" w:hAnsi="Arial"/>
                <w:sz w:val="12"/>
                <w:szCs w:val="12"/>
                <w:color w:val="auto"/>
              </w:rPr>
              <w:t>Maintenance of Office and Register by the Depositary.</w:t>
            </w: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5.2.</w:t>
            </w:r>
          </w:p>
        </w:tc>
        <w:tc>
          <w:tcPr>
            <w:tcW w:w="5600" w:type="dxa"/>
            <w:vAlign w:val="bottom"/>
          </w:tcPr>
          <w:p>
            <w:pPr>
              <w:ind w:left="280"/>
              <w:spacing w:after="0"/>
              <w:rPr>
                <w:sz w:val="20"/>
                <w:szCs w:val="20"/>
                <w:color w:val="auto"/>
              </w:rPr>
            </w:pPr>
            <w:r>
              <w:rPr>
                <w:rFonts w:ascii="Arial" w:cs="Arial" w:eastAsia="Arial" w:hAnsi="Arial"/>
                <w:sz w:val="12"/>
                <w:szCs w:val="12"/>
                <w:color w:val="auto"/>
              </w:rPr>
              <w:t>Prevention or Delay of Performance by the Company or the Depositary.</w:t>
            </w:r>
          </w:p>
        </w:tc>
        <w:tc>
          <w:tcPr>
            <w:tcW w:w="66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5.3.</w:t>
            </w:r>
          </w:p>
        </w:tc>
        <w:tc>
          <w:tcPr>
            <w:tcW w:w="5600" w:type="dxa"/>
            <w:vAlign w:val="bottom"/>
          </w:tcPr>
          <w:p>
            <w:pPr>
              <w:ind w:left="280"/>
              <w:spacing w:after="0"/>
              <w:rPr>
                <w:sz w:val="20"/>
                <w:szCs w:val="20"/>
                <w:color w:val="auto"/>
              </w:rPr>
            </w:pPr>
            <w:r>
              <w:rPr>
                <w:rFonts w:ascii="Arial" w:cs="Arial" w:eastAsia="Arial" w:hAnsi="Arial"/>
                <w:sz w:val="12"/>
                <w:szCs w:val="12"/>
                <w:color w:val="auto"/>
              </w:rPr>
              <w:t>Obligations of the Depositary and the Company.</w:t>
            </w:r>
          </w:p>
        </w:tc>
        <w:tc>
          <w:tcPr>
            <w:tcW w:w="66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5.4.</w:t>
            </w:r>
          </w:p>
        </w:tc>
        <w:tc>
          <w:tcPr>
            <w:tcW w:w="5600" w:type="dxa"/>
            <w:vAlign w:val="bottom"/>
          </w:tcPr>
          <w:p>
            <w:pPr>
              <w:ind w:left="280"/>
              <w:spacing w:after="0"/>
              <w:rPr>
                <w:sz w:val="20"/>
                <w:szCs w:val="20"/>
                <w:color w:val="auto"/>
              </w:rPr>
            </w:pPr>
            <w:r>
              <w:rPr>
                <w:rFonts w:ascii="Arial" w:cs="Arial" w:eastAsia="Arial" w:hAnsi="Arial"/>
                <w:sz w:val="12"/>
                <w:szCs w:val="12"/>
                <w:color w:val="auto"/>
              </w:rPr>
              <w:t>Resignation and Removal of the Depositary.</w:t>
            </w:r>
          </w:p>
        </w:tc>
        <w:tc>
          <w:tcPr>
            <w:tcW w:w="66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5.5.</w:t>
            </w:r>
          </w:p>
        </w:tc>
        <w:tc>
          <w:tcPr>
            <w:tcW w:w="5600" w:type="dxa"/>
            <w:vAlign w:val="bottom"/>
          </w:tcPr>
          <w:p>
            <w:pPr>
              <w:ind w:left="280"/>
              <w:spacing w:after="0"/>
              <w:rPr>
                <w:sz w:val="20"/>
                <w:szCs w:val="20"/>
                <w:color w:val="auto"/>
              </w:rPr>
            </w:pPr>
            <w:r>
              <w:rPr>
                <w:rFonts w:ascii="Arial" w:cs="Arial" w:eastAsia="Arial" w:hAnsi="Arial"/>
                <w:sz w:val="12"/>
                <w:szCs w:val="12"/>
                <w:color w:val="auto"/>
              </w:rPr>
              <w:t>The Custodians.</w:t>
            </w:r>
          </w:p>
        </w:tc>
        <w:tc>
          <w:tcPr>
            <w:tcW w:w="6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5.6.</w:t>
            </w:r>
          </w:p>
        </w:tc>
        <w:tc>
          <w:tcPr>
            <w:tcW w:w="5600" w:type="dxa"/>
            <w:vAlign w:val="bottom"/>
          </w:tcPr>
          <w:p>
            <w:pPr>
              <w:ind w:left="280"/>
              <w:spacing w:after="0"/>
              <w:rPr>
                <w:sz w:val="20"/>
                <w:szCs w:val="20"/>
                <w:color w:val="auto"/>
              </w:rPr>
            </w:pPr>
            <w:r>
              <w:rPr>
                <w:rFonts w:ascii="Arial" w:cs="Arial" w:eastAsia="Arial" w:hAnsi="Arial"/>
                <w:sz w:val="12"/>
                <w:szCs w:val="12"/>
                <w:color w:val="auto"/>
              </w:rPr>
              <w:t>Notices and Reports.</w:t>
            </w:r>
          </w:p>
        </w:tc>
        <w:tc>
          <w:tcPr>
            <w:tcW w:w="6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5.7.</w:t>
            </w:r>
          </w:p>
        </w:tc>
        <w:tc>
          <w:tcPr>
            <w:tcW w:w="5600" w:type="dxa"/>
            <w:vAlign w:val="bottom"/>
          </w:tcPr>
          <w:p>
            <w:pPr>
              <w:ind w:left="280"/>
              <w:spacing w:after="0"/>
              <w:rPr>
                <w:sz w:val="20"/>
                <w:szCs w:val="20"/>
                <w:color w:val="auto"/>
              </w:rPr>
            </w:pPr>
            <w:r>
              <w:rPr>
                <w:rFonts w:ascii="Arial" w:cs="Arial" w:eastAsia="Arial" w:hAnsi="Arial"/>
                <w:sz w:val="12"/>
                <w:szCs w:val="12"/>
                <w:color w:val="auto"/>
              </w:rPr>
              <w:t>Distribution of Additional Shares, Rights, etc.</w:t>
            </w:r>
          </w:p>
        </w:tc>
        <w:tc>
          <w:tcPr>
            <w:tcW w:w="66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5.8.</w:t>
            </w:r>
          </w:p>
        </w:tc>
        <w:tc>
          <w:tcPr>
            <w:tcW w:w="5600" w:type="dxa"/>
            <w:vAlign w:val="bottom"/>
          </w:tcPr>
          <w:p>
            <w:pPr>
              <w:ind w:left="280"/>
              <w:spacing w:after="0"/>
              <w:rPr>
                <w:sz w:val="20"/>
                <w:szCs w:val="20"/>
                <w:color w:val="auto"/>
              </w:rPr>
            </w:pPr>
            <w:r>
              <w:rPr>
                <w:rFonts w:ascii="Arial" w:cs="Arial" w:eastAsia="Arial" w:hAnsi="Arial"/>
                <w:sz w:val="12"/>
                <w:szCs w:val="12"/>
                <w:color w:val="auto"/>
              </w:rPr>
              <w:t>Indemnification.</w:t>
            </w:r>
          </w:p>
        </w:tc>
        <w:tc>
          <w:tcPr>
            <w:tcW w:w="66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rPr>
              <w:t>SECTION 5.9.</w:t>
            </w:r>
          </w:p>
        </w:tc>
        <w:tc>
          <w:tcPr>
            <w:tcW w:w="5600" w:type="dxa"/>
            <w:vAlign w:val="bottom"/>
          </w:tcPr>
          <w:p>
            <w:pPr>
              <w:ind w:left="280"/>
              <w:spacing w:after="0"/>
              <w:rPr>
                <w:sz w:val="20"/>
                <w:szCs w:val="20"/>
                <w:color w:val="auto"/>
              </w:rPr>
            </w:pPr>
            <w:r>
              <w:rPr>
                <w:rFonts w:ascii="Arial" w:cs="Arial" w:eastAsia="Arial" w:hAnsi="Arial"/>
                <w:sz w:val="12"/>
                <w:szCs w:val="12"/>
                <w:color w:val="auto"/>
              </w:rPr>
              <w:t>Charges of Depositary.</w:t>
            </w:r>
          </w:p>
        </w:tc>
        <w:tc>
          <w:tcPr>
            <w:tcW w:w="66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5.10.</w:t>
            </w:r>
          </w:p>
        </w:tc>
        <w:tc>
          <w:tcPr>
            <w:tcW w:w="5600" w:type="dxa"/>
            <w:vAlign w:val="bottom"/>
          </w:tcPr>
          <w:p>
            <w:pPr>
              <w:ind w:left="280"/>
              <w:spacing w:after="0"/>
              <w:rPr>
                <w:sz w:val="20"/>
                <w:szCs w:val="20"/>
                <w:color w:val="auto"/>
              </w:rPr>
            </w:pPr>
            <w:r>
              <w:rPr>
                <w:rFonts w:ascii="Arial" w:cs="Arial" w:eastAsia="Arial" w:hAnsi="Arial"/>
                <w:sz w:val="12"/>
                <w:szCs w:val="12"/>
                <w:color w:val="auto"/>
              </w:rPr>
              <w:t>Retention of Depositary Documents.</w:t>
            </w:r>
          </w:p>
        </w:tc>
        <w:tc>
          <w:tcPr>
            <w:tcW w:w="66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5.11.</w:t>
            </w:r>
          </w:p>
        </w:tc>
        <w:tc>
          <w:tcPr>
            <w:tcW w:w="5600" w:type="dxa"/>
            <w:vAlign w:val="bottom"/>
          </w:tcPr>
          <w:p>
            <w:pPr>
              <w:ind w:left="280"/>
              <w:spacing w:after="0"/>
              <w:rPr>
                <w:sz w:val="20"/>
                <w:szCs w:val="20"/>
                <w:color w:val="auto"/>
              </w:rPr>
            </w:pPr>
            <w:r>
              <w:rPr>
                <w:rFonts w:ascii="Arial" w:cs="Arial" w:eastAsia="Arial" w:hAnsi="Arial"/>
                <w:sz w:val="12"/>
                <w:szCs w:val="12"/>
                <w:color w:val="auto"/>
              </w:rPr>
              <w:t>Exclusivity.</w:t>
            </w:r>
          </w:p>
        </w:tc>
        <w:tc>
          <w:tcPr>
            <w:tcW w:w="66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1040" w:type="dxa"/>
            <w:vAlign w:val="bottom"/>
          </w:tcPr>
          <w:p>
            <w:pPr>
              <w:ind w:left="240"/>
              <w:spacing w:after="0"/>
              <w:rPr>
                <w:sz w:val="20"/>
                <w:szCs w:val="20"/>
                <w:color w:val="auto"/>
              </w:rPr>
            </w:pPr>
            <w:r>
              <w:rPr>
                <w:rFonts w:ascii="Arial" w:cs="Arial" w:eastAsia="Arial" w:hAnsi="Arial"/>
                <w:sz w:val="12"/>
                <w:szCs w:val="12"/>
                <w:color w:val="auto"/>
                <w:w w:val="93"/>
              </w:rPr>
              <w:t>SECTION 5.12.</w:t>
            </w:r>
          </w:p>
        </w:tc>
        <w:tc>
          <w:tcPr>
            <w:tcW w:w="5600" w:type="dxa"/>
            <w:vAlign w:val="bottom"/>
          </w:tcPr>
          <w:p>
            <w:pPr>
              <w:ind w:left="280"/>
              <w:spacing w:after="0"/>
              <w:rPr>
                <w:sz w:val="20"/>
                <w:szCs w:val="20"/>
                <w:color w:val="auto"/>
              </w:rPr>
            </w:pPr>
            <w:r>
              <w:rPr>
                <w:rFonts w:ascii="Arial" w:cs="Arial" w:eastAsia="Arial" w:hAnsi="Arial"/>
                <w:sz w:val="12"/>
                <w:szCs w:val="12"/>
                <w:color w:val="auto"/>
              </w:rPr>
              <w:t>Information for Regulatory Compliance.</w:t>
            </w:r>
          </w:p>
        </w:tc>
        <w:tc>
          <w:tcPr>
            <w:tcW w:w="660" w:type="dxa"/>
            <w:vAlign w:val="bottom"/>
          </w:tcPr>
          <w:p>
            <w:pPr>
              <w:jc w:val="right"/>
              <w:spacing w:after="0"/>
              <w:rPr>
                <w:sz w:val="20"/>
                <w:szCs w:val="20"/>
                <w:color w:val="auto"/>
              </w:rPr>
            </w:pPr>
            <w:r>
              <w:rPr>
                <w:rFonts w:ascii="Arial" w:cs="Arial" w:eastAsia="Arial" w:hAnsi="Arial"/>
                <w:sz w:val="12"/>
                <w:szCs w:val="12"/>
                <w:color w:val="auto"/>
              </w:rPr>
              <w:t>30</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9019"/>
          </w:cols>
          <w:pgMar w:left="1440" w:top="230" w:right="1440" w:bottom="1440" w:gutter="0" w:footer="0" w:header="0"/>
        </w:sectPr>
      </w:pPr>
    </w:p>
    <w:bookmarkStart w:id="270" w:name="page271"/>
    <w:bookmarkEnd w:id="270"/>
    <w:tbl>
      <w:tblPr>
        <w:tblLayout w:type="fixed"/>
        <w:tblInd w:w="840" w:type="dxa"/>
        <w:tblCellMar>
          <w:top w:w="0" w:type="dxa"/>
          <w:left w:w="0" w:type="dxa"/>
          <w:bottom w:w="0" w:type="dxa"/>
          <w:right w:w="0" w:type="dxa"/>
        </w:tblCellMar>
      </w:tblP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ARTICLE 6.</w:t>
            </w:r>
          </w:p>
        </w:tc>
        <w:tc>
          <w:tcPr>
            <w:tcW w:w="5460" w:type="dxa"/>
            <w:vAlign w:val="bottom"/>
          </w:tcPr>
          <w:p>
            <w:pPr>
              <w:ind w:left="40"/>
              <w:spacing w:after="0"/>
              <w:rPr>
                <w:sz w:val="20"/>
                <w:szCs w:val="20"/>
                <w:color w:val="auto"/>
              </w:rPr>
            </w:pPr>
            <w:r>
              <w:rPr>
                <w:rFonts w:ascii="Arial" w:cs="Arial" w:eastAsia="Arial" w:hAnsi="Arial"/>
                <w:sz w:val="12"/>
                <w:szCs w:val="12"/>
                <w:color w:val="auto"/>
              </w:rPr>
              <w:t>AMENDMENT AND 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6.1.</w:t>
            </w:r>
          </w:p>
        </w:tc>
        <w:tc>
          <w:tcPr>
            <w:tcW w:w="5460" w:type="dxa"/>
            <w:vAlign w:val="bottom"/>
          </w:tcPr>
          <w:p>
            <w:pPr>
              <w:ind w:left="280"/>
              <w:spacing w:after="0"/>
              <w:rPr>
                <w:sz w:val="20"/>
                <w:szCs w:val="20"/>
                <w:color w:val="auto"/>
              </w:rPr>
            </w:pPr>
            <w:r>
              <w:rPr>
                <w:rFonts w:ascii="Arial" w:cs="Arial" w:eastAsia="Arial" w:hAnsi="Arial"/>
                <w:sz w:val="12"/>
                <w:szCs w:val="12"/>
                <w:color w:val="auto"/>
              </w:rPr>
              <w:t>Amendment.</w:t>
            </w:r>
          </w:p>
        </w:tc>
        <w:tc>
          <w:tcPr>
            <w:tcW w:w="86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6.2.</w:t>
            </w:r>
          </w:p>
        </w:tc>
        <w:tc>
          <w:tcPr>
            <w:tcW w:w="5460" w:type="dxa"/>
            <w:vAlign w:val="bottom"/>
          </w:tcPr>
          <w:p>
            <w:pPr>
              <w:ind w:left="280"/>
              <w:spacing w:after="0"/>
              <w:rPr>
                <w:sz w:val="20"/>
                <w:szCs w:val="20"/>
                <w:color w:val="auto"/>
              </w:rPr>
            </w:pPr>
            <w:r>
              <w:rPr>
                <w:rFonts w:ascii="Arial" w:cs="Arial" w:eastAsia="Arial" w:hAnsi="Arial"/>
                <w:sz w:val="12"/>
                <w:szCs w:val="12"/>
                <w:color w:val="auto"/>
              </w:rPr>
              <w:t>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07"/>
        </w:trPr>
        <w:tc>
          <w:tcPr>
            <w:tcW w:w="980" w:type="dxa"/>
            <w:vAlign w:val="bottom"/>
          </w:tcPr>
          <w:p>
            <w:pPr>
              <w:spacing w:after="0"/>
              <w:rPr>
                <w:sz w:val="20"/>
                <w:szCs w:val="20"/>
                <w:color w:val="auto"/>
              </w:rPr>
            </w:pPr>
            <w:r>
              <w:rPr>
                <w:rFonts w:ascii="Arial" w:cs="Arial" w:eastAsia="Arial" w:hAnsi="Arial"/>
                <w:sz w:val="12"/>
                <w:szCs w:val="12"/>
                <w:color w:val="auto"/>
              </w:rPr>
              <w:t>ARTICLE 7.</w:t>
            </w:r>
          </w:p>
        </w:tc>
        <w:tc>
          <w:tcPr>
            <w:tcW w:w="5460" w:type="dxa"/>
            <w:vAlign w:val="bottom"/>
          </w:tcPr>
          <w:p>
            <w:pPr>
              <w:ind w:left="40"/>
              <w:spacing w:after="0"/>
              <w:rPr>
                <w:sz w:val="20"/>
                <w:szCs w:val="20"/>
                <w:color w:val="auto"/>
              </w:rPr>
            </w:pPr>
            <w:r>
              <w:rPr>
                <w:rFonts w:ascii="Arial" w:cs="Arial" w:eastAsia="Arial" w:hAnsi="Arial"/>
                <w:sz w:val="12"/>
                <w:szCs w:val="12"/>
                <w:color w:val="auto"/>
              </w:rPr>
              <w:t>MISCELLANEOUS</w:t>
            </w:r>
          </w:p>
        </w:tc>
        <w:tc>
          <w:tcPr>
            <w:tcW w:w="86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7.1.</w:t>
            </w:r>
          </w:p>
        </w:tc>
        <w:tc>
          <w:tcPr>
            <w:tcW w:w="5460" w:type="dxa"/>
            <w:vAlign w:val="bottom"/>
          </w:tcPr>
          <w:p>
            <w:pPr>
              <w:ind w:left="280"/>
              <w:spacing w:after="0"/>
              <w:rPr>
                <w:sz w:val="20"/>
                <w:szCs w:val="20"/>
                <w:color w:val="auto"/>
              </w:rPr>
            </w:pPr>
            <w:r>
              <w:rPr>
                <w:rFonts w:ascii="Arial" w:cs="Arial" w:eastAsia="Arial" w:hAnsi="Arial"/>
                <w:sz w:val="12"/>
                <w:szCs w:val="12"/>
                <w:color w:val="auto"/>
              </w:rPr>
              <w:t>Counterparts; Signatures; Delivery.</w:t>
            </w:r>
          </w:p>
        </w:tc>
        <w:tc>
          <w:tcPr>
            <w:tcW w:w="86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7.2.</w:t>
            </w:r>
          </w:p>
        </w:tc>
        <w:tc>
          <w:tcPr>
            <w:tcW w:w="5460" w:type="dxa"/>
            <w:vAlign w:val="bottom"/>
          </w:tcPr>
          <w:p>
            <w:pPr>
              <w:ind w:left="280"/>
              <w:spacing w:after="0"/>
              <w:rPr>
                <w:sz w:val="20"/>
                <w:szCs w:val="20"/>
                <w:color w:val="auto"/>
              </w:rPr>
            </w:pPr>
            <w:r>
              <w:rPr>
                <w:rFonts w:ascii="Arial" w:cs="Arial" w:eastAsia="Arial" w:hAnsi="Arial"/>
                <w:sz w:val="12"/>
                <w:szCs w:val="12"/>
                <w:color w:val="auto"/>
              </w:rPr>
              <w:t>No Third Party Beneficiaries.</w:t>
            </w:r>
          </w:p>
        </w:tc>
        <w:tc>
          <w:tcPr>
            <w:tcW w:w="8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7.3.</w:t>
            </w:r>
          </w:p>
        </w:tc>
        <w:tc>
          <w:tcPr>
            <w:tcW w:w="5460" w:type="dxa"/>
            <w:vAlign w:val="bottom"/>
          </w:tcPr>
          <w:p>
            <w:pPr>
              <w:ind w:left="280"/>
              <w:spacing w:after="0"/>
              <w:rPr>
                <w:sz w:val="20"/>
                <w:szCs w:val="20"/>
                <w:color w:val="auto"/>
              </w:rPr>
            </w:pPr>
            <w:r>
              <w:rPr>
                <w:rFonts w:ascii="Arial" w:cs="Arial" w:eastAsia="Arial" w:hAnsi="Arial"/>
                <w:sz w:val="12"/>
                <w:szCs w:val="12"/>
                <w:color w:val="auto"/>
              </w:rPr>
              <w:t>Severability.</w:t>
            </w:r>
          </w:p>
        </w:tc>
        <w:tc>
          <w:tcPr>
            <w:tcW w:w="8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7.4.</w:t>
            </w:r>
          </w:p>
        </w:tc>
        <w:tc>
          <w:tcPr>
            <w:tcW w:w="5460" w:type="dxa"/>
            <w:vAlign w:val="bottom"/>
          </w:tcPr>
          <w:p>
            <w:pPr>
              <w:ind w:left="280"/>
              <w:spacing w:after="0"/>
              <w:rPr>
                <w:sz w:val="20"/>
                <w:szCs w:val="20"/>
                <w:color w:val="auto"/>
              </w:rPr>
            </w:pPr>
            <w:r>
              <w:rPr>
                <w:rFonts w:ascii="Arial" w:cs="Arial" w:eastAsia="Arial" w:hAnsi="Arial"/>
                <w:sz w:val="12"/>
                <w:szCs w:val="12"/>
                <w:color w:val="auto"/>
              </w:rPr>
              <w:t>Owners and Holders as Parties; Binding Effect.</w:t>
            </w:r>
          </w:p>
        </w:tc>
        <w:tc>
          <w:tcPr>
            <w:tcW w:w="8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7.5.</w:t>
            </w:r>
          </w:p>
        </w:tc>
        <w:tc>
          <w:tcPr>
            <w:tcW w:w="5460" w:type="dxa"/>
            <w:vAlign w:val="bottom"/>
          </w:tcPr>
          <w:p>
            <w:pPr>
              <w:ind w:left="280"/>
              <w:spacing w:after="0"/>
              <w:rPr>
                <w:sz w:val="20"/>
                <w:szCs w:val="20"/>
                <w:color w:val="auto"/>
              </w:rPr>
            </w:pPr>
            <w:r>
              <w:rPr>
                <w:rFonts w:ascii="Arial" w:cs="Arial" w:eastAsia="Arial" w:hAnsi="Arial"/>
                <w:sz w:val="12"/>
                <w:szCs w:val="12"/>
                <w:color w:val="auto"/>
              </w:rPr>
              <w:t>Notices.</w:t>
            </w:r>
          </w:p>
        </w:tc>
        <w:tc>
          <w:tcPr>
            <w:tcW w:w="8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7.6.</w:t>
            </w:r>
          </w:p>
        </w:tc>
        <w:tc>
          <w:tcPr>
            <w:tcW w:w="5460" w:type="dxa"/>
            <w:vAlign w:val="bottom"/>
          </w:tcPr>
          <w:p>
            <w:pPr>
              <w:ind w:left="280"/>
              <w:spacing w:after="0"/>
              <w:rPr>
                <w:sz w:val="20"/>
                <w:szCs w:val="20"/>
                <w:color w:val="auto"/>
              </w:rPr>
            </w:pPr>
            <w:r>
              <w:rPr>
                <w:rFonts w:ascii="Arial" w:cs="Arial" w:eastAsia="Arial" w:hAnsi="Arial"/>
                <w:sz w:val="12"/>
                <w:szCs w:val="12"/>
                <w:color w:val="auto"/>
              </w:rPr>
              <w:t>Appointment of Agent for Service of Process; Submission to Jurisdiction; Jury Trial Waiver.</w:t>
            </w:r>
          </w:p>
        </w:tc>
        <w:tc>
          <w:tcPr>
            <w:tcW w:w="8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7.7.</w:t>
            </w:r>
          </w:p>
        </w:tc>
        <w:tc>
          <w:tcPr>
            <w:tcW w:w="5460" w:type="dxa"/>
            <w:vAlign w:val="bottom"/>
          </w:tcPr>
          <w:p>
            <w:pPr>
              <w:ind w:left="280"/>
              <w:spacing w:after="0"/>
              <w:rPr>
                <w:sz w:val="20"/>
                <w:szCs w:val="20"/>
                <w:color w:val="auto"/>
              </w:rPr>
            </w:pPr>
            <w:r>
              <w:rPr>
                <w:rFonts w:ascii="Arial" w:cs="Arial" w:eastAsia="Arial" w:hAnsi="Arial"/>
                <w:sz w:val="12"/>
                <w:szCs w:val="12"/>
                <w:color w:val="auto"/>
              </w:rPr>
              <w:t>Waiver of Immunities.</w:t>
            </w:r>
          </w:p>
        </w:tc>
        <w:tc>
          <w:tcPr>
            <w:tcW w:w="86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53"/>
        </w:trPr>
        <w:tc>
          <w:tcPr>
            <w:tcW w:w="980" w:type="dxa"/>
            <w:vAlign w:val="bottom"/>
          </w:tcPr>
          <w:p>
            <w:pPr>
              <w:ind w:left="240"/>
              <w:spacing w:after="0"/>
              <w:rPr>
                <w:sz w:val="20"/>
                <w:szCs w:val="20"/>
                <w:color w:val="auto"/>
              </w:rPr>
            </w:pPr>
            <w:r>
              <w:rPr>
                <w:rFonts w:ascii="Arial" w:cs="Arial" w:eastAsia="Arial" w:hAnsi="Arial"/>
                <w:sz w:val="12"/>
                <w:szCs w:val="12"/>
                <w:color w:val="auto"/>
                <w:w w:val="93"/>
              </w:rPr>
              <w:t>SECTION 7.8.</w:t>
            </w:r>
          </w:p>
        </w:tc>
        <w:tc>
          <w:tcPr>
            <w:tcW w:w="5460" w:type="dxa"/>
            <w:vAlign w:val="bottom"/>
          </w:tcPr>
          <w:p>
            <w:pPr>
              <w:ind w:left="280"/>
              <w:spacing w:after="0"/>
              <w:rPr>
                <w:sz w:val="20"/>
                <w:szCs w:val="20"/>
                <w:color w:val="auto"/>
              </w:rPr>
            </w:pPr>
            <w:r>
              <w:rPr>
                <w:rFonts w:ascii="Arial" w:cs="Arial" w:eastAsia="Arial" w:hAnsi="Arial"/>
                <w:sz w:val="12"/>
                <w:szCs w:val="12"/>
                <w:color w:val="auto"/>
              </w:rPr>
              <w:t>Governing Law.</w:t>
            </w:r>
          </w:p>
        </w:tc>
        <w:tc>
          <w:tcPr>
            <w:tcW w:w="860" w:type="dxa"/>
            <w:vAlign w:val="bottom"/>
          </w:tcPr>
          <w:p>
            <w:pPr>
              <w:jc w:val="right"/>
              <w:spacing w:after="0"/>
              <w:rPr>
                <w:sz w:val="20"/>
                <w:szCs w:val="20"/>
                <w:color w:val="auto"/>
              </w:rPr>
            </w:pPr>
            <w:r>
              <w:rPr>
                <w:rFonts w:ascii="Arial" w:cs="Arial" w:eastAsia="Arial" w:hAnsi="Arial"/>
                <w:sz w:val="12"/>
                <w:szCs w:val="12"/>
                <w:color w:val="auto"/>
              </w:rPr>
              <w:t>35</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9019"/>
          </w:cols>
          <w:pgMar w:left="1440" w:top="302" w:right="1440" w:bottom="1440" w:gutter="0" w:footer="0" w:header="0"/>
        </w:sectPr>
      </w:pPr>
    </w:p>
    <w:bookmarkStart w:id="271" w:name="page272"/>
    <w:bookmarkEnd w:id="271"/>
    <w:p>
      <w:pPr>
        <w:ind w:left="76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4.1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DEPOSIT AGREEMENT</w:t>
      </w:r>
    </w:p>
    <w:p>
      <w:pPr>
        <w:spacing w:after="0" w:line="150" w:lineRule="exact"/>
        <w:rPr>
          <w:sz w:val="20"/>
          <w:szCs w:val="20"/>
          <w:color w:val="auto"/>
        </w:rPr>
      </w:pPr>
    </w:p>
    <w:p>
      <w:pPr>
        <w:ind w:left="1780"/>
        <w:spacing w:after="0"/>
        <w:tabs>
          <w:tab w:leader="none" w:pos="4080" w:val="left"/>
        </w:tabs>
        <w:rPr>
          <w:sz w:val="20"/>
          <w:szCs w:val="20"/>
          <w:color w:val="auto"/>
        </w:rPr>
      </w:pPr>
      <w:r>
        <w:rPr>
          <w:rFonts w:ascii="Arial" w:cs="Arial" w:eastAsia="Arial" w:hAnsi="Arial"/>
          <w:sz w:val="12"/>
          <w:szCs w:val="12"/>
          <w:color w:val="auto"/>
        </w:rPr>
        <w:t>DEPOSIT AGREEMENT dated as of</w:t>
      </w:r>
      <w:r>
        <w:rPr>
          <w:sz w:val="20"/>
          <w:szCs w:val="20"/>
          <w:color w:val="auto"/>
        </w:rPr>
        <w:tab/>
      </w:r>
      <w:r>
        <w:rPr>
          <w:rFonts w:ascii="Arial" w:cs="Arial" w:eastAsia="Arial" w:hAnsi="Arial"/>
          <w:sz w:val="11"/>
          <w:szCs w:val="11"/>
          <w:color w:val="auto"/>
        </w:rPr>
        <w:t>, 2021 among MYNARIC AG,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w:t>
      </w:r>
    </w:p>
    <w:p>
      <w:pPr>
        <w:spacing w:after="0" w:line="15" w:lineRule="exact"/>
        <w:rPr>
          <w:sz w:val="20"/>
          <w:szCs w:val="20"/>
          <w:color w:val="auto"/>
        </w:rPr>
      </w:pPr>
    </w:p>
    <w:p>
      <w:pPr>
        <w:ind w:left="840" w:right="859"/>
        <w:spacing w:after="0" w:line="253" w:lineRule="auto"/>
        <w:rPr>
          <w:sz w:val="20"/>
          <w:szCs w:val="20"/>
          <w:color w:val="auto"/>
        </w:rPr>
      </w:pPr>
      <w:r>
        <w:rPr>
          <w:rFonts w:ascii="Arial" w:cs="Arial" w:eastAsia="Arial" w:hAnsi="Arial"/>
          <w:sz w:val="12"/>
          <w:szCs w:val="12"/>
          <w:color w:val="auto"/>
        </w:rPr>
        <w:t>under the laws of the Federal Republic of Germany and registered with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the Federal Republic of Germany, under docket number HRB 232763 (herein called the Company), THE BANK OF NEW YORK MELLON, a New York banking corporation (herein called the Depositary), and all Owners and Holders (each as hereinafter defined) from time to time of American Depositary Shares issued hereunder.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 I T N E S S E T H:</w:t>
      </w:r>
    </w:p>
    <w:p>
      <w:pPr>
        <w:spacing w:after="0" w:line="150" w:lineRule="exact"/>
        <w:rPr>
          <w:sz w:val="20"/>
          <w:szCs w:val="20"/>
          <w:color w:val="auto"/>
        </w:rPr>
      </w:pPr>
    </w:p>
    <w:p>
      <w:pPr>
        <w:ind w:left="840" w:right="1079" w:firstLine="955"/>
        <w:spacing w:after="0" w:line="259" w:lineRule="auto"/>
        <w:rPr>
          <w:sz w:val="20"/>
          <w:szCs w:val="20"/>
          <w:color w:val="auto"/>
        </w:rPr>
      </w:pPr>
      <w:r>
        <w:rPr>
          <w:rFonts w:ascii="Arial" w:cs="Arial" w:eastAsia="Arial" w:hAnsi="Arial"/>
          <w:sz w:val="12"/>
          <w:szCs w:val="12"/>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24" w:lineRule="exact"/>
        <w:rPr>
          <w:sz w:val="20"/>
          <w:szCs w:val="20"/>
          <w:color w:val="auto"/>
        </w:rPr>
      </w:pPr>
    </w:p>
    <w:p>
      <w:pPr>
        <w:ind w:left="840" w:right="919" w:firstLine="955"/>
        <w:spacing w:after="0" w:line="276" w:lineRule="auto"/>
        <w:rPr>
          <w:sz w:val="20"/>
          <w:szCs w:val="20"/>
          <w:color w:val="auto"/>
        </w:rPr>
      </w:pPr>
      <w:r>
        <w:rPr>
          <w:rFonts w:ascii="Arial" w:cs="Arial" w:eastAsia="Arial" w:hAnsi="Arial"/>
          <w:sz w:val="12"/>
          <w:szCs w:val="12"/>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NOW, THEREFORE, in consideration of the premises, it is agreed by and between the parties hereto as follows:</w:t>
      </w:r>
    </w:p>
    <w:p>
      <w:pPr>
        <w:spacing w:after="0" w:line="249"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2"/>
          <w:szCs w:val="12"/>
          <w:color w:val="auto"/>
        </w:rPr>
        <w:t>ARTICLE 1.</w:t>
      </w:r>
      <w:r>
        <w:rPr>
          <w:sz w:val="20"/>
          <w:szCs w:val="20"/>
          <w:color w:val="auto"/>
        </w:rPr>
        <w:tab/>
      </w:r>
      <w:r>
        <w:rPr>
          <w:rFonts w:ascii="Arial" w:cs="Arial" w:eastAsia="Arial" w:hAnsi="Arial"/>
          <w:sz w:val="11"/>
          <w:szCs w:val="11"/>
          <w:color w:val="auto"/>
        </w:rPr>
        <w:t>DEFINITIONS</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The following definitions shall for all purposes, unless otherwise clearly indicated, apply to the respective terms used in this Deposit</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Agreement:</w:t>
      </w:r>
    </w:p>
    <w:p>
      <w:pPr>
        <w:spacing w:after="0" w:line="2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American Depositary Shares.</w:t>
      </w:r>
    </w:p>
    <w:p>
      <w:pPr>
        <w:spacing w:after="0" w:line="78" w:lineRule="exact"/>
        <w:rPr>
          <w:sz w:val="20"/>
          <w:szCs w:val="20"/>
          <w:color w:val="auto"/>
        </w:rPr>
      </w:pPr>
    </w:p>
    <w:p>
      <w:pPr>
        <w:ind w:left="840" w:right="879" w:firstLine="955"/>
        <w:spacing w:after="0" w:line="285" w:lineRule="auto"/>
        <w:rPr>
          <w:sz w:val="20"/>
          <w:szCs w:val="20"/>
          <w:color w:val="auto"/>
        </w:rPr>
      </w:pPr>
      <w:r>
        <w:rPr>
          <w:rFonts w:ascii="Arial" w:cs="Arial" w:eastAsia="Arial" w:hAnsi="Arial"/>
          <w:sz w:val="11"/>
          <w:szCs w:val="11"/>
          <w:color w:val="auto"/>
        </w:rPr>
        <w:t>The term “</w:t>
      </w:r>
      <w:r>
        <w:rPr>
          <w:rFonts w:ascii="Arial" w:cs="Arial" w:eastAsia="Arial" w:hAnsi="Arial"/>
          <w:sz w:val="11"/>
          <w:szCs w:val="11"/>
          <w:u w:val="single" w:color="auto"/>
          <w:color w:val="auto"/>
        </w:rPr>
        <w:t>American Depositary Shares</w:t>
      </w:r>
      <w:r>
        <w:rPr>
          <w:rFonts w:ascii="Arial" w:cs="Arial" w:eastAsia="Arial" w:hAnsi="Arial"/>
          <w:sz w:val="11"/>
          <w:szCs w:val="11"/>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ectPr>
          <w:pgSz w:w="11900" w:h="16838" w:orient="portrait"/>
          <w:cols w:equalWidth="0" w:num="1">
            <w:col w:w="9019"/>
          </w:cols>
          <w:pgMar w:left="1440" w:top="226" w:right="1440" w:bottom="1440" w:gutter="0" w:footer="0" w:header="0"/>
        </w:sectPr>
      </w:pPr>
    </w:p>
    <w:bookmarkStart w:id="272" w:name="page273"/>
    <w:bookmarkEnd w:id="272"/>
    <w:p>
      <w:pPr>
        <w:ind w:left="840" w:right="859" w:firstLine="955"/>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Each American Depositary Share shall represent the number of Shares specified in Exhibit A to this Deposit Agreement, </w:t>
      </w:r>
      <w:r>
        <w:rPr>
          <w:rFonts w:ascii="Arial" w:cs="Arial" w:eastAsia="Arial" w:hAnsi="Arial"/>
          <w:sz w:val="12"/>
          <w:szCs w:val="12"/>
          <w:u w:val="single" w:color="auto"/>
          <w:color w:val="auto"/>
        </w:rPr>
        <w:t>except that</w:t>
      </w:r>
      <w:r>
        <w:rPr>
          <w:rFonts w:ascii="Arial" w:cs="Arial" w:eastAsia="Arial" w:hAnsi="Arial"/>
          <w:sz w:val="12"/>
          <w:szCs w:val="12"/>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Commission.</w:t>
      </w:r>
    </w:p>
    <w:p>
      <w:pPr>
        <w:spacing w:after="0" w:line="78" w:lineRule="exact"/>
        <w:rPr>
          <w:sz w:val="20"/>
          <w:szCs w:val="20"/>
          <w:color w:val="auto"/>
        </w:rPr>
      </w:pPr>
    </w:p>
    <w:p>
      <w:pPr>
        <w:ind w:left="840" w:right="999" w:firstLine="955"/>
        <w:spacing w:after="0" w:line="276"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Commission</w:t>
      </w:r>
      <w:r>
        <w:rPr>
          <w:rFonts w:ascii="Arial" w:cs="Arial" w:eastAsia="Arial" w:hAnsi="Arial"/>
          <w:sz w:val="12"/>
          <w:szCs w:val="12"/>
          <w:color w:val="auto"/>
        </w:rPr>
        <w:t>” shall mean the Securities and Exchange Commission of the United States or any successor governmental agency in the United States.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Company.</w:t>
      </w:r>
    </w:p>
    <w:p>
      <w:pPr>
        <w:spacing w:after="0" w:line="78" w:lineRule="exact"/>
        <w:rPr>
          <w:sz w:val="20"/>
          <w:szCs w:val="20"/>
          <w:color w:val="auto"/>
        </w:rPr>
      </w:pPr>
    </w:p>
    <w:p>
      <w:pPr>
        <w:ind w:left="840" w:right="899" w:firstLine="955"/>
        <w:spacing w:after="0" w:line="263"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Company</w:t>
      </w:r>
      <w:r>
        <w:rPr>
          <w:rFonts w:ascii="Arial" w:cs="Arial" w:eastAsia="Arial" w:hAnsi="Arial"/>
          <w:sz w:val="12"/>
          <w:szCs w:val="12"/>
          <w:color w:val="auto"/>
        </w:rPr>
        <w:t>” shall mean Mynaric AG, a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incorporated under the laws of the Federal Republic of Germany and registered with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the Federal Republic of Germany, under docket number HRB 232763, and its successors.</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Custodian.</w:t>
      </w:r>
    </w:p>
    <w:p>
      <w:pPr>
        <w:spacing w:after="0" w:line="78" w:lineRule="exact"/>
        <w:rPr>
          <w:sz w:val="20"/>
          <w:szCs w:val="20"/>
          <w:color w:val="auto"/>
        </w:rPr>
      </w:pPr>
    </w:p>
    <w:p>
      <w:pPr>
        <w:ind w:left="840" w:right="899" w:firstLine="955"/>
        <w:spacing w:after="0" w:line="263"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Custodian</w:t>
      </w:r>
      <w:r>
        <w:rPr>
          <w:rFonts w:ascii="Arial" w:cs="Arial" w:eastAsia="Arial" w:hAnsi="Arial"/>
          <w:sz w:val="12"/>
          <w:szCs w:val="12"/>
          <w:color w:val="auto"/>
        </w:rPr>
        <w:t>” shall mean The Bank of New York Mellon SA/NV, as custodian for the Depositary in the Federal Republic of Germany for the purposes of this Deposit Agreement, and any other firm or corporation the Depositary appoints under Section 5.5 as a substitute or additional custodian under this Deposit Agreement, and shall also mean all of them collectively.</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Deliver; Surrender.</w:t>
      </w:r>
    </w:p>
    <w:p>
      <w:pPr>
        <w:spacing w:after="0" w:line="78" w:lineRule="exact"/>
        <w:rPr>
          <w:sz w:val="20"/>
          <w:szCs w:val="20"/>
          <w:color w:val="auto"/>
        </w:rPr>
      </w:pPr>
    </w:p>
    <w:p>
      <w:pPr>
        <w:ind w:left="840" w:right="979" w:firstLine="947"/>
        <w:spacing w:after="0" w:line="326" w:lineRule="auto"/>
        <w:tabs>
          <w:tab w:leader="none" w:pos="1958" w:val="left"/>
        </w:tabs>
        <w:numPr>
          <w:ilvl w:val="0"/>
          <w:numId w:val="213"/>
        </w:numPr>
        <w:rPr>
          <w:rFonts w:ascii="Arial" w:cs="Arial" w:eastAsia="Arial" w:hAnsi="Arial"/>
          <w:sz w:val="10"/>
          <w:szCs w:val="10"/>
          <w:color w:val="auto"/>
        </w:rPr>
      </w:pPr>
      <w:r>
        <w:rPr>
          <w:rFonts w:ascii="Arial" w:cs="Arial" w:eastAsia="Arial" w:hAnsi="Arial"/>
          <w:sz w:val="10"/>
          <w:szCs w:val="10"/>
          <w:color w:val="auto"/>
        </w:rPr>
        <w:t>The term “</w:t>
      </w:r>
      <w:r>
        <w:rPr>
          <w:rFonts w:ascii="Arial" w:cs="Arial" w:eastAsia="Arial" w:hAnsi="Arial"/>
          <w:sz w:val="10"/>
          <w:szCs w:val="10"/>
          <w:u w:val="single" w:color="auto"/>
          <w:color w:val="auto"/>
        </w:rPr>
        <w:t>deliver</w:t>
      </w:r>
      <w:r>
        <w:rPr>
          <w:rFonts w:ascii="Arial" w:cs="Arial" w:eastAsia="Arial" w:hAnsi="Arial"/>
          <w:sz w:val="10"/>
          <w:szCs w:val="10"/>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95" w:lineRule="exact"/>
        <w:rPr>
          <w:rFonts w:ascii="Arial" w:cs="Arial" w:eastAsia="Arial" w:hAnsi="Arial"/>
          <w:sz w:val="10"/>
          <w:szCs w:val="10"/>
          <w:color w:val="auto"/>
        </w:rPr>
      </w:pPr>
    </w:p>
    <w:p>
      <w:pPr>
        <w:ind w:left="840" w:right="899" w:firstLine="947"/>
        <w:spacing w:after="0" w:line="263" w:lineRule="auto"/>
        <w:tabs>
          <w:tab w:leader="none" w:pos="1965"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deliver</w:t>
      </w:r>
      <w:r>
        <w:rPr>
          <w:rFonts w:ascii="Arial" w:cs="Arial" w:eastAsia="Arial" w:hAnsi="Arial"/>
          <w:sz w:val="12"/>
          <w:szCs w:val="12"/>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273" w:name="page274"/>
    <w:bookmarkEnd w:id="273"/>
    <w:p>
      <w:pPr>
        <w:ind w:left="840" w:right="959" w:hanging="8"/>
        <w:spacing w:after="0" w:line="259" w:lineRule="auto"/>
        <w:tabs>
          <w:tab w:leader="none" w:pos="1017" w:val="left"/>
        </w:tabs>
        <w:numPr>
          <w:ilvl w:val="0"/>
          <w:numId w:val="21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24" w:lineRule="exact"/>
        <w:rPr>
          <w:rFonts w:ascii="Arial" w:cs="Arial" w:eastAsia="Arial" w:hAnsi="Arial"/>
          <w:sz w:val="12"/>
          <w:szCs w:val="12"/>
          <w:color w:val="auto"/>
        </w:rPr>
      </w:pPr>
    </w:p>
    <w:p>
      <w:pPr>
        <w:ind w:left="840" w:right="879" w:firstLine="947"/>
        <w:spacing w:after="0" w:line="259" w:lineRule="auto"/>
        <w:tabs>
          <w:tab w:leader="none" w:pos="1958" w:val="left"/>
        </w:tabs>
        <w:numPr>
          <w:ilvl w:val="1"/>
          <w:numId w:val="214"/>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surrender</w:t>
      </w:r>
      <w:r>
        <w:rPr>
          <w:rFonts w:ascii="Arial" w:cs="Arial" w:eastAsia="Arial" w:hAnsi="Arial"/>
          <w:sz w:val="12"/>
          <w:szCs w:val="12"/>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Deposit Agreement.</w:t>
      </w:r>
    </w:p>
    <w:p>
      <w:pPr>
        <w:spacing w:after="0" w:line="78" w:lineRule="exact"/>
        <w:rPr>
          <w:sz w:val="20"/>
          <w:szCs w:val="20"/>
          <w:color w:val="auto"/>
        </w:rPr>
      </w:pPr>
    </w:p>
    <w:p>
      <w:pPr>
        <w:ind w:left="840" w:right="919" w:firstLine="955"/>
        <w:spacing w:after="0" w:line="276"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Deposit Agreement</w:t>
      </w:r>
      <w:r>
        <w:rPr>
          <w:rFonts w:ascii="Arial" w:cs="Arial" w:eastAsia="Arial" w:hAnsi="Arial"/>
          <w:sz w:val="12"/>
          <w:szCs w:val="12"/>
          <w:color w:val="auto"/>
        </w:rPr>
        <w:t>” shall mean this Deposit Agreement, as it may be amended from time to time in accordance with the provisions of this Deposit Agreement.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1.7. </w:t>
      </w:r>
      <w:r>
        <w:rPr>
          <w:rFonts w:ascii="Arial" w:cs="Arial" w:eastAsia="Arial" w:hAnsi="Arial"/>
          <w:sz w:val="12"/>
          <w:szCs w:val="12"/>
          <w:u w:val="single" w:color="auto"/>
          <w:color w:val="auto"/>
        </w:rPr>
        <w:t>Depositary; Depositary’s Office.</w:t>
      </w:r>
    </w:p>
    <w:p>
      <w:pPr>
        <w:spacing w:after="0" w:line="78" w:lineRule="exact"/>
        <w:rPr>
          <w:sz w:val="20"/>
          <w:szCs w:val="20"/>
          <w:color w:val="auto"/>
        </w:rPr>
      </w:pPr>
    </w:p>
    <w:p>
      <w:pPr>
        <w:ind w:left="840" w:right="1079" w:firstLine="955"/>
        <w:spacing w:after="0" w:line="340" w:lineRule="auto"/>
        <w:rPr>
          <w:sz w:val="20"/>
          <w:szCs w:val="20"/>
          <w:color w:val="auto"/>
        </w:rPr>
      </w:pPr>
      <w:r>
        <w:rPr>
          <w:rFonts w:ascii="Arial" w:cs="Arial" w:eastAsia="Arial" w:hAnsi="Arial"/>
          <w:sz w:val="10"/>
          <w:szCs w:val="10"/>
          <w:color w:val="auto"/>
        </w:rPr>
        <w:t>The term “</w:t>
      </w:r>
      <w:r>
        <w:rPr>
          <w:rFonts w:ascii="Arial" w:cs="Arial" w:eastAsia="Arial" w:hAnsi="Arial"/>
          <w:sz w:val="10"/>
          <w:szCs w:val="10"/>
          <w:u w:val="single" w:color="auto"/>
          <w:color w:val="auto"/>
        </w:rPr>
        <w:t>Depositary</w:t>
      </w:r>
      <w:r>
        <w:rPr>
          <w:rFonts w:ascii="Arial" w:cs="Arial" w:eastAsia="Arial" w:hAnsi="Arial"/>
          <w:sz w:val="10"/>
          <w:szCs w:val="10"/>
          <w:color w:val="auto"/>
        </w:rPr>
        <w:t>” shall mean The Bank of New York Mellon, a New York banking corporation, and any successor as depositary under this Deposit Agreement. The term “</w:t>
      </w:r>
      <w:r>
        <w:rPr>
          <w:rFonts w:ascii="Arial" w:cs="Arial" w:eastAsia="Arial" w:hAnsi="Arial"/>
          <w:sz w:val="10"/>
          <w:szCs w:val="10"/>
          <w:u w:val="single" w:color="auto"/>
          <w:color w:val="auto"/>
        </w:rPr>
        <w:t>Office</w:t>
      </w:r>
      <w:r>
        <w:rPr>
          <w:rFonts w:ascii="Arial" w:cs="Arial" w:eastAsia="Arial" w:hAnsi="Arial"/>
          <w:sz w:val="10"/>
          <w:szCs w:val="10"/>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1.8. </w:t>
      </w:r>
      <w:r>
        <w:rPr>
          <w:rFonts w:ascii="Arial" w:cs="Arial" w:eastAsia="Arial" w:hAnsi="Arial"/>
          <w:sz w:val="12"/>
          <w:szCs w:val="12"/>
          <w:u w:val="single" w:color="auto"/>
          <w:color w:val="auto"/>
        </w:rPr>
        <w:t>Deposited Securities.</w:t>
      </w:r>
    </w:p>
    <w:p>
      <w:pPr>
        <w:spacing w:after="0" w:line="78" w:lineRule="exact"/>
        <w:rPr>
          <w:sz w:val="20"/>
          <w:szCs w:val="20"/>
          <w:color w:val="auto"/>
        </w:rPr>
      </w:pPr>
    </w:p>
    <w:p>
      <w:pPr>
        <w:ind w:left="840" w:right="899" w:firstLine="955"/>
        <w:spacing w:after="0" w:line="259"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Deposited Securities</w:t>
      </w:r>
      <w:r>
        <w:rPr>
          <w:rFonts w:ascii="Arial" w:cs="Arial" w:eastAsia="Arial" w:hAnsi="Arial"/>
          <w:sz w:val="12"/>
          <w:szCs w:val="12"/>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1.9. </w:t>
      </w:r>
      <w:r>
        <w:rPr>
          <w:rFonts w:ascii="Arial" w:cs="Arial" w:eastAsia="Arial" w:hAnsi="Arial"/>
          <w:sz w:val="12"/>
          <w:szCs w:val="12"/>
          <w:u w:val="single" w:color="auto"/>
          <w:color w:val="auto"/>
        </w:rPr>
        <w:t>Disseminate.</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The term “</w:t>
      </w:r>
      <w:r>
        <w:rPr>
          <w:rFonts w:ascii="Arial" w:cs="Arial" w:eastAsia="Arial" w:hAnsi="Arial"/>
          <w:sz w:val="11"/>
          <w:szCs w:val="11"/>
          <w:u w:val="single" w:color="auto"/>
          <w:color w:val="auto"/>
        </w:rPr>
        <w:t>Disseminate</w:t>
      </w:r>
      <w:r>
        <w:rPr>
          <w:rFonts w:ascii="Arial" w:cs="Arial" w:eastAsia="Arial" w:hAnsi="Arial"/>
          <w:sz w:val="11"/>
          <w:szCs w:val="11"/>
          <w:color w:val="auto"/>
        </w:rPr>
        <w:t>,” when referring to a notice or other information to be sent by the Depositary to Owners, shall mean</w:t>
      </w:r>
    </w:p>
    <w:p>
      <w:pPr>
        <w:spacing w:after="0" w:line="26" w:lineRule="exact"/>
        <w:rPr>
          <w:sz w:val="20"/>
          <w:szCs w:val="20"/>
          <w:color w:val="auto"/>
        </w:rPr>
      </w:pPr>
    </w:p>
    <w:p>
      <w:pPr>
        <w:ind w:left="840" w:right="939" w:hanging="8"/>
        <w:spacing w:after="0" w:line="273" w:lineRule="auto"/>
        <w:tabs>
          <w:tab w:leader="none" w:pos="983" w:val="left"/>
        </w:tabs>
        <w:numPr>
          <w:ilvl w:val="0"/>
          <w:numId w:val="215"/>
        </w:numPr>
        <w:rPr>
          <w:rFonts w:ascii="Arial" w:cs="Arial" w:eastAsia="Arial" w:hAnsi="Arial"/>
          <w:sz w:val="11"/>
          <w:szCs w:val="11"/>
          <w:color w:val="auto"/>
        </w:rPr>
      </w:pPr>
      <w:r>
        <w:rPr>
          <w:rFonts w:ascii="Arial" w:cs="Arial" w:eastAsia="Arial" w:hAnsi="Arial"/>
          <w:sz w:val="11"/>
          <w:szCs w:val="11"/>
          <w:color w:val="auto"/>
        </w:rPr>
        <w:t>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w:t>
      </w:r>
    </w:p>
    <w:p>
      <w:pPr>
        <w:jc w:val="both"/>
        <w:ind w:left="840" w:right="1119"/>
        <w:spacing w:after="0" w:line="255" w:lineRule="auto"/>
        <w:rPr>
          <w:rFonts w:ascii="Arial" w:cs="Arial" w:eastAsia="Arial" w:hAnsi="Arial"/>
          <w:sz w:val="11"/>
          <w:szCs w:val="11"/>
          <w:color w:val="auto"/>
        </w:rPr>
      </w:pPr>
      <w:r>
        <w:rPr>
          <w:rFonts w:ascii="Arial" w:cs="Arial" w:eastAsia="Arial" w:hAnsi="Arial"/>
          <w:sz w:val="12"/>
          <w:szCs w:val="12"/>
          <w:color w:val="auto"/>
        </w:rPr>
        <w:t>(B)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274" w:name="page275"/>
    <w:bookmarkEnd w:id="274"/>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1.10. </w:t>
      </w:r>
      <w:r>
        <w:rPr>
          <w:rFonts w:ascii="Arial" w:cs="Arial" w:eastAsia="Arial" w:hAnsi="Arial"/>
          <w:sz w:val="12"/>
          <w:szCs w:val="12"/>
          <w:u w:val="single" w:color="auto"/>
          <w:color w:val="auto"/>
        </w:rPr>
        <w:t>Dollars.</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Dollars</w:t>
      </w:r>
      <w:r>
        <w:rPr>
          <w:rFonts w:ascii="Arial" w:cs="Arial" w:eastAsia="Arial" w:hAnsi="Arial"/>
          <w:sz w:val="12"/>
          <w:szCs w:val="12"/>
          <w:color w:val="auto"/>
        </w:rPr>
        <w:t>” shall mean United States dollars.</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1.11. </w:t>
      </w:r>
      <w:r>
        <w:rPr>
          <w:rFonts w:ascii="Arial" w:cs="Arial" w:eastAsia="Arial" w:hAnsi="Arial"/>
          <w:sz w:val="12"/>
          <w:szCs w:val="12"/>
          <w:u w:val="single" w:color="auto"/>
          <w:color w:val="auto"/>
        </w:rPr>
        <w:t>DTC.</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DTC</w:t>
      </w:r>
      <w:r>
        <w:rPr>
          <w:rFonts w:ascii="Arial" w:cs="Arial" w:eastAsia="Arial" w:hAnsi="Arial"/>
          <w:sz w:val="12"/>
          <w:szCs w:val="12"/>
          <w:color w:val="auto"/>
        </w:rPr>
        <w:t>” shall mean The Depository Trust Company or its successor.</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1.12. </w:t>
      </w:r>
      <w:r>
        <w:rPr>
          <w:rFonts w:ascii="Arial" w:cs="Arial" w:eastAsia="Arial" w:hAnsi="Arial"/>
          <w:sz w:val="12"/>
          <w:szCs w:val="12"/>
          <w:u w:val="single" w:color="auto"/>
          <w:color w:val="auto"/>
        </w:rPr>
        <w:t>Foreign Registrar.</w:t>
      </w:r>
    </w:p>
    <w:p>
      <w:pPr>
        <w:spacing w:after="0" w:line="78" w:lineRule="exact"/>
        <w:rPr>
          <w:sz w:val="20"/>
          <w:szCs w:val="20"/>
          <w:color w:val="auto"/>
        </w:rPr>
      </w:pPr>
    </w:p>
    <w:p>
      <w:pPr>
        <w:ind w:left="840" w:right="1019" w:firstLine="955"/>
        <w:spacing w:after="0" w:line="276"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Foreign Registrar</w:t>
      </w:r>
      <w:r>
        <w:rPr>
          <w:rFonts w:ascii="Arial" w:cs="Arial" w:eastAsia="Arial" w:hAnsi="Arial"/>
          <w:sz w:val="12"/>
          <w:szCs w:val="12"/>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1.13. </w:t>
      </w:r>
      <w:r>
        <w:rPr>
          <w:rFonts w:ascii="Arial" w:cs="Arial" w:eastAsia="Arial" w:hAnsi="Arial"/>
          <w:sz w:val="12"/>
          <w:szCs w:val="12"/>
          <w:u w:val="single" w:color="auto"/>
          <w:color w:val="auto"/>
        </w:rPr>
        <w:t>Holder.</w:t>
      </w:r>
    </w:p>
    <w:p>
      <w:pPr>
        <w:spacing w:after="0" w:line="78" w:lineRule="exact"/>
        <w:rPr>
          <w:sz w:val="20"/>
          <w:szCs w:val="20"/>
          <w:color w:val="auto"/>
        </w:rPr>
      </w:pPr>
    </w:p>
    <w:p>
      <w:pPr>
        <w:ind w:left="840" w:right="879" w:firstLine="955"/>
        <w:spacing w:after="0" w:line="379" w:lineRule="auto"/>
        <w:rPr>
          <w:sz w:val="20"/>
          <w:szCs w:val="20"/>
          <w:color w:val="auto"/>
        </w:rPr>
      </w:pPr>
      <w:r>
        <w:rPr>
          <w:rFonts w:ascii="Arial" w:cs="Arial" w:eastAsia="Arial" w:hAnsi="Arial"/>
          <w:sz w:val="10"/>
          <w:szCs w:val="10"/>
          <w:color w:val="auto"/>
        </w:rPr>
        <w:t>The term “</w:t>
      </w:r>
      <w:r>
        <w:rPr>
          <w:rFonts w:ascii="Arial" w:cs="Arial" w:eastAsia="Arial" w:hAnsi="Arial"/>
          <w:sz w:val="10"/>
          <w:szCs w:val="10"/>
          <w:u w:val="single" w:color="auto"/>
          <w:color w:val="auto"/>
        </w:rPr>
        <w:t>Holder</w:t>
      </w:r>
      <w:r>
        <w:rPr>
          <w:rFonts w:ascii="Arial" w:cs="Arial" w:eastAsia="Arial" w:hAnsi="Arial"/>
          <w:sz w:val="10"/>
          <w:szCs w:val="10"/>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1.14. </w:t>
      </w:r>
      <w:r>
        <w:rPr>
          <w:rFonts w:ascii="Arial" w:cs="Arial" w:eastAsia="Arial" w:hAnsi="Arial"/>
          <w:sz w:val="12"/>
          <w:szCs w:val="12"/>
          <w:u w:val="single" w:color="auto"/>
          <w:color w:val="auto"/>
        </w:rPr>
        <w:t>Owner.</w:t>
      </w:r>
    </w:p>
    <w:p>
      <w:pPr>
        <w:spacing w:after="0" w:line="78" w:lineRule="exact"/>
        <w:rPr>
          <w:sz w:val="20"/>
          <w:szCs w:val="20"/>
          <w:color w:val="auto"/>
        </w:rPr>
      </w:pPr>
    </w:p>
    <w:p>
      <w:pPr>
        <w:ind w:left="840" w:right="919" w:firstLine="955"/>
        <w:spacing w:after="0" w:line="276"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Owner</w:t>
      </w:r>
      <w:r>
        <w:rPr>
          <w:rFonts w:ascii="Arial" w:cs="Arial" w:eastAsia="Arial" w:hAnsi="Arial"/>
          <w:sz w:val="12"/>
          <w:szCs w:val="12"/>
          <w:color w:val="auto"/>
        </w:rPr>
        <w:t>” shall mean the person in whose name American Depositary Shares are registered on the books of the Depositary maintained for that purpose.</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1.15. </w:t>
      </w:r>
      <w:r>
        <w:rPr>
          <w:rFonts w:ascii="Arial" w:cs="Arial" w:eastAsia="Arial" w:hAnsi="Arial"/>
          <w:sz w:val="12"/>
          <w:szCs w:val="12"/>
          <w:u w:val="single" w:color="auto"/>
          <w:color w:val="auto"/>
        </w:rPr>
        <w:t>Receipts.</w:t>
      </w:r>
    </w:p>
    <w:p>
      <w:pPr>
        <w:spacing w:after="0" w:line="78" w:lineRule="exact"/>
        <w:rPr>
          <w:sz w:val="20"/>
          <w:szCs w:val="20"/>
          <w:color w:val="auto"/>
        </w:rPr>
      </w:pPr>
    </w:p>
    <w:p>
      <w:pPr>
        <w:ind w:left="840" w:right="1099" w:firstLine="955"/>
        <w:spacing w:after="0" w:line="379" w:lineRule="auto"/>
        <w:rPr>
          <w:sz w:val="20"/>
          <w:szCs w:val="20"/>
          <w:color w:val="auto"/>
        </w:rPr>
      </w:pPr>
      <w:r>
        <w:rPr>
          <w:rFonts w:ascii="Arial" w:cs="Arial" w:eastAsia="Arial" w:hAnsi="Arial"/>
          <w:sz w:val="10"/>
          <w:szCs w:val="10"/>
          <w:color w:val="auto"/>
        </w:rPr>
        <w:t>The term “</w:t>
      </w:r>
      <w:r>
        <w:rPr>
          <w:rFonts w:ascii="Arial" w:cs="Arial" w:eastAsia="Arial" w:hAnsi="Arial"/>
          <w:sz w:val="10"/>
          <w:szCs w:val="10"/>
          <w:u w:val="single" w:color="auto"/>
          <w:color w:val="auto"/>
        </w:rPr>
        <w:t>Receipts</w:t>
      </w:r>
      <w:r>
        <w:rPr>
          <w:rFonts w:ascii="Arial" w:cs="Arial" w:eastAsia="Arial" w:hAnsi="Arial"/>
          <w:sz w:val="10"/>
          <w:szCs w:val="10"/>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1.16. </w:t>
      </w:r>
      <w:r>
        <w:rPr>
          <w:rFonts w:ascii="Arial" w:cs="Arial" w:eastAsia="Arial" w:hAnsi="Arial"/>
          <w:sz w:val="12"/>
          <w:szCs w:val="12"/>
          <w:u w:val="single" w:color="auto"/>
          <w:color w:val="auto"/>
        </w:rPr>
        <w:t>Registrar.</w:t>
      </w:r>
    </w:p>
    <w:p>
      <w:pPr>
        <w:spacing w:after="0" w:line="78" w:lineRule="exact"/>
        <w:rPr>
          <w:sz w:val="20"/>
          <w:szCs w:val="20"/>
          <w:color w:val="auto"/>
        </w:rPr>
      </w:pPr>
    </w:p>
    <w:p>
      <w:pPr>
        <w:ind w:left="840" w:right="899" w:firstLine="955"/>
        <w:spacing w:after="0" w:line="276"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Registrar</w:t>
      </w:r>
      <w:r>
        <w:rPr>
          <w:rFonts w:ascii="Arial" w:cs="Arial" w:eastAsia="Arial" w:hAnsi="Arial"/>
          <w:sz w:val="12"/>
          <w:szCs w:val="12"/>
          <w:color w:val="auto"/>
        </w:rPr>
        <w:t>” shall mean any corporation or other entity that is appointed by the Depositary to register American Depositary Shares and transfers of American Depositary Shares as provided in this Deposit Agreement.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1.17. </w:t>
      </w:r>
      <w:r>
        <w:rPr>
          <w:rFonts w:ascii="Arial" w:cs="Arial" w:eastAsia="Arial" w:hAnsi="Arial"/>
          <w:sz w:val="12"/>
          <w:szCs w:val="12"/>
          <w:u w:val="single" w:color="auto"/>
          <w:color w:val="auto"/>
        </w:rPr>
        <w:t>Replacement.</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Replacement</w:t>
      </w:r>
      <w:r>
        <w:rPr>
          <w:rFonts w:ascii="Arial" w:cs="Arial" w:eastAsia="Arial" w:hAnsi="Arial"/>
          <w:sz w:val="12"/>
          <w:szCs w:val="12"/>
          <w:color w:val="auto"/>
        </w:rPr>
        <w:t>” shall have the meaning assigned to it in Section 4.8.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275" w:name="page276"/>
    <w:bookmarkEnd w:id="275"/>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1.18. </w:t>
      </w:r>
      <w:r>
        <w:rPr>
          <w:rFonts w:ascii="Arial" w:cs="Arial" w:eastAsia="Arial" w:hAnsi="Arial"/>
          <w:sz w:val="12"/>
          <w:szCs w:val="12"/>
          <w:u w:val="single" w:color="auto"/>
          <w:color w:val="auto"/>
        </w:rPr>
        <w:t>Restricted Securities.</w:t>
      </w:r>
    </w:p>
    <w:p>
      <w:pPr>
        <w:spacing w:after="0" w:line="78" w:lineRule="exact"/>
        <w:rPr>
          <w:sz w:val="20"/>
          <w:szCs w:val="20"/>
          <w:color w:val="auto"/>
        </w:rPr>
      </w:pPr>
    </w:p>
    <w:p>
      <w:pPr>
        <w:ind w:left="840" w:right="859" w:firstLine="955"/>
        <w:spacing w:after="0" w:line="285" w:lineRule="auto"/>
        <w:rPr>
          <w:sz w:val="20"/>
          <w:szCs w:val="20"/>
          <w:color w:val="auto"/>
        </w:rPr>
      </w:pPr>
      <w:r>
        <w:rPr>
          <w:rFonts w:ascii="Arial" w:cs="Arial" w:eastAsia="Arial" w:hAnsi="Arial"/>
          <w:sz w:val="11"/>
          <w:szCs w:val="11"/>
          <w:color w:val="auto"/>
        </w:rPr>
        <w:t>The term “</w:t>
      </w:r>
      <w:r>
        <w:rPr>
          <w:rFonts w:ascii="Arial" w:cs="Arial" w:eastAsia="Arial" w:hAnsi="Arial"/>
          <w:sz w:val="11"/>
          <w:szCs w:val="11"/>
          <w:u w:val="single" w:color="auto"/>
          <w:color w:val="auto"/>
        </w:rPr>
        <w:t>Restricted Securities</w:t>
      </w:r>
      <w:r>
        <w:rPr>
          <w:rFonts w:ascii="Arial" w:cs="Arial" w:eastAsia="Arial" w:hAnsi="Arial"/>
          <w:sz w:val="11"/>
          <w:szCs w:val="11"/>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Federal Republic of Germany, a shareholder agreement or the articles of association or similar document of the Company.</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1.19. </w:t>
      </w:r>
      <w:r>
        <w:rPr>
          <w:rFonts w:ascii="Arial" w:cs="Arial" w:eastAsia="Arial" w:hAnsi="Arial"/>
          <w:sz w:val="12"/>
          <w:szCs w:val="12"/>
          <w:u w:val="single" w:color="auto"/>
          <w:color w:val="auto"/>
        </w:rPr>
        <w:t>Securities Act of 1933.</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Securities Act of 1933</w:t>
      </w:r>
      <w:r>
        <w:rPr>
          <w:rFonts w:ascii="Arial" w:cs="Arial" w:eastAsia="Arial" w:hAnsi="Arial"/>
          <w:sz w:val="12"/>
          <w:szCs w:val="12"/>
          <w:color w:val="auto"/>
        </w:rPr>
        <w:t>” shall mean the United States Securities Act of 1933, as from time to time amended.</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1.20. </w:t>
      </w:r>
      <w:r>
        <w:rPr>
          <w:rFonts w:ascii="Arial" w:cs="Arial" w:eastAsia="Arial" w:hAnsi="Arial"/>
          <w:sz w:val="12"/>
          <w:szCs w:val="12"/>
          <w:u w:val="single" w:color="auto"/>
          <w:color w:val="auto"/>
        </w:rPr>
        <w:t>Shares.</w:t>
      </w:r>
    </w:p>
    <w:p>
      <w:pPr>
        <w:spacing w:after="0" w:line="78" w:lineRule="exact"/>
        <w:rPr>
          <w:sz w:val="20"/>
          <w:szCs w:val="20"/>
          <w:color w:val="auto"/>
        </w:rPr>
      </w:pPr>
    </w:p>
    <w:p>
      <w:pPr>
        <w:ind w:left="840" w:right="919" w:firstLine="955"/>
        <w:spacing w:after="0" w:line="320" w:lineRule="auto"/>
        <w:rPr>
          <w:sz w:val="20"/>
          <w:szCs w:val="20"/>
          <w:color w:val="auto"/>
        </w:rPr>
      </w:pPr>
      <w:r>
        <w:rPr>
          <w:rFonts w:ascii="Arial" w:cs="Arial" w:eastAsia="Arial" w:hAnsi="Arial"/>
          <w:sz w:val="10"/>
          <w:szCs w:val="10"/>
          <w:color w:val="auto"/>
        </w:rPr>
        <w:t>The term “</w:t>
      </w:r>
      <w:r>
        <w:rPr>
          <w:rFonts w:ascii="Arial" w:cs="Arial" w:eastAsia="Arial" w:hAnsi="Arial"/>
          <w:sz w:val="10"/>
          <w:szCs w:val="10"/>
          <w:u w:val="single" w:color="auto"/>
          <w:color w:val="auto"/>
        </w:rPr>
        <w:t>Shares</w:t>
      </w:r>
      <w:r>
        <w:rPr>
          <w:rFonts w:ascii="Arial" w:cs="Arial" w:eastAsia="Arial" w:hAnsi="Arial"/>
          <w:sz w:val="10"/>
          <w:szCs w:val="10"/>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1.21. </w:t>
      </w:r>
      <w:r>
        <w:rPr>
          <w:rFonts w:ascii="Arial" w:cs="Arial" w:eastAsia="Arial" w:hAnsi="Arial"/>
          <w:sz w:val="12"/>
          <w:szCs w:val="12"/>
          <w:u w:val="single" w:color="auto"/>
          <w:color w:val="auto"/>
        </w:rPr>
        <w:t>SWIFT.</w:t>
      </w:r>
    </w:p>
    <w:p>
      <w:pPr>
        <w:spacing w:after="0" w:line="78" w:lineRule="exact"/>
        <w:rPr>
          <w:sz w:val="20"/>
          <w:szCs w:val="20"/>
          <w:color w:val="auto"/>
        </w:rPr>
      </w:pPr>
    </w:p>
    <w:p>
      <w:pPr>
        <w:ind w:left="840" w:right="1319" w:firstLine="955"/>
        <w:spacing w:after="0" w:line="276"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SWIFT</w:t>
      </w:r>
      <w:r>
        <w:rPr>
          <w:rFonts w:ascii="Arial" w:cs="Arial" w:eastAsia="Arial" w:hAnsi="Arial"/>
          <w:sz w:val="12"/>
          <w:szCs w:val="12"/>
          <w:color w:val="auto"/>
        </w:rPr>
        <w:t>” shall mean the financial messaging network operated by the Society for Worldwide Interbank Financial Telecommunication, or its successor.</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1.22. </w:t>
      </w:r>
      <w:r>
        <w:rPr>
          <w:rFonts w:ascii="Arial" w:cs="Arial" w:eastAsia="Arial" w:hAnsi="Arial"/>
          <w:sz w:val="12"/>
          <w:szCs w:val="12"/>
          <w:u w:val="single" w:color="auto"/>
          <w:color w:val="auto"/>
        </w:rPr>
        <w:t>Termination Option Event.</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Termination Option Event</w:t>
      </w:r>
      <w:r>
        <w:rPr>
          <w:rFonts w:ascii="Arial" w:cs="Arial" w:eastAsia="Arial" w:hAnsi="Arial"/>
          <w:sz w:val="12"/>
          <w:szCs w:val="12"/>
          <w:color w:val="auto"/>
        </w:rPr>
        <w:t>” shall mean any of the following events or conditions:</w:t>
      </w:r>
    </w:p>
    <w:p>
      <w:pPr>
        <w:spacing w:after="0" w:line="150" w:lineRule="exact"/>
        <w:rPr>
          <w:sz w:val="20"/>
          <w:szCs w:val="20"/>
          <w:color w:val="auto"/>
        </w:rPr>
      </w:pPr>
    </w:p>
    <w:p>
      <w:pPr>
        <w:ind w:left="840" w:right="859" w:firstLine="947"/>
        <w:spacing w:after="0" w:line="285" w:lineRule="auto"/>
        <w:tabs>
          <w:tab w:leader="none" w:pos="193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276" w:name="page277"/>
    <w:bookmarkEnd w:id="276"/>
    <w:p>
      <w:pPr>
        <w:ind w:left="840" w:right="859" w:firstLine="947"/>
        <w:spacing w:after="0" w:line="298" w:lineRule="auto"/>
        <w:tabs>
          <w:tab w:leader="none" w:pos="2005" w:val="left"/>
        </w:tabs>
        <w:numPr>
          <w:ilvl w:val="0"/>
          <w:numId w:val="21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104" w:lineRule="exact"/>
        <w:rPr>
          <w:rFonts w:ascii="Arial" w:cs="Arial" w:eastAsia="Arial" w:hAnsi="Arial"/>
          <w:sz w:val="11"/>
          <w:szCs w:val="11"/>
          <w:color w:val="auto"/>
        </w:rPr>
      </w:pPr>
    </w:p>
    <w:p>
      <w:pPr>
        <w:ind w:left="840" w:right="859" w:firstLine="947"/>
        <w:spacing w:after="0" w:line="276" w:lineRule="auto"/>
        <w:tabs>
          <w:tab w:leader="none" w:pos="1998"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Depositary has received notice of facts that indicate, or otherwise has reason to believe, that the American Depositary Shares have become ineligible for registration on Form F-6 under the Securities Act of 1933; or</w:t>
      </w:r>
    </w:p>
    <w:p>
      <w:pPr>
        <w:spacing w:after="0" w:line="114" w:lineRule="exact"/>
        <w:rPr>
          <w:rFonts w:ascii="Arial" w:cs="Arial" w:eastAsia="Arial" w:hAnsi="Arial"/>
          <w:sz w:val="12"/>
          <w:szCs w:val="12"/>
          <w:color w:val="auto"/>
        </w:rPr>
      </w:pPr>
    </w:p>
    <w:p>
      <w:pPr>
        <w:ind w:left="1960" w:hanging="173"/>
        <w:spacing w:after="0"/>
        <w:tabs>
          <w:tab w:leader="none" w:pos="196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 xml:space="preserve">an event or condition that is defined as a </w:t>
      </w:r>
      <w:r>
        <w:rPr>
          <w:rFonts w:ascii="Arial" w:cs="Arial" w:eastAsia="Arial" w:hAnsi="Arial"/>
          <w:sz w:val="12"/>
          <w:szCs w:val="12"/>
          <w:u w:val="single" w:color="auto"/>
          <w:color w:val="auto"/>
        </w:rPr>
        <w:t>Termination Option Event</w:t>
      </w:r>
      <w:r>
        <w:rPr>
          <w:rFonts w:ascii="Arial" w:cs="Arial" w:eastAsia="Arial" w:hAnsi="Arial"/>
          <w:sz w:val="12"/>
          <w:szCs w:val="12"/>
          <w:color w:val="auto"/>
        </w:rPr>
        <w:t xml:space="preserve"> in Section 4.1, 4.2 or 4.8.</w:t>
      </w:r>
    </w:p>
    <w:p>
      <w:pPr>
        <w:spacing w:after="0" w:line="249" w:lineRule="exact"/>
        <w:rPr>
          <w:sz w:val="20"/>
          <w:szCs w:val="20"/>
          <w:color w:val="auto"/>
        </w:rPr>
      </w:pPr>
    </w:p>
    <w:p>
      <w:pPr>
        <w:ind w:left="1700" w:right="1019" w:hanging="872"/>
        <w:spacing w:after="0" w:line="276" w:lineRule="auto"/>
        <w:tabs>
          <w:tab w:leader="none" w:pos="1680" w:val="left"/>
        </w:tabs>
        <w:rPr>
          <w:sz w:val="20"/>
          <w:szCs w:val="20"/>
          <w:color w:val="auto"/>
        </w:rPr>
      </w:pPr>
      <w:r>
        <w:rPr>
          <w:rFonts w:ascii="Arial" w:cs="Arial" w:eastAsia="Arial" w:hAnsi="Arial"/>
          <w:sz w:val="12"/>
          <w:szCs w:val="12"/>
          <w:color w:val="auto"/>
        </w:rPr>
        <w:t>ARTICLE 2.</w:t>
      </w:r>
      <w:r>
        <w:rPr>
          <w:sz w:val="20"/>
          <w:szCs w:val="20"/>
          <w:color w:val="auto"/>
        </w:rPr>
        <w:tab/>
      </w:r>
      <w:r>
        <w:rPr>
          <w:rFonts w:ascii="Arial" w:cs="Arial" w:eastAsia="Arial" w:hAnsi="Arial"/>
          <w:sz w:val="12"/>
          <w:szCs w:val="12"/>
          <w:color w:val="auto"/>
        </w:rPr>
        <w:t>FORM OF RECEIPTS, DEPOSIT OF SHARES, DELIVERY, TRANSFER AND SURRENDER OF AMERICAN DEPOSITARY SHARES</w:t>
      </w:r>
    </w:p>
    <w:p>
      <w:pPr>
        <w:spacing w:after="0" w:line="43"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Form of Receipts; Registration and Transferability of American Depositary Shares.</w:t>
      </w:r>
    </w:p>
    <w:p>
      <w:pPr>
        <w:spacing w:after="0" w:line="78" w:lineRule="exact"/>
        <w:rPr>
          <w:sz w:val="20"/>
          <w:szCs w:val="20"/>
          <w:color w:val="auto"/>
        </w:rPr>
      </w:pPr>
    </w:p>
    <w:p>
      <w:pPr>
        <w:ind w:left="840" w:right="899" w:firstLine="955"/>
        <w:spacing w:after="0" w:line="279" w:lineRule="auto"/>
        <w:rPr>
          <w:sz w:val="20"/>
          <w:szCs w:val="20"/>
          <w:color w:val="auto"/>
        </w:rPr>
      </w:pPr>
      <w:r>
        <w:rPr>
          <w:rFonts w:ascii="Arial" w:cs="Arial" w:eastAsia="Arial" w:hAnsi="Arial"/>
          <w:sz w:val="11"/>
          <w:szCs w:val="11"/>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the time of signing a proper officer of the Depositary shall, subject to the other provisions of this paragraph, bind the Depositary, even if that person was not a proper officer of the Depositary on the date of issuance of that Receipt.</w:t>
      </w:r>
    </w:p>
    <w:p>
      <w:pPr>
        <w:spacing w:after="0" w:line="117" w:lineRule="exact"/>
        <w:rPr>
          <w:sz w:val="20"/>
          <w:szCs w:val="20"/>
          <w:color w:val="auto"/>
        </w:rPr>
      </w:pPr>
    </w:p>
    <w:p>
      <w:pPr>
        <w:ind w:left="840" w:right="839" w:firstLine="955"/>
        <w:spacing w:after="0" w:line="283" w:lineRule="auto"/>
        <w:rPr>
          <w:sz w:val="20"/>
          <w:szCs w:val="20"/>
          <w:color w:val="auto"/>
        </w:rPr>
      </w:pPr>
      <w:r>
        <w:rPr>
          <w:rFonts w:ascii="Arial" w:cs="Arial" w:eastAsia="Arial" w:hAnsi="Arial"/>
          <w:sz w:val="11"/>
          <w:szCs w:val="11"/>
          <w:color w:val="auto"/>
        </w:rPr>
        <w:t>The Receipts and statements confirming registration of American Depositary Shares may, following consultation with the Company to the extent practicable, have incorporated in or attached to them such legends or recitals or modifications not inconsistent with the provisions of this Deposit Agreement as may be reasonably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277" w:name="page278"/>
    <w:bookmarkEnd w:id="277"/>
    <w:p>
      <w:pPr>
        <w:ind w:left="840" w:right="899" w:firstLine="955"/>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2.2. </w:t>
      </w:r>
      <w:r>
        <w:rPr>
          <w:rFonts w:ascii="Arial" w:cs="Arial" w:eastAsia="Arial" w:hAnsi="Arial"/>
          <w:sz w:val="12"/>
          <w:szCs w:val="12"/>
          <w:u w:val="single" w:color="auto"/>
          <w:color w:val="auto"/>
        </w:rPr>
        <w:t>Deposit of Shares.</w:t>
      </w:r>
    </w:p>
    <w:p>
      <w:pPr>
        <w:spacing w:after="0" w:line="78" w:lineRule="exact"/>
        <w:rPr>
          <w:sz w:val="20"/>
          <w:szCs w:val="20"/>
          <w:color w:val="auto"/>
        </w:rPr>
      </w:pPr>
    </w:p>
    <w:p>
      <w:pPr>
        <w:ind w:left="840" w:right="1119" w:firstLine="955"/>
        <w:spacing w:after="0" w:line="263" w:lineRule="auto"/>
        <w:rPr>
          <w:sz w:val="20"/>
          <w:szCs w:val="20"/>
          <w:color w:val="auto"/>
        </w:rPr>
      </w:pPr>
      <w:r>
        <w:rPr>
          <w:rFonts w:ascii="Arial" w:cs="Arial" w:eastAsia="Arial" w:hAnsi="Arial"/>
          <w:sz w:val="12"/>
          <w:szCs w:val="12"/>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22" w:lineRule="exact"/>
        <w:rPr>
          <w:sz w:val="20"/>
          <w:szCs w:val="20"/>
          <w:color w:val="auto"/>
        </w:rPr>
      </w:pPr>
    </w:p>
    <w:p>
      <w:pPr>
        <w:ind w:left="840" w:right="859" w:firstLine="955"/>
        <w:spacing w:after="0" w:line="279" w:lineRule="auto"/>
        <w:rPr>
          <w:sz w:val="20"/>
          <w:szCs w:val="20"/>
          <w:color w:val="auto"/>
        </w:rPr>
      </w:pPr>
      <w:r>
        <w:rPr>
          <w:rFonts w:ascii="Arial" w:cs="Arial" w:eastAsia="Arial" w:hAnsi="Arial"/>
          <w:sz w:val="11"/>
          <w:szCs w:val="11"/>
          <w:color w:val="auto"/>
        </w:rPr>
        <w:t>As conditions of accepting Shares for deposit, the Depositary may require (i) any certification reasonably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17" w:lineRule="exact"/>
        <w:rPr>
          <w:sz w:val="20"/>
          <w:szCs w:val="20"/>
          <w:color w:val="auto"/>
        </w:rPr>
      </w:pPr>
    </w:p>
    <w:p>
      <w:pPr>
        <w:ind w:left="840" w:right="939" w:firstLine="955"/>
        <w:spacing w:after="0" w:line="263" w:lineRule="auto"/>
        <w:rPr>
          <w:sz w:val="20"/>
          <w:szCs w:val="20"/>
          <w:color w:val="auto"/>
        </w:rPr>
      </w:pPr>
      <w:r>
        <w:rPr>
          <w:rFonts w:ascii="Arial" w:cs="Arial" w:eastAsia="Arial" w:hAnsi="Arial"/>
          <w:sz w:val="12"/>
          <w:szCs w:val="12"/>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278" w:name="page279"/>
    <w:bookmarkEnd w:id="278"/>
    <w:p>
      <w:pPr>
        <w:ind w:left="840" w:right="979" w:firstLine="955"/>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11" w:lineRule="exact"/>
        <w:rPr>
          <w:sz w:val="20"/>
          <w:szCs w:val="20"/>
          <w:color w:val="auto"/>
        </w:rPr>
      </w:pPr>
    </w:p>
    <w:p>
      <w:pPr>
        <w:ind w:left="840" w:right="879" w:firstLine="955"/>
        <w:spacing w:after="0" w:line="263" w:lineRule="auto"/>
        <w:rPr>
          <w:sz w:val="20"/>
          <w:szCs w:val="20"/>
          <w:color w:val="auto"/>
        </w:rPr>
      </w:pPr>
      <w:r>
        <w:rPr>
          <w:rFonts w:ascii="Arial" w:cs="Arial" w:eastAsia="Arial" w:hAnsi="Arial"/>
          <w:sz w:val="12"/>
          <w:szCs w:val="12"/>
          <w:color w:val="auto"/>
        </w:rPr>
        <w:t>Deposited Securities shall be held by the Depositary or by a Custodian for the account and to the order of the Depositary or at such other place or places as the Depositary shall determine. The Depositary shall, as soon as practicable, provide written notice to the Company if Deposited Securities will be held other than by the Depositary or a Custodian.</w:t>
      </w:r>
    </w:p>
    <w:p>
      <w:pPr>
        <w:spacing w:after="0" w:line="122" w:lineRule="exact"/>
        <w:rPr>
          <w:sz w:val="20"/>
          <w:szCs w:val="20"/>
          <w:color w:val="auto"/>
        </w:rPr>
      </w:pPr>
    </w:p>
    <w:p>
      <w:pPr>
        <w:ind w:left="840" w:right="1119" w:firstLine="955"/>
        <w:spacing w:after="0" w:line="298" w:lineRule="auto"/>
        <w:rPr>
          <w:sz w:val="20"/>
          <w:szCs w:val="20"/>
          <w:color w:val="auto"/>
        </w:rPr>
      </w:pPr>
      <w:r>
        <w:rPr>
          <w:rFonts w:ascii="Arial" w:cs="Arial" w:eastAsia="Arial" w:hAnsi="Arial"/>
          <w:sz w:val="11"/>
          <w:szCs w:val="11"/>
          <w:color w:val="auto"/>
        </w:rPr>
        <w:t>The Depositary shall make reasonable efforts to comply with written instructions received from the Company not to knowingly accept for deposit under this Deposit Agreement any Shares identified in those instructions at the times and the circumstances specified in those instructions, in order to facilitate the Company’s compliance with the securities laws of the United States.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u w:val="single" w:color="auto"/>
          <w:color w:val="auto"/>
        </w:rPr>
        <w:t>Delivery of American Depositary Shares.</w:t>
      </w:r>
    </w:p>
    <w:p>
      <w:pPr>
        <w:spacing w:after="0" w:line="78" w:lineRule="exact"/>
        <w:rPr>
          <w:sz w:val="20"/>
          <w:szCs w:val="20"/>
          <w:color w:val="auto"/>
        </w:rPr>
      </w:pPr>
    </w:p>
    <w:p>
      <w:pPr>
        <w:ind w:left="840" w:right="899" w:firstLine="955"/>
        <w:spacing w:after="0" w:line="280" w:lineRule="auto"/>
        <w:rPr>
          <w:sz w:val="20"/>
          <w:szCs w:val="20"/>
          <w:color w:val="auto"/>
        </w:rPr>
      </w:pPr>
      <w:r>
        <w:rPr>
          <w:rFonts w:ascii="Arial" w:cs="Arial" w:eastAsia="Arial" w:hAnsi="Arial"/>
          <w:sz w:val="11"/>
          <w:szCs w:val="11"/>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1"/>
          <w:szCs w:val="11"/>
          <w:u w:val="single" w:color="auto"/>
          <w:color w:val="auto"/>
        </w:rPr>
        <w:t>However</w:t>
      </w:r>
      <w:r>
        <w:rPr>
          <w:rFonts w:ascii="Arial" w:cs="Arial" w:eastAsia="Arial" w:hAnsi="Arial"/>
          <w:sz w:val="11"/>
          <w:szCs w:val="11"/>
          <w:color w:val="auto"/>
        </w:rPr>
        <w:t>, the Depositary shall deliver only whole numbers of American Depositary Shares.</w:t>
      </w:r>
    </w:p>
    <w:p>
      <w:pPr>
        <w:spacing w:after="0" w:line="187"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 xml:space="preserve">SECTION 2.4. </w:t>
      </w:r>
      <w:r>
        <w:rPr>
          <w:rFonts w:ascii="Arial" w:cs="Arial" w:eastAsia="Arial" w:hAnsi="Arial"/>
          <w:sz w:val="12"/>
          <w:szCs w:val="12"/>
          <w:u w:val="single" w:color="auto"/>
          <w:color w:val="auto"/>
        </w:rPr>
        <w:t>Registration of Transfer of American Depositary Shares; Combination and Split-up of Receipts; Interchange of Certificated and</w:t>
      </w:r>
      <w:r>
        <w:rPr>
          <w:rFonts w:ascii="Arial" w:cs="Arial" w:eastAsia="Arial" w:hAnsi="Arial"/>
          <w:sz w:val="12"/>
          <w:szCs w:val="12"/>
          <w:color w:val="auto"/>
        </w:rPr>
        <w:t xml:space="preserve"> </w:t>
      </w:r>
      <w:r>
        <w:rPr>
          <w:rFonts w:ascii="Arial" w:cs="Arial" w:eastAsia="Arial" w:hAnsi="Arial"/>
          <w:sz w:val="12"/>
          <w:szCs w:val="12"/>
          <w:u w:val="single" w:color="auto"/>
          <w:color w:val="auto"/>
        </w:rPr>
        <w:t>Uncertificated American Depositary Shares.</w:t>
      </w:r>
    </w:p>
    <w:p>
      <w:pPr>
        <w:spacing w:after="0" w:line="43" w:lineRule="exact"/>
        <w:rPr>
          <w:sz w:val="20"/>
          <w:szCs w:val="20"/>
          <w:color w:val="auto"/>
        </w:rPr>
      </w:pPr>
    </w:p>
    <w:p>
      <w:pPr>
        <w:ind w:left="840" w:right="839" w:firstLine="955"/>
        <w:spacing w:after="0" w:line="263" w:lineRule="auto"/>
        <w:rPr>
          <w:sz w:val="20"/>
          <w:szCs w:val="20"/>
          <w:color w:val="auto"/>
        </w:rPr>
      </w:pPr>
      <w:r>
        <w:rPr>
          <w:rFonts w:ascii="Arial" w:cs="Arial" w:eastAsia="Arial" w:hAnsi="Arial"/>
          <w:sz w:val="12"/>
          <w:szCs w:val="12"/>
          <w:color w:val="auto"/>
        </w:rPr>
        <w:t>The Depositary, subject to the terms and conditions of this Deposit Agreement, shall, without unreasonable delay, register a transfer of American Depositary Shares on its transfer books upon (i) in the case of certificated American Depositary Shares, surrender of the Receipt evidencing those American Depositary Shares, by the Owner or by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30" w:right="1440" w:bottom="1440" w:gutter="0" w:footer="0" w:header="0"/>
        </w:sectPr>
      </w:pPr>
    </w:p>
    <w:bookmarkStart w:id="279" w:name="page280"/>
    <w:bookmarkEnd w:id="279"/>
    <w:p>
      <w:pPr>
        <w:ind w:left="840" w:right="87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without unreasonable delay, deliver the transferred American Depositary Shares to or upon the order of the person entitled thereto.</w:t>
      </w:r>
    </w:p>
    <w:p>
      <w:pPr>
        <w:spacing w:after="0" w:line="128" w:lineRule="exact"/>
        <w:rPr>
          <w:sz w:val="20"/>
          <w:szCs w:val="20"/>
          <w:color w:val="auto"/>
        </w:rPr>
      </w:pPr>
    </w:p>
    <w:p>
      <w:pPr>
        <w:ind w:left="840" w:right="899" w:firstLine="955"/>
        <w:spacing w:after="0" w:line="259" w:lineRule="auto"/>
        <w:rPr>
          <w:sz w:val="20"/>
          <w:szCs w:val="20"/>
          <w:color w:val="auto"/>
        </w:rPr>
      </w:pPr>
      <w:r>
        <w:rPr>
          <w:rFonts w:ascii="Arial" w:cs="Arial" w:eastAsia="Arial" w:hAnsi="Arial"/>
          <w:sz w:val="12"/>
          <w:szCs w:val="12"/>
          <w:color w:val="auto"/>
        </w:rPr>
        <w:t>The Depositary, subject to the terms and conditions of this Deposit Agreement, shall upon surrender of a Receipt or Receipts for the purpose of effecting a split-up or combination of such Receipt or Receipts, without unreasonable delay, execute and deliver a new Receipt or Receipts for any authorized number of American Depositary Shares requested, evidencing the same aggregate number of American Depositary Shares as the Receipt or Receipts surrendered.</w:t>
      </w:r>
    </w:p>
    <w:p>
      <w:pPr>
        <w:spacing w:after="0" w:line="124" w:lineRule="exact"/>
        <w:rPr>
          <w:sz w:val="20"/>
          <w:szCs w:val="20"/>
          <w:color w:val="auto"/>
        </w:rPr>
      </w:pPr>
    </w:p>
    <w:p>
      <w:pPr>
        <w:ind w:left="840" w:right="879" w:firstLine="955"/>
        <w:spacing w:after="0" w:line="281" w:lineRule="auto"/>
        <w:rPr>
          <w:sz w:val="20"/>
          <w:szCs w:val="20"/>
          <w:color w:val="auto"/>
        </w:rPr>
      </w:pPr>
      <w:r>
        <w:rPr>
          <w:rFonts w:ascii="Arial" w:cs="Arial" w:eastAsia="Arial" w:hAnsi="Arial"/>
          <w:sz w:val="11"/>
          <w:szCs w:val="11"/>
          <w:color w:val="auto"/>
        </w:rPr>
        <w:t>The Depositary, upon surrender of certificated American Depositary Shares for the purpose of exchanging for uncertificated American Depositary Shares, shall, without unreasonable delay,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without unreasonable delay, those uncertificated American Depositary Shares and register and deliver to the Owner a Receipt evidencing the same number of certificated American Depositary Shares.</w:t>
      </w:r>
    </w:p>
    <w:p>
      <w:pPr>
        <w:spacing w:after="0" w:line="115" w:lineRule="exact"/>
        <w:rPr>
          <w:sz w:val="20"/>
          <w:szCs w:val="20"/>
          <w:color w:val="auto"/>
        </w:rPr>
      </w:pPr>
    </w:p>
    <w:p>
      <w:pPr>
        <w:ind w:left="840" w:right="959" w:firstLine="955"/>
        <w:spacing w:after="0" w:line="289" w:lineRule="auto"/>
        <w:rPr>
          <w:sz w:val="20"/>
          <w:szCs w:val="20"/>
          <w:color w:val="auto"/>
        </w:rPr>
      </w:pPr>
      <w:r>
        <w:rPr>
          <w:rFonts w:ascii="Arial" w:cs="Arial" w:eastAsia="Arial" w:hAnsi="Arial"/>
          <w:sz w:val="11"/>
          <w:szCs w:val="11"/>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2.5. </w:t>
      </w:r>
      <w:r>
        <w:rPr>
          <w:rFonts w:ascii="Arial" w:cs="Arial" w:eastAsia="Arial" w:hAnsi="Arial"/>
          <w:sz w:val="12"/>
          <w:szCs w:val="12"/>
          <w:u w:val="single" w:color="auto"/>
          <w:color w:val="auto"/>
        </w:rPr>
        <w:t>Surrender of American Depositary Shares and Withdrawal of Deposited Securities.</w:t>
      </w:r>
    </w:p>
    <w:p>
      <w:pPr>
        <w:spacing w:after="0" w:line="78" w:lineRule="exact"/>
        <w:rPr>
          <w:sz w:val="20"/>
          <w:szCs w:val="20"/>
          <w:color w:val="auto"/>
        </w:rPr>
      </w:pPr>
    </w:p>
    <w:p>
      <w:pPr>
        <w:ind w:left="840" w:right="959" w:firstLine="955"/>
        <w:spacing w:after="0" w:line="256" w:lineRule="auto"/>
        <w:rPr>
          <w:sz w:val="20"/>
          <w:szCs w:val="20"/>
          <w:color w:val="auto"/>
        </w:rPr>
      </w:pPr>
      <w:r>
        <w:rPr>
          <w:rFonts w:ascii="Arial" w:cs="Arial" w:eastAsia="Arial" w:hAnsi="Arial"/>
          <w:sz w:val="12"/>
          <w:szCs w:val="12"/>
          <w:color w:val="auto"/>
        </w:rPr>
        <w:t>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280" w:name="page281"/>
    <w:bookmarkEnd w:id="280"/>
    <w:p>
      <w:pPr>
        <w:ind w:left="840" w:right="99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instructed by that Owner, of the amount of Deposited Securities at the time represented by those American Depositary Shares, </w:t>
      </w:r>
      <w:r>
        <w:rPr>
          <w:rFonts w:ascii="Arial" w:cs="Arial" w:eastAsia="Arial" w:hAnsi="Arial"/>
          <w:sz w:val="12"/>
          <w:szCs w:val="12"/>
          <w:u w:val="single" w:color="auto"/>
          <w:color w:val="auto"/>
        </w:rPr>
        <w:t>but not</w:t>
      </w:r>
      <w:r>
        <w:rPr>
          <w:rFonts w:ascii="Arial" w:cs="Arial" w:eastAsia="Arial" w:hAnsi="Arial"/>
          <w:sz w:val="12"/>
          <w:szCs w:val="12"/>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2"/>
          <w:szCs w:val="12"/>
          <w:u w:val="single" w:color="auto"/>
          <w:color w:val="auto"/>
        </w:rPr>
        <w:t>and except that</w:t>
      </w:r>
      <w:r>
        <w:rPr>
          <w:rFonts w:ascii="Arial" w:cs="Arial" w:eastAsia="Arial" w:hAnsi="Arial"/>
          <w:sz w:val="12"/>
          <w:szCs w:val="12"/>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28" w:lineRule="exact"/>
        <w:rPr>
          <w:sz w:val="20"/>
          <w:szCs w:val="20"/>
          <w:color w:val="auto"/>
        </w:rPr>
      </w:pPr>
    </w:p>
    <w:p>
      <w:pPr>
        <w:ind w:left="840" w:right="979" w:firstLine="955"/>
        <w:spacing w:after="0" w:line="309" w:lineRule="auto"/>
        <w:rPr>
          <w:sz w:val="20"/>
          <w:szCs w:val="20"/>
          <w:color w:val="auto"/>
        </w:rPr>
      </w:pPr>
      <w:r>
        <w:rPr>
          <w:rFonts w:ascii="Arial" w:cs="Arial" w:eastAsia="Arial" w:hAnsi="Arial"/>
          <w:sz w:val="10"/>
          <w:szCs w:val="10"/>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w:t>
      </w:r>
    </w:p>
    <w:p>
      <w:pPr>
        <w:spacing w:after="0" w:line="1" w:lineRule="exact"/>
        <w:rPr>
          <w:sz w:val="20"/>
          <w:szCs w:val="20"/>
          <w:color w:val="auto"/>
        </w:rPr>
      </w:pPr>
    </w:p>
    <w:p>
      <w:pPr>
        <w:ind w:left="840" w:right="999" w:hanging="8"/>
        <w:spacing w:after="0" w:line="260" w:lineRule="auto"/>
        <w:tabs>
          <w:tab w:leader="none" w:pos="1017"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24" w:lineRule="exact"/>
        <w:rPr>
          <w:sz w:val="20"/>
          <w:szCs w:val="20"/>
          <w:color w:val="auto"/>
        </w:rPr>
      </w:pPr>
    </w:p>
    <w:p>
      <w:pPr>
        <w:ind w:left="840" w:right="959" w:firstLine="955"/>
        <w:spacing w:after="0" w:line="256" w:lineRule="auto"/>
        <w:rPr>
          <w:sz w:val="20"/>
          <w:szCs w:val="20"/>
          <w:color w:val="auto"/>
        </w:rPr>
      </w:pPr>
      <w:r>
        <w:rPr>
          <w:rFonts w:ascii="Arial" w:cs="Arial" w:eastAsia="Arial" w:hAnsi="Arial"/>
          <w:sz w:val="12"/>
          <w:szCs w:val="12"/>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28" w:lineRule="exact"/>
        <w:rPr>
          <w:sz w:val="20"/>
          <w:szCs w:val="20"/>
          <w:color w:val="auto"/>
        </w:rPr>
      </w:pPr>
    </w:p>
    <w:p>
      <w:pPr>
        <w:ind w:left="840" w:right="959" w:firstLine="955"/>
        <w:spacing w:after="0" w:line="255" w:lineRule="auto"/>
        <w:rPr>
          <w:sz w:val="20"/>
          <w:szCs w:val="20"/>
          <w:color w:val="auto"/>
        </w:rPr>
      </w:pPr>
      <w:r>
        <w:rPr>
          <w:rFonts w:ascii="Arial" w:cs="Arial" w:eastAsia="Arial" w:hAnsi="Arial"/>
          <w:sz w:val="12"/>
          <w:szCs w:val="12"/>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2"/>
          <w:szCs w:val="12"/>
          <w:u w:val="single" w:color="auto"/>
          <w:color w:val="auto"/>
        </w:rPr>
        <w:t>except that</w:t>
      </w:r>
      <w:r>
        <w:rPr>
          <w:rFonts w:ascii="Arial" w:cs="Arial" w:eastAsia="Arial" w:hAnsi="Arial"/>
          <w:sz w:val="12"/>
          <w:szCs w:val="12"/>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u w:val="single" w:color="auto"/>
          <w:color w:val="auto"/>
        </w:rPr>
        <w:t>Limitations on Delivery, Registration of Transfer and Surrender of American Depositary Shares.</w:t>
      </w:r>
    </w:p>
    <w:p>
      <w:pPr>
        <w:spacing w:after="0" w:line="78" w:lineRule="exact"/>
        <w:rPr>
          <w:sz w:val="20"/>
          <w:szCs w:val="20"/>
          <w:color w:val="auto"/>
        </w:rPr>
      </w:pPr>
    </w:p>
    <w:p>
      <w:pPr>
        <w:ind w:left="840" w:right="939" w:firstLine="955"/>
        <w:spacing w:after="0" w:line="256" w:lineRule="auto"/>
        <w:rPr>
          <w:sz w:val="20"/>
          <w:szCs w:val="20"/>
          <w:color w:val="auto"/>
        </w:rPr>
      </w:pPr>
      <w:r>
        <w:rPr>
          <w:rFonts w:ascii="Arial" w:cs="Arial" w:eastAsia="Arial" w:hAnsi="Arial"/>
          <w:sz w:val="12"/>
          <w:szCs w:val="12"/>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281" w:name="page282"/>
    <w:bookmarkEnd w:id="281"/>
    <w:p>
      <w:pPr>
        <w:ind w:left="840" w:right="85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05" w:lineRule="exact"/>
        <w:rPr>
          <w:sz w:val="20"/>
          <w:szCs w:val="20"/>
          <w:color w:val="auto"/>
        </w:rPr>
      </w:pPr>
    </w:p>
    <w:p>
      <w:pPr>
        <w:ind w:left="840" w:right="879" w:firstLine="955"/>
        <w:spacing w:after="0" w:line="278" w:lineRule="auto"/>
        <w:rPr>
          <w:sz w:val="20"/>
          <w:szCs w:val="20"/>
          <w:color w:val="auto"/>
        </w:rPr>
      </w:pPr>
      <w:r>
        <w:rPr>
          <w:rFonts w:ascii="Arial" w:cs="Arial" w:eastAsia="Arial" w:hAnsi="Arial"/>
          <w:sz w:val="11"/>
          <w:szCs w:val="11"/>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1"/>
          <w:szCs w:val="11"/>
          <w:u w:val="single" w:color="auto"/>
          <w:color w:val="auto"/>
        </w:rPr>
        <w:t>but, notwithstanding anything to the</w:t>
      </w:r>
      <w:r>
        <w:rPr>
          <w:rFonts w:ascii="Arial" w:cs="Arial" w:eastAsia="Arial" w:hAnsi="Arial"/>
          <w:sz w:val="11"/>
          <w:szCs w:val="11"/>
          <w:color w:val="auto"/>
        </w:rPr>
        <w:t xml:space="preserve"> </w:t>
      </w:r>
      <w:r>
        <w:rPr>
          <w:rFonts w:ascii="Arial" w:cs="Arial" w:eastAsia="Arial" w:hAnsi="Arial"/>
          <w:sz w:val="11"/>
          <w:szCs w:val="11"/>
          <w:u w:val="single" w:color="auto"/>
          <w:color w:val="auto"/>
        </w:rPr>
        <w:t>contrary in this Deposit Agreement, only for</w:t>
      </w:r>
      <w:r>
        <w:rPr>
          <w:rFonts w:ascii="Arial" w:cs="Arial" w:eastAsia="Arial" w:hAnsi="Arial"/>
          <w:sz w:val="11"/>
          <w:szCs w:val="11"/>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of the Depositary’s refusal or suspension, is permitted under paragraph I(A)(1) of the General Instructions to Form F-6 under the Securities Act of 1933 or any successor to that provision. In each case of (i)-(iv), the Depositary shall notify the Company as promptly as practicable of any such refusal, suspension or delay that is outside the ordinary course of business.</w:t>
      </w:r>
    </w:p>
    <w:p>
      <w:pPr>
        <w:spacing w:after="0" w:line="116" w:lineRule="exact"/>
        <w:rPr>
          <w:sz w:val="20"/>
          <w:szCs w:val="20"/>
          <w:color w:val="auto"/>
        </w:rPr>
      </w:pPr>
    </w:p>
    <w:p>
      <w:pPr>
        <w:ind w:left="840" w:right="1119" w:firstLine="955"/>
        <w:spacing w:after="0" w:line="276" w:lineRule="auto"/>
        <w:rPr>
          <w:sz w:val="20"/>
          <w:szCs w:val="20"/>
          <w:color w:val="auto"/>
        </w:rPr>
      </w:pPr>
      <w:r>
        <w:rPr>
          <w:rFonts w:ascii="Arial" w:cs="Arial" w:eastAsia="Arial" w:hAnsi="Arial"/>
          <w:sz w:val="12"/>
          <w:szCs w:val="12"/>
          <w:color w:val="auto"/>
        </w:rPr>
        <w:t>The Depositary shall not knowingly accept for deposit under this Deposit Agreement any Shares that, at the time of deposit, are Restricted Securities.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2.7. </w:t>
      </w:r>
      <w:r>
        <w:rPr>
          <w:rFonts w:ascii="Arial" w:cs="Arial" w:eastAsia="Arial" w:hAnsi="Arial"/>
          <w:sz w:val="12"/>
          <w:szCs w:val="12"/>
          <w:u w:val="single" w:color="auto"/>
          <w:color w:val="auto"/>
        </w:rPr>
        <w:t>Lost Receipts, etc.</w:t>
      </w:r>
    </w:p>
    <w:p>
      <w:pPr>
        <w:spacing w:after="0" w:line="78" w:lineRule="exact"/>
        <w:rPr>
          <w:sz w:val="20"/>
          <w:szCs w:val="20"/>
          <w:color w:val="auto"/>
        </w:rPr>
      </w:pPr>
    </w:p>
    <w:p>
      <w:pPr>
        <w:ind w:left="840" w:right="859" w:firstLine="955"/>
        <w:spacing w:after="0" w:line="254" w:lineRule="auto"/>
        <w:rPr>
          <w:sz w:val="20"/>
          <w:szCs w:val="20"/>
          <w:color w:val="auto"/>
        </w:rPr>
      </w:pPr>
      <w:r>
        <w:rPr>
          <w:rFonts w:ascii="Arial" w:cs="Arial" w:eastAsia="Arial" w:hAnsi="Arial"/>
          <w:sz w:val="12"/>
          <w:szCs w:val="12"/>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2"/>
          <w:szCs w:val="12"/>
          <w:u w:val="single" w:color="auto"/>
          <w:color w:val="auto"/>
        </w:rPr>
        <w:t>However</w:t>
      </w:r>
      <w:r>
        <w:rPr>
          <w:rFonts w:ascii="Arial" w:cs="Arial" w:eastAsia="Arial" w:hAnsi="Arial"/>
          <w:sz w:val="12"/>
          <w:szCs w:val="12"/>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30" w:right="1440" w:bottom="1440" w:gutter="0" w:footer="0" w:header="0"/>
        </w:sectPr>
      </w:pPr>
    </w:p>
    <w:bookmarkStart w:id="282" w:name="page283"/>
    <w:bookmarkEnd w:id="282"/>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2.8. </w:t>
      </w:r>
      <w:r>
        <w:rPr>
          <w:rFonts w:ascii="Arial" w:cs="Arial" w:eastAsia="Arial" w:hAnsi="Arial"/>
          <w:sz w:val="12"/>
          <w:szCs w:val="12"/>
          <w:u w:val="single" w:color="auto"/>
          <w:color w:val="auto"/>
        </w:rPr>
        <w:t>Cancellation and Destruction of Surrendered Receipts.</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Depositary shall cancel all Receipts surrendered to it and is authorized to destroy Receipts so cancelled.</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2.9. </w:t>
      </w:r>
      <w:r>
        <w:rPr>
          <w:rFonts w:ascii="Arial" w:cs="Arial" w:eastAsia="Arial" w:hAnsi="Arial"/>
          <w:sz w:val="12"/>
          <w:szCs w:val="12"/>
          <w:u w:val="single" w:color="auto"/>
          <w:color w:val="auto"/>
        </w:rPr>
        <w:t>DTC Direct Registration System and Profile Modification System.</w:t>
      </w:r>
    </w:p>
    <w:p>
      <w:pPr>
        <w:spacing w:after="0" w:line="78" w:lineRule="exact"/>
        <w:rPr>
          <w:sz w:val="20"/>
          <w:szCs w:val="20"/>
          <w:color w:val="auto"/>
        </w:rPr>
      </w:pPr>
    </w:p>
    <w:p>
      <w:pPr>
        <w:ind w:left="840" w:right="859" w:firstLine="947"/>
        <w:spacing w:after="0" w:line="254" w:lineRule="auto"/>
        <w:tabs>
          <w:tab w:leader="none" w:pos="1958" w:val="left"/>
        </w:tabs>
        <w:numPr>
          <w:ilvl w:val="0"/>
          <w:numId w:val="219"/>
        </w:numPr>
        <w:rPr>
          <w:rFonts w:ascii="Arial" w:cs="Arial" w:eastAsia="Arial" w:hAnsi="Arial"/>
          <w:sz w:val="12"/>
          <w:szCs w:val="12"/>
          <w:color w:val="auto"/>
        </w:rPr>
      </w:pPr>
      <w:r>
        <w:rPr>
          <w:rFonts w:ascii="Arial" w:cs="Arial" w:eastAsia="Arial" w:hAnsi="Arial"/>
          <w:sz w:val="12"/>
          <w:szCs w:val="12"/>
          <w:color w:val="auto"/>
        </w:rPr>
        <w:t>Notwithstanding the provisions of Section 2.4, the parties acknowledge that DTC’s Direct Registration System (“</w:t>
      </w:r>
      <w:r>
        <w:rPr>
          <w:rFonts w:ascii="Arial" w:cs="Arial" w:eastAsia="Arial" w:hAnsi="Arial"/>
          <w:sz w:val="12"/>
          <w:szCs w:val="12"/>
          <w:u w:val="single" w:color="auto"/>
          <w:color w:val="auto"/>
        </w:rPr>
        <w:t>DRS</w:t>
      </w:r>
      <w:r>
        <w:rPr>
          <w:rFonts w:ascii="Arial" w:cs="Arial" w:eastAsia="Arial" w:hAnsi="Arial"/>
          <w:sz w:val="12"/>
          <w:szCs w:val="12"/>
          <w:color w:val="auto"/>
        </w:rPr>
        <w:t>”) and Profile Modification System (“</w:t>
      </w:r>
      <w:r>
        <w:rPr>
          <w:rFonts w:ascii="Arial" w:cs="Arial" w:eastAsia="Arial" w:hAnsi="Arial"/>
          <w:sz w:val="12"/>
          <w:szCs w:val="12"/>
          <w:u w:val="single" w:color="auto"/>
          <w:color w:val="auto"/>
        </w:rPr>
        <w:t>Profile</w:t>
      </w:r>
      <w:r>
        <w:rPr>
          <w:rFonts w:ascii="Arial" w:cs="Arial" w:eastAsia="Arial" w:hAnsi="Arial"/>
          <w:sz w:val="12"/>
          <w:szCs w:val="12"/>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29" w:lineRule="exact"/>
        <w:rPr>
          <w:rFonts w:ascii="Arial" w:cs="Arial" w:eastAsia="Arial" w:hAnsi="Arial"/>
          <w:sz w:val="12"/>
          <w:szCs w:val="12"/>
          <w:color w:val="auto"/>
        </w:rPr>
      </w:pPr>
    </w:p>
    <w:p>
      <w:pPr>
        <w:ind w:left="840" w:right="859" w:firstLine="947"/>
        <w:spacing w:after="0" w:line="283" w:lineRule="auto"/>
        <w:tabs>
          <w:tab w:leader="none" w:pos="1965" w:val="left"/>
        </w:tabs>
        <w:numPr>
          <w:ilvl w:val="0"/>
          <w:numId w:val="219"/>
        </w:numPr>
        <w:rPr>
          <w:rFonts w:ascii="Arial" w:cs="Arial" w:eastAsia="Arial" w:hAnsi="Arial"/>
          <w:sz w:val="11"/>
          <w:szCs w:val="11"/>
          <w:color w:val="auto"/>
        </w:rPr>
      </w:pPr>
      <w:r>
        <w:rPr>
          <w:rFonts w:ascii="Arial" w:cs="Arial" w:eastAsia="Arial" w:hAnsi="Arial"/>
          <w:sz w:val="11"/>
          <w:szCs w:val="11"/>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212"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2"/>
          <w:szCs w:val="12"/>
          <w:color w:val="auto"/>
        </w:rPr>
        <w:t>ARTICLE 3.</w:t>
      </w:r>
      <w:r>
        <w:rPr>
          <w:sz w:val="20"/>
          <w:szCs w:val="20"/>
          <w:color w:val="auto"/>
        </w:rPr>
        <w:tab/>
      </w:r>
      <w:r>
        <w:rPr>
          <w:rFonts w:ascii="Arial" w:cs="Arial" w:eastAsia="Arial" w:hAnsi="Arial"/>
          <w:sz w:val="11"/>
          <w:szCs w:val="11"/>
          <w:color w:val="auto"/>
        </w:rPr>
        <w:t>CERTAIN OBLIGATIONS OF OWNERS AND HOLDERS OF AMERICAN DEPOSITARY SHARES</w:t>
      </w:r>
    </w:p>
    <w:p>
      <w:pPr>
        <w:spacing w:after="0" w:line="78"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 xml:space="preserve">SECTION 3.1. </w:t>
      </w:r>
      <w:r>
        <w:rPr>
          <w:rFonts w:ascii="Arial" w:cs="Arial" w:eastAsia="Arial" w:hAnsi="Arial"/>
          <w:sz w:val="12"/>
          <w:szCs w:val="12"/>
          <w:u w:val="single" w:color="auto"/>
          <w:color w:val="auto"/>
        </w:rPr>
        <w:t>Filing Proofs, Certificates and Other Information.</w:t>
      </w:r>
    </w:p>
    <w:p>
      <w:pPr>
        <w:spacing w:after="0" w:line="78" w:lineRule="exact"/>
        <w:rPr>
          <w:sz w:val="20"/>
          <w:szCs w:val="20"/>
          <w:color w:val="auto"/>
        </w:rPr>
      </w:pPr>
    </w:p>
    <w:p>
      <w:pPr>
        <w:ind w:left="840" w:right="899" w:firstLine="955"/>
        <w:spacing w:after="0" w:line="283" w:lineRule="auto"/>
        <w:rPr>
          <w:sz w:val="20"/>
          <w:szCs w:val="20"/>
          <w:color w:val="auto"/>
        </w:rPr>
      </w:pPr>
      <w:r>
        <w:rPr>
          <w:rFonts w:ascii="Arial" w:cs="Arial" w:eastAsia="Arial" w:hAnsi="Arial"/>
          <w:sz w:val="11"/>
          <w:szCs w:val="11"/>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30" w:right="1440" w:bottom="1440" w:gutter="0" w:footer="0" w:header="0"/>
        </w:sectPr>
      </w:pPr>
    </w:p>
    <w:bookmarkStart w:id="283" w:name="page284"/>
    <w:bookmarkEnd w:id="283"/>
    <w:p>
      <w:pPr>
        <w:ind w:left="840" w:right="11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warranties are made. The Depositary shall provide the Company, upon written request by the Company and at the Company’s expense (unless otherwise agreed between the Company and the Depositary), with copies of any information or other materials that it receives pursuant to this Section 3.1, to the extent that disclosure is permitted under applicable law.</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3.2. </w:t>
      </w:r>
      <w:r>
        <w:rPr>
          <w:rFonts w:ascii="Arial" w:cs="Arial" w:eastAsia="Arial" w:hAnsi="Arial"/>
          <w:sz w:val="12"/>
          <w:szCs w:val="12"/>
          <w:u w:val="single" w:color="auto"/>
          <w:color w:val="auto"/>
        </w:rPr>
        <w:t>Liability of Owner for Taxes.</w:t>
      </w:r>
    </w:p>
    <w:p>
      <w:pPr>
        <w:spacing w:after="0" w:line="78" w:lineRule="exact"/>
        <w:rPr>
          <w:sz w:val="20"/>
          <w:szCs w:val="20"/>
          <w:color w:val="auto"/>
        </w:rPr>
      </w:pPr>
    </w:p>
    <w:p>
      <w:pPr>
        <w:ind w:left="840" w:right="859" w:firstLine="955"/>
        <w:spacing w:after="0" w:line="277" w:lineRule="auto"/>
        <w:rPr>
          <w:sz w:val="20"/>
          <w:szCs w:val="20"/>
          <w:color w:val="auto"/>
        </w:rPr>
      </w:pPr>
      <w:r>
        <w:rPr>
          <w:rFonts w:ascii="Arial" w:cs="Arial" w:eastAsia="Arial" w:hAnsi="Arial"/>
          <w:sz w:val="11"/>
          <w:szCs w:val="11"/>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1"/>
          <w:szCs w:val="11"/>
          <w:u w:val="single" w:color="auto"/>
          <w:color w:val="auto"/>
        </w:rPr>
        <w:t>but</w:t>
      </w:r>
      <w:r>
        <w:rPr>
          <w:rFonts w:ascii="Arial" w:cs="Arial" w:eastAsia="Arial" w:hAnsi="Arial"/>
          <w:sz w:val="11"/>
          <w:szCs w:val="11"/>
          <w:color w:val="auto"/>
        </w:rPr>
        <w:t>, even after a sale of that kind, the Owner of those American Depositary Shares shall remain liable for any deficiency. Neither the Company nor the Depositary shall be liable for failure of an Owner or Holder to comply with applicable tax laws or to pay applicable governmental charges.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3.3. </w:t>
      </w:r>
      <w:r>
        <w:rPr>
          <w:rFonts w:ascii="Arial" w:cs="Arial" w:eastAsia="Arial" w:hAnsi="Arial"/>
          <w:sz w:val="12"/>
          <w:szCs w:val="12"/>
          <w:u w:val="single" w:color="auto"/>
          <w:color w:val="auto"/>
        </w:rPr>
        <w:t>Warranties on Deposit of Shares.</w:t>
      </w:r>
    </w:p>
    <w:p>
      <w:pPr>
        <w:spacing w:after="0" w:line="78" w:lineRule="exact"/>
        <w:rPr>
          <w:sz w:val="20"/>
          <w:szCs w:val="20"/>
          <w:color w:val="auto"/>
        </w:rPr>
      </w:pPr>
    </w:p>
    <w:p>
      <w:pPr>
        <w:ind w:left="840" w:right="919" w:firstLine="955"/>
        <w:spacing w:after="0" w:line="285" w:lineRule="auto"/>
        <w:rPr>
          <w:sz w:val="20"/>
          <w:szCs w:val="20"/>
          <w:color w:val="auto"/>
        </w:rPr>
      </w:pPr>
      <w:r>
        <w:rPr>
          <w:rFonts w:ascii="Arial" w:cs="Arial" w:eastAsia="Arial" w:hAnsi="Arial"/>
          <w:sz w:val="11"/>
          <w:szCs w:val="11"/>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30" w:right="1440" w:bottom="1440" w:gutter="0" w:footer="0" w:header="0"/>
        </w:sectPr>
      </w:pPr>
    </w:p>
    <w:bookmarkStart w:id="284" w:name="page285"/>
    <w:bookmarkEnd w:id="284"/>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3.4. </w:t>
      </w:r>
      <w:r>
        <w:rPr>
          <w:rFonts w:ascii="Arial" w:cs="Arial" w:eastAsia="Arial" w:hAnsi="Arial"/>
          <w:sz w:val="12"/>
          <w:szCs w:val="12"/>
          <w:u w:val="single" w:color="auto"/>
          <w:color w:val="auto"/>
        </w:rPr>
        <w:t>Disclosure of Interests.</w:t>
      </w:r>
    </w:p>
    <w:p>
      <w:pPr>
        <w:spacing w:after="0" w:line="78" w:lineRule="exact"/>
        <w:rPr>
          <w:sz w:val="20"/>
          <w:szCs w:val="20"/>
          <w:color w:val="auto"/>
        </w:rPr>
      </w:pPr>
    </w:p>
    <w:p>
      <w:pPr>
        <w:ind w:left="840" w:right="859" w:firstLine="955"/>
        <w:spacing w:after="0" w:line="263" w:lineRule="auto"/>
        <w:rPr>
          <w:sz w:val="20"/>
          <w:szCs w:val="20"/>
          <w:color w:val="auto"/>
        </w:rPr>
      </w:pPr>
      <w:r>
        <w:rPr>
          <w:rFonts w:ascii="Arial" w:cs="Arial" w:eastAsia="Arial" w:hAnsi="Arial"/>
          <w:sz w:val="12"/>
          <w:szCs w:val="12"/>
          <w:color w:val="auto"/>
        </w:rPr>
        <w:t>Owners and Holders may be subject to German and European Union law notification and mandatory transfer (“squeeze-out”) requirements regarding their holdings of American Depositary Shares and Shares and should acquaint themselves with applicable German and European Union law regarding such requirements.</w:t>
      </w:r>
    </w:p>
    <w:p>
      <w:pPr>
        <w:spacing w:after="0" w:line="122" w:lineRule="exact"/>
        <w:rPr>
          <w:sz w:val="20"/>
          <w:szCs w:val="20"/>
          <w:color w:val="auto"/>
        </w:rPr>
      </w:pPr>
    </w:p>
    <w:p>
      <w:pPr>
        <w:ind w:left="840" w:right="899" w:firstLine="955"/>
        <w:spacing w:after="0" w:line="277" w:lineRule="auto"/>
        <w:rPr>
          <w:sz w:val="20"/>
          <w:szCs w:val="20"/>
          <w:color w:val="auto"/>
        </w:rPr>
      </w:pPr>
      <w:r>
        <w:rPr>
          <w:rFonts w:ascii="Arial" w:cs="Arial" w:eastAsia="Arial" w:hAnsi="Arial"/>
          <w:sz w:val="11"/>
          <w:szCs w:val="11"/>
          <w:color w:val="auto"/>
        </w:rPr>
        <w:t>When required in order to comply with applicable laws and regulations (including the rules and requirements of any stock exchange on which the American Depositary Shares are or will be traded or listed, or the rules and requirements of any clearing system through which transactions in the American Depositary Shares may be settled)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in each case within the time period prescribed by the Company.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20" w:lineRule="exact"/>
        <w:rPr>
          <w:sz w:val="20"/>
          <w:szCs w:val="20"/>
          <w:color w:val="auto"/>
        </w:rPr>
      </w:pPr>
    </w:p>
    <w:p>
      <w:pPr>
        <w:ind w:left="840" w:right="939" w:firstLine="955"/>
        <w:spacing w:after="0" w:line="256" w:lineRule="auto"/>
        <w:rPr>
          <w:sz w:val="20"/>
          <w:szCs w:val="20"/>
          <w:color w:val="auto"/>
        </w:rPr>
      </w:pPr>
      <w:r>
        <w:rPr>
          <w:rFonts w:ascii="Arial" w:cs="Arial" w:eastAsia="Arial" w:hAnsi="Arial"/>
          <w:sz w:val="12"/>
          <w:szCs w:val="12"/>
          <w:color w:val="auto"/>
        </w:rPr>
        <w:t>Each Owner and Holder of American Depositary Shares further agrees to comply with the laws and regulations of the European Union and the Federal Republic of Germany (if and to the extent applicable) with respect to the disclosure requirements regarding ownership or potential for ownership of Shares, all as if the American Depositary Shares were the Shares represented thereby, which is deemed to include, inter alia, requirements to make notifications and filings within the required timeframes to the Company and any other authorities of the European Union and the Federal Republic of Germany.</w:t>
      </w:r>
    </w:p>
    <w:p>
      <w:pPr>
        <w:spacing w:after="0" w:line="227"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2"/>
          <w:szCs w:val="12"/>
          <w:color w:val="auto"/>
        </w:rPr>
        <w:t>ARTICLE 4.</w:t>
      </w:r>
      <w:r>
        <w:rPr>
          <w:sz w:val="20"/>
          <w:szCs w:val="20"/>
          <w:color w:val="auto"/>
        </w:rPr>
        <w:tab/>
      </w:r>
      <w:r>
        <w:rPr>
          <w:rFonts w:ascii="Arial" w:cs="Arial" w:eastAsia="Arial" w:hAnsi="Arial"/>
          <w:sz w:val="11"/>
          <w:szCs w:val="11"/>
          <w:color w:val="auto"/>
        </w:rPr>
        <w:t>THE DEPOSITED SECURITIES</w:t>
      </w:r>
    </w:p>
    <w:p>
      <w:pPr>
        <w:spacing w:after="0" w:line="78"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Cash Distributions.</w:t>
      </w:r>
    </w:p>
    <w:p>
      <w:pPr>
        <w:spacing w:after="0" w:line="78" w:lineRule="exact"/>
        <w:rPr>
          <w:sz w:val="20"/>
          <w:szCs w:val="20"/>
          <w:color w:val="auto"/>
        </w:rPr>
      </w:pPr>
    </w:p>
    <w:p>
      <w:pPr>
        <w:ind w:left="840" w:right="859" w:firstLine="955"/>
        <w:spacing w:after="0" w:line="263" w:lineRule="auto"/>
        <w:rPr>
          <w:sz w:val="20"/>
          <w:szCs w:val="20"/>
          <w:color w:val="auto"/>
        </w:rPr>
      </w:pPr>
      <w:r>
        <w:rPr>
          <w:rFonts w:ascii="Arial" w:cs="Arial" w:eastAsia="Arial" w:hAnsi="Arial"/>
          <w:sz w:val="12"/>
          <w:szCs w:val="12"/>
          <w:color w:val="auto"/>
        </w:rPr>
        <w:t>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230" w:right="1440" w:bottom="1440" w:gutter="0" w:footer="0" w:header="0"/>
        </w:sectPr>
      </w:pPr>
    </w:p>
    <w:bookmarkStart w:id="285" w:name="page286"/>
    <w:bookmarkEnd w:id="285"/>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5.9) to the Owners entitled thereto, in proportion to the number of American Depositary Shares representing those Deposited Securities held by them respectively;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2"/>
          <w:szCs w:val="12"/>
          <w:u w:val="single" w:color="auto"/>
          <w:color w:val="auto"/>
        </w:rPr>
        <w:t>However</w:t>
      </w:r>
      <w:r>
        <w:rPr>
          <w:rFonts w:ascii="Arial" w:cs="Arial" w:eastAsia="Arial" w:hAnsi="Arial"/>
          <w:sz w:val="12"/>
          <w:szCs w:val="12"/>
          <w:color w:val="auto"/>
        </w:rPr>
        <w:t>, the Depositary will not pay any Owner a fraction of one cent, but will round each Owner’s entitlement to the nearest whole cent.</w:t>
      </w:r>
    </w:p>
    <w:p>
      <w:pPr>
        <w:spacing w:after="0" w:line="128" w:lineRule="exact"/>
        <w:rPr>
          <w:sz w:val="20"/>
          <w:szCs w:val="20"/>
          <w:color w:val="auto"/>
        </w:rPr>
      </w:pPr>
    </w:p>
    <w:p>
      <w:pPr>
        <w:ind w:left="840" w:right="1039" w:firstLine="955"/>
        <w:spacing w:after="0" w:line="276" w:lineRule="auto"/>
        <w:rPr>
          <w:sz w:val="20"/>
          <w:szCs w:val="20"/>
          <w:color w:val="auto"/>
        </w:rPr>
      </w:pPr>
      <w:r>
        <w:rPr>
          <w:rFonts w:ascii="Arial" w:cs="Arial" w:eastAsia="Arial" w:hAnsi="Arial"/>
          <w:sz w:val="12"/>
          <w:szCs w:val="12"/>
          <w:color w:val="auto"/>
        </w:rPr>
        <w:t>The Company or its agent will remit to the appropriate governmental agency in each applicable jurisdiction all amounts withheld and owing to such agency.</w:t>
      </w:r>
    </w:p>
    <w:p>
      <w:pPr>
        <w:spacing w:after="0" w:line="115" w:lineRule="exact"/>
        <w:rPr>
          <w:sz w:val="20"/>
          <w:szCs w:val="20"/>
          <w:color w:val="auto"/>
        </w:rPr>
      </w:pPr>
    </w:p>
    <w:p>
      <w:pPr>
        <w:ind w:left="840" w:right="999" w:firstLine="955"/>
        <w:spacing w:after="0" w:line="259" w:lineRule="auto"/>
        <w:rPr>
          <w:sz w:val="20"/>
          <w:szCs w:val="20"/>
          <w:color w:val="auto"/>
        </w:rPr>
      </w:pPr>
      <w:r>
        <w:rPr>
          <w:rFonts w:ascii="Arial" w:cs="Arial" w:eastAsia="Arial" w:hAnsi="Arial"/>
          <w:sz w:val="12"/>
          <w:szCs w:val="12"/>
          <w:color w:val="auto"/>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2"/>
          <w:szCs w:val="12"/>
          <w:u w:val="single" w:color="auto"/>
          <w:color w:val="auto"/>
        </w:rPr>
        <w:t>Termination Option Event</w:t>
      </w:r>
      <w:r>
        <w:rPr>
          <w:rFonts w:ascii="Arial" w:cs="Arial" w:eastAsia="Arial" w:hAnsi="Arial"/>
          <w:sz w:val="12"/>
          <w:szCs w:val="12"/>
          <w:color w:val="auto"/>
        </w:rPr>
        <w:t>.</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4.2. </w:t>
      </w:r>
      <w:r>
        <w:rPr>
          <w:rFonts w:ascii="Arial" w:cs="Arial" w:eastAsia="Arial" w:hAnsi="Arial"/>
          <w:sz w:val="12"/>
          <w:szCs w:val="12"/>
          <w:u w:val="single" w:color="auto"/>
          <w:color w:val="auto"/>
        </w:rPr>
        <w:t>Distributions Other Than Cash, Shares or Rights.</w:t>
      </w:r>
    </w:p>
    <w:p>
      <w:pPr>
        <w:spacing w:after="0" w:line="78" w:lineRule="exact"/>
        <w:rPr>
          <w:sz w:val="20"/>
          <w:szCs w:val="20"/>
          <w:color w:val="auto"/>
        </w:rPr>
      </w:pPr>
    </w:p>
    <w:p>
      <w:pPr>
        <w:ind w:left="840" w:right="899" w:firstLine="955"/>
        <w:spacing w:after="0" w:line="307" w:lineRule="auto"/>
        <w:rPr>
          <w:sz w:val="20"/>
          <w:szCs w:val="20"/>
          <w:color w:val="auto"/>
        </w:rPr>
      </w:pPr>
      <w:r>
        <w:rPr>
          <w:rFonts w:ascii="Arial" w:cs="Arial" w:eastAsia="Arial" w:hAnsi="Arial"/>
          <w:sz w:val="10"/>
          <w:szCs w:val="10"/>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as promptly as practicable,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reasonably deems equitable and practicable for accomplishing that distribution (which may be a distribution of depositary shares representing the securities received);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if in the reasonable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may adopt, after consultation with the Company to the extent practicable,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as promptly as practicable, to the Owners entitled thereto, all in the manner and subject to the conditions set forth in Section 4.1. The Depositary may withhold any distribution of securities under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230" w:right="1440" w:bottom="1440" w:gutter="0" w:footer="0" w:header="0"/>
        </w:sectPr>
      </w:pPr>
    </w:p>
    <w:bookmarkStart w:id="286" w:name="page287"/>
    <w:bookmarkEnd w:id="286"/>
    <w:p>
      <w:pPr>
        <w:ind w:left="840" w:right="91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Section 4.2 if it has not received reasonably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22" w:lineRule="exact"/>
        <w:rPr>
          <w:sz w:val="20"/>
          <w:szCs w:val="20"/>
          <w:color w:val="auto"/>
        </w:rPr>
      </w:pPr>
    </w:p>
    <w:p>
      <w:pPr>
        <w:ind w:left="840" w:right="879" w:firstLine="955"/>
        <w:spacing w:after="0" w:line="289" w:lineRule="auto"/>
        <w:rPr>
          <w:sz w:val="20"/>
          <w:szCs w:val="20"/>
          <w:color w:val="auto"/>
        </w:rPr>
      </w:pPr>
      <w:r>
        <w:rPr>
          <w:rFonts w:ascii="Arial" w:cs="Arial" w:eastAsia="Arial" w:hAnsi="Arial"/>
          <w:sz w:val="11"/>
          <w:szCs w:val="11"/>
          <w:color w:val="auto"/>
        </w:rPr>
        <w:t xml:space="preserve">If a distribution to be made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1"/>
          <w:szCs w:val="11"/>
          <w:u w:val="single" w:color="auto"/>
          <w:color w:val="auto"/>
        </w:rPr>
        <w:t>Termination Option Event</w:t>
      </w:r>
      <w:r>
        <w:rPr>
          <w:rFonts w:ascii="Arial" w:cs="Arial" w:eastAsia="Arial" w:hAnsi="Arial"/>
          <w:sz w:val="11"/>
          <w:szCs w:val="11"/>
          <w:color w:val="auto"/>
        </w:rPr>
        <w:t>.</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4.3. </w:t>
      </w:r>
      <w:r>
        <w:rPr>
          <w:rFonts w:ascii="Arial" w:cs="Arial" w:eastAsia="Arial" w:hAnsi="Arial"/>
          <w:sz w:val="12"/>
          <w:szCs w:val="12"/>
          <w:u w:val="single" w:color="auto"/>
          <w:color w:val="auto"/>
        </w:rPr>
        <w:t>Distributions in Shares.</w:t>
      </w:r>
    </w:p>
    <w:p>
      <w:pPr>
        <w:spacing w:after="0" w:line="78" w:lineRule="exact"/>
        <w:rPr>
          <w:sz w:val="20"/>
          <w:szCs w:val="20"/>
          <w:color w:val="auto"/>
        </w:rPr>
      </w:pPr>
    </w:p>
    <w:p>
      <w:pPr>
        <w:ind w:left="840" w:right="899" w:firstLine="955"/>
        <w:spacing w:after="0" w:line="277" w:lineRule="auto"/>
        <w:rPr>
          <w:sz w:val="20"/>
          <w:szCs w:val="20"/>
          <w:color w:val="auto"/>
        </w:rPr>
      </w:pPr>
      <w:r>
        <w:rPr>
          <w:rFonts w:ascii="Arial" w:cs="Arial" w:eastAsia="Arial" w:hAnsi="Arial"/>
          <w:sz w:val="11"/>
          <w:szCs w:val="11"/>
          <w:color w:val="auto"/>
        </w:rPr>
        <w:t>Whenever the Depositary receives any distribution on Deposited Securities consisting of a dividend in, or free distribution of, Shares, the Depositary may, and shall if the Company so requests in writing,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as promptly as practicable,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20" w:lineRule="exact"/>
        <w:rPr>
          <w:sz w:val="20"/>
          <w:szCs w:val="20"/>
          <w:color w:val="auto"/>
        </w:rPr>
      </w:pPr>
    </w:p>
    <w:p>
      <w:pPr>
        <w:ind w:left="840" w:right="859" w:firstLine="955"/>
        <w:spacing w:after="0" w:line="285" w:lineRule="auto"/>
        <w:rPr>
          <w:sz w:val="20"/>
          <w:szCs w:val="20"/>
          <w:color w:val="auto"/>
        </w:rPr>
      </w:pPr>
      <w:r>
        <w:rPr>
          <w:rFonts w:ascii="Arial" w:cs="Arial" w:eastAsia="Arial" w:hAnsi="Arial"/>
          <w:sz w:val="11"/>
          <w:szCs w:val="11"/>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 that has not been effected.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30" w:right="1440" w:bottom="1440" w:gutter="0" w:footer="0" w:header="0"/>
        </w:sectPr>
      </w:pPr>
    </w:p>
    <w:bookmarkStart w:id="287" w:name="page288"/>
    <w:bookmarkEnd w:id="28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4.4. </w:t>
      </w:r>
      <w:r>
        <w:rPr>
          <w:rFonts w:ascii="Arial" w:cs="Arial" w:eastAsia="Arial" w:hAnsi="Arial"/>
          <w:sz w:val="12"/>
          <w:szCs w:val="12"/>
          <w:u w:val="single" w:color="auto"/>
          <w:color w:val="auto"/>
        </w:rPr>
        <w:t>Rights.</w:t>
      </w:r>
    </w:p>
    <w:p>
      <w:pPr>
        <w:spacing w:after="0" w:line="78" w:lineRule="exact"/>
        <w:rPr>
          <w:sz w:val="20"/>
          <w:szCs w:val="20"/>
          <w:color w:val="auto"/>
        </w:rPr>
      </w:pPr>
    </w:p>
    <w:p>
      <w:pPr>
        <w:ind w:left="840" w:right="839" w:firstLine="947"/>
        <w:spacing w:after="0" w:line="281" w:lineRule="auto"/>
        <w:tabs>
          <w:tab w:leader="none" w:pos="1958" w:val="left"/>
        </w:tabs>
        <w:numPr>
          <w:ilvl w:val="0"/>
          <w:numId w:val="220"/>
        </w:numPr>
        <w:rPr>
          <w:rFonts w:ascii="Arial" w:cs="Arial" w:eastAsia="Arial" w:hAnsi="Arial"/>
          <w:sz w:val="11"/>
          <w:szCs w:val="11"/>
          <w:color w:val="auto"/>
        </w:rPr>
      </w:pPr>
      <w:r>
        <w:rPr>
          <w:rFonts w:ascii="Arial" w:cs="Arial" w:eastAsia="Arial" w:hAnsi="Arial"/>
          <w:sz w:val="11"/>
          <w:szCs w:val="11"/>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15" w:lineRule="exact"/>
        <w:rPr>
          <w:rFonts w:ascii="Arial" w:cs="Arial" w:eastAsia="Arial" w:hAnsi="Arial"/>
          <w:sz w:val="11"/>
          <w:szCs w:val="11"/>
          <w:color w:val="auto"/>
        </w:rPr>
      </w:pPr>
    </w:p>
    <w:p>
      <w:pPr>
        <w:ind w:left="840" w:right="899" w:firstLine="947"/>
        <w:spacing w:after="0" w:line="279" w:lineRule="auto"/>
        <w:tabs>
          <w:tab w:leader="none" w:pos="1965" w:val="left"/>
        </w:tabs>
        <w:numPr>
          <w:ilvl w:val="0"/>
          <w:numId w:val="220"/>
        </w:numPr>
        <w:rPr>
          <w:rFonts w:ascii="Arial" w:cs="Arial" w:eastAsia="Arial" w:hAnsi="Arial"/>
          <w:sz w:val="11"/>
          <w:szCs w:val="11"/>
          <w:color w:val="auto"/>
        </w:rPr>
      </w:pPr>
      <w:r>
        <w:rPr>
          <w:rFonts w:ascii="Arial" w:cs="Arial" w:eastAsia="Arial" w:hAnsi="Arial"/>
          <w:sz w:val="11"/>
          <w:szCs w:val="11"/>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spacing w:after="0" w:line="116" w:lineRule="exact"/>
        <w:rPr>
          <w:rFonts w:ascii="Arial" w:cs="Arial" w:eastAsia="Arial" w:hAnsi="Arial"/>
          <w:sz w:val="11"/>
          <w:szCs w:val="11"/>
          <w:color w:val="auto"/>
        </w:rPr>
      </w:pPr>
    </w:p>
    <w:p>
      <w:pPr>
        <w:ind w:left="840" w:right="859" w:firstLine="947"/>
        <w:spacing w:after="0" w:line="326" w:lineRule="auto"/>
        <w:tabs>
          <w:tab w:leader="none" w:pos="1958" w:val="left"/>
        </w:tabs>
        <w:numPr>
          <w:ilvl w:val="0"/>
          <w:numId w:val="220"/>
        </w:numPr>
        <w:rPr>
          <w:rFonts w:ascii="Arial" w:cs="Arial" w:eastAsia="Arial" w:hAnsi="Arial"/>
          <w:sz w:val="10"/>
          <w:szCs w:val="10"/>
          <w:color w:val="auto"/>
        </w:rPr>
      </w:pPr>
      <w:r>
        <w:rPr>
          <w:rFonts w:ascii="Arial" w:cs="Arial" w:eastAsia="Arial" w:hAnsi="Arial"/>
          <w:sz w:val="10"/>
          <w:szCs w:val="10"/>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95" w:lineRule="exact"/>
        <w:rPr>
          <w:rFonts w:ascii="Arial" w:cs="Arial" w:eastAsia="Arial" w:hAnsi="Arial"/>
          <w:sz w:val="10"/>
          <w:szCs w:val="10"/>
          <w:color w:val="auto"/>
        </w:rPr>
      </w:pPr>
    </w:p>
    <w:p>
      <w:pPr>
        <w:ind w:left="840" w:right="919" w:firstLine="947"/>
        <w:spacing w:after="0" w:line="259" w:lineRule="auto"/>
        <w:tabs>
          <w:tab w:leader="none" w:pos="1965" w:val="left"/>
        </w:tabs>
        <w:numPr>
          <w:ilvl w:val="0"/>
          <w:numId w:val="220"/>
        </w:numPr>
        <w:rPr>
          <w:rFonts w:ascii="Arial" w:cs="Arial" w:eastAsia="Arial" w:hAnsi="Arial"/>
          <w:sz w:val="12"/>
          <w:szCs w:val="12"/>
          <w:color w:val="auto"/>
        </w:rPr>
      </w:pPr>
      <w:r>
        <w:rPr>
          <w:rFonts w:ascii="Arial" w:cs="Arial" w:eastAsia="Arial" w:hAnsi="Arial"/>
          <w:sz w:val="12"/>
          <w:szCs w:val="12"/>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230" w:right="1440" w:bottom="1440" w:gutter="0" w:footer="0" w:header="0"/>
        </w:sectPr>
      </w:pPr>
    </w:p>
    <w:bookmarkStart w:id="288" w:name="page289"/>
    <w:bookmarkEnd w:id="288"/>
    <w:p>
      <w:pPr>
        <w:jc w:val="both"/>
        <w:ind w:left="840" w:right="959" w:firstLine="947"/>
        <w:spacing w:after="0" w:line="263" w:lineRule="auto"/>
        <w:tabs>
          <w:tab w:leader="none" w:pos="1958" w:val="left"/>
        </w:tabs>
        <w:numPr>
          <w:ilvl w:val="0"/>
          <w:numId w:val="22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22" w:lineRule="exact"/>
        <w:rPr>
          <w:rFonts w:ascii="Arial" w:cs="Arial" w:eastAsia="Arial" w:hAnsi="Arial"/>
          <w:sz w:val="12"/>
          <w:szCs w:val="12"/>
          <w:color w:val="auto"/>
        </w:rPr>
      </w:pPr>
    </w:p>
    <w:p>
      <w:pPr>
        <w:ind w:left="840" w:right="839" w:firstLine="947"/>
        <w:spacing w:after="0" w:line="276" w:lineRule="auto"/>
        <w:tabs>
          <w:tab w:leader="none" w:pos="1945"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4.5. </w:t>
      </w:r>
      <w:r>
        <w:rPr>
          <w:rFonts w:ascii="Arial" w:cs="Arial" w:eastAsia="Arial" w:hAnsi="Arial"/>
          <w:sz w:val="12"/>
          <w:szCs w:val="12"/>
          <w:u w:val="single" w:color="auto"/>
          <w:color w:val="auto"/>
        </w:rPr>
        <w:t>Conversion of Foreign Currency.</w:t>
      </w:r>
    </w:p>
    <w:p>
      <w:pPr>
        <w:spacing w:after="0" w:line="78" w:lineRule="exact"/>
        <w:rPr>
          <w:sz w:val="20"/>
          <w:szCs w:val="20"/>
          <w:color w:val="auto"/>
        </w:rPr>
      </w:pPr>
    </w:p>
    <w:p>
      <w:pPr>
        <w:ind w:left="840" w:right="919" w:firstLine="955"/>
        <w:spacing w:after="0" w:line="254" w:lineRule="auto"/>
        <w:rPr>
          <w:sz w:val="20"/>
          <w:szCs w:val="20"/>
          <w:color w:val="auto"/>
        </w:rPr>
      </w:pPr>
      <w:r>
        <w:rPr>
          <w:rFonts w:ascii="Arial" w:cs="Arial" w:eastAsia="Arial" w:hAnsi="Arial"/>
          <w:sz w:val="12"/>
          <w:szCs w:val="12"/>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28" w:lineRule="exact"/>
        <w:rPr>
          <w:sz w:val="20"/>
          <w:szCs w:val="20"/>
          <w:color w:val="auto"/>
        </w:rPr>
      </w:pPr>
    </w:p>
    <w:p>
      <w:pPr>
        <w:ind w:left="840" w:right="959" w:firstLine="955"/>
        <w:spacing w:after="0" w:line="323" w:lineRule="auto"/>
        <w:rPr>
          <w:sz w:val="20"/>
          <w:szCs w:val="20"/>
          <w:color w:val="auto"/>
        </w:rPr>
      </w:pPr>
      <w:r>
        <w:rPr>
          <w:rFonts w:ascii="Arial" w:cs="Arial" w:eastAsia="Arial" w:hAnsi="Arial"/>
          <w:sz w:val="11"/>
          <w:szCs w:val="11"/>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92" w:lineRule="exact"/>
        <w:rPr>
          <w:sz w:val="20"/>
          <w:szCs w:val="20"/>
          <w:color w:val="auto"/>
        </w:rPr>
      </w:pPr>
    </w:p>
    <w:p>
      <w:pPr>
        <w:ind w:left="840" w:right="899" w:firstLine="955"/>
        <w:spacing w:after="0" w:line="255" w:lineRule="auto"/>
        <w:rPr>
          <w:sz w:val="20"/>
          <w:szCs w:val="20"/>
          <w:color w:val="auto"/>
        </w:rPr>
      </w:pPr>
      <w:r>
        <w:rPr>
          <w:rFonts w:ascii="Arial" w:cs="Arial" w:eastAsia="Arial" w:hAnsi="Arial"/>
          <w:sz w:val="12"/>
          <w:szCs w:val="12"/>
          <w:color w:val="auto"/>
        </w:rPr>
        <w:t>If the Depositary, after consultation with the Company to the extent practicable, determines that in its reasonable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28" w:lineRule="exact"/>
        <w:rPr>
          <w:sz w:val="20"/>
          <w:szCs w:val="20"/>
          <w:color w:val="auto"/>
        </w:rPr>
      </w:pPr>
    </w:p>
    <w:p>
      <w:pPr>
        <w:ind w:left="840" w:right="919" w:firstLine="955"/>
        <w:spacing w:after="0" w:line="276" w:lineRule="auto"/>
        <w:rPr>
          <w:sz w:val="20"/>
          <w:szCs w:val="20"/>
          <w:color w:val="auto"/>
        </w:rPr>
      </w:pPr>
      <w:r>
        <w:rPr>
          <w:rFonts w:ascii="Arial" w:cs="Arial" w:eastAsia="Arial" w:hAnsi="Arial"/>
          <w:sz w:val="12"/>
          <w:szCs w:val="12"/>
          <w:color w:val="auto"/>
        </w:rPr>
        <w:t>If any conversion of foreign currency, in whole or in part, cannot be effected for distribution to some of the Owners entitled thereto, the Depositary may in its discretion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230" w:right="1440" w:bottom="1440" w:gutter="0" w:footer="0" w:header="0"/>
        </w:sectPr>
      </w:pPr>
    </w:p>
    <w:bookmarkStart w:id="289" w:name="page290"/>
    <w:bookmarkEnd w:id="289"/>
    <w:p>
      <w:pPr>
        <w:ind w:left="840" w:right="9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22" w:lineRule="exact"/>
        <w:rPr>
          <w:sz w:val="20"/>
          <w:szCs w:val="20"/>
          <w:color w:val="auto"/>
        </w:rPr>
      </w:pPr>
    </w:p>
    <w:p>
      <w:pPr>
        <w:ind w:left="840" w:right="899" w:firstLine="955"/>
        <w:spacing w:after="0" w:line="277" w:lineRule="auto"/>
        <w:rPr>
          <w:sz w:val="20"/>
          <w:szCs w:val="20"/>
          <w:color w:val="auto"/>
        </w:rPr>
      </w:pPr>
      <w:r>
        <w:rPr>
          <w:rFonts w:ascii="Arial" w:cs="Arial" w:eastAsia="Arial" w:hAnsi="Arial"/>
          <w:sz w:val="11"/>
          <w:szCs w:val="11"/>
          <w:color w:val="auto"/>
        </w:rPr>
        <w:t>The Depositary may convert currency itself or through any of its affiliates (which may include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and will not be liable for any direct or indirect losses associated with the rate. The methodology used to determine exchange rates used in currency conversions made by the Depositary is available upon request.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4.6. </w:t>
      </w:r>
      <w:r>
        <w:rPr>
          <w:rFonts w:ascii="Arial" w:cs="Arial" w:eastAsia="Arial" w:hAnsi="Arial"/>
          <w:sz w:val="12"/>
          <w:szCs w:val="12"/>
          <w:u w:val="single" w:color="auto"/>
          <w:color w:val="auto"/>
        </w:rPr>
        <w:t>Fixing of Record Date.</w:t>
      </w:r>
    </w:p>
    <w:p>
      <w:pPr>
        <w:spacing w:after="0" w:line="78" w:lineRule="exact"/>
        <w:rPr>
          <w:sz w:val="20"/>
          <w:szCs w:val="20"/>
          <w:color w:val="auto"/>
        </w:rPr>
      </w:pPr>
    </w:p>
    <w:p>
      <w:pPr>
        <w:ind w:left="840" w:right="859" w:firstLine="955"/>
        <w:spacing w:after="0" w:line="280" w:lineRule="auto"/>
        <w:rPr>
          <w:sz w:val="20"/>
          <w:szCs w:val="20"/>
          <w:color w:val="auto"/>
        </w:rPr>
      </w:pPr>
      <w:r>
        <w:rPr>
          <w:rFonts w:ascii="Arial" w:cs="Arial" w:eastAsia="Arial" w:hAnsi="Arial"/>
          <w:sz w:val="11"/>
          <w:szCs w:val="11"/>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230" w:right="1440" w:bottom="1440" w:gutter="0" w:footer="0" w:header="0"/>
        </w:sectPr>
      </w:pPr>
    </w:p>
    <w:bookmarkStart w:id="290" w:name="page291"/>
    <w:bookmarkEnd w:id="290"/>
    <w:p>
      <w:pPr>
        <w:ind w:left="840" w:right="899"/>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4.7. </w:t>
      </w:r>
      <w:r>
        <w:rPr>
          <w:rFonts w:ascii="Arial" w:cs="Arial" w:eastAsia="Arial" w:hAnsi="Arial"/>
          <w:sz w:val="12"/>
          <w:szCs w:val="12"/>
          <w:u w:val="single" w:color="auto"/>
          <w:color w:val="auto"/>
        </w:rPr>
        <w:t>Voting of Deposited Shares.</w:t>
      </w:r>
    </w:p>
    <w:p>
      <w:pPr>
        <w:spacing w:after="0" w:line="78" w:lineRule="exact"/>
        <w:rPr>
          <w:sz w:val="20"/>
          <w:szCs w:val="20"/>
          <w:color w:val="auto"/>
        </w:rPr>
      </w:pPr>
    </w:p>
    <w:p>
      <w:pPr>
        <w:ind w:left="840" w:right="839" w:firstLine="947"/>
        <w:spacing w:after="0" w:line="281" w:lineRule="auto"/>
        <w:tabs>
          <w:tab w:leader="none" w:pos="1958" w:val="left"/>
        </w:tabs>
        <w:numPr>
          <w:ilvl w:val="1"/>
          <w:numId w:val="222"/>
        </w:numPr>
        <w:rPr>
          <w:rFonts w:ascii="Arial" w:cs="Arial" w:eastAsia="Arial" w:hAnsi="Arial"/>
          <w:sz w:val="11"/>
          <w:szCs w:val="11"/>
          <w:color w:val="auto"/>
        </w:rPr>
      </w:pPr>
      <w:r>
        <w:rPr>
          <w:rFonts w:ascii="Arial" w:cs="Arial" w:eastAsia="Arial" w:hAnsi="Arial"/>
          <w:sz w:val="11"/>
          <w:szCs w:val="11"/>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German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1"/>
          <w:szCs w:val="11"/>
          <w:u w:val="single" w:color="auto"/>
          <w:color w:val="auto"/>
        </w:rPr>
        <w:t>Instruction Cutoff Date</w:t>
      </w:r>
      <w:r>
        <w:rPr>
          <w:rFonts w:ascii="Arial" w:cs="Arial" w:eastAsia="Arial" w:hAnsi="Arial"/>
          <w:sz w:val="11"/>
          <w:szCs w:val="11"/>
          <w:color w:val="auto"/>
        </w:rPr>
        <w:t>”).</w:t>
      </w:r>
    </w:p>
    <w:p>
      <w:pPr>
        <w:spacing w:after="0" w:line="115" w:lineRule="exact"/>
        <w:rPr>
          <w:rFonts w:ascii="Arial" w:cs="Arial" w:eastAsia="Arial" w:hAnsi="Arial"/>
          <w:sz w:val="11"/>
          <w:szCs w:val="11"/>
          <w:color w:val="auto"/>
        </w:rPr>
      </w:pPr>
    </w:p>
    <w:p>
      <w:pPr>
        <w:ind w:left="840" w:right="879" w:firstLine="947"/>
        <w:spacing w:after="0" w:line="255" w:lineRule="auto"/>
        <w:tabs>
          <w:tab w:leader="none" w:pos="1965" w:val="left"/>
        </w:tabs>
        <w:numPr>
          <w:ilvl w:val="1"/>
          <w:numId w:val="222"/>
        </w:numPr>
        <w:rPr>
          <w:rFonts w:ascii="Arial" w:cs="Arial" w:eastAsia="Arial" w:hAnsi="Arial"/>
          <w:sz w:val="12"/>
          <w:szCs w:val="12"/>
          <w:color w:val="auto"/>
        </w:rPr>
      </w:pPr>
      <w:r>
        <w:rPr>
          <w:rFonts w:ascii="Arial" w:cs="Arial" w:eastAsia="Arial" w:hAnsi="Arial"/>
          <w:sz w:val="12"/>
          <w:szCs w:val="12"/>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28" w:lineRule="exact"/>
        <w:rPr>
          <w:rFonts w:ascii="Arial" w:cs="Arial" w:eastAsia="Arial" w:hAnsi="Arial"/>
          <w:sz w:val="12"/>
          <w:szCs w:val="12"/>
          <w:color w:val="auto"/>
        </w:rPr>
      </w:pPr>
    </w:p>
    <w:p>
      <w:pPr>
        <w:ind w:left="1940" w:hanging="153"/>
        <w:spacing w:after="0"/>
        <w:tabs>
          <w:tab w:leader="none" w:pos="1940" w:val="left"/>
        </w:tabs>
        <w:numPr>
          <w:ilvl w:val="1"/>
          <w:numId w:val="222"/>
        </w:numPr>
        <w:rPr>
          <w:rFonts w:ascii="Arial" w:cs="Arial" w:eastAsia="Arial" w:hAnsi="Arial"/>
          <w:sz w:val="11"/>
          <w:szCs w:val="11"/>
          <w:color w:val="auto"/>
        </w:rPr>
      </w:pPr>
      <w:r>
        <w:rPr>
          <w:rFonts w:ascii="Arial" w:cs="Arial" w:eastAsia="Arial" w:hAnsi="Arial"/>
          <w:sz w:val="11"/>
          <w:szCs w:val="11"/>
          <w:color w:val="auto"/>
        </w:rPr>
        <w:t>There can be no assurance that Owners generally or any Owner in particular will receive the notice described in paragraph</w:t>
      </w:r>
    </w:p>
    <w:p>
      <w:pPr>
        <w:spacing w:after="0" w:line="26" w:lineRule="exact"/>
        <w:rPr>
          <w:rFonts w:ascii="Arial" w:cs="Arial" w:eastAsia="Arial" w:hAnsi="Arial"/>
          <w:sz w:val="11"/>
          <w:szCs w:val="11"/>
          <w:color w:val="auto"/>
        </w:rPr>
      </w:pPr>
    </w:p>
    <w:p>
      <w:pPr>
        <w:ind w:left="1000" w:hanging="168"/>
        <w:spacing w:after="0"/>
        <w:tabs>
          <w:tab w:leader="none" w:pos="100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above in time to enable Owners to give instructions to the Depositary prior to the Instruction Cutoff Date.</w:t>
      </w:r>
    </w:p>
    <w:p>
      <w:pPr>
        <w:spacing w:after="0" w:line="141" w:lineRule="exact"/>
        <w:rPr>
          <w:rFonts w:ascii="Arial" w:cs="Arial" w:eastAsia="Arial" w:hAnsi="Arial"/>
          <w:sz w:val="12"/>
          <w:szCs w:val="12"/>
          <w:color w:val="auto"/>
        </w:rPr>
      </w:pPr>
    </w:p>
    <w:p>
      <w:pPr>
        <w:ind w:left="840" w:right="939" w:firstLine="947"/>
        <w:spacing w:after="0" w:line="259" w:lineRule="auto"/>
        <w:tabs>
          <w:tab w:leader="none" w:pos="1965" w:val="left"/>
        </w:tabs>
        <w:numPr>
          <w:ilvl w:val="1"/>
          <w:numId w:val="223"/>
        </w:numPr>
        <w:rPr>
          <w:rFonts w:ascii="Arial" w:cs="Arial" w:eastAsia="Arial" w:hAnsi="Arial"/>
          <w:sz w:val="12"/>
          <w:szCs w:val="12"/>
          <w:color w:val="auto"/>
        </w:rPr>
      </w:pPr>
      <w:r>
        <w:rPr>
          <w:rFonts w:ascii="Arial" w:cs="Arial" w:eastAsia="Arial" w:hAnsi="Arial"/>
          <w:sz w:val="12"/>
          <w:szCs w:val="12"/>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230" w:right="1440" w:bottom="1440" w:gutter="0" w:footer="0" w:header="0"/>
        </w:sectPr>
      </w:pPr>
    </w:p>
    <w:bookmarkStart w:id="291" w:name="page292"/>
    <w:bookmarkEnd w:id="29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4.8. </w:t>
      </w:r>
      <w:r>
        <w:rPr>
          <w:rFonts w:ascii="Arial" w:cs="Arial" w:eastAsia="Arial" w:hAnsi="Arial"/>
          <w:sz w:val="12"/>
          <w:szCs w:val="12"/>
          <w:u w:val="single" w:color="auto"/>
          <w:color w:val="auto"/>
        </w:rPr>
        <w:t>Tender and Exchange Offers; Redemption, Replacement or Cancellation of Deposited Securities.</w:t>
      </w:r>
    </w:p>
    <w:p>
      <w:pPr>
        <w:spacing w:after="0" w:line="78" w:lineRule="exact"/>
        <w:rPr>
          <w:sz w:val="20"/>
          <w:szCs w:val="20"/>
          <w:color w:val="auto"/>
        </w:rPr>
      </w:pPr>
    </w:p>
    <w:p>
      <w:pPr>
        <w:ind w:left="840" w:right="859" w:firstLine="947"/>
        <w:spacing w:after="0" w:line="263" w:lineRule="auto"/>
        <w:tabs>
          <w:tab w:leader="none" w:pos="1958" w:val="left"/>
        </w:tabs>
        <w:numPr>
          <w:ilvl w:val="1"/>
          <w:numId w:val="224"/>
        </w:numPr>
        <w:rPr>
          <w:rFonts w:ascii="Arial" w:cs="Arial" w:eastAsia="Arial" w:hAnsi="Arial"/>
          <w:sz w:val="12"/>
          <w:szCs w:val="12"/>
          <w:color w:val="auto"/>
        </w:rPr>
      </w:pPr>
      <w:r>
        <w:rPr>
          <w:rFonts w:ascii="Arial" w:cs="Arial" w:eastAsia="Arial" w:hAnsi="Arial"/>
          <w:sz w:val="12"/>
          <w:szCs w:val="12"/>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2"/>
          <w:szCs w:val="12"/>
          <w:u w:val="single" w:color="auto"/>
          <w:color w:val="auto"/>
        </w:rPr>
        <w:t>Voluntary Offer</w:t>
      </w:r>
      <w:r>
        <w:rPr>
          <w:rFonts w:ascii="Arial" w:cs="Arial" w:eastAsia="Arial" w:hAnsi="Arial"/>
          <w:sz w:val="12"/>
          <w:szCs w:val="12"/>
          <w:color w:val="auto"/>
        </w:rPr>
        <w:t>”), except when instructed in writing to do so by an Owner surrendering American Depositary Shares and subject to any conditions or procedures the Depositary may require.</w:t>
      </w:r>
    </w:p>
    <w:p>
      <w:pPr>
        <w:spacing w:after="0" w:line="122" w:lineRule="exact"/>
        <w:rPr>
          <w:rFonts w:ascii="Arial" w:cs="Arial" w:eastAsia="Arial" w:hAnsi="Arial"/>
          <w:sz w:val="12"/>
          <w:szCs w:val="12"/>
          <w:color w:val="auto"/>
        </w:rPr>
      </w:pPr>
    </w:p>
    <w:p>
      <w:pPr>
        <w:ind w:left="840" w:right="839" w:firstLine="947"/>
        <w:spacing w:after="0" w:line="303" w:lineRule="auto"/>
        <w:tabs>
          <w:tab w:leader="none" w:pos="1965" w:val="left"/>
        </w:tabs>
        <w:numPr>
          <w:ilvl w:val="1"/>
          <w:numId w:val="224"/>
        </w:numPr>
        <w:rPr>
          <w:rFonts w:ascii="Arial" w:cs="Arial" w:eastAsia="Arial" w:hAnsi="Arial"/>
          <w:sz w:val="10"/>
          <w:szCs w:val="10"/>
          <w:color w:val="auto"/>
        </w:rPr>
      </w:pPr>
      <w:r>
        <w:rPr>
          <w:rFonts w:ascii="Arial" w:cs="Arial" w:eastAsia="Arial" w:hAnsi="Arial"/>
          <w:sz w:val="10"/>
          <w:szCs w:val="10"/>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0"/>
          <w:szCs w:val="10"/>
          <w:u w:val="single" w:color="auto"/>
          <w:color w:val="auto"/>
        </w:rPr>
        <w:t>Redemption</w:t>
      </w:r>
      <w:r>
        <w:rPr>
          <w:rFonts w:ascii="Arial" w:cs="Arial" w:eastAsia="Arial" w:hAnsi="Arial"/>
          <w:sz w:val="10"/>
          <w:szCs w:val="10"/>
          <w:color w:val="auto"/>
        </w:rPr>
        <w:t>”),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w:t>
      </w:r>
    </w:p>
    <w:p>
      <w:pPr>
        <w:ind w:left="840" w:right="839" w:hanging="8"/>
        <w:spacing w:after="0" w:line="277" w:lineRule="auto"/>
        <w:tabs>
          <w:tab w:leader="none" w:pos="105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 xml:space="preserve">distribute the money received upon that Redemption, as promptly as practicable,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1"/>
          <w:szCs w:val="11"/>
          <w:u w:val="single" w:color="auto"/>
          <w:color w:val="auto"/>
        </w:rPr>
        <w:t>except that</w:t>
      </w:r>
      <w:r>
        <w:rPr>
          <w:rFonts w:ascii="Arial" w:cs="Arial" w:eastAsia="Arial" w:hAnsi="Arial"/>
          <w:sz w:val="11"/>
          <w:szCs w:val="11"/>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1"/>
          <w:szCs w:val="11"/>
          <w:u w:val="single" w:color="auto"/>
          <w:color w:val="auto"/>
        </w:rPr>
        <w:t>Termination Option Event</w:t>
      </w:r>
      <w:r>
        <w:rPr>
          <w:rFonts w:ascii="Arial" w:cs="Arial" w:eastAsia="Arial" w:hAnsi="Arial"/>
          <w:sz w:val="11"/>
          <w:szCs w:val="11"/>
          <w:color w:val="auto"/>
        </w:rPr>
        <w:t>.</w:t>
      </w:r>
    </w:p>
    <w:p>
      <w:pPr>
        <w:spacing w:after="0" w:line="119" w:lineRule="exact"/>
        <w:rPr>
          <w:rFonts w:ascii="Arial" w:cs="Arial" w:eastAsia="Arial" w:hAnsi="Arial"/>
          <w:sz w:val="11"/>
          <w:szCs w:val="11"/>
          <w:color w:val="auto"/>
        </w:rPr>
      </w:pPr>
    </w:p>
    <w:p>
      <w:pPr>
        <w:ind w:left="840" w:right="1099" w:firstLine="947"/>
        <w:spacing w:after="0" w:line="256" w:lineRule="auto"/>
        <w:tabs>
          <w:tab w:leader="none" w:pos="1958" w:val="left"/>
        </w:tabs>
        <w:numPr>
          <w:ilvl w:val="1"/>
          <w:numId w:val="225"/>
        </w:numPr>
        <w:rPr>
          <w:rFonts w:ascii="Arial" w:cs="Arial" w:eastAsia="Arial" w:hAnsi="Arial"/>
          <w:sz w:val="12"/>
          <w:szCs w:val="12"/>
          <w:color w:val="auto"/>
        </w:rPr>
      </w:pPr>
      <w:r>
        <w:rPr>
          <w:rFonts w:ascii="Arial" w:cs="Arial" w:eastAsia="Arial" w:hAnsi="Arial"/>
          <w:sz w:val="12"/>
          <w:szCs w:val="12"/>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2"/>
          <w:szCs w:val="12"/>
          <w:u w:val="single" w:color="auto"/>
          <w:color w:val="auto"/>
        </w:rPr>
        <w:t>Replacement</w:t>
      </w:r>
      <w:r>
        <w:rPr>
          <w:rFonts w:ascii="Arial" w:cs="Arial" w:eastAsia="Arial" w:hAnsi="Arial"/>
          <w:sz w:val="12"/>
          <w:szCs w:val="12"/>
          <w:color w:val="auto"/>
        </w:rPr>
        <w:t>”), the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230" w:right="1440" w:bottom="1440" w:gutter="0" w:footer="0" w:header="0"/>
        </w:sectPr>
      </w:pPr>
    </w:p>
    <w:bookmarkStart w:id="292" w:name="page293"/>
    <w:bookmarkEnd w:id="292"/>
    <w:p>
      <w:pPr>
        <w:ind w:left="840" w:right="87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the Depositary may elect to sell those new Deposited Securities if in the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w:t>
      </w:r>
      <w:r>
        <w:rPr>
          <w:rFonts w:ascii="Arial" w:cs="Arial" w:eastAsia="Arial" w:hAnsi="Arial"/>
          <w:sz w:val="11"/>
          <w:szCs w:val="11"/>
          <w:u w:val="single" w:color="auto"/>
          <w:color w:val="auto"/>
        </w:rPr>
        <w:t>Termination Option Event</w:t>
      </w:r>
      <w:r>
        <w:rPr>
          <w:rFonts w:ascii="Arial" w:cs="Arial" w:eastAsia="Arial" w:hAnsi="Arial"/>
          <w:sz w:val="11"/>
          <w:szCs w:val="11"/>
          <w:color w:val="auto"/>
        </w:rPr>
        <w:t>.</w:t>
      </w:r>
    </w:p>
    <w:p>
      <w:pPr>
        <w:spacing w:after="0" w:line="113" w:lineRule="exact"/>
        <w:rPr>
          <w:sz w:val="20"/>
          <w:szCs w:val="20"/>
          <w:color w:val="auto"/>
        </w:rPr>
      </w:pPr>
    </w:p>
    <w:p>
      <w:pPr>
        <w:ind w:left="840" w:right="839" w:firstLine="947"/>
        <w:spacing w:after="0" w:line="254" w:lineRule="auto"/>
        <w:tabs>
          <w:tab w:leader="none" w:pos="1965" w:val="left"/>
        </w:tabs>
        <w:numPr>
          <w:ilvl w:val="0"/>
          <w:numId w:val="226"/>
        </w:numPr>
        <w:rPr>
          <w:rFonts w:ascii="Arial" w:cs="Arial" w:eastAsia="Arial" w:hAnsi="Arial"/>
          <w:sz w:val="12"/>
          <w:szCs w:val="12"/>
          <w:color w:val="auto"/>
        </w:rPr>
      </w:pPr>
      <w:r>
        <w:rPr>
          <w:rFonts w:ascii="Arial" w:cs="Arial" w:eastAsia="Arial" w:hAnsi="Arial"/>
          <w:sz w:val="12"/>
          <w:szCs w:val="12"/>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spacing w:after="0" w:line="129" w:lineRule="exact"/>
        <w:rPr>
          <w:rFonts w:ascii="Arial" w:cs="Arial" w:eastAsia="Arial" w:hAnsi="Arial"/>
          <w:sz w:val="12"/>
          <w:szCs w:val="12"/>
          <w:color w:val="auto"/>
        </w:rPr>
      </w:pPr>
    </w:p>
    <w:p>
      <w:pPr>
        <w:ind w:left="840" w:right="959" w:firstLine="947"/>
        <w:spacing w:after="0" w:line="259" w:lineRule="auto"/>
        <w:tabs>
          <w:tab w:leader="none" w:pos="1958" w:val="left"/>
        </w:tabs>
        <w:numPr>
          <w:ilvl w:val="0"/>
          <w:numId w:val="226"/>
        </w:numPr>
        <w:rPr>
          <w:rFonts w:ascii="Arial" w:cs="Arial" w:eastAsia="Arial" w:hAnsi="Arial"/>
          <w:sz w:val="12"/>
          <w:szCs w:val="12"/>
          <w:color w:val="auto"/>
        </w:rPr>
      </w:pPr>
      <w:r>
        <w:rPr>
          <w:rFonts w:ascii="Arial" w:cs="Arial" w:eastAsia="Arial" w:hAnsi="Arial"/>
          <w:sz w:val="12"/>
          <w:szCs w:val="12"/>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2"/>
          <w:szCs w:val="12"/>
          <w:u w:val="single" w:color="auto"/>
          <w:color w:val="auto"/>
        </w:rPr>
        <w:t>Termination Option Event</w:t>
      </w:r>
      <w:r>
        <w:rPr>
          <w:rFonts w:ascii="Arial" w:cs="Arial" w:eastAsia="Arial" w:hAnsi="Arial"/>
          <w:sz w:val="12"/>
          <w:szCs w:val="12"/>
          <w:color w:val="auto"/>
        </w:rPr>
        <w:t>.</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4.9. </w:t>
      </w:r>
      <w:r>
        <w:rPr>
          <w:rFonts w:ascii="Arial" w:cs="Arial" w:eastAsia="Arial" w:hAnsi="Arial"/>
          <w:sz w:val="12"/>
          <w:szCs w:val="12"/>
          <w:u w:val="single" w:color="auto"/>
          <w:color w:val="auto"/>
        </w:rPr>
        <w:t>Reports.</w:t>
      </w:r>
    </w:p>
    <w:p>
      <w:pPr>
        <w:spacing w:after="0" w:line="78" w:lineRule="exact"/>
        <w:rPr>
          <w:sz w:val="20"/>
          <w:szCs w:val="20"/>
          <w:color w:val="auto"/>
        </w:rPr>
      </w:pPr>
    </w:p>
    <w:p>
      <w:pPr>
        <w:ind w:left="840" w:right="879" w:firstLine="955"/>
        <w:spacing w:after="0" w:line="256" w:lineRule="auto"/>
        <w:rPr>
          <w:sz w:val="20"/>
          <w:szCs w:val="20"/>
          <w:color w:val="auto"/>
        </w:rPr>
      </w:pPr>
      <w:r>
        <w:rPr>
          <w:rFonts w:ascii="Arial" w:cs="Arial" w:eastAsia="Arial" w:hAnsi="Arial"/>
          <w:sz w:val="12"/>
          <w:szCs w:val="12"/>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4.10. </w:t>
      </w:r>
      <w:r>
        <w:rPr>
          <w:rFonts w:ascii="Arial" w:cs="Arial" w:eastAsia="Arial" w:hAnsi="Arial"/>
          <w:sz w:val="12"/>
          <w:szCs w:val="12"/>
          <w:u w:val="single" w:color="auto"/>
          <w:color w:val="auto"/>
        </w:rPr>
        <w:t>Lists of Owners.</w:t>
      </w:r>
    </w:p>
    <w:p>
      <w:pPr>
        <w:spacing w:after="0" w:line="78" w:lineRule="exact"/>
        <w:rPr>
          <w:sz w:val="20"/>
          <w:szCs w:val="20"/>
          <w:color w:val="auto"/>
        </w:rPr>
      </w:pPr>
    </w:p>
    <w:p>
      <w:pPr>
        <w:ind w:left="840" w:right="899" w:firstLine="955"/>
        <w:spacing w:after="0" w:line="323" w:lineRule="auto"/>
        <w:rPr>
          <w:sz w:val="20"/>
          <w:szCs w:val="20"/>
          <w:color w:val="auto"/>
        </w:rPr>
      </w:pPr>
      <w:r>
        <w:rPr>
          <w:rFonts w:ascii="Arial" w:cs="Arial" w:eastAsia="Arial" w:hAnsi="Arial"/>
          <w:sz w:val="11"/>
          <w:szCs w:val="11"/>
          <w:color w:val="auto"/>
        </w:rPr>
        <w:t>As promptly as practicable upon written request by the Company, the Depositary shall, as promptly as practicable, at the expense of the Company, furnish to it a list, as of a recent date, of the names, addresses and American Depositary Share holdings of all Owners.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230" w:right="1440" w:bottom="1440" w:gutter="0" w:footer="0" w:header="0"/>
        </w:sectPr>
      </w:pPr>
    </w:p>
    <w:bookmarkStart w:id="293" w:name="page294"/>
    <w:bookmarkEnd w:id="29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4.11. </w:t>
      </w:r>
      <w:r>
        <w:rPr>
          <w:rFonts w:ascii="Arial" w:cs="Arial" w:eastAsia="Arial" w:hAnsi="Arial"/>
          <w:sz w:val="12"/>
          <w:szCs w:val="12"/>
          <w:u w:val="single" w:color="auto"/>
          <w:color w:val="auto"/>
        </w:rPr>
        <w:t>Withholding.</w:t>
      </w:r>
    </w:p>
    <w:p>
      <w:pPr>
        <w:spacing w:after="0" w:line="78" w:lineRule="exact"/>
        <w:rPr>
          <w:sz w:val="20"/>
          <w:szCs w:val="20"/>
          <w:color w:val="auto"/>
        </w:rPr>
      </w:pPr>
    </w:p>
    <w:p>
      <w:pPr>
        <w:ind w:left="840" w:right="879" w:firstLine="955"/>
        <w:spacing w:after="0" w:line="320" w:lineRule="auto"/>
        <w:rPr>
          <w:sz w:val="20"/>
          <w:szCs w:val="20"/>
          <w:color w:val="auto"/>
        </w:rPr>
      </w:pPr>
      <w:r>
        <w:rPr>
          <w:rFonts w:ascii="Arial" w:cs="Arial" w:eastAsia="Arial" w:hAnsi="Arial"/>
          <w:sz w:val="10"/>
          <w:szCs w:val="10"/>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97" w:lineRule="exact"/>
        <w:rPr>
          <w:sz w:val="20"/>
          <w:szCs w:val="20"/>
          <w:color w:val="auto"/>
        </w:rPr>
      </w:pPr>
    </w:p>
    <w:p>
      <w:pPr>
        <w:ind w:left="840" w:right="1039" w:firstLine="955"/>
        <w:spacing w:after="0" w:line="263" w:lineRule="auto"/>
        <w:rPr>
          <w:sz w:val="20"/>
          <w:szCs w:val="20"/>
          <w:color w:val="auto"/>
        </w:rPr>
      </w:pPr>
      <w:r>
        <w:rPr>
          <w:rFonts w:ascii="Arial" w:cs="Arial" w:eastAsia="Arial" w:hAnsi="Arial"/>
          <w:sz w:val="12"/>
          <w:szCs w:val="12"/>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22" w:lineRule="exact"/>
        <w:rPr>
          <w:sz w:val="20"/>
          <w:szCs w:val="20"/>
          <w:color w:val="auto"/>
        </w:rPr>
      </w:pPr>
    </w:p>
    <w:p>
      <w:pPr>
        <w:ind w:left="840" w:right="919" w:firstLine="955"/>
        <w:spacing w:after="0" w:line="298" w:lineRule="auto"/>
        <w:rPr>
          <w:sz w:val="20"/>
          <w:szCs w:val="20"/>
          <w:color w:val="auto"/>
        </w:rPr>
      </w:pPr>
      <w:r>
        <w:rPr>
          <w:rFonts w:ascii="Arial" w:cs="Arial" w:eastAsia="Arial" w:hAnsi="Arial"/>
          <w:sz w:val="11"/>
          <w:szCs w:val="11"/>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204"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2"/>
          <w:szCs w:val="12"/>
          <w:color w:val="auto"/>
        </w:rPr>
        <w:t>ARTICLE 5.</w:t>
      </w:r>
      <w:r>
        <w:rPr>
          <w:sz w:val="20"/>
          <w:szCs w:val="20"/>
          <w:color w:val="auto"/>
        </w:rPr>
        <w:tab/>
      </w:r>
      <w:r>
        <w:rPr>
          <w:rFonts w:ascii="Arial" w:cs="Arial" w:eastAsia="Arial" w:hAnsi="Arial"/>
          <w:sz w:val="11"/>
          <w:szCs w:val="11"/>
          <w:color w:val="auto"/>
        </w:rPr>
        <w:t>THE DEPOSITARY, THE CUSTODIANS AND THE COMPANY</w:t>
      </w:r>
    </w:p>
    <w:p>
      <w:pPr>
        <w:spacing w:after="0" w:line="78"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 xml:space="preserve">SECTION 5.1. </w:t>
      </w:r>
      <w:r>
        <w:rPr>
          <w:rFonts w:ascii="Arial" w:cs="Arial" w:eastAsia="Arial" w:hAnsi="Arial"/>
          <w:sz w:val="12"/>
          <w:szCs w:val="12"/>
          <w:u w:val="single" w:color="auto"/>
          <w:color w:val="auto"/>
        </w:rPr>
        <w:t>Maintenance of Office and Register by the Depositary.</w:t>
      </w:r>
    </w:p>
    <w:p>
      <w:pPr>
        <w:spacing w:after="0" w:line="78" w:lineRule="exact"/>
        <w:rPr>
          <w:sz w:val="20"/>
          <w:szCs w:val="20"/>
          <w:color w:val="auto"/>
        </w:rPr>
      </w:pPr>
    </w:p>
    <w:p>
      <w:pPr>
        <w:ind w:left="840" w:right="1019" w:firstLine="955"/>
        <w:spacing w:after="0" w:line="323" w:lineRule="auto"/>
        <w:rPr>
          <w:sz w:val="20"/>
          <w:szCs w:val="20"/>
          <w:color w:val="auto"/>
        </w:rPr>
      </w:pPr>
      <w:r>
        <w:rPr>
          <w:rFonts w:ascii="Arial" w:cs="Arial" w:eastAsia="Arial" w:hAnsi="Arial"/>
          <w:sz w:val="11"/>
          <w:szCs w:val="11"/>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92" w:lineRule="exact"/>
        <w:rPr>
          <w:sz w:val="20"/>
          <w:szCs w:val="20"/>
          <w:color w:val="auto"/>
        </w:rPr>
      </w:pPr>
    </w:p>
    <w:p>
      <w:pPr>
        <w:ind w:left="840" w:right="999" w:firstLine="955"/>
        <w:spacing w:after="0" w:line="263" w:lineRule="auto"/>
        <w:rPr>
          <w:sz w:val="20"/>
          <w:szCs w:val="20"/>
          <w:color w:val="auto"/>
        </w:rPr>
      </w:pPr>
      <w:r>
        <w:rPr>
          <w:rFonts w:ascii="Arial" w:cs="Arial" w:eastAsia="Arial" w:hAnsi="Arial"/>
          <w:sz w:val="12"/>
          <w:szCs w:val="12"/>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22" w:lineRule="exact"/>
        <w:rPr>
          <w:sz w:val="20"/>
          <w:szCs w:val="20"/>
          <w:color w:val="auto"/>
        </w:rPr>
      </w:pPr>
    </w:p>
    <w:p>
      <w:pPr>
        <w:ind w:left="840" w:right="999" w:firstLine="955"/>
        <w:spacing w:after="0" w:line="276" w:lineRule="auto"/>
        <w:rPr>
          <w:sz w:val="20"/>
          <w:szCs w:val="20"/>
          <w:color w:val="auto"/>
        </w:rPr>
      </w:pPr>
      <w:r>
        <w:rPr>
          <w:rFonts w:ascii="Arial" w:cs="Arial" w:eastAsia="Arial" w:hAnsi="Arial"/>
          <w:sz w:val="12"/>
          <w:szCs w:val="12"/>
          <w:color w:val="auto"/>
        </w:rPr>
        <w:t>The Depositary may close the register for delivery, registration of transfer or surrender for the purpose of withdrawal from time to time as provided in Section 2.6.</w:t>
      </w:r>
    </w:p>
    <w:p>
      <w:pPr>
        <w:spacing w:after="0" w:line="115" w:lineRule="exact"/>
        <w:rPr>
          <w:sz w:val="20"/>
          <w:szCs w:val="20"/>
          <w:color w:val="auto"/>
        </w:rPr>
      </w:pPr>
    </w:p>
    <w:p>
      <w:pPr>
        <w:jc w:val="both"/>
        <w:ind w:left="840" w:right="1059" w:firstLine="955"/>
        <w:spacing w:after="0" w:line="263" w:lineRule="auto"/>
        <w:rPr>
          <w:sz w:val="20"/>
          <w:szCs w:val="20"/>
          <w:color w:val="auto"/>
        </w:rPr>
      </w:pPr>
      <w:r>
        <w:rPr>
          <w:rFonts w:ascii="Arial" w:cs="Arial" w:eastAsia="Arial" w:hAnsi="Arial"/>
          <w:sz w:val="12"/>
          <w:szCs w:val="12"/>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230" w:right="1440" w:bottom="1440" w:gutter="0" w:footer="0" w:header="0"/>
        </w:sectPr>
      </w:pPr>
    </w:p>
    <w:bookmarkStart w:id="294" w:name="page295"/>
    <w:bookmarkEnd w:id="294"/>
    <w:p>
      <w:pPr>
        <w:ind w:left="840" w:right="959" w:firstLine="955"/>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 shall have the right, at all reasonable times, to inspect transfer and registration records of the Depositary relating the American Depositary Shares and to require the Depositary to supply, at the Company’s expense, copies of any part of those records that it reasonably requests.</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Prevention or Delay of Performance by the Company or the Depositary.</w:t>
      </w:r>
    </w:p>
    <w:p>
      <w:pPr>
        <w:spacing w:after="0" w:line="78" w:lineRule="exact"/>
        <w:rPr>
          <w:sz w:val="20"/>
          <w:szCs w:val="20"/>
          <w:color w:val="auto"/>
        </w:rPr>
      </w:pPr>
    </w:p>
    <w:p>
      <w:pPr>
        <w:ind w:left="840" w:right="879" w:firstLine="955"/>
        <w:spacing w:after="0" w:line="276" w:lineRule="auto"/>
        <w:rPr>
          <w:sz w:val="20"/>
          <w:szCs w:val="20"/>
          <w:color w:val="auto"/>
        </w:rPr>
      </w:pPr>
      <w:r>
        <w:rPr>
          <w:rFonts w:ascii="Arial" w:cs="Arial" w:eastAsia="Arial" w:hAnsi="Arial"/>
          <w:sz w:val="12"/>
          <w:szCs w:val="12"/>
          <w:color w:val="auto"/>
        </w:rPr>
        <w:t>Neither the Depositary nor the Company nor any of their respective directors, employees, agents or affiliates shall incur any liability to any Owner or Holder:</w:t>
      </w:r>
    </w:p>
    <w:p>
      <w:pPr>
        <w:spacing w:after="0" w:line="115" w:lineRule="exact"/>
        <w:rPr>
          <w:sz w:val="20"/>
          <w:szCs w:val="20"/>
          <w:color w:val="auto"/>
        </w:rPr>
      </w:pPr>
    </w:p>
    <w:p>
      <w:pPr>
        <w:ind w:left="840" w:right="859" w:firstLine="947"/>
        <w:spacing w:after="0" w:line="278" w:lineRule="auto"/>
        <w:tabs>
          <w:tab w:leader="none" w:pos="1938" w:val="left"/>
        </w:tabs>
        <w:numPr>
          <w:ilvl w:val="0"/>
          <w:numId w:val="227"/>
        </w:numPr>
        <w:rPr>
          <w:rFonts w:ascii="Arial" w:cs="Arial" w:eastAsia="Arial" w:hAnsi="Arial"/>
          <w:sz w:val="11"/>
          <w:szCs w:val="11"/>
          <w:color w:val="auto"/>
        </w:rPr>
      </w:pPr>
      <w:r>
        <w:rPr>
          <w:rFonts w:ascii="Arial" w:cs="Arial" w:eastAsia="Arial" w:hAnsi="Arial"/>
          <w:sz w:val="11"/>
          <w:szCs w:val="11"/>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16" w:lineRule="exact"/>
        <w:rPr>
          <w:rFonts w:ascii="Arial" w:cs="Arial" w:eastAsia="Arial" w:hAnsi="Arial"/>
          <w:sz w:val="11"/>
          <w:szCs w:val="11"/>
          <w:color w:val="auto"/>
        </w:rPr>
      </w:pPr>
    </w:p>
    <w:p>
      <w:pPr>
        <w:ind w:left="840" w:right="879" w:firstLine="947"/>
        <w:spacing w:after="0" w:line="276" w:lineRule="auto"/>
        <w:tabs>
          <w:tab w:leader="none" w:pos="1971" w:val="left"/>
        </w:tabs>
        <w:numPr>
          <w:ilvl w:val="0"/>
          <w:numId w:val="227"/>
        </w:numPr>
        <w:rPr>
          <w:rFonts w:ascii="Arial" w:cs="Arial" w:eastAsia="Arial" w:hAnsi="Arial"/>
          <w:sz w:val="12"/>
          <w:szCs w:val="12"/>
          <w:color w:val="auto"/>
        </w:rPr>
      </w:pPr>
      <w:r>
        <w:rPr>
          <w:rFonts w:ascii="Arial" w:cs="Arial" w:eastAsia="Arial" w:hAnsi="Arial"/>
          <w:sz w:val="12"/>
          <w:szCs w:val="12"/>
          <w:color w:val="auto"/>
        </w:rPr>
        <w:t>for any exercise of, or failure to exercise, any discretion provided for in this Deposit Agreement (including any determination by the Depositary to take, or not take, any action that this Deposit Agreement provides the Depositary may take);</w:t>
      </w:r>
    </w:p>
    <w:p>
      <w:pPr>
        <w:spacing w:after="0" w:line="114" w:lineRule="exact"/>
        <w:rPr>
          <w:rFonts w:ascii="Arial" w:cs="Arial" w:eastAsia="Arial" w:hAnsi="Arial"/>
          <w:sz w:val="12"/>
          <w:szCs w:val="12"/>
          <w:color w:val="auto"/>
        </w:rPr>
      </w:pPr>
    </w:p>
    <w:p>
      <w:pPr>
        <w:ind w:left="840" w:right="859" w:firstLine="947"/>
        <w:spacing w:after="0" w:line="323" w:lineRule="auto"/>
        <w:tabs>
          <w:tab w:leader="none" w:pos="2005" w:val="left"/>
        </w:tabs>
        <w:numPr>
          <w:ilvl w:val="0"/>
          <w:numId w:val="227"/>
        </w:numPr>
        <w:rPr>
          <w:rFonts w:ascii="Arial" w:cs="Arial" w:eastAsia="Arial" w:hAnsi="Arial"/>
          <w:sz w:val="11"/>
          <w:szCs w:val="11"/>
          <w:color w:val="auto"/>
        </w:rPr>
      </w:pPr>
      <w:r>
        <w:rPr>
          <w:rFonts w:ascii="Arial" w:cs="Arial" w:eastAsia="Arial" w:hAnsi="Arial"/>
          <w:sz w:val="11"/>
          <w:szCs w:val="11"/>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91" w:lineRule="exact"/>
        <w:rPr>
          <w:rFonts w:ascii="Arial" w:cs="Arial" w:eastAsia="Arial" w:hAnsi="Arial"/>
          <w:sz w:val="11"/>
          <w:szCs w:val="11"/>
          <w:color w:val="auto"/>
        </w:rPr>
      </w:pPr>
    </w:p>
    <w:p>
      <w:pPr>
        <w:ind w:left="1980" w:hanging="193"/>
        <w:spacing w:after="0"/>
        <w:tabs>
          <w:tab w:leader="none" w:pos="198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for any special, consequential or punitive damages for any breach of the terms of this Deposit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230" w:right="1440" w:bottom="1440" w:gutter="0" w:footer="0" w:header="0"/>
        </w:sectPr>
      </w:pPr>
    </w:p>
    <w:bookmarkStart w:id="295" w:name="page296"/>
    <w:bookmarkEnd w:id="295"/>
    <w:p>
      <w:pPr>
        <w:ind w:left="840" w:right="919" w:firstLine="955"/>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5.3. </w:t>
      </w:r>
      <w:r>
        <w:rPr>
          <w:rFonts w:ascii="Arial" w:cs="Arial" w:eastAsia="Arial" w:hAnsi="Arial"/>
          <w:sz w:val="12"/>
          <w:szCs w:val="12"/>
          <w:u w:val="single" w:color="auto"/>
          <w:color w:val="auto"/>
        </w:rPr>
        <w:t>Obligations of the Depositary and the Company.</w:t>
      </w:r>
    </w:p>
    <w:p>
      <w:pPr>
        <w:spacing w:after="0" w:line="78" w:lineRule="exact"/>
        <w:rPr>
          <w:sz w:val="20"/>
          <w:szCs w:val="20"/>
          <w:color w:val="auto"/>
        </w:rPr>
      </w:pPr>
    </w:p>
    <w:p>
      <w:pPr>
        <w:ind w:left="840" w:right="939" w:firstLine="955"/>
        <w:spacing w:after="0" w:line="263" w:lineRule="auto"/>
        <w:rPr>
          <w:sz w:val="20"/>
          <w:szCs w:val="20"/>
          <w:color w:val="auto"/>
        </w:rPr>
      </w:pPr>
      <w:r>
        <w:rPr>
          <w:rFonts w:ascii="Arial" w:cs="Arial" w:eastAsia="Arial" w:hAnsi="Arial"/>
          <w:sz w:val="12"/>
          <w:szCs w:val="12"/>
          <w:color w:val="auto"/>
        </w:rPr>
        <w:t>The Company, its supervisory board members, management board members, employees, agents and affiliates assume no obligation nor shall any of them be subject to any liability under this Deposit Agreement to any Owner or Holder, except that the Company agrees to perform its obligations specifically set forth in this Deposit Agreement without negligence or bad faith.</w:t>
      </w:r>
    </w:p>
    <w:p>
      <w:pPr>
        <w:spacing w:after="0" w:line="122" w:lineRule="exact"/>
        <w:rPr>
          <w:sz w:val="20"/>
          <w:szCs w:val="20"/>
          <w:color w:val="auto"/>
        </w:rPr>
      </w:pPr>
    </w:p>
    <w:p>
      <w:pPr>
        <w:ind w:left="840" w:right="879" w:firstLine="955"/>
        <w:spacing w:after="0" w:line="289" w:lineRule="auto"/>
        <w:rPr>
          <w:sz w:val="20"/>
          <w:szCs w:val="20"/>
          <w:color w:val="auto"/>
        </w:rPr>
      </w:pPr>
      <w:r>
        <w:rPr>
          <w:rFonts w:ascii="Arial" w:cs="Arial" w:eastAsia="Arial" w:hAnsi="Arial"/>
          <w:sz w:val="11"/>
          <w:szCs w:val="11"/>
          <w:color w:val="auto"/>
        </w:rPr>
        <w:t>The Depositary, its officers, directors, employees, agents and affiliates assume no obligation nor shall any of them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11" w:lineRule="exact"/>
        <w:rPr>
          <w:sz w:val="20"/>
          <w:szCs w:val="20"/>
          <w:color w:val="auto"/>
        </w:rPr>
      </w:pPr>
    </w:p>
    <w:p>
      <w:pPr>
        <w:ind w:left="840" w:right="1079" w:firstLine="955"/>
        <w:spacing w:after="0" w:line="263" w:lineRule="auto"/>
        <w:rPr>
          <w:sz w:val="20"/>
          <w:szCs w:val="20"/>
          <w:color w:val="auto"/>
        </w:rPr>
      </w:pPr>
      <w:r>
        <w:rPr>
          <w:rFonts w:ascii="Arial" w:cs="Arial" w:eastAsia="Arial" w:hAnsi="Arial"/>
          <w:sz w:val="12"/>
          <w:szCs w:val="12"/>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22" w:lineRule="exact"/>
        <w:rPr>
          <w:sz w:val="20"/>
          <w:szCs w:val="20"/>
          <w:color w:val="auto"/>
        </w:rPr>
      </w:pPr>
    </w:p>
    <w:p>
      <w:pPr>
        <w:ind w:left="840" w:right="979" w:firstLine="955"/>
        <w:spacing w:after="0" w:line="276" w:lineRule="auto"/>
        <w:rPr>
          <w:sz w:val="20"/>
          <w:szCs w:val="20"/>
          <w:color w:val="auto"/>
        </w:rPr>
      </w:pPr>
      <w:r>
        <w:rPr>
          <w:rFonts w:ascii="Arial" w:cs="Arial" w:eastAsia="Arial" w:hAnsi="Arial"/>
          <w:sz w:val="12"/>
          <w:szCs w:val="12"/>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15" w:lineRule="exact"/>
        <w:rPr>
          <w:sz w:val="20"/>
          <w:szCs w:val="20"/>
          <w:color w:val="auto"/>
        </w:rPr>
      </w:pPr>
    </w:p>
    <w:p>
      <w:pPr>
        <w:ind w:left="840" w:right="919" w:firstLine="955"/>
        <w:spacing w:after="0" w:line="263" w:lineRule="auto"/>
        <w:rPr>
          <w:sz w:val="20"/>
          <w:szCs w:val="20"/>
          <w:color w:val="auto"/>
        </w:rPr>
      </w:pPr>
      <w:r>
        <w:rPr>
          <w:rFonts w:ascii="Arial" w:cs="Arial" w:eastAsia="Arial" w:hAnsi="Arial"/>
          <w:sz w:val="12"/>
          <w:szCs w:val="12"/>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22" w:lineRule="exact"/>
        <w:rPr>
          <w:sz w:val="20"/>
          <w:szCs w:val="20"/>
          <w:color w:val="auto"/>
        </w:rPr>
      </w:pPr>
    </w:p>
    <w:p>
      <w:pPr>
        <w:ind w:left="840" w:right="979" w:firstLine="955"/>
        <w:spacing w:after="0" w:line="259" w:lineRule="auto"/>
        <w:rPr>
          <w:sz w:val="20"/>
          <w:szCs w:val="20"/>
          <w:color w:val="auto"/>
        </w:rPr>
      </w:pPr>
      <w:r>
        <w:rPr>
          <w:rFonts w:ascii="Arial" w:cs="Arial" w:eastAsia="Arial" w:hAnsi="Arial"/>
          <w:sz w:val="12"/>
          <w:szCs w:val="12"/>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230" w:right="1440" w:bottom="1440" w:gutter="0" w:footer="0" w:header="0"/>
        </w:sectPr>
      </w:pPr>
    </w:p>
    <w:bookmarkStart w:id="296" w:name="page297"/>
    <w:bookmarkEnd w:id="296"/>
    <w:p>
      <w:pPr>
        <w:ind w:left="840" w:right="1099" w:firstLine="955"/>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92" w:lineRule="exact"/>
        <w:rPr>
          <w:sz w:val="20"/>
          <w:szCs w:val="20"/>
          <w:color w:val="auto"/>
        </w:rPr>
      </w:pPr>
    </w:p>
    <w:p>
      <w:pPr>
        <w:ind w:left="840" w:right="879" w:firstLine="955"/>
        <w:spacing w:after="0" w:line="276" w:lineRule="auto"/>
        <w:rPr>
          <w:sz w:val="20"/>
          <w:szCs w:val="20"/>
          <w:color w:val="auto"/>
        </w:rPr>
      </w:pPr>
      <w:r>
        <w:rPr>
          <w:rFonts w:ascii="Arial" w:cs="Arial" w:eastAsia="Arial" w:hAnsi="Arial"/>
          <w:sz w:val="12"/>
          <w:szCs w:val="12"/>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15" w:lineRule="exact"/>
        <w:rPr>
          <w:sz w:val="20"/>
          <w:szCs w:val="20"/>
          <w:color w:val="auto"/>
        </w:rPr>
      </w:pPr>
    </w:p>
    <w:p>
      <w:pPr>
        <w:ind w:left="840" w:right="899" w:firstLine="955"/>
        <w:spacing w:after="0" w:line="259" w:lineRule="auto"/>
        <w:rPr>
          <w:sz w:val="20"/>
          <w:szCs w:val="20"/>
          <w:color w:val="auto"/>
        </w:rPr>
      </w:pPr>
      <w:r>
        <w:rPr>
          <w:rFonts w:ascii="Arial" w:cs="Arial" w:eastAsia="Arial" w:hAnsi="Arial"/>
          <w:sz w:val="12"/>
          <w:szCs w:val="12"/>
          <w:color w:val="auto"/>
        </w:rPr>
        <w:t>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5.4. </w:t>
      </w:r>
      <w:r>
        <w:rPr>
          <w:rFonts w:ascii="Arial" w:cs="Arial" w:eastAsia="Arial" w:hAnsi="Arial"/>
          <w:sz w:val="12"/>
          <w:szCs w:val="12"/>
          <w:u w:val="single" w:color="auto"/>
          <w:color w:val="auto"/>
        </w:rPr>
        <w:t>Resignation and Removal of the Depositary.</w:t>
      </w:r>
    </w:p>
    <w:p>
      <w:pPr>
        <w:spacing w:after="0" w:line="78" w:lineRule="exact"/>
        <w:rPr>
          <w:sz w:val="20"/>
          <w:szCs w:val="20"/>
          <w:color w:val="auto"/>
        </w:rPr>
      </w:pPr>
    </w:p>
    <w:p>
      <w:pPr>
        <w:ind w:left="840" w:right="939" w:firstLine="955"/>
        <w:spacing w:after="0" w:line="263" w:lineRule="auto"/>
        <w:rPr>
          <w:sz w:val="20"/>
          <w:szCs w:val="20"/>
          <w:color w:val="auto"/>
        </w:rPr>
      </w:pPr>
      <w:r>
        <w:rPr>
          <w:rFonts w:ascii="Arial" w:cs="Arial" w:eastAsia="Arial" w:hAnsi="Arial"/>
          <w:sz w:val="12"/>
          <w:szCs w:val="12"/>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22" w:lineRule="exact"/>
        <w:rPr>
          <w:sz w:val="20"/>
          <w:szCs w:val="20"/>
          <w:color w:val="auto"/>
        </w:rPr>
      </w:pPr>
    </w:p>
    <w:p>
      <w:pPr>
        <w:ind w:left="840" w:right="879" w:firstLine="955"/>
        <w:spacing w:after="0" w:line="263" w:lineRule="auto"/>
        <w:rPr>
          <w:sz w:val="20"/>
          <w:szCs w:val="20"/>
          <w:color w:val="auto"/>
        </w:rPr>
      </w:pPr>
      <w:r>
        <w:rPr>
          <w:rFonts w:ascii="Arial" w:cs="Arial" w:eastAsia="Arial" w:hAnsi="Arial"/>
          <w:sz w:val="12"/>
          <w:szCs w:val="12"/>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22" w:lineRule="exact"/>
        <w:rPr>
          <w:sz w:val="20"/>
          <w:szCs w:val="20"/>
          <w:color w:val="auto"/>
        </w:rPr>
      </w:pPr>
    </w:p>
    <w:p>
      <w:pPr>
        <w:ind w:left="840" w:right="879" w:firstLine="955"/>
        <w:spacing w:after="0" w:line="303" w:lineRule="auto"/>
        <w:rPr>
          <w:sz w:val="20"/>
          <w:szCs w:val="20"/>
          <w:color w:val="auto"/>
        </w:rPr>
      </w:pPr>
      <w:r>
        <w:rPr>
          <w:rFonts w:ascii="Arial" w:cs="Arial" w:eastAsia="Arial" w:hAnsi="Arial"/>
          <w:sz w:val="10"/>
          <w:szCs w:val="10"/>
          <w:color w:val="auto"/>
        </w:rPr>
        <w:t>If the Depositary resigns or is removed, the Company shall use commercially reasonable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w:t>
      </w:r>
    </w:p>
    <w:p>
      <w:pPr>
        <w:spacing w:after="0" w:line="2" w:lineRule="exact"/>
        <w:rPr>
          <w:sz w:val="20"/>
          <w:szCs w:val="20"/>
          <w:color w:val="auto"/>
        </w:rPr>
      </w:pPr>
    </w:p>
    <w:p>
      <w:pPr>
        <w:ind w:left="840" w:right="839" w:hanging="8"/>
        <w:spacing w:after="0" w:line="253" w:lineRule="auto"/>
        <w:tabs>
          <w:tab w:leader="none" w:pos="983"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230" w:right="1440" w:bottom="1440" w:gutter="0" w:footer="0" w:header="0"/>
        </w:sectPr>
      </w:pPr>
    </w:p>
    <w:bookmarkStart w:id="297" w:name="page298"/>
    <w:bookmarkEnd w:id="297"/>
    <w:p>
      <w:pPr>
        <w:ind w:left="840" w:right="1179" w:firstLine="955"/>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corporation or other entity into or with which the Depositary may be merged or consolidated shall be the successor of the Depositary without the execution or filing of any document or any further act.</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5.5. </w:t>
      </w:r>
      <w:r>
        <w:rPr>
          <w:rFonts w:ascii="Arial" w:cs="Arial" w:eastAsia="Arial" w:hAnsi="Arial"/>
          <w:sz w:val="12"/>
          <w:szCs w:val="12"/>
          <w:u w:val="single" w:color="auto"/>
          <w:color w:val="auto"/>
        </w:rPr>
        <w:t>The Custodians.</w:t>
      </w:r>
    </w:p>
    <w:p>
      <w:pPr>
        <w:spacing w:after="0" w:line="78" w:lineRule="exact"/>
        <w:rPr>
          <w:sz w:val="20"/>
          <w:szCs w:val="20"/>
          <w:color w:val="auto"/>
        </w:rPr>
      </w:pPr>
    </w:p>
    <w:p>
      <w:pPr>
        <w:ind w:left="840" w:right="899" w:firstLine="955"/>
        <w:spacing w:after="0" w:line="283" w:lineRule="auto"/>
        <w:rPr>
          <w:sz w:val="20"/>
          <w:szCs w:val="20"/>
          <w:color w:val="auto"/>
        </w:rPr>
      </w:pPr>
      <w:r>
        <w:rPr>
          <w:rFonts w:ascii="Arial" w:cs="Arial" w:eastAsia="Arial" w:hAnsi="Arial"/>
          <w:sz w:val="11"/>
          <w:szCs w:val="11"/>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require any Custodian that resigns or is removed to deliver all Deposited Securities held by it to another Custodian.</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5.6. </w:t>
      </w:r>
      <w:r>
        <w:rPr>
          <w:rFonts w:ascii="Arial" w:cs="Arial" w:eastAsia="Arial" w:hAnsi="Arial"/>
          <w:sz w:val="12"/>
          <w:szCs w:val="12"/>
          <w:u w:val="single" w:color="auto"/>
          <w:color w:val="auto"/>
        </w:rPr>
        <w:t>Notices and Reports.</w:t>
      </w:r>
    </w:p>
    <w:p>
      <w:pPr>
        <w:spacing w:after="0" w:line="78" w:lineRule="exact"/>
        <w:rPr>
          <w:sz w:val="20"/>
          <w:szCs w:val="20"/>
          <w:color w:val="auto"/>
        </w:rPr>
      </w:pPr>
    </w:p>
    <w:p>
      <w:pPr>
        <w:ind w:left="840" w:right="939" w:firstLine="955"/>
        <w:spacing w:after="0" w:line="285" w:lineRule="auto"/>
        <w:rPr>
          <w:sz w:val="20"/>
          <w:szCs w:val="20"/>
          <w:color w:val="auto"/>
        </w:rPr>
      </w:pPr>
      <w:r>
        <w:rPr>
          <w:rFonts w:ascii="Arial" w:cs="Arial" w:eastAsia="Arial" w:hAnsi="Arial"/>
          <w:sz w:val="11"/>
          <w:szCs w:val="11"/>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13" w:lineRule="exact"/>
        <w:rPr>
          <w:sz w:val="20"/>
          <w:szCs w:val="20"/>
          <w:color w:val="auto"/>
        </w:rPr>
      </w:pPr>
    </w:p>
    <w:p>
      <w:pPr>
        <w:ind w:left="840" w:right="899" w:firstLine="955"/>
        <w:spacing w:after="0" w:line="280" w:lineRule="auto"/>
        <w:rPr>
          <w:sz w:val="20"/>
          <w:szCs w:val="20"/>
          <w:color w:val="auto"/>
        </w:rPr>
      </w:pPr>
      <w:r>
        <w:rPr>
          <w:rFonts w:ascii="Arial" w:cs="Arial" w:eastAsia="Arial" w:hAnsi="Arial"/>
          <w:sz w:val="11"/>
          <w:szCs w:val="11"/>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as promptly as practicable,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15" w:lineRule="exact"/>
        <w:rPr>
          <w:sz w:val="20"/>
          <w:szCs w:val="20"/>
          <w:color w:val="auto"/>
        </w:rPr>
      </w:pPr>
    </w:p>
    <w:p>
      <w:pPr>
        <w:ind w:left="840" w:right="959" w:firstLine="955"/>
        <w:spacing w:after="0" w:line="323" w:lineRule="auto"/>
        <w:rPr>
          <w:sz w:val="20"/>
          <w:szCs w:val="20"/>
          <w:color w:val="auto"/>
        </w:rPr>
      </w:pPr>
      <w:r>
        <w:rPr>
          <w:rFonts w:ascii="Arial" w:cs="Arial" w:eastAsia="Arial" w:hAnsi="Arial"/>
          <w:sz w:val="11"/>
          <w:szCs w:val="11"/>
          <w:color w:val="auto"/>
        </w:rPr>
        <w:t>The Company represents that the statements in Article 11 of the form of Receipt appearing as Exhibit A to this Deposit Agreement or, if applicable, most recently filed with the Commission pursuant to Rule 424(b) under the Securities Act of 1933 with</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9019"/>
          </w:cols>
          <w:pgMar w:left="1440" w:top="230" w:right="1440" w:bottom="1440" w:gutter="0" w:footer="0" w:header="0"/>
        </w:sectPr>
      </w:pPr>
    </w:p>
    <w:bookmarkStart w:id="298" w:name="page299"/>
    <w:bookmarkEnd w:id="298"/>
    <w:p>
      <w:pPr>
        <w:ind w:left="840" w:right="8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respect to the Company’s obligation to file periodic reports under the United States Securities Exchange Act of 1934, as amended, or its qualification for exemption from registration under that Act pursuant to Rule 12g3-2(b) under that Act, as the case may be, are true and correct. The Company agrees to promptly notify the Depositary upon becoming aware of any change in the truth of any of those statements or if there is any change in the Company’s status regarding those reporting obligations or that qualification.</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5.7. </w:t>
      </w:r>
      <w:r>
        <w:rPr>
          <w:rFonts w:ascii="Arial" w:cs="Arial" w:eastAsia="Arial" w:hAnsi="Arial"/>
          <w:sz w:val="12"/>
          <w:szCs w:val="12"/>
          <w:u w:val="single" w:color="auto"/>
          <w:color w:val="auto"/>
        </w:rPr>
        <w:t>Distribution of Additional Shares, Rights, etc.</w:t>
      </w:r>
    </w:p>
    <w:p>
      <w:pPr>
        <w:spacing w:after="0" w:line="78" w:lineRule="exact"/>
        <w:rPr>
          <w:sz w:val="20"/>
          <w:szCs w:val="20"/>
          <w:color w:val="auto"/>
        </w:rPr>
      </w:pPr>
    </w:p>
    <w:p>
      <w:pPr>
        <w:ind w:left="840" w:right="899" w:firstLine="955"/>
        <w:spacing w:after="0" w:line="316" w:lineRule="auto"/>
        <w:rPr>
          <w:sz w:val="20"/>
          <w:szCs w:val="20"/>
          <w:color w:val="auto"/>
        </w:rPr>
      </w:pPr>
      <w:r>
        <w:rPr>
          <w:rFonts w:ascii="Arial" w:cs="Arial" w:eastAsia="Arial" w:hAnsi="Arial"/>
          <w:sz w:val="10"/>
          <w:szCs w:val="10"/>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0"/>
          <w:szCs w:val="10"/>
          <w:u w:val="single" w:color="auto"/>
          <w:color w:val="auto"/>
        </w:rPr>
        <w:t>Distribution</w:t>
      </w:r>
      <w:r>
        <w:rPr>
          <w:rFonts w:ascii="Arial" w:cs="Arial" w:eastAsia="Arial" w:hAnsi="Arial"/>
          <w:sz w:val="10"/>
          <w:szCs w:val="10"/>
          <w:color w:val="auto"/>
        </w:rPr>
        <w:t>”), the Company shall notify the Depositary in writing in English as promptly as practicable and in any event before the Distribution starts and, if requested in writing by the Depositary, the Company shall promptly furnish to the Depositary either (i) evidence reasonably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00" w:lineRule="exact"/>
        <w:rPr>
          <w:sz w:val="20"/>
          <w:szCs w:val="20"/>
          <w:color w:val="auto"/>
        </w:rPr>
      </w:pPr>
    </w:p>
    <w:p>
      <w:pPr>
        <w:ind w:left="840" w:right="939" w:firstLine="955"/>
        <w:spacing w:after="0" w:line="276" w:lineRule="auto"/>
        <w:rPr>
          <w:sz w:val="20"/>
          <w:szCs w:val="20"/>
          <w:color w:val="auto"/>
        </w:rPr>
      </w:pPr>
      <w:r>
        <w:rPr>
          <w:rFonts w:ascii="Arial" w:cs="Arial" w:eastAsia="Arial" w:hAnsi="Arial"/>
          <w:sz w:val="12"/>
          <w:szCs w:val="12"/>
          <w:color w:val="auto"/>
        </w:rPr>
        <w:t>Nothing in this Section 5.7 or elsewhere in this Deposit Agreement shall create any obligation of the Company or the Depositary to file a registration statement under the Securities Act of 1933 in respect of any securities or rights.</w:t>
      </w:r>
    </w:p>
    <w:p>
      <w:pPr>
        <w:spacing w:after="0" w:line="115" w:lineRule="exact"/>
        <w:rPr>
          <w:sz w:val="20"/>
          <w:szCs w:val="20"/>
          <w:color w:val="auto"/>
        </w:rPr>
      </w:pPr>
    </w:p>
    <w:p>
      <w:pPr>
        <w:ind w:left="840" w:right="999" w:firstLine="955"/>
        <w:spacing w:after="0" w:line="276" w:lineRule="auto"/>
        <w:rPr>
          <w:sz w:val="20"/>
          <w:szCs w:val="20"/>
          <w:color w:val="auto"/>
        </w:rPr>
      </w:pPr>
      <w:r>
        <w:rPr>
          <w:rFonts w:ascii="Arial" w:cs="Arial" w:eastAsia="Arial" w:hAnsi="Arial"/>
          <w:sz w:val="12"/>
          <w:szCs w:val="12"/>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5.8. </w:t>
      </w:r>
      <w:r>
        <w:rPr>
          <w:rFonts w:ascii="Arial" w:cs="Arial" w:eastAsia="Arial" w:hAnsi="Arial"/>
          <w:sz w:val="12"/>
          <w:szCs w:val="12"/>
          <w:u w:val="single" w:color="auto"/>
          <w:color w:val="auto"/>
        </w:rPr>
        <w:t>Indemnification.</w:t>
      </w:r>
    </w:p>
    <w:p>
      <w:pPr>
        <w:spacing w:after="0" w:line="78" w:lineRule="exact"/>
        <w:rPr>
          <w:sz w:val="20"/>
          <w:szCs w:val="20"/>
          <w:color w:val="auto"/>
        </w:rPr>
      </w:pPr>
    </w:p>
    <w:p>
      <w:pPr>
        <w:ind w:left="840" w:right="899" w:firstLine="955"/>
        <w:spacing w:after="0" w:line="281" w:lineRule="auto"/>
        <w:rPr>
          <w:sz w:val="20"/>
          <w:szCs w:val="20"/>
          <w:color w:val="auto"/>
        </w:rPr>
      </w:pPr>
      <w:r>
        <w:rPr>
          <w:rFonts w:ascii="Arial" w:cs="Arial" w:eastAsia="Arial" w:hAnsi="Arial"/>
          <w:sz w:val="11"/>
          <w:szCs w:val="11"/>
          <w:color w:val="auto"/>
        </w:rPr>
        <w:t>The Company agrees to indemnify the Depositary, its directors, employees, agents and affiliates and each Custodian against, and hold each of them harmless from, any liability or expense (including, but not limited to any fees and expenses incurred in seeking, enforcing or collecting such indemnity and the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230" w:right="1440" w:bottom="1440" w:gutter="0" w:footer="0" w:header="0"/>
        </w:sectPr>
      </w:pPr>
    </w:p>
    <w:bookmarkStart w:id="299" w:name="page300"/>
    <w:bookmarkEnd w:id="299"/>
    <w:p>
      <w:pPr>
        <w:ind w:left="840" w:right="979" w:firstLine="955"/>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Depositary agrees to indemnify the Company, its directors, employees, agents and affiliates and hold them harmless from any liability or expense (including, but not limited to any fees and expenses incurred in seeking, enforcing or collecting such indemnity and the reasonable fees and expenses of counsel) that may arise out of acts performed or omitted by the Depositary or any Custodian or their respective directors, employees, agents and affiliates due to their negligence or bad faith.</w:t>
      </w:r>
    </w:p>
    <w:p>
      <w:pPr>
        <w:spacing w:after="0" w:line="124" w:lineRule="exact"/>
        <w:rPr>
          <w:sz w:val="20"/>
          <w:szCs w:val="20"/>
          <w:color w:val="auto"/>
        </w:rPr>
      </w:pPr>
    </w:p>
    <w:p>
      <w:pPr>
        <w:ind w:left="840" w:right="959" w:firstLine="955"/>
        <w:spacing w:after="0" w:line="285" w:lineRule="auto"/>
        <w:rPr>
          <w:sz w:val="20"/>
          <w:szCs w:val="20"/>
          <w:color w:val="auto"/>
        </w:rPr>
      </w:pPr>
      <w:r>
        <w:rPr>
          <w:rFonts w:ascii="Arial" w:cs="Arial" w:eastAsia="Arial" w:hAnsi="Arial"/>
          <w:sz w:val="11"/>
          <w:szCs w:val="11"/>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and shall consult in good faith with the Indemnifying Person as to the conduct of the defense of such action or claim, which defense shall be reasonable under the circumstances. No Indemnified Person shall compromise or settle any such action or claim without the consent in writing of the Indemnifying Person (which shall not be unreasonably withheld).</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5.9. </w:t>
      </w:r>
      <w:r>
        <w:rPr>
          <w:rFonts w:ascii="Arial" w:cs="Arial" w:eastAsia="Arial" w:hAnsi="Arial"/>
          <w:sz w:val="12"/>
          <w:szCs w:val="12"/>
          <w:u w:val="single" w:color="auto"/>
          <w:color w:val="auto"/>
        </w:rPr>
        <w:t>Charges of Depositary.</w:t>
      </w:r>
    </w:p>
    <w:p>
      <w:pPr>
        <w:spacing w:after="0" w:line="78" w:lineRule="exact"/>
        <w:rPr>
          <w:sz w:val="20"/>
          <w:szCs w:val="20"/>
          <w:color w:val="auto"/>
        </w:rPr>
      </w:pPr>
    </w:p>
    <w:p>
      <w:pPr>
        <w:ind w:left="840" w:right="859" w:firstLine="955"/>
        <w:spacing w:after="0" w:line="276" w:lineRule="auto"/>
        <w:rPr>
          <w:sz w:val="20"/>
          <w:szCs w:val="20"/>
          <w:color w:val="auto"/>
        </w:rPr>
      </w:pPr>
      <w:r>
        <w:rPr>
          <w:rFonts w:ascii="Arial" w:cs="Arial" w:eastAsia="Arial" w:hAnsi="Arial"/>
          <w:sz w:val="11"/>
          <w:szCs w:val="11"/>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230" w:right="1440" w:bottom="1440" w:gutter="0" w:footer="0" w:header="0"/>
        </w:sectPr>
      </w:pPr>
    </w:p>
    <w:bookmarkStart w:id="300" w:name="page301"/>
    <w:bookmarkEnd w:id="300"/>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28" w:lineRule="exact"/>
        <w:rPr>
          <w:sz w:val="20"/>
          <w:szCs w:val="20"/>
          <w:color w:val="auto"/>
        </w:rPr>
      </w:pPr>
    </w:p>
    <w:p>
      <w:pPr>
        <w:jc w:val="both"/>
        <w:ind w:left="840" w:right="919" w:firstLine="955"/>
        <w:spacing w:after="0" w:line="276" w:lineRule="auto"/>
        <w:rPr>
          <w:sz w:val="20"/>
          <w:szCs w:val="20"/>
          <w:color w:val="auto"/>
        </w:rPr>
      </w:pPr>
      <w:r>
        <w:rPr>
          <w:rFonts w:ascii="Arial" w:cs="Arial" w:eastAsia="Arial" w:hAnsi="Arial"/>
          <w:sz w:val="12"/>
          <w:szCs w:val="12"/>
          <w:color w:val="auto"/>
        </w:rPr>
        <w:t>The Depositary may collect any of its fees by deduction from any cash distribution payable, or by selling a portion of any securities to be distributed, to Owners that are obligated to pay those fees.</w:t>
      </w:r>
    </w:p>
    <w:p>
      <w:pPr>
        <w:spacing w:after="0" w:line="115" w:lineRule="exact"/>
        <w:rPr>
          <w:sz w:val="20"/>
          <w:szCs w:val="20"/>
          <w:color w:val="auto"/>
        </w:rPr>
      </w:pPr>
    </w:p>
    <w:p>
      <w:pPr>
        <w:ind w:left="840" w:right="1019" w:firstLine="955"/>
        <w:spacing w:after="0" w:line="323" w:lineRule="auto"/>
        <w:rPr>
          <w:sz w:val="20"/>
          <w:szCs w:val="20"/>
          <w:color w:val="auto"/>
        </w:rPr>
      </w:pPr>
      <w:r>
        <w:rPr>
          <w:rFonts w:ascii="Arial" w:cs="Arial" w:eastAsia="Arial" w:hAnsi="Arial"/>
          <w:sz w:val="11"/>
          <w:szCs w:val="11"/>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92"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The Depositary may own and deal in any class of securities of the Company and its affiliates and in American Depositary Shares.</w:t>
      </w:r>
    </w:p>
    <w:p>
      <w:pPr>
        <w:spacing w:after="0" w:line="23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5.10. </w:t>
      </w:r>
      <w:r>
        <w:rPr>
          <w:rFonts w:ascii="Arial" w:cs="Arial" w:eastAsia="Arial" w:hAnsi="Arial"/>
          <w:sz w:val="12"/>
          <w:szCs w:val="12"/>
          <w:u w:val="single" w:color="auto"/>
          <w:color w:val="auto"/>
        </w:rPr>
        <w:t>Retention of Depositary Documents.</w:t>
      </w:r>
    </w:p>
    <w:p>
      <w:pPr>
        <w:spacing w:after="0" w:line="78" w:lineRule="exact"/>
        <w:rPr>
          <w:sz w:val="20"/>
          <w:szCs w:val="20"/>
          <w:color w:val="auto"/>
        </w:rPr>
      </w:pPr>
    </w:p>
    <w:p>
      <w:pPr>
        <w:ind w:left="840" w:right="1139" w:firstLine="955"/>
        <w:spacing w:after="0" w:line="276" w:lineRule="auto"/>
        <w:rPr>
          <w:sz w:val="20"/>
          <w:szCs w:val="20"/>
          <w:color w:val="auto"/>
        </w:rPr>
      </w:pPr>
      <w:r>
        <w:rPr>
          <w:rFonts w:ascii="Arial" w:cs="Arial" w:eastAsia="Arial" w:hAnsi="Arial"/>
          <w:sz w:val="12"/>
          <w:szCs w:val="12"/>
          <w:color w:val="auto"/>
        </w:rPr>
        <w:t>The Depositary is authorized to destroy those documents, records, bills and other data compiled during the term of this Deposit Agreement at the times permitted by the laws or regulations governing the Depositary.</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Exclusivity.</w:t>
      </w:r>
    </w:p>
    <w:p>
      <w:pPr>
        <w:spacing w:after="0" w:line="78" w:lineRule="exact"/>
        <w:rPr>
          <w:sz w:val="20"/>
          <w:szCs w:val="20"/>
          <w:color w:val="auto"/>
        </w:rPr>
      </w:pPr>
    </w:p>
    <w:p>
      <w:pPr>
        <w:jc w:val="both"/>
        <w:ind w:left="840" w:right="899" w:firstLine="955"/>
        <w:spacing w:after="0" w:line="263" w:lineRule="auto"/>
        <w:rPr>
          <w:sz w:val="20"/>
          <w:szCs w:val="20"/>
          <w:color w:val="auto"/>
        </w:rPr>
      </w:pPr>
      <w:r>
        <w:rPr>
          <w:rFonts w:ascii="Arial" w:cs="Arial" w:eastAsia="Arial" w:hAnsi="Arial"/>
          <w:sz w:val="12"/>
          <w:szCs w:val="12"/>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Information for Regulatory Compliance.</w:t>
      </w:r>
    </w:p>
    <w:p>
      <w:pPr>
        <w:spacing w:after="0" w:line="78" w:lineRule="exact"/>
        <w:rPr>
          <w:sz w:val="20"/>
          <w:szCs w:val="20"/>
          <w:color w:val="auto"/>
        </w:rPr>
      </w:pPr>
    </w:p>
    <w:p>
      <w:pPr>
        <w:ind w:left="840" w:right="939" w:firstLine="955"/>
        <w:spacing w:after="0" w:line="263" w:lineRule="auto"/>
        <w:rPr>
          <w:sz w:val="20"/>
          <w:szCs w:val="20"/>
          <w:color w:val="auto"/>
        </w:rPr>
      </w:pPr>
      <w:r>
        <w:rPr>
          <w:rFonts w:ascii="Arial" w:cs="Arial" w:eastAsia="Arial" w:hAnsi="Arial"/>
          <w:sz w:val="12"/>
          <w:szCs w:val="12"/>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221"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2"/>
          <w:szCs w:val="12"/>
          <w:color w:val="auto"/>
        </w:rPr>
        <w:t>ARTICLE 6.</w:t>
      </w:r>
      <w:r>
        <w:rPr>
          <w:sz w:val="20"/>
          <w:szCs w:val="20"/>
          <w:color w:val="auto"/>
        </w:rPr>
        <w:tab/>
      </w:r>
      <w:r>
        <w:rPr>
          <w:rFonts w:ascii="Arial" w:cs="Arial" w:eastAsia="Arial" w:hAnsi="Arial"/>
          <w:sz w:val="11"/>
          <w:szCs w:val="11"/>
          <w:color w:val="auto"/>
        </w:rPr>
        <w:t>AMENDMENT AND TERMINATION</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Amendment.</w:t>
      </w:r>
    </w:p>
    <w:p>
      <w:pPr>
        <w:spacing w:after="0" w:line="78" w:lineRule="exact"/>
        <w:rPr>
          <w:sz w:val="20"/>
          <w:szCs w:val="20"/>
          <w:color w:val="auto"/>
        </w:rPr>
      </w:pPr>
    </w:p>
    <w:p>
      <w:pPr>
        <w:ind w:left="840" w:right="1159" w:firstLine="955"/>
        <w:spacing w:after="0" w:line="276" w:lineRule="auto"/>
        <w:rPr>
          <w:sz w:val="20"/>
          <w:szCs w:val="20"/>
          <w:color w:val="auto"/>
        </w:rPr>
      </w:pPr>
      <w:r>
        <w:rPr>
          <w:rFonts w:ascii="Arial" w:cs="Arial" w:eastAsia="Arial" w:hAnsi="Arial"/>
          <w:sz w:val="12"/>
          <w:szCs w:val="12"/>
          <w:color w:val="auto"/>
        </w:rPr>
        <w:t>The form of the Receipts and any provisions of this Deposit Agreement may at any time and from time to time be amended by agreement between the Company and the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9019"/>
          </w:cols>
          <w:pgMar w:left="1440" w:top="230" w:right="1440" w:bottom="1440" w:gutter="0" w:footer="0" w:header="0"/>
        </w:sectPr>
      </w:pPr>
    </w:p>
    <w:bookmarkStart w:id="301" w:name="page302"/>
    <w:bookmarkEnd w:id="301"/>
    <w:p>
      <w:pPr>
        <w:ind w:left="840" w:right="83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6.2. </w:t>
      </w:r>
      <w:r>
        <w:rPr>
          <w:rFonts w:ascii="Arial" w:cs="Arial" w:eastAsia="Arial" w:hAnsi="Arial"/>
          <w:sz w:val="12"/>
          <w:szCs w:val="12"/>
          <w:u w:val="single" w:color="auto"/>
          <w:color w:val="auto"/>
        </w:rPr>
        <w:t>Termination.</w:t>
      </w:r>
    </w:p>
    <w:p>
      <w:pPr>
        <w:spacing w:after="0" w:line="78" w:lineRule="exact"/>
        <w:rPr>
          <w:sz w:val="20"/>
          <w:szCs w:val="20"/>
          <w:color w:val="auto"/>
        </w:rPr>
      </w:pPr>
    </w:p>
    <w:p>
      <w:pPr>
        <w:ind w:left="840" w:right="879" w:firstLine="947"/>
        <w:spacing w:after="0" w:line="255" w:lineRule="auto"/>
        <w:tabs>
          <w:tab w:leader="none" w:pos="1958"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which shall be at least 90 days after the date of that notice, and this Deposit Agreement shall terminate on that Termination Date.</w:t>
      </w:r>
    </w:p>
    <w:p>
      <w:pPr>
        <w:spacing w:after="0" w:line="128" w:lineRule="exact"/>
        <w:rPr>
          <w:rFonts w:ascii="Arial" w:cs="Arial" w:eastAsia="Arial" w:hAnsi="Arial"/>
          <w:sz w:val="12"/>
          <w:szCs w:val="12"/>
          <w:color w:val="auto"/>
        </w:rPr>
      </w:pPr>
    </w:p>
    <w:p>
      <w:pPr>
        <w:ind w:left="840" w:right="999" w:firstLine="947"/>
        <w:spacing w:after="0" w:line="276" w:lineRule="auto"/>
        <w:tabs>
          <w:tab w:leader="none" w:pos="1965" w:val="left"/>
        </w:tabs>
        <w:numPr>
          <w:ilvl w:val="0"/>
          <w:numId w:val="229"/>
        </w:numPr>
        <w:rPr>
          <w:rFonts w:ascii="Arial" w:cs="Arial" w:eastAsia="Arial" w:hAnsi="Arial"/>
          <w:sz w:val="12"/>
          <w:szCs w:val="12"/>
          <w:color w:val="auto"/>
        </w:rPr>
      </w:pPr>
      <w:r>
        <w:rPr>
          <w:rFonts w:ascii="Arial" w:cs="Arial" w:eastAsia="Arial" w:hAnsi="Arial"/>
          <w:sz w:val="12"/>
          <w:szCs w:val="12"/>
          <w:color w:val="auto"/>
        </w:rPr>
        <w:t>After the Termination Date, the Company shall be discharged from all obligations under this Deposit Agreement except for its obligations to the Depositary under Sections 5.8 and 5.9.</w:t>
      </w:r>
    </w:p>
    <w:p>
      <w:pPr>
        <w:spacing w:after="0" w:line="114" w:lineRule="exact"/>
        <w:rPr>
          <w:rFonts w:ascii="Arial" w:cs="Arial" w:eastAsia="Arial" w:hAnsi="Arial"/>
          <w:sz w:val="12"/>
          <w:szCs w:val="12"/>
          <w:color w:val="auto"/>
        </w:rPr>
      </w:pPr>
    </w:p>
    <w:p>
      <w:pPr>
        <w:ind w:left="840" w:right="859" w:firstLine="947"/>
        <w:spacing w:after="0" w:line="255" w:lineRule="auto"/>
        <w:tabs>
          <w:tab w:leader="none" w:pos="1958" w:val="left"/>
        </w:tabs>
        <w:numPr>
          <w:ilvl w:val="0"/>
          <w:numId w:val="229"/>
        </w:numPr>
        <w:rPr>
          <w:rFonts w:ascii="Arial" w:cs="Arial" w:eastAsia="Arial" w:hAnsi="Arial"/>
          <w:sz w:val="12"/>
          <w:szCs w:val="12"/>
          <w:color w:val="auto"/>
        </w:rPr>
      </w:pPr>
      <w:r>
        <w:rPr>
          <w:rFonts w:ascii="Arial" w:cs="Arial" w:eastAsia="Arial" w:hAnsi="Arial"/>
          <w:sz w:val="12"/>
          <w:szCs w:val="12"/>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2"/>
          <w:szCs w:val="12"/>
          <w:u w:val="single" w:color="auto"/>
          <w:color w:val="auto"/>
        </w:rPr>
        <w:t>except</w:t>
      </w:r>
      <w:r>
        <w:rPr>
          <w:rFonts w:ascii="Arial" w:cs="Arial" w:eastAsia="Arial" w:hAnsi="Arial"/>
          <w:sz w:val="12"/>
          <w:szCs w:val="12"/>
          <w:color w:val="auto"/>
        </w:rPr>
        <w:t xml:space="preserve"> (i) to account for the net proceeds and other cash (after deducting, in each case, the fee of the Depositary for the surrender of American Depositary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9019"/>
          </w:cols>
          <w:pgMar w:left="1440" w:top="230" w:right="1440" w:bottom="1440" w:gutter="0" w:footer="0" w:header="0"/>
        </w:sectPr>
      </w:pPr>
    </w:p>
    <w:bookmarkStart w:id="302" w:name="page303"/>
    <w:bookmarkEnd w:id="302"/>
    <w:p>
      <w:pPr>
        <w:ind w:left="840" w:right="109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22" w:lineRule="exact"/>
        <w:rPr>
          <w:sz w:val="20"/>
          <w:szCs w:val="20"/>
          <w:color w:val="auto"/>
        </w:rPr>
      </w:pPr>
    </w:p>
    <w:p>
      <w:pPr>
        <w:ind w:left="840" w:right="859" w:firstLine="947"/>
        <w:spacing w:after="0" w:line="277" w:lineRule="auto"/>
        <w:tabs>
          <w:tab w:leader="none" w:pos="1965" w:val="left"/>
        </w:tabs>
        <w:numPr>
          <w:ilvl w:val="0"/>
          <w:numId w:val="230"/>
        </w:numPr>
        <w:rPr>
          <w:rFonts w:ascii="Arial" w:cs="Arial" w:eastAsia="Arial" w:hAnsi="Arial"/>
          <w:sz w:val="11"/>
          <w:szCs w:val="11"/>
          <w:color w:val="auto"/>
        </w:rPr>
      </w:pPr>
      <w:r>
        <w:rPr>
          <w:rFonts w:ascii="Arial" w:cs="Arial" w:eastAsia="Arial" w:hAnsi="Arial"/>
          <w:sz w:val="11"/>
          <w:szCs w:val="11"/>
          <w:color w:val="auto"/>
        </w:rPr>
        <w:t>After the Termination Date,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219"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2"/>
          <w:szCs w:val="12"/>
          <w:color w:val="auto"/>
        </w:rPr>
        <w:t>ARTICLE 7.</w:t>
      </w:r>
      <w:r>
        <w:rPr>
          <w:sz w:val="20"/>
          <w:szCs w:val="20"/>
          <w:color w:val="auto"/>
        </w:rPr>
        <w:tab/>
      </w:r>
      <w:r>
        <w:rPr>
          <w:rFonts w:ascii="Arial" w:cs="Arial" w:eastAsia="Arial" w:hAnsi="Arial"/>
          <w:sz w:val="11"/>
          <w:szCs w:val="11"/>
          <w:color w:val="auto"/>
        </w:rPr>
        <w:t>MISCELLANEOUS</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7.1. </w:t>
      </w:r>
      <w:r>
        <w:rPr>
          <w:rFonts w:ascii="Arial" w:cs="Arial" w:eastAsia="Arial" w:hAnsi="Arial"/>
          <w:sz w:val="12"/>
          <w:szCs w:val="12"/>
          <w:u w:val="single" w:color="auto"/>
          <w:color w:val="auto"/>
        </w:rPr>
        <w:t>Counterparts; Signatures; Delivery.</w:t>
      </w:r>
    </w:p>
    <w:p>
      <w:pPr>
        <w:spacing w:after="0" w:line="78" w:lineRule="exact"/>
        <w:rPr>
          <w:sz w:val="20"/>
          <w:szCs w:val="20"/>
          <w:color w:val="auto"/>
        </w:rPr>
      </w:pPr>
    </w:p>
    <w:p>
      <w:pPr>
        <w:ind w:left="840" w:right="899" w:firstLine="955"/>
        <w:spacing w:after="0" w:line="263" w:lineRule="auto"/>
        <w:rPr>
          <w:sz w:val="20"/>
          <w:szCs w:val="20"/>
          <w:color w:val="auto"/>
        </w:rPr>
      </w:pPr>
      <w:r>
        <w:rPr>
          <w:rFonts w:ascii="Arial" w:cs="Arial" w:eastAsia="Arial" w:hAnsi="Arial"/>
          <w:sz w:val="12"/>
          <w:szCs w:val="12"/>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22" w:lineRule="exact"/>
        <w:rPr>
          <w:sz w:val="20"/>
          <w:szCs w:val="20"/>
          <w:color w:val="auto"/>
        </w:rPr>
      </w:pPr>
    </w:p>
    <w:p>
      <w:pPr>
        <w:ind w:left="840" w:right="959" w:firstLine="955"/>
        <w:spacing w:after="0" w:line="326" w:lineRule="auto"/>
        <w:rPr>
          <w:sz w:val="20"/>
          <w:szCs w:val="20"/>
          <w:color w:val="auto"/>
        </w:rPr>
      </w:pPr>
      <w:r>
        <w:rPr>
          <w:rFonts w:ascii="Arial" w:cs="Arial" w:eastAsia="Arial" w:hAnsi="Arial"/>
          <w:sz w:val="10"/>
          <w:szCs w:val="10"/>
          <w:color w:val="auto"/>
        </w:rPr>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9019"/>
          </w:cols>
          <w:pgMar w:left="1440" w:top="230" w:right="1440" w:bottom="1440" w:gutter="0" w:footer="0" w:header="0"/>
        </w:sectPr>
      </w:pPr>
    </w:p>
    <w:bookmarkStart w:id="303" w:name="page304"/>
    <w:bookmarkEnd w:id="30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7.2. </w:t>
      </w:r>
      <w:r>
        <w:rPr>
          <w:rFonts w:ascii="Arial" w:cs="Arial" w:eastAsia="Arial" w:hAnsi="Arial"/>
          <w:sz w:val="12"/>
          <w:szCs w:val="12"/>
          <w:u w:val="single" w:color="auto"/>
          <w:color w:val="auto"/>
        </w:rPr>
        <w:t>No Third Party Beneficiaries.</w:t>
      </w:r>
    </w:p>
    <w:p>
      <w:pPr>
        <w:spacing w:after="0" w:line="78" w:lineRule="exact"/>
        <w:rPr>
          <w:sz w:val="20"/>
          <w:szCs w:val="20"/>
          <w:color w:val="auto"/>
        </w:rPr>
      </w:pPr>
    </w:p>
    <w:p>
      <w:pPr>
        <w:ind w:left="840" w:right="1339" w:firstLine="955"/>
        <w:spacing w:after="0" w:line="323" w:lineRule="auto"/>
        <w:rPr>
          <w:sz w:val="20"/>
          <w:szCs w:val="20"/>
          <w:color w:val="auto"/>
        </w:rPr>
      </w:pPr>
      <w:r>
        <w:rPr>
          <w:rFonts w:ascii="Arial" w:cs="Arial" w:eastAsia="Arial" w:hAnsi="Arial"/>
          <w:sz w:val="11"/>
          <w:szCs w:val="11"/>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7.3. </w:t>
      </w:r>
      <w:r>
        <w:rPr>
          <w:rFonts w:ascii="Arial" w:cs="Arial" w:eastAsia="Arial" w:hAnsi="Arial"/>
          <w:sz w:val="12"/>
          <w:szCs w:val="12"/>
          <w:u w:val="single" w:color="auto"/>
          <w:color w:val="auto"/>
        </w:rPr>
        <w:t>Severability.</w:t>
      </w:r>
    </w:p>
    <w:p>
      <w:pPr>
        <w:spacing w:after="0" w:line="78" w:lineRule="exact"/>
        <w:rPr>
          <w:sz w:val="20"/>
          <w:szCs w:val="20"/>
          <w:color w:val="auto"/>
        </w:rPr>
      </w:pPr>
    </w:p>
    <w:p>
      <w:pPr>
        <w:ind w:left="840" w:right="839" w:firstLine="955"/>
        <w:spacing w:after="0" w:line="263" w:lineRule="auto"/>
        <w:rPr>
          <w:sz w:val="20"/>
          <w:szCs w:val="20"/>
          <w:color w:val="auto"/>
        </w:rPr>
      </w:pPr>
      <w:r>
        <w:rPr>
          <w:rFonts w:ascii="Arial" w:cs="Arial" w:eastAsia="Arial" w:hAnsi="Arial"/>
          <w:sz w:val="12"/>
          <w:szCs w:val="12"/>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7.4. </w:t>
      </w:r>
      <w:r>
        <w:rPr>
          <w:rFonts w:ascii="Arial" w:cs="Arial" w:eastAsia="Arial" w:hAnsi="Arial"/>
          <w:sz w:val="12"/>
          <w:szCs w:val="12"/>
          <w:u w:val="single" w:color="auto"/>
          <w:color w:val="auto"/>
        </w:rPr>
        <w:t>Owners and Holders as Parties; Binding Effect.</w:t>
      </w:r>
    </w:p>
    <w:p>
      <w:pPr>
        <w:spacing w:after="0" w:line="78" w:lineRule="exact"/>
        <w:rPr>
          <w:sz w:val="20"/>
          <w:szCs w:val="20"/>
          <w:color w:val="auto"/>
        </w:rPr>
      </w:pPr>
    </w:p>
    <w:p>
      <w:pPr>
        <w:ind w:left="840" w:right="1079" w:firstLine="955"/>
        <w:spacing w:after="0" w:line="323" w:lineRule="auto"/>
        <w:rPr>
          <w:sz w:val="20"/>
          <w:szCs w:val="20"/>
          <w:color w:val="auto"/>
        </w:rPr>
      </w:pPr>
      <w:r>
        <w:rPr>
          <w:rFonts w:ascii="Arial" w:cs="Arial" w:eastAsia="Arial" w:hAnsi="Arial"/>
          <w:sz w:val="11"/>
          <w:szCs w:val="11"/>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7.5. </w:t>
      </w:r>
      <w:r>
        <w:rPr>
          <w:rFonts w:ascii="Arial" w:cs="Arial" w:eastAsia="Arial" w:hAnsi="Arial"/>
          <w:sz w:val="12"/>
          <w:szCs w:val="12"/>
          <w:u w:val="single" w:color="auto"/>
          <w:color w:val="auto"/>
        </w:rPr>
        <w:t>Notices.</w:t>
      </w:r>
    </w:p>
    <w:p>
      <w:pPr>
        <w:spacing w:after="0" w:line="78" w:lineRule="exact"/>
        <w:rPr>
          <w:sz w:val="20"/>
          <w:szCs w:val="20"/>
          <w:color w:val="auto"/>
        </w:rPr>
      </w:pPr>
    </w:p>
    <w:p>
      <w:pPr>
        <w:ind w:left="840" w:right="1019" w:firstLine="955"/>
        <w:spacing w:after="0" w:line="289" w:lineRule="auto"/>
        <w:rPr>
          <w:sz w:val="20"/>
          <w:szCs w:val="20"/>
          <w:color w:val="auto"/>
        </w:rPr>
      </w:pPr>
      <w:r>
        <w:rPr>
          <w:rFonts w:ascii="Arial" w:cs="Arial" w:eastAsia="Arial" w:hAnsi="Arial"/>
          <w:sz w:val="11"/>
          <w:szCs w:val="11"/>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Mynaric AG, Dornierstraße 19, 82205 Gilching, Germany, Attention: The Management Board, or any other place to which the Company may have transferred its principal office with notice to the Depositary.</w:t>
      </w:r>
    </w:p>
    <w:p>
      <w:pPr>
        <w:spacing w:after="0" w:line="111" w:lineRule="exact"/>
        <w:rPr>
          <w:sz w:val="20"/>
          <w:szCs w:val="20"/>
          <w:color w:val="auto"/>
        </w:rPr>
      </w:pPr>
    </w:p>
    <w:p>
      <w:pPr>
        <w:ind w:left="840" w:right="979" w:firstLine="955"/>
        <w:spacing w:after="0" w:line="326" w:lineRule="auto"/>
        <w:rPr>
          <w:sz w:val="20"/>
          <w:szCs w:val="20"/>
          <w:color w:val="auto"/>
        </w:rPr>
      </w:pPr>
      <w:r>
        <w:rPr>
          <w:rFonts w:ascii="Arial" w:cs="Arial" w:eastAsia="Arial" w:hAnsi="Arial"/>
          <w:sz w:val="10"/>
          <w:szCs w:val="10"/>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95" w:lineRule="exact"/>
        <w:rPr>
          <w:sz w:val="20"/>
          <w:szCs w:val="20"/>
          <w:color w:val="auto"/>
        </w:rPr>
      </w:pPr>
    </w:p>
    <w:p>
      <w:pPr>
        <w:ind w:left="840" w:right="899" w:firstLine="955"/>
        <w:spacing w:after="0" w:line="263" w:lineRule="auto"/>
        <w:rPr>
          <w:sz w:val="20"/>
          <w:szCs w:val="20"/>
          <w:color w:val="auto"/>
        </w:rPr>
      </w:pPr>
      <w:r>
        <w:rPr>
          <w:rFonts w:ascii="Arial" w:cs="Arial" w:eastAsia="Arial" w:hAnsi="Arial"/>
          <w:sz w:val="12"/>
          <w:szCs w:val="12"/>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230" w:right="1440" w:bottom="1440" w:gutter="0" w:footer="0" w:header="0"/>
        </w:sectPr>
      </w:pPr>
    </w:p>
    <w:bookmarkStart w:id="304" w:name="page305"/>
    <w:bookmarkEnd w:id="304"/>
    <w:p>
      <w:pPr>
        <w:ind w:left="840" w:right="939" w:firstLine="955"/>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7.6. </w:t>
      </w:r>
      <w:r>
        <w:rPr>
          <w:rFonts w:ascii="Arial" w:cs="Arial" w:eastAsia="Arial" w:hAnsi="Arial"/>
          <w:sz w:val="12"/>
          <w:szCs w:val="12"/>
          <w:u w:val="single" w:color="auto"/>
          <w:color w:val="auto"/>
        </w:rPr>
        <w:t>Appointment of Agent for Service of Process; Submission to Jurisdiction; Jury Trial Waiver.</w:t>
      </w:r>
    </w:p>
    <w:p>
      <w:pPr>
        <w:spacing w:after="0" w:line="78" w:lineRule="exact"/>
        <w:rPr>
          <w:sz w:val="20"/>
          <w:szCs w:val="20"/>
          <w:color w:val="auto"/>
        </w:rPr>
      </w:pPr>
    </w:p>
    <w:p>
      <w:pPr>
        <w:ind w:left="840" w:right="899" w:firstLine="955"/>
        <w:spacing w:after="0" w:line="307" w:lineRule="auto"/>
        <w:rPr>
          <w:sz w:val="20"/>
          <w:szCs w:val="20"/>
          <w:color w:val="auto"/>
        </w:rPr>
      </w:pPr>
      <w:r>
        <w:rPr>
          <w:rFonts w:ascii="Arial" w:cs="Arial" w:eastAsia="Arial" w:hAnsi="Arial"/>
          <w:sz w:val="10"/>
          <w:szCs w:val="10"/>
          <w:color w:val="auto"/>
        </w:rPr>
        <w:t>The Company hereby (i) designates and appoints the person named in Exhibit A to this Deposit Agreement as the Company’s authorized agent in the United States upon which process may be served in any suit or proceeding arising out of or relating to the Shares or Deposited Securities, the American Depositary Shares, the Receipts or this Deposit Agreement (a “Proceeding”), (ii) subject to the third following paragraph,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248" w:lineRule="exact"/>
        <w:rPr>
          <w:sz w:val="20"/>
          <w:szCs w:val="20"/>
          <w:color w:val="auto"/>
        </w:rPr>
      </w:pPr>
    </w:p>
    <w:p>
      <w:pPr>
        <w:ind w:left="840" w:right="859" w:firstLine="955"/>
        <w:spacing w:after="0" w:line="289" w:lineRule="auto"/>
        <w:rPr>
          <w:sz w:val="20"/>
          <w:szCs w:val="20"/>
          <w:color w:val="auto"/>
        </w:rPr>
      </w:pPr>
      <w:r>
        <w:rPr>
          <w:rFonts w:ascii="Arial" w:cs="Arial" w:eastAsia="Arial" w:hAnsi="Arial"/>
          <w:sz w:val="11"/>
          <w:szCs w:val="11"/>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230" w:right="1440" w:bottom="1440" w:gutter="0" w:footer="0" w:header="0"/>
        </w:sectPr>
      </w:pPr>
    </w:p>
    <w:bookmarkStart w:id="305" w:name="page306"/>
    <w:bookmarkEnd w:id="305"/>
    <w:p>
      <w:pPr>
        <w:ind w:left="840" w:right="9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DEPOSITARY SHARES OR THE RECEIPTS, THIS DEPOSIT AGREEMENT OR ANY TRANSACTION CONTEMPLATED HEREIN OR THEREIN, OR THE BREACH HEREOF OR THEREOF, INCLUDING, WITHOUT LIMITATION, ANY QUESTION REGARDING EXISTENCE, VALIDITY OR TERMINATION (WHETHER BASED ON CONTRACT, TORT OR ANY OTHER THEORY AND ANY CLAIM BASED ON U.S. FEDERAL SECURITIES LAWS).</w:t>
      </w:r>
    </w:p>
    <w:p>
      <w:pPr>
        <w:spacing w:after="0" w:line="124" w:lineRule="exact"/>
        <w:rPr>
          <w:sz w:val="20"/>
          <w:szCs w:val="20"/>
          <w:color w:val="auto"/>
        </w:rPr>
      </w:pPr>
    </w:p>
    <w:p>
      <w:pPr>
        <w:ind w:left="840" w:right="999" w:firstLine="955"/>
        <w:spacing w:after="0" w:line="263" w:lineRule="auto"/>
        <w:rPr>
          <w:sz w:val="20"/>
          <w:szCs w:val="20"/>
          <w:color w:val="auto"/>
        </w:rPr>
      </w:pPr>
      <w:r>
        <w:rPr>
          <w:rFonts w:ascii="Arial" w:cs="Arial" w:eastAsia="Arial" w:hAnsi="Arial"/>
          <w:sz w:val="12"/>
          <w:szCs w:val="12"/>
          <w:color w:val="auto"/>
        </w:rPr>
        <w:t>No disclaimer of liability under the United States federal securities laws or the rules and regulations thereunder is intended by any provision of this Deposit Agreement, inasmuch as no person is able to effectively waive the duty of any other person to comply with its obligations under those laws, rules and regulations.</w:t>
      </w:r>
    </w:p>
    <w:p>
      <w:pPr>
        <w:spacing w:after="0" w:line="122" w:lineRule="exact"/>
        <w:rPr>
          <w:sz w:val="20"/>
          <w:szCs w:val="20"/>
          <w:color w:val="auto"/>
        </w:rPr>
      </w:pPr>
    </w:p>
    <w:p>
      <w:pPr>
        <w:ind w:left="840" w:right="839" w:firstLine="955"/>
        <w:spacing w:after="0" w:line="289" w:lineRule="auto"/>
        <w:rPr>
          <w:sz w:val="20"/>
          <w:szCs w:val="20"/>
          <w:color w:val="auto"/>
        </w:rPr>
      </w:pPr>
      <w:r>
        <w:rPr>
          <w:rFonts w:ascii="Arial" w:cs="Arial" w:eastAsia="Arial" w:hAnsi="Arial"/>
          <w:sz w:val="11"/>
          <w:szCs w:val="11"/>
          <w:color w:val="auto"/>
        </w:rPr>
        <w:t>Each Owner and Holder hereby agrees that it will not commence any Proceeding asserting a claim under the Securities Act of 1933 or the United States Securities Exchange Act of 1934, as amended, or the rules or regulations promulgated under those statutes, except in a United States federal district court unless the Company consents in writing to the selection of an alternative forum. Any person or entity who becomes an Owner or Holder shall be deemed to have notice of and consented to the provisions of this Section 7.6.</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7.7. </w:t>
      </w:r>
      <w:r>
        <w:rPr>
          <w:rFonts w:ascii="Arial" w:cs="Arial" w:eastAsia="Arial" w:hAnsi="Arial"/>
          <w:sz w:val="12"/>
          <w:szCs w:val="12"/>
          <w:u w:val="single" w:color="auto"/>
          <w:color w:val="auto"/>
        </w:rPr>
        <w:t>Waiver of Immunities.</w:t>
      </w:r>
    </w:p>
    <w:p>
      <w:pPr>
        <w:spacing w:after="0" w:line="78" w:lineRule="exact"/>
        <w:rPr>
          <w:sz w:val="20"/>
          <w:szCs w:val="20"/>
          <w:color w:val="auto"/>
        </w:rPr>
      </w:pPr>
    </w:p>
    <w:p>
      <w:pPr>
        <w:ind w:left="840" w:right="859" w:firstLine="955"/>
        <w:spacing w:after="0" w:line="280" w:lineRule="auto"/>
        <w:rPr>
          <w:sz w:val="20"/>
          <w:szCs w:val="20"/>
          <w:color w:val="auto"/>
        </w:rPr>
      </w:pPr>
      <w:r>
        <w:rPr>
          <w:rFonts w:ascii="Arial" w:cs="Arial" w:eastAsia="Arial" w:hAnsi="Arial"/>
          <w:sz w:val="11"/>
          <w:szCs w:val="11"/>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7.8. </w:t>
      </w:r>
      <w:r>
        <w:rPr>
          <w:rFonts w:ascii="Arial" w:cs="Arial" w:eastAsia="Arial" w:hAnsi="Arial"/>
          <w:sz w:val="12"/>
          <w:szCs w:val="12"/>
          <w:u w:val="single" w:color="auto"/>
          <w:color w:val="auto"/>
        </w:rPr>
        <w:t>Governing Law.</w:t>
      </w:r>
    </w:p>
    <w:p>
      <w:pPr>
        <w:spacing w:after="0" w:line="78" w:lineRule="exact"/>
        <w:rPr>
          <w:sz w:val="20"/>
          <w:szCs w:val="20"/>
          <w:color w:val="auto"/>
        </w:rPr>
      </w:pPr>
    </w:p>
    <w:p>
      <w:pPr>
        <w:ind w:left="840" w:right="1239" w:firstLine="955"/>
        <w:spacing w:after="0" w:line="276" w:lineRule="auto"/>
        <w:rPr>
          <w:sz w:val="20"/>
          <w:szCs w:val="20"/>
          <w:color w:val="auto"/>
        </w:rPr>
      </w:pPr>
      <w:r>
        <w:rPr>
          <w:rFonts w:ascii="Arial" w:cs="Arial" w:eastAsia="Arial" w:hAnsi="Arial"/>
          <w:sz w:val="12"/>
          <w:szCs w:val="12"/>
          <w:color w:val="auto"/>
        </w:rPr>
        <w:t>This Deposit Agreement and the Receipts shall be interpreted in accordance with and all rights hereunder and thereunder and provisions hereof and thereof shall be governed by the laws of the State of New York.</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9019"/>
          </w:cols>
          <w:pgMar w:left="1440" w:top="230" w:right="1440" w:bottom="1440" w:gutter="0" w:footer="0" w:header="0"/>
        </w:sectPr>
      </w:pPr>
    </w:p>
    <w:bookmarkStart w:id="306" w:name="page307"/>
    <w:bookmarkEnd w:id="306"/>
    <w:p>
      <w:pPr>
        <w:ind w:left="840" w:right="1019" w:firstLine="955"/>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MYNARIC AG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14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MYNARIC AG</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Bulent Altan</w:t>
      </w:r>
    </w:p>
    <w:p>
      <w:pPr>
        <w:spacing w:after="0" w:line="15" w:lineRule="exact"/>
        <w:rPr>
          <w:sz w:val="20"/>
          <w:szCs w:val="20"/>
          <w:color w:val="auto"/>
        </w:rPr>
      </w:pPr>
    </w:p>
    <w:p>
      <w:pPr>
        <w:ind w:left="5480"/>
        <w:spacing w:after="0"/>
        <w:tabs>
          <w:tab w:leader="none" w:pos="5840" w:val="left"/>
        </w:tabs>
        <w:rPr>
          <w:sz w:val="20"/>
          <w:szCs w:val="20"/>
          <w:color w:val="auto"/>
        </w:rPr>
      </w:pPr>
      <w:r>
        <w:rPr>
          <w:rFonts w:ascii="Arial" w:cs="Arial" w:eastAsia="Arial" w:hAnsi="Arial"/>
          <w:sz w:val="12"/>
          <w:szCs w:val="12"/>
          <w:color w:val="auto"/>
        </w:rPr>
        <w:t>Title:</w:t>
        <w:tab/>
        <w:t>Chief Executive Officer</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Stefan Berndt-von Bülow</w:t>
      </w:r>
    </w:p>
    <w:p>
      <w:pPr>
        <w:spacing w:after="0" w:line="15" w:lineRule="exact"/>
        <w:rPr>
          <w:sz w:val="20"/>
          <w:szCs w:val="20"/>
          <w:color w:val="auto"/>
        </w:rPr>
      </w:pPr>
    </w:p>
    <w:p>
      <w:pPr>
        <w:ind w:left="5480"/>
        <w:spacing w:after="0"/>
        <w:tabs>
          <w:tab w:leader="none" w:pos="5840" w:val="left"/>
        </w:tabs>
        <w:rPr>
          <w:sz w:val="20"/>
          <w:szCs w:val="20"/>
          <w:color w:val="auto"/>
        </w:rPr>
      </w:pPr>
      <w:r>
        <w:rPr>
          <w:rFonts w:ascii="Arial" w:cs="Arial" w:eastAsia="Arial" w:hAnsi="Arial"/>
          <w:sz w:val="12"/>
          <w:szCs w:val="12"/>
          <w:color w:val="auto"/>
        </w:rPr>
        <w:t>Title:</w:t>
        <w:tab/>
        <w:t>Chief Financial Officer</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THE BANK OF NEW YORK MELLON, as Depositary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230" w:right="1440" w:bottom="1440" w:gutter="0" w:footer="0" w:header="0"/>
        </w:sectPr>
      </w:pPr>
    </w:p>
    <w:bookmarkStart w:id="307" w:name="page308"/>
    <w:bookmarkEnd w:id="307"/>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68"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AMERICAN DEPOSITARY SHARES</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0"/>
          <w:szCs w:val="10"/>
          <w:color w:val="auto"/>
        </w:rPr>
        <w:t>(Each American Depositary Share represents</w:t>
      </w:r>
    </w:p>
    <w:p>
      <w:pPr>
        <w:spacing w:after="0" w:line="29" w:lineRule="exact"/>
        <w:rPr>
          <w:sz w:val="20"/>
          <w:szCs w:val="20"/>
          <w:color w:val="auto"/>
        </w:rPr>
      </w:pPr>
    </w:p>
    <w:p>
      <w:pPr>
        <w:ind w:left="6140"/>
        <w:spacing w:after="0"/>
        <w:rPr>
          <w:sz w:val="20"/>
          <w:szCs w:val="20"/>
          <w:color w:val="auto"/>
        </w:rPr>
      </w:pPr>
      <w:r>
        <w:rPr>
          <w:rFonts w:ascii="Arial" w:cs="Arial" w:eastAsia="Arial" w:hAnsi="Arial"/>
          <w:sz w:val="12"/>
          <w:szCs w:val="12"/>
          <w:color w:val="auto"/>
        </w:rPr>
        <w:t>of one deposited Share)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BANK OF NEW YORK MELLON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AMERICAN DEPOSITARY RECEIPT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FOR ORDINARY SHARES 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MYNARIC AG</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2"/>
          <w:szCs w:val="12"/>
          <w:color w:val="auto"/>
        </w:rPr>
        <w:t>(INCORPORATED UNDER THE LAWS OF</w:t>
      </w:r>
    </w:p>
    <w:p>
      <w:pPr>
        <w:spacing w:after="0" w:line="6" w:lineRule="exact"/>
        <w:rPr>
          <w:sz w:val="20"/>
          <w:szCs w:val="20"/>
          <w:color w:val="auto"/>
        </w:rPr>
      </w:pPr>
    </w:p>
    <w:p>
      <w:pPr>
        <w:ind w:left="3360"/>
        <w:spacing w:after="0"/>
        <w:rPr>
          <w:sz w:val="20"/>
          <w:szCs w:val="20"/>
          <w:color w:val="auto"/>
        </w:rPr>
      </w:pPr>
      <w:r>
        <w:rPr>
          <w:rFonts w:ascii="Arial" w:cs="Arial" w:eastAsia="Arial" w:hAnsi="Arial"/>
          <w:sz w:val="12"/>
          <w:szCs w:val="12"/>
          <w:color w:val="auto"/>
        </w:rPr>
        <w:t>THE FEDERAL REPUBLIC OF GERMANY)</w:t>
      </w:r>
    </w:p>
    <w:p>
      <w:pPr>
        <w:sectPr>
          <w:pgSz w:w="11900" w:h="16838" w:orient="portrait"/>
          <w:cols w:equalWidth="0" w:num="1">
            <w:col w:w="9019"/>
          </w:cols>
          <w:pgMar w:left="1440" w:top="230" w:right="1440" w:bottom="1440" w:gutter="0" w:footer="0" w:header="0"/>
        </w:sectPr>
      </w:pPr>
    </w:p>
    <w:p>
      <w:pPr>
        <w:spacing w:after="0" w:line="141" w:lineRule="exact"/>
        <w:rPr>
          <w:sz w:val="20"/>
          <w:szCs w:val="20"/>
          <w:color w:val="auto"/>
        </w:rPr>
      </w:pPr>
    </w:p>
    <w:p>
      <w:pPr>
        <w:ind w:left="840" w:right="540" w:firstLine="661"/>
        <w:spacing w:after="0" w:line="276" w:lineRule="auto"/>
        <w:rPr>
          <w:sz w:val="20"/>
          <w:szCs w:val="20"/>
          <w:color w:val="auto"/>
        </w:rPr>
      </w:pPr>
      <w:r>
        <w:rPr>
          <w:rFonts w:ascii="Arial" w:cs="Arial" w:eastAsia="Arial" w:hAnsi="Arial"/>
          <w:sz w:val="12"/>
          <w:szCs w:val="12"/>
          <w:color w:val="auto"/>
        </w:rPr>
        <w:t>The Bank of New York Mellon, as depositary (hereinafter called the “Depositary”), hereby certifies that registered assigns IS THE OWNER OF</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 or</w:t>
      </w:r>
    </w:p>
    <w:p>
      <w:pPr>
        <w:spacing w:after="0" w:line="377" w:lineRule="exact"/>
        <w:rPr>
          <w:sz w:val="20"/>
          <w:szCs w:val="20"/>
          <w:color w:val="auto"/>
        </w:rPr>
      </w:pPr>
    </w:p>
    <w:p>
      <w:pPr>
        <w:sectPr>
          <w:pgSz w:w="11900" w:h="16838" w:orient="portrait"/>
          <w:cols w:equalWidth="0" w:num="2">
            <w:col w:w="7020" w:space="720"/>
            <w:col w:w="1279"/>
          </w:cols>
          <w:pgMar w:left="1440" w:top="230"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AMERICAN DEPOSITARY SHARES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representing deposited ordinary shares (herein called “Shares”) of Mynaric AG,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the laws of</w:t>
      </w:r>
    </w:p>
    <w:p>
      <w:pPr>
        <w:spacing w:after="0" w:line="38" w:lineRule="exact"/>
        <w:rPr>
          <w:sz w:val="20"/>
          <w:szCs w:val="20"/>
          <w:color w:val="auto"/>
        </w:rPr>
      </w:pPr>
    </w:p>
    <w:p>
      <w:pPr>
        <w:ind w:left="840" w:right="939"/>
        <w:spacing w:after="0" w:line="284" w:lineRule="auto"/>
        <w:rPr>
          <w:sz w:val="20"/>
          <w:szCs w:val="20"/>
          <w:color w:val="auto"/>
        </w:rPr>
      </w:pPr>
      <w:r>
        <w:rPr>
          <w:rFonts w:ascii="Arial" w:cs="Arial" w:eastAsia="Arial" w:hAnsi="Arial"/>
          <w:sz w:val="11"/>
          <w:szCs w:val="11"/>
          <w:color w:val="auto"/>
        </w:rPr>
        <w:t>the Federal Republic of Germany (herein called the “</w:t>
      </w:r>
      <w:r>
        <w:rPr>
          <w:rFonts w:ascii="Arial" w:cs="Arial" w:eastAsia="Arial" w:hAnsi="Arial"/>
          <w:sz w:val="11"/>
          <w:szCs w:val="11"/>
          <w:u w:val="single" w:color="auto"/>
          <w:color w:val="auto"/>
        </w:rPr>
        <w:t>Company</w:t>
      </w:r>
      <w:r>
        <w:rPr>
          <w:rFonts w:ascii="Arial" w:cs="Arial" w:eastAsia="Arial" w:hAnsi="Arial"/>
          <w:sz w:val="11"/>
          <w:szCs w:val="11"/>
          <w:color w:val="auto"/>
        </w:rPr>
        <w:t>”). At the date hereof, each American Depositary Share represents of one Share deposited or subject to deposit under the Deposit Agreement (as such term is hereinafter defined) with a custodian for the Depositary (herein called the “</w:t>
      </w:r>
      <w:r>
        <w:rPr>
          <w:rFonts w:ascii="Arial" w:cs="Arial" w:eastAsia="Arial" w:hAnsi="Arial"/>
          <w:sz w:val="11"/>
          <w:szCs w:val="11"/>
          <w:u w:val="single" w:color="auto"/>
          <w:color w:val="auto"/>
        </w:rPr>
        <w:t>Custodian</w:t>
      </w:r>
      <w:r>
        <w:rPr>
          <w:rFonts w:ascii="Arial" w:cs="Arial" w:eastAsia="Arial" w:hAnsi="Arial"/>
          <w:sz w:val="11"/>
          <w:szCs w:val="11"/>
          <w:color w:val="auto"/>
        </w:rPr>
        <w:t>”) that, as of the date of the Deposit Agreement, was The Bank of New York Mellon SA/NV located in Germany. The Depositary’s Office and its principal executive office are located at 240 Greenwich Street, New York, N.Y. 10286.</w:t>
      </w:r>
    </w:p>
    <w:p>
      <w:pPr>
        <w:spacing w:after="0" w:line="112"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THE DEPOSITARY’S OFFICE ADDRESS IS</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240 GREENWICH STREET, NEW YORK, N.Y. 10286</w:t>
      </w:r>
    </w:p>
    <w:p>
      <w:pPr>
        <w:sectPr>
          <w:pgSz w:w="11900" w:h="16838" w:orient="portrait"/>
          <w:cols w:equalWidth="0" w:num="1">
            <w:col w:w="9019"/>
          </w:cols>
          <w:pgMar w:left="1440" w:top="230" w:right="1440" w:bottom="1440" w:gutter="0" w:footer="0" w:header="0"/>
          <w:type w:val="continuous"/>
        </w:sectPr>
      </w:pPr>
    </w:p>
    <w:bookmarkStart w:id="308" w:name="page309"/>
    <w:bookmarkEnd w:id="308"/>
    <w:p>
      <w:pPr>
        <w:ind w:left="1120" w:hanging="288"/>
        <w:spacing w:after="0"/>
        <w:tabs>
          <w:tab w:leader="none" w:pos="1120" w:val="left"/>
        </w:tabs>
        <w:numPr>
          <w:ilvl w:val="0"/>
          <w:numId w:val="23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DEPOSIT AGREEMENT.</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This American Depositary Receipt is one of an issue (herein called “</w:t>
      </w:r>
      <w:r>
        <w:rPr>
          <w:rFonts w:ascii="Arial" w:cs="Arial" w:eastAsia="Arial" w:hAnsi="Arial"/>
          <w:sz w:val="10"/>
          <w:szCs w:val="10"/>
          <w:u w:val="single" w:color="auto"/>
          <w:color w:val="auto"/>
        </w:rPr>
        <w:t>Receipts</w:t>
      </w:r>
      <w:r>
        <w:rPr>
          <w:rFonts w:ascii="Arial" w:cs="Arial" w:eastAsia="Arial" w:hAnsi="Arial"/>
          <w:sz w:val="10"/>
          <w:szCs w:val="10"/>
          <w:color w:val="auto"/>
        </w:rPr>
        <w:t>”), all issued and to be issued upon the terms and conditions set forth</w:t>
      </w:r>
    </w:p>
    <w:p>
      <w:pPr>
        <w:spacing w:after="0" w:line="38" w:lineRule="exact"/>
        <w:rPr>
          <w:sz w:val="20"/>
          <w:szCs w:val="20"/>
          <w:color w:val="auto"/>
        </w:rPr>
      </w:pPr>
    </w:p>
    <w:p>
      <w:pPr>
        <w:ind w:left="840" w:right="859"/>
        <w:spacing w:after="0" w:line="279" w:lineRule="auto"/>
        <w:rPr>
          <w:sz w:val="20"/>
          <w:szCs w:val="20"/>
          <w:color w:val="auto"/>
        </w:rPr>
      </w:pPr>
      <w:r>
        <w:rPr>
          <w:rFonts w:ascii="Arial" w:cs="Arial" w:eastAsia="Arial" w:hAnsi="Arial"/>
          <w:sz w:val="11"/>
          <w:szCs w:val="11"/>
          <w:color w:val="auto"/>
        </w:rPr>
        <w:t>in the Deposit Agreement dated as of , 2021 (herein called the “</w:t>
      </w:r>
      <w:r>
        <w:rPr>
          <w:rFonts w:ascii="Arial" w:cs="Arial" w:eastAsia="Arial" w:hAnsi="Arial"/>
          <w:sz w:val="11"/>
          <w:szCs w:val="11"/>
          <w:u w:val="single" w:color="auto"/>
          <w:color w:val="auto"/>
        </w:rPr>
        <w:t>Deposit Agreement</w:t>
      </w:r>
      <w:r>
        <w:rPr>
          <w:rFonts w:ascii="Arial" w:cs="Arial" w:eastAsia="Arial" w:hAnsi="Arial"/>
          <w:sz w:val="11"/>
          <w:szCs w:val="11"/>
          <w:color w:val="auto"/>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1"/>
          <w:szCs w:val="11"/>
          <w:u w:val="single" w:color="auto"/>
          <w:color w:val="auto"/>
        </w:rPr>
        <w:t>Deposited Securities</w:t>
      </w:r>
      <w:r>
        <w:rPr>
          <w:rFonts w:ascii="Arial" w:cs="Arial" w:eastAsia="Arial" w:hAnsi="Arial"/>
          <w:sz w:val="11"/>
          <w:szCs w:val="11"/>
          <w:color w:val="auto"/>
        </w:rPr>
        <w:t>”). Copies of the Deposit Agreement are on file at the Depositary’s Office in New York City and at the office of the Custodian.</w:t>
      </w:r>
    </w:p>
    <w:p>
      <w:pPr>
        <w:spacing w:after="0" w:line="117"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221" w:lineRule="exact"/>
        <w:rPr>
          <w:sz w:val="20"/>
          <w:szCs w:val="20"/>
          <w:color w:val="auto"/>
        </w:rPr>
      </w:pPr>
    </w:p>
    <w:p>
      <w:pPr>
        <w:ind w:left="1120" w:hanging="288"/>
        <w:spacing w:after="0"/>
        <w:tabs>
          <w:tab w:leader="none" w:pos="112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SURRENDER OF AMERICAN DEPOSITARY SHARES AND WITHDRAWAL OF SHARES.</w:t>
      </w:r>
    </w:p>
    <w:p>
      <w:pPr>
        <w:spacing w:after="0" w:line="78" w:lineRule="exact"/>
        <w:rPr>
          <w:sz w:val="20"/>
          <w:szCs w:val="20"/>
          <w:color w:val="auto"/>
        </w:rPr>
      </w:pPr>
    </w:p>
    <w:p>
      <w:pPr>
        <w:ind w:left="840" w:right="859" w:firstLine="294"/>
        <w:spacing w:after="0" w:line="308" w:lineRule="auto"/>
        <w:rPr>
          <w:sz w:val="20"/>
          <w:szCs w:val="20"/>
          <w:color w:val="auto"/>
        </w:rPr>
      </w:pPr>
      <w:r>
        <w:rPr>
          <w:rFonts w:ascii="Arial" w:cs="Arial" w:eastAsia="Arial" w:hAnsi="Arial"/>
          <w:sz w:val="10"/>
          <w:szCs w:val="10"/>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0"/>
          <w:szCs w:val="10"/>
          <w:u w:val="single" w:color="auto"/>
          <w:color w:val="auto"/>
        </w:rPr>
        <w:t>but not</w:t>
      </w:r>
      <w:r>
        <w:rPr>
          <w:rFonts w:ascii="Arial" w:cs="Arial" w:eastAsia="Arial" w:hAnsi="Arial"/>
          <w:sz w:val="10"/>
          <w:szCs w:val="10"/>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0"/>
          <w:szCs w:val="10"/>
          <w:u w:val="single" w:color="auto"/>
          <w:color w:val="auto"/>
        </w:rPr>
        <w:t>and except that</w:t>
      </w:r>
      <w:r>
        <w:rPr>
          <w:rFonts w:ascii="Arial" w:cs="Arial" w:eastAsia="Arial" w:hAnsi="Arial"/>
          <w:sz w:val="10"/>
          <w:szCs w:val="10"/>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0"/>
          <w:szCs w:val="10"/>
          <w:u w:val="single" w:color="auto"/>
          <w:color w:val="auto"/>
        </w:rPr>
        <w:t>except that</w:t>
      </w:r>
      <w:r>
        <w:rPr>
          <w:rFonts w:ascii="Arial" w:cs="Arial" w:eastAsia="Arial" w:hAnsi="Arial"/>
          <w:sz w:val="10"/>
          <w:szCs w:val="10"/>
          <w:color w:val="auto"/>
        </w:rPr>
        <w:t>, at the request, risk and expense of the surrendering Owner, and for the account of that Owner, the Depositary shall direct the Custodian to forward any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A-2</w:t>
      </w:r>
    </w:p>
    <w:p>
      <w:pPr>
        <w:sectPr>
          <w:pgSz w:w="11900" w:h="16838" w:orient="portrait"/>
          <w:cols w:equalWidth="0" w:num="1">
            <w:col w:w="9019"/>
          </w:cols>
          <w:pgMar w:left="1440" w:top="230" w:right="1440" w:bottom="1440" w:gutter="0" w:footer="0" w:header="0"/>
        </w:sectPr>
      </w:pPr>
    </w:p>
    <w:bookmarkStart w:id="309" w:name="page310"/>
    <w:bookmarkEnd w:id="309"/>
    <w:p>
      <w:pPr>
        <w:ind w:left="840" w:right="9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221" w:lineRule="exact"/>
        <w:rPr>
          <w:sz w:val="20"/>
          <w:szCs w:val="20"/>
          <w:color w:val="auto"/>
        </w:rPr>
      </w:pPr>
    </w:p>
    <w:p>
      <w:pPr>
        <w:ind w:left="1120" w:right="1579" w:hanging="288"/>
        <w:spacing w:after="0" w:line="276" w:lineRule="auto"/>
        <w:tabs>
          <w:tab w:leader="none" w:pos="112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REGISTRATION OF TRANSFER OF AMERICAN DEPOSITARY SHARES; COMBINATION AND SPLIT-UP OF RECEIPTS; INTERCHANGE OF CERTIFICATED AND UNCERTIFICATED AMERICAN DEPOSITARY SHARES.</w:t>
      </w:r>
    </w:p>
    <w:p>
      <w:pPr>
        <w:spacing w:after="0" w:line="43" w:lineRule="exact"/>
        <w:rPr>
          <w:sz w:val="20"/>
          <w:szCs w:val="20"/>
          <w:color w:val="auto"/>
        </w:rPr>
      </w:pPr>
    </w:p>
    <w:p>
      <w:pPr>
        <w:ind w:left="840" w:right="979" w:firstLine="294"/>
        <w:spacing w:after="0" w:line="306" w:lineRule="auto"/>
        <w:rPr>
          <w:sz w:val="20"/>
          <w:szCs w:val="20"/>
          <w:color w:val="auto"/>
        </w:rPr>
      </w:pPr>
      <w:r>
        <w:rPr>
          <w:rFonts w:ascii="Arial" w:cs="Arial" w:eastAsia="Arial" w:hAnsi="Arial"/>
          <w:sz w:val="10"/>
          <w:szCs w:val="10"/>
          <w:color w:val="auto"/>
        </w:rPr>
        <w:t>The Depositary, subject to the terms and conditions of the Deposit Agreement, shall, without unreasonable delay,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w:t>
      </w:r>
    </w:p>
    <w:p>
      <w:pPr>
        <w:spacing w:after="0" w:line="1" w:lineRule="exact"/>
        <w:rPr>
          <w:sz w:val="20"/>
          <w:szCs w:val="20"/>
          <w:color w:val="auto"/>
        </w:rPr>
      </w:pPr>
    </w:p>
    <w:p>
      <w:pPr>
        <w:ind w:left="840" w:right="899" w:hanging="8"/>
        <w:spacing w:after="0" w:line="253" w:lineRule="auto"/>
        <w:tabs>
          <w:tab w:leader="none" w:pos="1017" w:val="left"/>
        </w:tabs>
        <w:numPr>
          <w:ilvl w:val="0"/>
          <w:numId w:val="234"/>
        </w:numPr>
        <w:rPr>
          <w:rFonts w:ascii="Arial" w:cs="Arial" w:eastAsia="Arial" w:hAnsi="Arial"/>
          <w:sz w:val="12"/>
          <w:szCs w:val="12"/>
          <w:color w:val="auto"/>
        </w:rPr>
      </w:pPr>
      <w:r>
        <w:rPr>
          <w:rFonts w:ascii="Arial" w:cs="Arial" w:eastAsia="Arial" w:hAnsi="Arial"/>
          <w:sz w:val="12"/>
          <w:szCs w:val="12"/>
          <w:color w:val="auto"/>
        </w:rPr>
        <w:t>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without unreasonable delay, deliver the transferred American Depositary Shares to or upon the order of the person entitled thereto.</w:t>
      </w:r>
    </w:p>
    <w:p>
      <w:pPr>
        <w:spacing w:after="0" w:line="129" w:lineRule="exact"/>
        <w:rPr>
          <w:sz w:val="20"/>
          <w:szCs w:val="20"/>
          <w:color w:val="auto"/>
        </w:rPr>
      </w:pPr>
    </w:p>
    <w:p>
      <w:pPr>
        <w:ind w:left="840" w:right="959" w:firstLine="294"/>
        <w:spacing w:after="0" w:line="259" w:lineRule="auto"/>
        <w:rPr>
          <w:sz w:val="20"/>
          <w:szCs w:val="20"/>
          <w:color w:val="auto"/>
        </w:rPr>
      </w:pPr>
      <w:r>
        <w:rPr>
          <w:rFonts w:ascii="Arial" w:cs="Arial" w:eastAsia="Arial" w:hAnsi="Arial"/>
          <w:sz w:val="12"/>
          <w:szCs w:val="12"/>
          <w:color w:val="auto"/>
        </w:rPr>
        <w:t>The Depositary, subject to the terms and conditions of the Deposit Agreement, shall upon surrender of a Receipt or Receipts for the purpose of effecting a split-up or combination of such Receipt or Receipts, without unreasonable delay, execute and deliver a new Receipt or Receipts for any authorized number of American Depositary Shares requested, evidencing the same aggregate number of American Depositary Shares as the Receipt or Receipts surrendered.</w:t>
      </w:r>
    </w:p>
    <w:p>
      <w:pPr>
        <w:spacing w:after="0" w:line="124" w:lineRule="exact"/>
        <w:rPr>
          <w:sz w:val="20"/>
          <w:szCs w:val="20"/>
          <w:color w:val="auto"/>
        </w:rPr>
      </w:pPr>
    </w:p>
    <w:p>
      <w:pPr>
        <w:ind w:left="840" w:right="879" w:firstLine="294"/>
        <w:spacing w:after="0" w:line="281" w:lineRule="auto"/>
        <w:rPr>
          <w:sz w:val="20"/>
          <w:szCs w:val="20"/>
          <w:color w:val="auto"/>
        </w:rPr>
      </w:pPr>
      <w:r>
        <w:rPr>
          <w:rFonts w:ascii="Arial" w:cs="Arial" w:eastAsia="Arial" w:hAnsi="Arial"/>
          <w:sz w:val="11"/>
          <w:szCs w:val="11"/>
          <w:color w:val="auto"/>
        </w:rPr>
        <w:t>The Depositary, upon surrender of certificated American Depositary Shares for the purpose of exchanging for uncertificated American Depositary Shares, shall, without unreasonable delay,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without unreasonable delay, cancel those uncertificated American Depositary Shares and register and deliver to the Owner a Receipt evidencing the same number of certificated American Depositary Shares.</w:t>
      </w:r>
    </w:p>
    <w:p>
      <w:pPr>
        <w:spacing w:after="0" w:line="115" w:lineRule="exact"/>
        <w:rPr>
          <w:sz w:val="20"/>
          <w:szCs w:val="20"/>
          <w:color w:val="auto"/>
        </w:rPr>
      </w:pPr>
    </w:p>
    <w:p>
      <w:pPr>
        <w:jc w:val="both"/>
        <w:ind w:left="840" w:right="859" w:firstLine="294"/>
        <w:spacing w:after="0" w:line="263" w:lineRule="auto"/>
        <w:rPr>
          <w:sz w:val="20"/>
          <w:szCs w:val="20"/>
          <w:color w:val="auto"/>
        </w:rPr>
      </w:pPr>
      <w:r>
        <w:rPr>
          <w:rFonts w:ascii="Arial" w:cs="Arial" w:eastAsia="Arial" w:hAnsi="Arial"/>
          <w:sz w:val="12"/>
          <w:szCs w:val="12"/>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A-3</w:t>
      </w:r>
    </w:p>
    <w:p>
      <w:pPr>
        <w:sectPr>
          <w:pgSz w:w="11900" w:h="16838" w:orient="portrait"/>
          <w:cols w:equalWidth="0" w:num="1">
            <w:col w:w="9019"/>
          </w:cols>
          <w:pgMar w:left="1440" w:top="230" w:right="1440" w:bottom="1440" w:gutter="0" w:footer="0" w:header="0"/>
        </w:sectPr>
      </w:pPr>
    </w:p>
    <w:bookmarkStart w:id="310" w:name="page311"/>
    <w:bookmarkEnd w:id="310"/>
    <w:p>
      <w:pPr>
        <w:ind w:left="840" w:right="83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28" w:lineRule="exact"/>
        <w:rPr>
          <w:sz w:val="20"/>
          <w:szCs w:val="20"/>
          <w:color w:val="auto"/>
        </w:rPr>
      </w:pPr>
    </w:p>
    <w:p>
      <w:pPr>
        <w:ind w:left="840" w:right="899" w:firstLine="294"/>
        <w:spacing w:after="0" w:line="303" w:lineRule="auto"/>
        <w:rPr>
          <w:sz w:val="20"/>
          <w:szCs w:val="20"/>
          <w:color w:val="auto"/>
        </w:rPr>
      </w:pPr>
      <w:r>
        <w:rPr>
          <w:rFonts w:ascii="Arial" w:cs="Arial" w:eastAsia="Arial" w:hAnsi="Arial"/>
          <w:sz w:val="10"/>
          <w:szCs w:val="10"/>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0"/>
          <w:szCs w:val="10"/>
          <w:u w:val="single" w:color="auto"/>
          <w:color w:val="auto"/>
        </w:rPr>
        <w:t>but, notwithstanding anything to the contrary in</w:t>
      </w:r>
      <w:r>
        <w:rPr>
          <w:rFonts w:ascii="Arial" w:cs="Arial" w:eastAsia="Arial" w:hAnsi="Arial"/>
          <w:sz w:val="10"/>
          <w:szCs w:val="10"/>
          <w:color w:val="auto"/>
        </w:rPr>
        <w:t xml:space="preserve"> </w:t>
      </w:r>
      <w:r>
        <w:rPr>
          <w:rFonts w:ascii="Arial" w:cs="Arial" w:eastAsia="Arial" w:hAnsi="Arial"/>
          <w:sz w:val="10"/>
          <w:szCs w:val="10"/>
          <w:u w:val="single" w:color="auto"/>
          <w:color w:val="auto"/>
        </w:rPr>
        <w:t>the Deposit Agreement, only for</w:t>
      </w:r>
      <w:r>
        <w:rPr>
          <w:rFonts w:ascii="Arial" w:cs="Arial" w:eastAsia="Arial" w:hAnsi="Arial"/>
          <w:sz w:val="10"/>
          <w:szCs w:val="10"/>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2" w:lineRule="exact"/>
        <w:rPr>
          <w:sz w:val="20"/>
          <w:szCs w:val="20"/>
          <w:color w:val="auto"/>
        </w:rPr>
      </w:pPr>
    </w:p>
    <w:p>
      <w:pPr>
        <w:jc w:val="both"/>
        <w:ind w:left="840" w:right="919" w:hanging="8"/>
        <w:spacing w:after="0" w:line="253" w:lineRule="auto"/>
        <w:tabs>
          <w:tab w:leader="none" w:pos="1017" w:val="left"/>
        </w:tabs>
        <w:numPr>
          <w:ilvl w:val="0"/>
          <w:numId w:val="235"/>
        </w:numPr>
        <w:rPr>
          <w:rFonts w:ascii="Arial" w:cs="Arial" w:eastAsia="Arial" w:hAnsi="Arial"/>
          <w:sz w:val="12"/>
          <w:szCs w:val="12"/>
          <w:color w:val="auto"/>
        </w:rPr>
      </w:pPr>
      <w:r>
        <w:rPr>
          <w:rFonts w:ascii="Arial" w:cs="Arial" w:eastAsia="Arial" w:hAnsi="Arial"/>
          <w:sz w:val="12"/>
          <w:szCs w:val="12"/>
          <w:color w:val="auto"/>
        </w:rPr>
        <w:t>the payment of fees, taxes and similar charges, (iii) compliance with any U.S. or foreign laws or governmental regulations relating to the American Depositary Shares or to the withdrawal of the Deposited Securities or (iv) any other reason that, at the time of the Depositary’s refusal or suspension, is permitted under paragraph I(A)(1) of the General Instructions to Form F-6 under the Securities Act of 1933 or any successor to that provision. In each case of (i)-(iv), the Depositary shall notify the Company as promptly as practicable of any such refusal, suspension or delay that is outside the ordinary course of business.</w:t>
      </w:r>
    </w:p>
    <w:p>
      <w:pPr>
        <w:spacing w:after="0" w:line="128" w:lineRule="exact"/>
        <w:rPr>
          <w:sz w:val="20"/>
          <w:szCs w:val="20"/>
          <w:color w:val="auto"/>
        </w:rPr>
      </w:pPr>
    </w:p>
    <w:p>
      <w:pPr>
        <w:ind w:left="840" w:right="1279" w:firstLine="294"/>
        <w:spacing w:after="0" w:line="276" w:lineRule="auto"/>
        <w:rPr>
          <w:sz w:val="20"/>
          <w:szCs w:val="20"/>
          <w:color w:val="auto"/>
        </w:rPr>
      </w:pPr>
      <w:r>
        <w:rPr>
          <w:rFonts w:ascii="Arial" w:cs="Arial" w:eastAsia="Arial" w:hAnsi="Arial"/>
          <w:sz w:val="12"/>
          <w:szCs w:val="12"/>
          <w:color w:val="auto"/>
        </w:rPr>
        <w:t>The Depositary shall not knowingly accept for deposit under the Deposit Agreement any Shares that, at the time of deposit, are Restricted Securities.</w:t>
      </w:r>
    </w:p>
    <w:p>
      <w:pPr>
        <w:spacing w:after="0" w:line="214" w:lineRule="exact"/>
        <w:rPr>
          <w:sz w:val="20"/>
          <w:szCs w:val="20"/>
          <w:color w:val="auto"/>
        </w:rPr>
      </w:pPr>
    </w:p>
    <w:p>
      <w:pPr>
        <w:ind w:left="1120" w:hanging="288"/>
        <w:spacing w:after="0"/>
        <w:tabs>
          <w:tab w:leader="none" w:pos="11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LIABILITY OF OWNER FOR TAXES.</w:t>
      </w:r>
    </w:p>
    <w:p>
      <w:pPr>
        <w:spacing w:after="0" w:line="78" w:lineRule="exact"/>
        <w:rPr>
          <w:sz w:val="20"/>
          <w:szCs w:val="20"/>
          <w:color w:val="auto"/>
        </w:rPr>
      </w:pPr>
    </w:p>
    <w:p>
      <w:pPr>
        <w:ind w:left="840" w:right="899" w:firstLine="294"/>
        <w:spacing w:after="0" w:line="281" w:lineRule="auto"/>
        <w:rPr>
          <w:sz w:val="20"/>
          <w:szCs w:val="20"/>
          <w:color w:val="auto"/>
        </w:rPr>
      </w:pPr>
      <w:r>
        <w:rPr>
          <w:rFonts w:ascii="Arial" w:cs="Arial" w:eastAsia="Arial" w:hAnsi="Arial"/>
          <w:sz w:val="11"/>
          <w:szCs w:val="11"/>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A-4</w:t>
      </w:r>
    </w:p>
    <w:p>
      <w:pPr>
        <w:sectPr>
          <w:pgSz w:w="11900" w:h="16838" w:orient="portrait"/>
          <w:cols w:equalWidth="0" w:num="1">
            <w:col w:w="9019"/>
          </w:cols>
          <w:pgMar w:left="1440" w:top="230" w:right="1440" w:bottom="1440" w:gutter="0" w:footer="0" w:header="0"/>
        </w:sectPr>
      </w:pPr>
    </w:p>
    <w:bookmarkStart w:id="311" w:name="page312"/>
    <w:bookmarkEnd w:id="311"/>
    <w:p>
      <w:pPr>
        <w:ind w:left="840" w:right="859"/>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kind in payment of that tax or other governmental charge but, even after a sale of that kind, the Owner shall remain liable for any deficiency. Neither the Company nor the Depositary shall be liable for failure of an Owner or Holder to comply with applicable tax laws or to pay applicable governmental charges.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214" w:lineRule="exact"/>
        <w:rPr>
          <w:sz w:val="20"/>
          <w:szCs w:val="20"/>
          <w:color w:val="auto"/>
        </w:rPr>
      </w:pPr>
    </w:p>
    <w:p>
      <w:pPr>
        <w:ind w:left="1120" w:hanging="288"/>
        <w:spacing w:after="0"/>
        <w:tabs>
          <w:tab w:leader="none" w:pos="112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WARRANTIES ON DEPOSIT OF SHARES.</w:t>
      </w:r>
    </w:p>
    <w:p>
      <w:pPr>
        <w:spacing w:after="0" w:line="78" w:lineRule="exact"/>
        <w:rPr>
          <w:sz w:val="20"/>
          <w:szCs w:val="20"/>
          <w:color w:val="auto"/>
        </w:rPr>
      </w:pPr>
    </w:p>
    <w:p>
      <w:pPr>
        <w:ind w:left="840" w:right="939" w:firstLine="294"/>
        <w:spacing w:after="0" w:line="285" w:lineRule="auto"/>
        <w:rPr>
          <w:sz w:val="20"/>
          <w:szCs w:val="20"/>
          <w:color w:val="auto"/>
        </w:rPr>
      </w:pPr>
      <w:r>
        <w:rPr>
          <w:rFonts w:ascii="Arial" w:cs="Arial" w:eastAsia="Arial" w:hAnsi="Arial"/>
          <w:sz w:val="11"/>
          <w:szCs w:val="11"/>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212" w:lineRule="exact"/>
        <w:rPr>
          <w:sz w:val="20"/>
          <w:szCs w:val="20"/>
          <w:color w:val="auto"/>
        </w:rPr>
      </w:pPr>
    </w:p>
    <w:p>
      <w:pPr>
        <w:ind w:left="1120" w:hanging="288"/>
        <w:spacing w:after="0"/>
        <w:tabs>
          <w:tab w:leader="none" w:pos="112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FILING PROOFS, CERTIFICATES, AND OTHER INFORMATION.</w:t>
      </w:r>
    </w:p>
    <w:p>
      <w:pPr>
        <w:spacing w:after="0" w:line="78" w:lineRule="exact"/>
        <w:rPr>
          <w:sz w:val="20"/>
          <w:szCs w:val="20"/>
          <w:color w:val="auto"/>
        </w:rPr>
      </w:pPr>
    </w:p>
    <w:p>
      <w:pPr>
        <w:ind w:left="840" w:right="899" w:firstLine="294"/>
        <w:spacing w:after="0" w:line="278" w:lineRule="auto"/>
        <w:rPr>
          <w:sz w:val="20"/>
          <w:szCs w:val="20"/>
          <w:color w:val="auto"/>
        </w:rPr>
      </w:pPr>
      <w:r>
        <w:rPr>
          <w:rFonts w:ascii="Arial" w:cs="Arial" w:eastAsia="Arial" w:hAnsi="Arial"/>
          <w:sz w:val="11"/>
          <w:szCs w:val="11"/>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A-5</w:t>
      </w:r>
    </w:p>
    <w:p>
      <w:pPr>
        <w:sectPr>
          <w:pgSz w:w="11900" w:h="16838" w:orient="portrait"/>
          <w:cols w:equalWidth="0" w:num="1">
            <w:col w:w="9019"/>
          </w:cols>
          <w:pgMar w:left="1440" w:top="230" w:right="1440" w:bottom="1440" w:gutter="0" w:footer="0" w:header="0"/>
        </w:sectPr>
      </w:pPr>
    </w:p>
    <w:bookmarkStart w:id="312" w:name="page313"/>
    <w:bookmarkEnd w:id="312"/>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227" w:lineRule="exact"/>
        <w:rPr>
          <w:sz w:val="20"/>
          <w:szCs w:val="20"/>
          <w:color w:val="auto"/>
        </w:rPr>
      </w:pPr>
    </w:p>
    <w:p>
      <w:pPr>
        <w:ind w:left="1120" w:hanging="288"/>
        <w:spacing w:after="0"/>
        <w:tabs>
          <w:tab w:leader="none" w:pos="112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CHARGES OF DEPOSITARY.</w:t>
      </w:r>
    </w:p>
    <w:p>
      <w:pPr>
        <w:spacing w:after="0" w:line="78" w:lineRule="exact"/>
        <w:rPr>
          <w:sz w:val="20"/>
          <w:szCs w:val="20"/>
          <w:color w:val="auto"/>
        </w:rPr>
      </w:pPr>
    </w:p>
    <w:p>
      <w:pPr>
        <w:ind w:left="840" w:right="879" w:firstLine="294"/>
        <w:spacing w:after="0" w:line="302" w:lineRule="auto"/>
        <w:rPr>
          <w:sz w:val="20"/>
          <w:szCs w:val="20"/>
          <w:color w:val="auto"/>
        </w:rPr>
      </w:pPr>
      <w:r>
        <w:rPr>
          <w:rFonts w:ascii="Arial" w:cs="Arial" w:eastAsia="Arial" w:hAnsi="Arial"/>
          <w:sz w:val="10"/>
          <w:szCs w:val="10"/>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w:t>
      </w:r>
    </w:p>
    <w:p>
      <w:pPr>
        <w:spacing w:after="0" w:line="3" w:lineRule="exact"/>
        <w:rPr>
          <w:sz w:val="20"/>
          <w:szCs w:val="20"/>
          <w:color w:val="auto"/>
        </w:rPr>
      </w:pPr>
    </w:p>
    <w:p>
      <w:pPr>
        <w:ind w:left="840" w:right="899" w:hanging="8"/>
        <w:spacing w:after="0" w:line="306" w:lineRule="auto"/>
        <w:tabs>
          <w:tab w:leader="none" w:pos="1010" w:val="left"/>
        </w:tabs>
        <w:numPr>
          <w:ilvl w:val="0"/>
          <w:numId w:val="240"/>
        </w:numPr>
        <w:rPr>
          <w:rFonts w:ascii="Arial" w:cs="Arial" w:eastAsia="Arial" w:hAnsi="Arial"/>
          <w:sz w:val="10"/>
          <w:szCs w:val="10"/>
          <w:color w:val="auto"/>
        </w:rPr>
      </w:pPr>
      <w:r>
        <w:rPr>
          <w:rFonts w:ascii="Arial" w:cs="Arial" w:eastAsia="Arial" w:hAnsi="Arial"/>
          <w:sz w:val="10"/>
          <w:szCs w:val="10"/>
          <w:color w:val="auto"/>
        </w:rPr>
        <w:t>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A-6</w:t>
      </w:r>
    </w:p>
    <w:p>
      <w:pPr>
        <w:sectPr>
          <w:pgSz w:w="11900" w:h="16838" w:orient="portrait"/>
          <w:cols w:equalWidth="0" w:num="1">
            <w:col w:w="9019"/>
          </w:cols>
          <w:pgMar w:left="1440" w:top="230" w:right="1440" w:bottom="1440" w:gutter="0" w:footer="0" w:header="0"/>
        </w:sectPr>
      </w:pPr>
    </w:p>
    <w:bookmarkStart w:id="313" w:name="page314"/>
    <w:bookmarkEnd w:id="313"/>
    <w:p>
      <w:pPr>
        <w:ind w:left="840" w:right="131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The Depositary may own and deal in any class of securities of the Company and its affiliates and in American Depositary Shares.</w:t>
      </w:r>
    </w:p>
    <w:p>
      <w:pPr>
        <w:spacing w:after="0" w:line="150" w:lineRule="exact"/>
        <w:rPr>
          <w:sz w:val="20"/>
          <w:szCs w:val="20"/>
          <w:color w:val="auto"/>
        </w:rPr>
      </w:pPr>
    </w:p>
    <w:p>
      <w:pPr>
        <w:ind w:left="840" w:right="899" w:firstLine="294"/>
        <w:spacing w:after="0" w:line="256" w:lineRule="auto"/>
        <w:rPr>
          <w:sz w:val="20"/>
          <w:szCs w:val="20"/>
          <w:color w:val="auto"/>
        </w:rPr>
      </w:pPr>
      <w:r>
        <w:rPr>
          <w:rFonts w:ascii="Arial" w:cs="Arial" w:eastAsia="Arial" w:hAnsi="Arial"/>
          <w:sz w:val="12"/>
          <w:szCs w:val="12"/>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27" w:lineRule="exact"/>
        <w:rPr>
          <w:sz w:val="20"/>
          <w:szCs w:val="20"/>
          <w:color w:val="auto"/>
        </w:rPr>
      </w:pPr>
    </w:p>
    <w:p>
      <w:pPr>
        <w:ind w:left="1120" w:hanging="288"/>
        <w:spacing w:after="0"/>
        <w:tabs>
          <w:tab w:leader="none" w:pos="112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DISCLOSURE OF INTERESTS.</w:t>
      </w:r>
    </w:p>
    <w:p>
      <w:pPr>
        <w:spacing w:after="0" w:line="78" w:lineRule="exact"/>
        <w:rPr>
          <w:sz w:val="20"/>
          <w:szCs w:val="20"/>
          <w:color w:val="auto"/>
        </w:rPr>
      </w:pPr>
    </w:p>
    <w:p>
      <w:pPr>
        <w:ind w:left="840" w:right="979" w:firstLine="294"/>
        <w:spacing w:after="0" w:line="263" w:lineRule="auto"/>
        <w:rPr>
          <w:sz w:val="20"/>
          <w:szCs w:val="20"/>
          <w:color w:val="auto"/>
        </w:rPr>
      </w:pPr>
      <w:r>
        <w:rPr>
          <w:rFonts w:ascii="Arial" w:cs="Arial" w:eastAsia="Arial" w:hAnsi="Arial"/>
          <w:sz w:val="12"/>
          <w:szCs w:val="12"/>
          <w:color w:val="auto"/>
        </w:rPr>
        <w:t>Owners and Holders may be subject to German and European Union law notification and mandatory transfer (“squeeze-out”) requirements regarding their holdings of American Depositary Shares and Shares and should acquaint themselves with applicable German and European Union law regarding such requirements.</w:t>
      </w:r>
    </w:p>
    <w:p>
      <w:pPr>
        <w:spacing w:after="0" w:line="122" w:lineRule="exact"/>
        <w:rPr>
          <w:sz w:val="20"/>
          <w:szCs w:val="20"/>
          <w:color w:val="auto"/>
        </w:rPr>
      </w:pPr>
    </w:p>
    <w:p>
      <w:pPr>
        <w:ind w:left="840" w:right="879" w:firstLine="294"/>
        <w:spacing w:after="0" w:line="309" w:lineRule="auto"/>
        <w:rPr>
          <w:sz w:val="20"/>
          <w:szCs w:val="20"/>
          <w:color w:val="auto"/>
        </w:rPr>
      </w:pPr>
      <w:r>
        <w:rPr>
          <w:rFonts w:ascii="Arial" w:cs="Arial" w:eastAsia="Arial" w:hAnsi="Arial"/>
          <w:sz w:val="10"/>
          <w:szCs w:val="10"/>
          <w:color w:val="auto"/>
        </w:rPr>
        <w:t>When required in order to comply with applicable laws and regulations (including the rules and requirements of any stock exchange on which the American Depositary Shares are or will be traded or listed, or the rules and requirements of any clearing system through which transactions in the American Depositary Shares may be settled)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in each case within the time period prescribed by the Company.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A-7</w:t>
      </w:r>
    </w:p>
    <w:p>
      <w:pPr>
        <w:sectPr>
          <w:pgSz w:w="11900" w:h="16838" w:orient="portrait"/>
          <w:cols w:equalWidth="0" w:num="1">
            <w:col w:w="9019"/>
          </w:cols>
          <w:pgMar w:left="1440" w:top="230" w:right="1440" w:bottom="1440" w:gutter="0" w:footer="0" w:header="0"/>
        </w:sectPr>
      </w:pPr>
    </w:p>
    <w:bookmarkStart w:id="314" w:name="page315"/>
    <w:bookmarkEnd w:id="314"/>
    <w:p>
      <w:pPr>
        <w:ind w:left="840" w:right="91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Each Owner and Holder of American Depositary Shares further agrees to comply with the laws and regulations of the European Union and the Federal Republic of Germany (if and to the extent applicable) with respect to the disclosure requirements regarding ownership or potential for ownership of Shares, all as if the American Depositary Shares were the Shares represented thereby, which is deemed to include, inter alia, requirements to make notifications and filings within the required timeframes to the Company and any other authorities of the European Union and the Federal Republic of Germany.</w:t>
      </w:r>
    </w:p>
    <w:p>
      <w:pPr>
        <w:spacing w:after="0" w:line="227" w:lineRule="exact"/>
        <w:rPr>
          <w:sz w:val="20"/>
          <w:szCs w:val="20"/>
          <w:color w:val="auto"/>
        </w:rPr>
      </w:pPr>
    </w:p>
    <w:p>
      <w:pPr>
        <w:ind w:left="1120" w:hanging="288"/>
        <w:spacing w:after="0"/>
        <w:tabs>
          <w:tab w:leader="none" w:pos="112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TITLE TO AMERICAN DEPOSITARY SHARES.</w:t>
      </w:r>
    </w:p>
    <w:p>
      <w:pPr>
        <w:spacing w:after="0" w:line="78"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214" w:lineRule="exact"/>
        <w:rPr>
          <w:sz w:val="20"/>
          <w:szCs w:val="20"/>
          <w:color w:val="auto"/>
        </w:rPr>
      </w:pPr>
    </w:p>
    <w:p>
      <w:pPr>
        <w:ind w:left="1120" w:hanging="288"/>
        <w:spacing w:after="0"/>
        <w:tabs>
          <w:tab w:leader="none" w:pos="112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VALIDITY OF RECEIPT.</w:t>
      </w:r>
    </w:p>
    <w:p>
      <w:pPr>
        <w:spacing w:after="0" w:line="78" w:lineRule="exact"/>
        <w:rPr>
          <w:sz w:val="20"/>
          <w:szCs w:val="20"/>
          <w:color w:val="auto"/>
        </w:rPr>
      </w:pPr>
    </w:p>
    <w:p>
      <w:pPr>
        <w:ind w:left="840" w:right="939" w:firstLine="294"/>
        <w:spacing w:after="0" w:line="259" w:lineRule="auto"/>
        <w:rPr>
          <w:sz w:val="20"/>
          <w:szCs w:val="20"/>
          <w:color w:val="auto"/>
        </w:rPr>
      </w:pPr>
      <w:r>
        <w:rPr>
          <w:rFonts w:ascii="Arial" w:cs="Arial" w:eastAsia="Arial" w:hAnsi="Arial"/>
          <w:sz w:val="12"/>
          <w:szCs w:val="12"/>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223" w:lineRule="exact"/>
        <w:rPr>
          <w:sz w:val="20"/>
          <w:szCs w:val="20"/>
          <w:color w:val="auto"/>
        </w:rPr>
      </w:pPr>
    </w:p>
    <w:p>
      <w:pPr>
        <w:ind w:left="1120" w:hanging="288"/>
        <w:spacing w:after="0"/>
        <w:tabs>
          <w:tab w:leader="none" w:pos="11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REPORTS; INSPECTION OF TRANSFER BOOKS.</w:t>
      </w:r>
    </w:p>
    <w:p>
      <w:pPr>
        <w:spacing w:after="0" w:line="78"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22" w:lineRule="exact"/>
        <w:rPr>
          <w:sz w:val="20"/>
          <w:szCs w:val="20"/>
          <w:color w:val="auto"/>
        </w:rPr>
      </w:pPr>
    </w:p>
    <w:p>
      <w:pPr>
        <w:jc w:val="both"/>
        <w:ind w:left="840" w:right="1039" w:firstLine="294"/>
        <w:spacing w:after="0" w:line="263" w:lineRule="auto"/>
        <w:rPr>
          <w:sz w:val="20"/>
          <w:szCs w:val="20"/>
          <w:color w:val="auto"/>
        </w:rPr>
      </w:pPr>
      <w:r>
        <w:rPr>
          <w:rFonts w:ascii="Arial" w:cs="Arial" w:eastAsia="Arial" w:hAnsi="Arial"/>
          <w:sz w:val="12"/>
          <w:szCs w:val="12"/>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A-8</w:t>
      </w:r>
    </w:p>
    <w:p>
      <w:pPr>
        <w:sectPr>
          <w:pgSz w:w="11900" w:h="16838" w:orient="portrait"/>
          <w:cols w:equalWidth="0" w:num="1">
            <w:col w:w="9019"/>
          </w:cols>
          <w:pgMar w:left="1440" w:top="230" w:right="1440" w:bottom="1440" w:gutter="0" w:footer="0" w:header="0"/>
        </w:sectPr>
      </w:pPr>
    </w:p>
    <w:bookmarkStart w:id="315" w:name="page316"/>
    <w:bookmarkEnd w:id="315"/>
    <w:p>
      <w:pPr>
        <w:ind w:left="840" w:right="89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22" w:lineRule="exact"/>
        <w:rPr>
          <w:sz w:val="20"/>
          <w:szCs w:val="20"/>
          <w:color w:val="auto"/>
        </w:rPr>
      </w:pPr>
    </w:p>
    <w:p>
      <w:pPr>
        <w:ind w:left="840" w:right="999" w:firstLine="294"/>
        <w:spacing w:after="0" w:line="298" w:lineRule="auto"/>
        <w:rPr>
          <w:sz w:val="20"/>
          <w:szCs w:val="20"/>
          <w:color w:val="auto"/>
        </w:rPr>
      </w:pPr>
      <w:r>
        <w:rPr>
          <w:rFonts w:ascii="Arial" w:cs="Arial" w:eastAsia="Arial" w:hAnsi="Arial"/>
          <w:sz w:val="11"/>
          <w:szCs w:val="11"/>
          <w:color w:val="auto"/>
        </w:rPr>
        <w:t>The Depositary will maintain a register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the Deposit Agreement or the American Depositary Shares.</w:t>
      </w:r>
    </w:p>
    <w:p>
      <w:pPr>
        <w:spacing w:after="0" w:line="204" w:lineRule="exact"/>
        <w:rPr>
          <w:sz w:val="20"/>
          <w:szCs w:val="20"/>
          <w:color w:val="auto"/>
        </w:rPr>
      </w:pPr>
    </w:p>
    <w:p>
      <w:pPr>
        <w:ind w:left="1120" w:hanging="288"/>
        <w:spacing w:after="0"/>
        <w:tabs>
          <w:tab w:leader="none" w:pos="11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DIVIDENDS AND DISTRIBUTIONS.</w:t>
      </w:r>
    </w:p>
    <w:p>
      <w:pPr>
        <w:spacing w:after="0" w:line="78" w:lineRule="exact"/>
        <w:rPr>
          <w:sz w:val="20"/>
          <w:szCs w:val="20"/>
          <w:color w:val="auto"/>
        </w:rPr>
      </w:pPr>
    </w:p>
    <w:p>
      <w:pPr>
        <w:ind w:left="840" w:right="879" w:firstLine="294"/>
        <w:spacing w:after="0" w:line="281" w:lineRule="auto"/>
        <w:rPr>
          <w:sz w:val="20"/>
          <w:szCs w:val="20"/>
          <w:color w:val="auto"/>
        </w:rPr>
      </w:pPr>
      <w:r>
        <w:rPr>
          <w:rFonts w:ascii="Arial" w:cs="Arial" w:eastAsia="Arial" w:hAnsi="Arial"/>
          <w:sz w:val="11"/>
          <w:szCs w:val="11"/>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15" w:lineRule="exact"/>
        <w:rPr>
          <w:sz w:val="20"/>
          <w:szCs w:val="20"/>
          <w:color w:val="auto"/>
        </w:rPr>
      </w:pPr>
    </w:p>
    <w:p>
      <w:pPr>
        <w:ind w:left="840" w:right="1099" w:firstLine="294"/>
        <w:spacing w:after="0" w:line="259" w:lineRule="auto"/>
        <w:rPr>
          <w:sz w:val="20"/>
          <w:szCs w:val="20"/>
          <w:color w:val="auto"/>
        </w:rPr>
      </w:pPr>
      <w:r>
        <w:rPr>
          <w:rFonts w:ascii="Arial" w:cs="Arial" w:eastAsia="Arial" w:hAnsi="Arial"/>
          <w:sz w:val="12"/>
          <w:szCs w:val="12"/>
          <w:color w:val="auto"/>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2"/>
          <w:szCs w:val="12"/>
          <w:u w:val="single" w:color="auto"/>
          <w:color w:val="auto"/>
        </w:rPr>
        <w:t>Termination Option Event</w:t>
      </w:r>
      <w:r>
        <w:rPr>
          <w:rFonts w:ascii="Arial" w:cs="Arial" w:eastAsia="Arial" w:hAnsi="Arial"/>
          <w:sz w:val="12"/>
          <w:szCs w:val="12"/>
          <w:color w:val="auto"/>
        </w:rPr>
        <w:t>.</w:t>
      </w:r>
    </w:p>
    <w:p>
      <w:pPr>
        <w:spacing w:after="0" w:line="124"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as promptly as practicable,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in the reasonable opinion of the Depositary such distribution cannot be made proportionately among the Owners entitled thereto, or if for any other reason the Depositary deems such distribution not to be lawful and feasible, the Depositary may adopt, following consultation with the Company to the extent practicable, such other method as it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A-9</w:t>
      </w:r>
    </w:p>
    <w:p>
      <w:pPr>
        <w:sectPr>
          <w:pgSz w:w="11900" w:h="16838" w:orient="portrait"/>
          <w:cols w:equalWidth="0" w:num="1">
            <w:col w:w="9019"/>
          </w:cols>
          <w:pgMar w:left="1440" w:top="230" w:right="1440" w:bottom="1440" w:gutter="0" w:footer="0" w:header="0"/>
        </w:sectPr>
      </w:pPr>
    </w:p>
    <w:bookmarkStart w:id="316" w:name="page317"/>
    <w:bookmarkEnd w:id="316"/>
    <w:p>
      <w:pPr>
        <w:ind w:left="840" w:right="83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15" w:lineRule="exact"/>
        <w:rPr>
          <w:sz w:val="20"/>
          <w:szCs w:val="20"/>
          <w:color w:val="auto"/>
        </w:rPr>
      </w:pPr>
    </w:p>
    <w:p>
      <w:pPr>
        <w:ind w:left="840" w:right="919" w:firstLine="294"/>
        <w:spacing w:after="0" w:line="289" w:lineRule="auto"/>
        <w:rPr>
          <w:sz w:val="20"/>
          <w:szCs w:val="20"/>
          <w:color w:val="auto"/>
        </w:rPr>
      </w:pPr>
      <w:r>
        <w:rPr>
          <w:rFonts w:ascii="Arial" w:cs="Arial" w:eastAsia="Arial" w:hAnsi="Arial"/>
          <w:sz w:val="11"/>
          <w:szCs w:val="11"/>
          <w:color w:val="auto"/>
        </w:rPr>
        <w:t xml:space="preserve">If a distribution to be made under Section 4.2 of the Deposit Agreement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1"/>
          <w:szCs w:val="11"/>
          <w:u w:val="single" w:color="auto"/>
          <w:color w:val="auto"/>
        </w:rPr>
        <w:t>Termination Option Event</w:t>
      </w:r>
      <w:r>
        <w:rPr>
          <w:rFonts w:ascii="Arial" w:cs="Arial" w:eastAsia="Arial" w:hAnsi="Arial"/>
          <w:sz w:val="11"/>
          <w:szCs w:val="11"/>
          <w:color w:val="auto"/>
        </w:rPr>
        <w:t>.</w:t>
      </w:r>
    </w:p>
    <w:p>
      <w:pPr>
        <w:spacing w:after="0" w:line="111" w:lineRule="exact"/>
        <w:rPr>
          <w:sz w:val="20"/>
          <w:szCs w:val="20"/>
          <w:color w:val="auto"/>
        </w:rPr>
      </w:pPr>
    </w:p>
    <w:p>
      <w:pPr>
        <w:ind w:left="840" w:right="859" w:firstLine="294"/>
        <w:spacing w:after="0" w:line="308" w:lineRule="auto"/>
        <w:rPr>
          <w:sz w:val="20"/>
          <w:szCs w:val="20"/>
          <w:color w:val="auto"/>
        </w:rPr>
      </w:pPr>
      <w:r>
        <w:rPr>
          <w:rFonts w:ascii="Arial" w:cs="Arial" w:eastAsia="Arial" w:hAnsi="Arial"/>
          <w:sz w:val="10"/>
          <w:szCs w:val="10"/>
          <w:color w:val="auto"/>
        </w:rPr>
        <w:t>Whenever the Depositary receives any distribution consisting of a dividend in, or free distribution of, Shares, the Depositary may, and shall if the Company so requests in writing,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as promptly as practicable,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05" w:lineRule="exact"/>
        <w:rPr>
          <w:sz w:val="20"/>
          <w:szCs w:val="20"/>
          <w:color w:val="auto"/>
        </w:rPr>
      </w:pPr>
    </w:p>
    <w:p>
      <w:pPr>
        <w:ind w:left="840" w:right="959" w:firstLine="294"/>
        <w:spacing w:after="0" w:line="263" w:lineRule="auto"/>
        <w:rPr>
          <w:sz w:val="20"/>
          <w:szCs w:val="20"/>
          <w:color w:val="auto"/>
        </w:rPr>
      </w:pPr>
      <w:r>
        <w:rPr>
          <w:rFonts w:ascii="Arial" w:cs="Arial" w:eastAsia="Arial" w:hAnsi="Arial"/>
          <w:sz w:val="12"/>
          <w:szCs w:val="12"/>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A-10</w:t>
      </w:r>
    </w:p>
    <w:p>
      <w:pPr>
        <w:sectPr>
          <w:pgSz w:w="11900" w:h="16838" w:orient="portrait"/>
          <w:cols w:equalWidth="0" w:num="1">
            <w:col w:w="9019"/>
          </w:cols>
          <w:pgMar w:left="1440" w:top="230" w:right="1440" w:bottom="1440" w:gutter="0" w:footer="0" w:header="0"/>
        </w:sectPr>
      </w:pPr>
    </w:p>
    <w:bookmarkStart w:id="317" w:name="page318"/>
    <w:bookmarkEnd w:id="317"/>
    <w:p>
      <w:pPr>
        <w:jc w:val="both"/>
        <w:ind w:left="840" w:right="8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 that has not been effected.</w:t>
      </w:r>
    </w:p>
    <w:p>
      <w:pPr>
        <w:spacing w:after="0" w:line="122" w:lineRule="exact"/>
        <w:rPr>
          <w:sz w:val="20"/>
          <w:szCs w:val="20"/>
          <w:color w:val="auto"/>
        </w:rPr>
      </w:pPr>
    </w:p>
    <w:p>
      <w:pPr>
        <w:ind w:left="840" w:right="879" w:firstLine="294"/>
        <w:spacing w:after="0" w:line="285" w:lineRule="auto"/>
        <w:rPr>
          <w:sz w:val="20"/>
          <w:szCs w:val="20"/>
          <w:color w:val="auto"/>
        </w:rPr>
      </w:pPr>
      <w:r>
        <w:rPr>
          <w:rFonts w:ascii="Arial" w:cs="Arial" w:eastAsia="Arial" w:hAnsi="Arial"/>
          <w:sz w:val="11"/>
          <w:szCs w:val="11"/>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reasonably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13" w:lineRule="exact"/>
        <w:rPr>
          <w:sz w:val="20"/>
          <w:szCs w:val="20"/>
          <w:color w:val="auto"/>
        </w:rPr>
      </w:pPr>
    </w:p>
    <w:p>
      <w:pPr>
        <w:ind w:left="840" w:right="919" w:firstLine="294"/>
        <w:spacing w:after="0" w:line="285" w:lineRule="auto"/>
        <w:rPr>
          <w:sz w:val="20"/>
          <w:szCs w:val="20"/>
          <w:color w:val="auto"/>
        </w:rPr>
      </w:pPr>
      <w:r>
        <w:rPr>
          <w:rFonts w:ascii="Arial" w:cs="Arial" w:eastAsia="Arial" w:hAnsi="Arial"/>
          <w:sz w:val="11"/>
          <w:szCs w:val="11"/>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212" w:lineRule="exact"/>
        <w:rPr>
          <w:sz w:val="20"/>
          <w:szCs w:val="20"/>
          <w:color w:val="auto"/>
        </w:rPr>
      </w:pPr>
    </w:p>
    <w:p>
      <w:pPr>
        <w:ind w:left="1120" w:hanging="288"/>
        <w:spacing w:after="0"/>
        <w:tabs>
          <w:tab w:leader="none" w:pos="112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RIGHTS.</w:t>
      </w:r>
    </w:p>
    <w:p>
      <w:pPr>
        <w:spacing w:after="0" w:line="78" w:lineRule="exact"/>
        <w:rPr>
          <w:rFonts w:ascii="Arial" w:cs="Arial" w:eastAsia="Arial" w:hAnsi="Arial"/>
          <w:sz w:val="12"/>
          <w:szCs w:val="12"/>
          <w:color w:val="auto"/>
        </w:rPr>
      </w:pPr>
    </w:p>
    <w:p>
      <w:pPr>
        <w:ind w:left="840" w:right="939" w:firstLine="286"/>
        <w:spacing w:after="0" w:line="281" w:lineRule="auto"/>
        <w:tabs>
          <w:tab w:leader="none" w:pos="1297" w:val="left"/>
        </w:tabs>
        <w:numPr>
          <w:ilvl w:val="1"/>
          <w:numId w:val="246"/>
        </w:numPr>
        <w:rPr>
          <w:rFonts w:ascii="Arial" w:cs="Arial" w:eastAsia="Arial" w:hAnsi="Arial"/>
          <w:sz w:val="11"/>
          <w:szCs w:val="11"/>
          <w:color w:val="auto"/>
        </w:rPr>
      </w:pPr>
      <w:r>
        <w:rPr>
          <w:rFonts w:ascii="Arial" w:cs="Arial" w:eastAsia="Arial" w:hAnsi="Arial"/>
          <w:sz w:val="11"/>
          <w:szCs w:val="11"/>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15" w:lineRule="exact"/>
        <w:rPr>
          <w:rFonts w:ascii="Arial" w:cs="Arial" w:eastAsia="Arial" w:hAnsi="Arial"/>
          <w:sz w:val="11"/>
          <w:szCs w:val="11"/>
          <w:color w:val="auto"/>
        </w:rPr>
      </w:pPr>
    </w:p>
    <w:p>
      <w:pPr>
        <w:jc w:val="both"/>
        <w:ind w:left="840" w:right="899" w:firstLine="286"/>
        <w:spacing w:after="0" w:line="298" w:lineRule="auto"/>
        <w:tabs>
          <w:tab w:leader="none" w:pos="1303" w:val="left"/>
        </w:tabs>
        <w:numPr>
          <w:ilvl w:val="1"/>
          <w:numId w:val="246"/>
        </w:numPr>
        <w:rPr>
          <w:rFonts w:ascii="Arial" w:cs="Arial" w:eastAsia="Arial" w:hAnsi="Arial"/>
          <w:sz w:val="11"/>
          <w:szCs w:val="11"/>
          <w:color w:val="auto"/>
        </w:rPr>
      </w:pPr>
      <w:r>
        <w:rPr>
          <w:rFonts w:ascii="Arial" w:cs="Arial" w:eastAsia="Arial" w:hAnsi="Arial"/>
          <w:sz w:val="11"/>
          <w:szCs w:val="11"/>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A-11</w:t>
      </w:r>
    </w:p>
    <w:p>
      <w:pPr>
        <w:sectPr>
          <w:pgSz w:w="11900" w:h="16838" w:orient="portrait"/>
          <w:cols w:equalWidth="0" w:num="1">
            <w:col w:w="9019"/>
          </w:cols>
          <w:pgMar w:left="1440" w:top="230" w:right="1440" w:bottom="1440" w:gutter="0" w:footer="0" w:header="0"/>
        </w:sectPr>
      </w:pPr>
    </w:p>
    <w:bookmarkStart w:id="318" w:name="page319"/>
    <w:bookmarkEnd w:id="318"/>
    <w:p>
      <w:pPr>
        <w:ind w:left="840" w:right="89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spacing w:after="0" w:line="113" w:lineRule="exact"/>
        <w:rPr>
          <w:sz w:val="20"/>
          <w:szCs w:val="20"/>
          <w:color w:val="auto"/>
        </w:rPr>
      </w:pPr>
    </w:p>
    <w:p>
      <w:pPr>
        <w:ind w:left="840" w:right="899" w:firstLine="286"/>
        <w:spacing w:after="0" w:line="326" w:lineRule="auto"/>
        <w:tabs>
          <w:tab w:leader="none" w:pos="1297" w:val="left"/>
        </w:tabs>
        <w:numPr>
          <w:ilvl w:val="1"/>
          <w:numId w:val="247"/>
        </w:numPr>
        <w:rPr>
          <w:rFonts w:ascii="Arial" w:cs="Arial" w:eastAsia="Arial" w:hAnsi="Arial"/>
          <w:sz w:val="10"/>
          <w:szCs w:val="10"/>
          <w:color w:val="auto"/>
        </w:rPr>
      </w:pPr>
      <w:r>
        <w:rPr>
          <w:rFonts w:ascii="Arial" w:cs="Arial" w:eastAsia="Arial" w:hAnsi="Arial"/>
          <w:sz w:val="10"/>
          <w:szCs w:val="10"/>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95" w:lineRule="exact"/>
        <w:rPr>
          <w:rFonts w:ascii="Arial" w:cs="Arial" w:eastAsia="Arial" w:hAnsi="Arial"/>
          <w:sz w:val="10"/>
          <w:szCs w:val="10"/>
          <w:color w:val="auto"/>
        </w:rPr>
      </w:pPr>
    </w:p>
    <w:p>
      <w:pPr>
        <w:ind w:left="840" w:right="899" w:firstLine="286"/>
        <w:spacing w:after="0" w:line="259" w:lineRule="auto"/>
        <w:tabs>
          <w:tab w:leader="none" w:pos="1303" w:val="left"/>
        </w:tabs>
        <w:numPr>
          <w:ilvl w:val="1"/>
          <w:numId w:val="247"/>
        </w:numPr>
        <w:rPr>
          <w:rFonts w:ascii="Arial" w:cs="Arial" w:eastAsia="Arial" w:hAnsi="Arial"/>
          <w:sz w:val="12"/>
          <w:szCs w:val="12"/>
          <w:color w:val="auto"/>
        </w:rPr>
      </w:pPr>
      <w:r>
        <w:rPr>
          <w:rFonts w:ascii="Arial" w:cs="Arial" w:eastAsia="Arial" w:hAnsi="Arial"/>
          <w:sz w:val="12"/>
          <w:szCs w:val="12"/>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24" w:lineRule="exact"/>
        <w:rPr>
          <w:rFonts w:ascii="Arial" w:cs="Arial" w:eastAsia="Arial" w:hAnsi="Arial"/>
          <w:sz w:val="12"/>
          <w:szCs w:val="12"/>
          <w:color w:val="auto"/>
        </w:rPr>
      </w:pPr>
    </w:p>
    <w:p>
      <w:pPr>
        <w:ind w:left="840" w:right="959" w:firstLine="286"/>
        <w:spacing w:after="0" w:line="263" w:lineRule="auto"/>
        <w:tabs>
          <w:tab w:leader="none" w:pos="1297" w:val="left"/>
        </w:tabs>
        <w:numPr>
          <w:ilvl w:val="1"/>
          <w:numId w:val="247"/>
        </w:numPr>
        <w:rPr>
          <w:rFonts w:ascii="Arial" w:cs="Arial" w:eastAsia="Arial" w:hAnsi="Arial"/>
          <w:sz w:val="12"/>
          <w:szCs w:val="12"/>
          <w:color w:val="auto"/>
        </w:rPr>
      </w:pPr>
      <w:r>
        <w:rPr>
          <w:rFonts w:ascii="Arial" w:cs="Arial" w:eastAsia="Arial" w:hAnsi="Arial"/>
          <w:sz w:val="12"/>
          <w:szCs w:val="12"/>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the Deposit Agreement.</w:t>
      </w:r>
    </w:p>
    <w:p>
      <w:pPr>
        <w:spacing w:after="0" w:line="122" w:lineRule="exact"/>
        <w:rPr>
          <w:rFonts w:ascii="Arial" w:cs="Arial" w:eastAsia="Arial" w:hAnsi="Arial"/>
          <w:sz w:val="12"/>
          <w:szCs w:val="12"/>
          <w:color w:val="auto"/>
        </w:rPr>
      </w:pPr>
    </w:p>
    <w:p>
      <w:pPr>
        <w:ind w:left="840" w:right="1079" w:firstLine="286"/>
        <w:spacing w:after="0" w:line="276" w:lineRule="auto"/>
        <w:tabs>
          <w:tab w:leader="none" w:pos="1283" w:val="left"/>
        </w:tabs>
        <w:numPr>
          <w:ilvl w:val="1"/>
          <w:numId w:val="247"/>
        </w:numPr>
        <w:rPr>
          <w:rFonts w:ascii="Arial" w:cs="Arial" w:eastAsia="Arial" w:hAnsi="Arial"/>
          <w:sz w:val="12"/>
          <w:szCs w:val="12"/>
          <w:color w:val="auto"/>
        </w:rPr>
      </w:pPr>
      <w:r>
        <w:rPr>
          <w:rFonts w:ascii="Arial" w:cs="Arial" w:eastAsia="Arial" w:hAnsi="Arial"/>
          <w:sz w:val="12"/>
          <w:szCs w:val="12"/>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213" w:lineRule="exact"/>
        <w:rPr>
          <w:rFonts w:ascii="Arial" w:cs="Arial" w:eastAsia="Arial" w:hAnsi="Arial"/>
          <w:sz w:val="12"/>
          <w:szCs w:val="12"/>
          <w:color w:val="auto"/>
        </w:rPr>
      </w:pPr>
    </w:p>
    <w:p>
      <w:pPr>
        <w:ind w:left="1120" w:hanging="288"/>
        <w:spacing w:after="0"/>
        <w:tabs>
          <w:tab w:leader="none" w:pos="112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CONVERSION OF FOREIGN CURRENCY.</w:t>
      </w:r>
    </w:p>
    <w:p>
      <w:pPr>
        <w:spacing w:after="0" w:line="78" w:lineRule="exact"/>
        <w:rPr>
          <w:sz w:val="20"/>
          <w:szCs w:val="20"/>
          <w:color w:val="auto"/>
        </w:rPr>
      </w:pPr>
    </w:p>
    <w:p>
      <w:pPr>
        <w:ind w:left="840" w:right="919" w:firstLine="294"/>
        <w:spacing w:after="0" w:line="285" w:lineRule="auto"/>
        <w:rPr>
          <w:sz w:val="20"/>
          <w:szCs w:val="20"/>
          <w:color w:val="auto"/>
        </w:rPr>
      </w:pPr>
      <w:r>
        <w:rPr>
          <w:rFonts w:ascii="Arial" w:cs="Arial" w:eastAsia="Arial" w:hAnsi="Arial"/>
          <w:sz w:val="11"/>
          <w:szCs w:val="11"/>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A-12</w:t>
      </w:r>
    </w:p>
    <w:p>
      <w:pPr>
        <w:sectPr>
          <w:pgSz w:w="11900" w:h="16838" w:orient="portrait"/>
          <w:cols w:equalWidth="0" w:num="1">
            <w:col w:w="9019"/>
          </w:cols>
          <w:pgMar w:left="1440" w:top="230" w:right="1440" w:bottom="1440" w:gutter="0" w:footer="0" w:header="0"/>
        </w:sectPr>
      </w:pPr>
    </w:p>
    <w:bookmarkStart w:id="319" w:name="page320"/>
    <w:bookmarkEnd w:id="319"/>
    <w:p>
      <w:pPr>
        <w:ind w:left="840" w:right="9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22" w:lineRule="exact"/>
        <w:rPr>
          <w:sz w:val="20"/>
          <w:szCs w:val="20"/>
          <w:color w:val="auto"/>
        </w:rPr>
      </w:pPr>
    </w:p>
    <w:p>
      <w:pPr>
        <w:ind w:left="840" w:right="1419" w:firstLine="294"/>
        <w:spacing w:after="0" w:line="323" w:lineRule="auto"/>
        <w:rPr>
          <w:sz w:val="20"/>
          <w:szCs w:val="20"/>
          <w:color w:val="auto"/>
        </w:rPr>
      </w:pPr>
      <w:r>
        <w:rPr>
          <w:rFonts w:ascii="Arial" w:cs="Arial" w:eastAsia="Arial" w:hAnsi="Arial"/>
          <w:sz w:val="11"/>
          <w:szCs w:val="11"/>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92"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If the Depositary, after consultation with the Company to the extent practicable, determines that in its reasonable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28"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24" w:lineRule="exact"/>
        <w:rPr>
          <w:sz w:val="20"/>
          <w:szCs w:val="20"/>
          <w:color w:val="auto"/>
        </w:rPr>
      </w:pPr>
    </w:p>
    <w:p>
      <w:pPr>
        <w:ind w:left="840" w:right="839" w:firstLine="294"/>
        <w:spacing w:after="0" w:line="278" w:lineRule="auto"/>
        <w:rPr>
          <w:sz w:val="20"/>
          <w:szCs w:val="20"/>
          <w:color w:val="auto"/>
        </w:rPr>
      </w:pPr>
      <w:r>
        <w:rPr>
          <w:rFonts w:ascii="Arial" w:cs="Arial" w:eastAsia="Arial" w:hAnsi="Arial"/>
          <w:sz w:val="11"/>
          <w:szCs w:val="11"/>
          <w:color w:val="auto"/>
        </w:rPr>
        <w:t>The Depositary may convert currency itself or through any of its affiliates (which may include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and will not be liable for any direct or indirect losses associated with the rate. The methodology used to determine exchange rates used in currency conversions made by the Depositary is available upon request. In certain instances, the Depositary may receive dividends or other distributions from the Company in Dollars that represent the proceeds of a conversion of foreign currency or translation from foreign currency at a rate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A-13</w:t>
      </w:r>
    </w:p>
    <w:p>
      <w:pPr>
        <w:sectPr>
          <w:pgSz w:w="11900" w:h="16838" w:orient="portrait"/>
          <w:cols w:equalWidth="0" w:num="1">
            <w:col w:w="9019"/>
          </w:cols>
          <w:pgMar w:left="1440" w:top="230" w:right="1440" w:bottom="1440" w:gutter="0" w:footer="0" w:header="0"/>
        </w:sectPr>
      </w:pPr>
    </w:p>
    <w:bookmarkStart w:id="320" w:name="page321"/>
    <w:bookmarkEnd w:id="320"/>
    <w:p>
      <w:pPr>
        <w:ind w:left="840" w:right="87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204" w:lineRule="exact"/>
        <w:rPr>
          <w:sz w:val="20"/>
          <w:szCs w:val="20"/>
          <w:color w:val="auto"/>
        </w:rPr>
      </w:pPr>
    </w:p>
    <w:p>
      <w:pPr>
        <w:ind w:left="1120" w:hanging="288"/>
        <w:spacing w:after="0"/>
        <w:tabs>
          <w:tab w:leader="none" w:pos="112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RECORD DATES.</w:t>
      </w:r>
    </w:p>
    <w:p>
      <w:pPr>
        <w:spacing w:after="0" w:line="78"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1"/>
          <w:szCs w:val="11"/>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21" w:lineRule="exact"/>
        <w:rPr>
          <w:sz w:val="20"/>
          <w:szCs w:val="20"/>
          <w:color w:val="auto"/>
        </w:rPr>
      </w:pPr>
    </w:p>
    <w:p>
      <w:pPr>
        <w:ind w:left="1120" w:hanging="288"/>
        <w:spacing w:after="0"/>
        <w:tabs>
          <w:tab w:leader="none" w:pos="112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VOTING OF DEPOSITED SHARES.</w:t>
      </w:r>
    </w:p>
    <w:p>
      <w:pPr>
        <w:spacing w:after="0" w:line="78" w:lineRule="exact"/>
        <w:rPr>
          <w:rFonts w:ascii="Arial" w:cs="Arial" w:eastAsia="Arial" w:hAnsi="Arial"/>
          <w:sz w:val="12"/>
          <w:szCs w:val="12"/>
          <w:color w:val="auto"/>
        </w:rPr>
      </w:pPr>
    </w:p>
    <w:p>
      <w:pPr>
        <w:ind w:left="840" w:right="879" w:firstLine="286"/>
        <w:spacing w:after="0" w:line="281" w:lineRule="auto"/>
        <w:tabs>
          <w:tab w:leader="none" w:pos="1297" w:val="left"/>
        </w:tabs>
        <w:numPr>
          <w:ilvl w:val="1"/>
          <w:numId w:val="250"/>
        </w:numPr>
        <w:rPr>
          <w:rFonts w:ascii="Arial" w:cs="Arial" w:eastAsia="Arial" w:hAnsi="Arial"/>
          <w:sz w:val="11"/>
          <w:szCs w:val="11"/>
          <w:color w:val="auto"/>
        </w:rPr>
      </w:pPr>
      <w:r>
        <w:rPr>
          <w:rFonts w:ascii="Arial" w:cs="Arial" w:eastAsia="Arial" w:hAnsi="Arial"/>
          <w:sz w:val="11"/>
          <w:szCs w:val="11"/>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German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1"/>
          <w:szCs w:val="11"/>
          <w:u w:val="single" w:color="auto"/>
          <w:color w:val="auto"/>
        </w:rPr>
        <w:t>Instruction Cutoff Date</w:t>
      </w:r>
      <w:r>
        <w:rPr>
          <w:rFonts w:ascii="Arial" w:cs="Arial" w:eastAsia="Arial" w:hAnsi="Arial"/>
          <w:sz w:val="11"/>
          <w:szCs w:val="11"/>
          <w:color w:val="auto"/>
        </w:rPr>
        <w: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A-14</w:t>
      </w:r>
    </w:p>
    <w:p>
      <w:pPr>
        <w:sectPr>
          <w:pgSz w:w="11900" w:h="16838" w:orient="portrait"/>
          <w:cols w:equalWidth="0" w:num="1">
            <w:col w:w="9019"/>
          </w:cols>
          <w:pgMar w:left="1440" w:top="230" w:right="1440" w:bottom="1440" w:gutter="0" w:footer="0" w:header="0"/>
        </w:sectPr>
      </w:pPr>
    </w:p>
    <w:bookmarkStart w:id="321" w:name="page322"/>
    <w:bookmarkEnd w:id="321"/>
    <w:p>
      <w:pPr>
        <w:ind w:left="840" w:right="859" w:firstLine="653"/>
        <w:spacing w:after="0" w:line="255" w:lineRule="auto"/>
        <w:tabs>
          <w:tab w:leader="none" w:pos="1671" w:val="left"/>
        </w:tabs>
        <w:numPr>
          <w:ilvl w:val="1"/>
          <w:numId w:val="25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28" w:lineRule="exact"/>
        <w:rPr>
          <w:rFonts w:ascii="Arial" w:cs="Arial" w:eastAsia="Arial" w:hAnsi="Arial"/>
          <w:sz w:val="12"/>
          <w:szCs w:val="12"/>
          <w:color w:val="auto"/>
        </w:rPr>
      </w:pPr>
    </w:p>
    <w:p>
      <w:pPr>
        <w:ind w:left="1280" w:hanging="154"/>
        <w:spacing w:after="0"/>
        <w:tabs>
          <w:tab w:leader="none" w:pos="1280" w:val="left"/>
        </w:tabs>
        <w:numPr>
          <w:ilvl w:val="0"/>
          <w:numId w:val="252"/>
        </w:numPr>
        <w:rPr>
          <w:rFonts w:ascii="Arial" w:cs="Arial" w:eastAsia="Arial" w:hAnsi="Arial"/>
          <w:sz w:val="11"/>
          <w:szCs w:val="11"/>
          <w:color w:val="auto"/>
        </w:rPr>
      </w:pPr>
      <w:r>
        <w:rPr>
          <w:rFonts w:ascii="Arial" w:cs="Arial" w:eastAsia="Arial" w:hAnsi="Arial"/>
          <w:sz w:val="11"/>
          <w:szCs w:val="11"/>
          <w:color w:val="auto"/>
        </w:rPr>
        <w:t>There can be no assurance that Owners generally or any Owner in particular will receive the notice described in paragraph (a) above in</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time to enable Owners to give instructions to the Depositary prior to the Instruction Cutoff Date.</w:t>
      </w:r>
    </w:p>
    <w:p>
      <w:pPr>
        <w:spacing w:after="0" w:line="141" w:lineRule="exact"/>
        <w:rPr>
          <w:sz w:val="20"/>
          <w:szCs w:val="20"/>
          <w:color w:val="auto"/>
        </w:rPr>
      </w:pPr>
    </w:p>
    <w:p>
      <w:pPr>
        <w:ind w:left="840" w:right="939" w:firstLine="286"/>
        <w:spacing w:after="0" w:line="259" w:lineRule="auto"/>
        <w:tabs>
          <w:tab w:leader="none" w:pos="1303" w:val="left"/>
        </w:tabs>
        <w:numPr>
          <w:ilvl w:val="1"/>
          <w:numId w:val="253"/>
        </w:numPr>
        <w:rPr>
          <w:rFonts w:ascii="Arial" w:cs="Arial" w:eastAsia="Arial" w:hAnsi="Arial"/>
          <w:sz w:val="12"/>
          <w:szCs w:val="12"/>
          <w:color w:val="auto"/>
        </w:rPr>
      </w:pPr>
      <w:r>
        <w:rPr>
          <w:rFonts w:ascii="Arial" w:cs="Arial" w:eastAsia="Arial" w:hAnsi="Arial"/>
          <w:sz w:val="12"/>
          <w:szCs w:val="12"/>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223" w:lineRule="exact"/>
        <w:rPr>
          <w:rFonts w:ascii="Arial" w:cs="Arial" w:eastAsia="Arial" w:hAnsi="Arial"/>
          <w:sz w:val="12"/>
          <w:szCs w:val="12"/>
          <w:color w:val="auto"/>
        </w:rPr>
      </w:pPr>
    </w:p>
    <w:p>
      <w:pPr>
        <w:ind w:left="1120" w:hanging="288"/>
        <w:spacing w:after="0"/>
        <w:tabs>
          <w:tab w:leader="none" w:pos="112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TENDER AND EXCHANGE OFFERS; REDEMPTION, REPLACEMENT OR CANCELLATION OF DEPOSITED SECURITIES.</w:t>
      </w:r>
    </w:p>
    <w:p>
      <w:pPr>
        <w:spacing w:after="0" w:line="78" w:lineRule="exact"/>
        <w:rPr>
          <w:rFonts w:ascii="Arial" w:cs="Arial" w:eastAsia="Arial" w:hAnsi="Arial"/>
          <w:sz w:val="12"/>
          <w:szCs w:val="12"/>
          <w:color w:val="auto"/>
        </w:rPr>
      </w:pPr>
    </w:p>
    <w:p>
      <w:pPr>
        <w:ind w:left="840" w:right="959" w:firstLine="286"/>
        <w:spacing w:after="0" w:line="263" w:lineRule="auto"/>
        <w:tabs>
          <w:tab w:leader="none" w:pos="1297" w:val="left"/>
        </w:tabs>
        <w:numPr>
          <w:ilvl w:val="1"/>
          <w:numId w:val="254"/>
        </w:numPr>
        <w:rPr>
          <w:rFonts w:ascii="Arial" w:cs="Arial" w:eastAsia="Arial" w:hAnsi="Arial"/>
          <w:sz w:val="12"/>
          <w:szCs w:val="12"/>
          <w:color w:val="auto"/>
        </w:rPr>
      </w:pPr>
      <w:r>
        <w:rPr>
          <w:rFonts w:ascii="Arial" w:cs="Arial" w:eastAsia="Arial" w:hAnsi="Arial"/>
          <w:sz w:val="12"/>
          <w:szCs w:val="12"/>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2"/>
          <w:szCs w:val="12"/>
          <w:u w:val="single" w:color="auto"/>
          <w:color w:val="auto"/>
        </w:rPr>
        <w:t>Voluntary Offer</w:t>
      </w:r>
      <w:r>
        <w:rPr>
          <w:rFonts w:ascii="Arial" w:cs="Arial" w:eastAsia="Arial" w:hAnsi="Arial"/>
          <w:sz w:val="12"/>
          <w:szCs w:val="12"/>
          <w:color w:val="auto"/>
        </w:rPr>
        <w:t>”), except when instructed in writing to do so by an Owner surrendering American Depositary Shares and subject to any conditions or procedures the Depositary may require.</w:t>
      </w:r>
    </w:p>
    <w:p>
      <w:pPr>
        <w:spacing w:after="0" w:line="122" w:lineRule="exact"/>
        <w:rPr>
          <w:rFonts w:ascii="Arial" w:cs="Arial" w:eastAsia="Arial" w:hAnsi="Arial"/>
          <w:sz w:val="12"/>
          <w:szCs w:val="12"/>
          <w:color w:val="auto"/>
        </w:rPr>
      </w:pPr>
    </w:p>
    <w:p>
      <w:pPr>
        <w:ind w:left="840" w:right="959" w:firstLine="286"/>
        <w:spacing w:after="0" w:line="283" w:lineRule="auto"/>
        <w:tabs>
          <w:tab w:leader="none" w:pos="1303" w:val="left"/>
        </w:tabs>
        <w:numPr>
          <w:ilvl w:val="1"/>
          <w:numId w:val="254"/>
        </w:numPr>
        <w:rPr>
          <w:rFonts w:ascii="Arial" w:cs="Arial" w:eastAsia="Arial" w:hAnsi="Arial"/>
          <w:sz w:val="11"/>
          <w:szCs w:val="11"/>
          <w:color w:val="auto"/>
        </w:rPr>
      </w:pPr>
      <w:r>
        <w:rPr>
          <w:rFonts w:ascii="Arial" w:cs="Arial" w:eastAsia="Arial" w:hAnsi="Arial"/>
          <w:sz w:val="11"/>
          <w:szCs w:val="11"/>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1"/>
          <w:szCs w:val="11"/>
          <w:u w:val="single" w:color="auto"/>
          <w:color w:val="auto"/>
        </w:rPr>
        <w:t>Redemption</w:t>
      </w:r>
      <w:r>
        <w:rPr>
          <w:rFonts w:ascii="Arial" w:cs="Arial" w:eastAsia="Arial" w:hAnsi="Arial"/>
          <w:sz w:val="11"/>
          <w:szCs w:val="11"/>
          <w:color w:val="auto"/>
        </w:rPr>
        <w:t>”),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A-15</w:t>
      </w:r>
    </w:p>
    <w:p>
      <w:pPr>
        <w:sectPr>
          <w:pgSz w:w="11900" w:h="16838" w:orient="portrait"/>
          <w:cols w:equalWidth="0" w:num="1">
            <w:col w:w="9019"/>
          </w:cols>
          <w:pgMar w:left="1440" w:top="230" w:right="1440" w:bottom="1440" w:gutter="0" w:footer="0" w:header="0"/>
        </w:sectPr>
      </w:pPr>
    </w:p>
    <w:bookmarkStart w:id="322" w:name="page323"/>
    <w:bookmarkEnd w:id="322"/>
    <w:p>
      <w:pPr>
        <w:ind w:left="840" w:right="879"/>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those converted American Depositary Shares shall be entitled upon surrenders of those American Depositary Shares in accordance with Section 2.5 or 6.2 of the Deposit Agreement and (iii) distribute the money received upon that Redemption, as promptly as practicable,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1"/>
          <w:szCs w:val="11"/>
          <w:u w:val="single" w:color="auto"/>
          <w:color w:val="auto"/>
        </w:rPr>
        <w:t>except that</w:t>
      </w:r>
      <w:r>
        <w:rPr>
          <w:rFonts w:ascii="Arial" w:cs="Arial" w:eastAsia="Arial" w:hAnsi="Arial"/>
          <w:sz w:val="11"/>
          <w:szCs w:val="11"/>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1"/>
          <w:szCs w:val="11"/>
          <w:u w:val="single" w:color="auto"/>
          <w:color w:val="auto"/>
        </w:rPr>
        <w:t>Termination Option Event</w:t>
      </w:r>
      <w:r>
        <w:rPr>
          <w:rFonts w:ascii="Arial" w:cs="Arial" w:eastAsia="Arial" w:hAnsi="Arial"/>
          <w:sz w:val="11"/>
          <w:szCs w:val="11"/>
          <w:color w:val="auto"/>
        </w:rPr>
        <w:t>.</w:t>
      </w:r>
    </w:p>
    <w:p>
      <w:pPr>
        <w:spacing w:after="0" w:line="117" w:lineRule="exact"/>
        <w:rPr>
          <w:sz w:val="20"/>
          <w:szCs w:val="20"/>
          <w:color w:val="auto"/>
        </w:rPr>
      </w:pPr>
    </w:p>
    <w:p>
      <w:pPr>
        <w:ind w:left="840" w:right="879" w:firstLine="286"/>
        <w:spacing w:after="0" w:line="278" w:lineRule="auto"/>
        <w:tabs>
          <w:tab w:leader="none" w:pos="1297" w:val="left"/>
        </w:tabs>
        <w:numPr>
          <w:ilvl w:val="0"/>
          <w:numId w:val="255"/>
        </w:numPr>
        <w:rPr>
          <w:rFonts w:ascii="Arial" w:cs="Arial" w:eastAsia="Arial" w:hAnsi="Arial"/>
          <w:sz w:val="11"/>
          <w:szCs w:val="11"/>
          <w:color w:val="auto"/>
        </w:rPr>
      </w:pPr>
      <w:r>
        <w:rPr>
          <w:rFonts w:ascii="Arial" w:cs="Arial" w:eastAsia="Arial" w:hAnsi="Arial"/>
          <w:sz w:val="11"/>
          <w:szCs w:val="11"/>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1"/>
          <w:szCs w:val="11"/>
          <w:u w:val="single" w:color="auto"/>
          <w:color w:val="auto"/>
        </w:rPr>
        <w:t>Replacement</w:t>
      </w:r>
      <w:r>
        <w:rPr>
          <w:rFonts w:ascii="Arial" w:cs="Arial" w:eastAsia="Arial" w:hAnsi="Arial"/>
          <w:sz w:val="11"/>
          <w:szCs w:val="11"/>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the Depositary may elect to sell those new Deposited Securities if in the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w:t>
      </w:r>
      <w:r>
        <w:rPr>
          <w:rFonts w:ascii="Arial" w:cs="Arial" w:eastAsia="Arial" w:hAnsi="Arial"/>
          <w:sz w:val="11"/>
          <w:szCs w:val="11"/>
          <w:u w:val="single" w:color="auto"/>
          <w:color w:val="auto"/>
        </w:rPr>
        <w:t>Termination Option Event</w:t>
      </w:r>
      <w:r>
        <w:rPr>
          <w:rFonts w:ascii="Arial" w:cs="Arial" w:eastAsia="Arial" w:hAnsi="Arial"/>
          <w:sz w:val="11"/>
          <w:szCs w:val="11"/>
          <w:color w:val="auto"/>
        </w:rPr>
        <w:t>.</w:t>
      </w:r>
    </w:p>
    <w:p>
      <w:pPr>
        <w:spacing w:after="0" w:line="118" w:lineRule="exact"/>
        <w:rPr>
          <w:rFonts w:ascii="Arial" w:cs="Arial" w:eastAsia="Arial" w:hAnsi="Arial"/>
          <w:sz w:val="11"/>
          <w:szCs w:val="11"/>
          <w:color w:val="auto"/>
        </w:rPr>
      </w:pPr>
    </w:p>
    <w:p>
      <w:pPr>
        <w:ind w:left="840" w:right="899" w:firstLine="286"/>
        <w:spacing w:after="0" w:line="254" w:lineRule="auto"/>
        <w:tabs>
          <w:tab w:leader="none" w:pos="1303" w:val="left"/>
        </w:tabs>
        <w:numPr>
          <w:ilvl w:val="0"/>
          <w:numId w:val="255"/>
        </w:numPr>
        <w:rPr>
          <w:rFonts w:ascii="Arial" w:cs="Arial" w:eastAsia="Arial" w:hAnsi="Arial"/>
          <w:sz w:val="12"/>
          <w:szCs w:val="12"/>
          <w:color w:val="auto"/>
        </w:rPr>
      </w:pPr>
      <w:r>
        <w:rPr>
          <w:rFonts w:ascii="Arial" w:cs="Arial" w:eastAsia="Arial" w:hAnsi="Arial"/>
          <w:sz w:val="12"/>
          <w:szCs w:val="12"/>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A-16</w:t>
      </w:r>
    </w:p>
    <w:p>
      <w:pPr>
        <w:sectPr>
          <w:pgSz w:w="11900" w:h="16838" w:orient="portrait"/>
          <w:cols w:equalWidth="0" w:num="1">
            <w:col w:w="9019"/>
          </w:cols>
          <w:pgMar w:left="1440" w:top="230" w:right="1440" w:bottom="1440" w:gutter="0" w:footer="0" w:header="0"/>
        </w:sectPr>
      </w:pPr>
    </w:p>
    <w:bookmarkStart w:id="323" w:name="page324"/>
    <w:bookmarkEnd w:id="323"/>
    <w:p>
      <w:pPr>
        <w:ind w:left="840" w:right="859" w:firstLine="286"/>
        <w:spacing w:after="0" w:line="340" w:lineRule="auto"/>
        <w:tabs>
          <w:tab w:leader="none" w:pos="1297" w:val="left"/>
        </w:tabs>
        <w:numPr>
          <w:ilvl w:val="1"/>
          <w:numId w:val="256"/>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0"/>
          <w:szCs w:val="10"/>
          <w:u w:val="single" w:color="auto"/>
          <w:color w:val="auto"/>
        </w:rPr>
        <w:t>Termination Option Event</w:t>
      </w:r>
      <w:r>
        <w:rPr>
          <w:rFonts w:ascii="Arial" w:cs="Arial" w:eastAsia="Arial" w:hAnsi="Arial"/>
          <w:sz w:val="10"/>
          <w:szCs w:val="10"/>
          <w:color w:val="auto"/>
        </w:rPr>
        <w:t>.</w:t>
      </w:r>
    </w:p>
    <w:p>
      <w:pPr>
        <w:spacing w:after="0" w:line="186" w:lineRule="exact"/>
        <w:rPr>
          <w:rFonts w:ascii="Arial" w:cs="Arial" w:eastAsia="Arial" w:hAnsi="Arial"/>
          <w:sz w:val="10"/>
          <w:szCs w:val="10"/>
          <w:color w:val="auto"/>
        </w:rPr>
      </w:pPr>
    </w:p>
    <w:p>
      <w:pPr>
        <w:ind w:left="1120" w:hanging="288"/>
        <w:spacing w:after="0"/>
        <w:tabs>
          <w:tab w:leader="none" w:pos="112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LIABILITY OF THE COMPANY AND DEPOSITARY.</w:t>
      </w:r>
    </w:p>
    <w:p>
      <w:pPr>
        <w:spacing w:after="0" w:line="78" w:lineRule="exact"/>
        <w:rPr>
          <w:rFonts w:ascii="Arial" w:cs="Arial" w:eastAsia="Arial" w:hAnsi="Arial"/>
          <w:sz w:val="12"/>
          <w:szCs w:val="12"/>
          <w:color w:val="auto"/>
        </w:rPr>
      </w:pPr>
    </w:p>
    <w:p>
      <w:pPr>
        <w:ind w:left="1120"/>
        <w:spacing w:after="0"/>
        <w:rPr>
          <w:rFonts w:ascii="Arial" w:cs="Arial" w:eastAsia="Arial" w:hAnsi="Arial"/>
          <w:sz w:val="12"/>
          <w:szCs w:val="12"/>
          <w:color w:val="auto"/>
        </w:rPr>
      </w:pPr>
      <w:r>
        <w:rPr>
          <w:rFonts w:ascii="Arial" w:cs="Arial" w:eastAsia="Arial" w:hAnsi="Arial"/>
          <w:sz w:val="10"/>
          <w:szCs w:val="10"/>
          <w:color w:val="auto"/>
        </w:rPr>
        <w:t>Neither the Depositary nor the Company nor any of their respective directors, employees, agents or affiliates shall incur any liability to any Owner</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or Holder:</w:t>
      </w:r>
    </w:p>
    <w:p>
      <w:pPr>
        <w:spacing w:after="0" w:line="141" w:lineRule="exact"/>
        <w:rPr>
          <w:sz w:val="20"/>
          <w:szCs w:val="20"/>
          <w:color w:val="auto"/>
        </w:rPr>
      </w:pPr>
    </w:p>
    <w:p>
      <w:pPr>
        <w:ind w:left="840" w:right="859" w:firstLine="286"/>
        <w:spacing w:after="0" w:line="278" w:lineRule="auto"/>
        <w:tabs>
          <w:tab w:leader="none" w:pos="1277" w:val="left"/>
        </w:tabs>
        <w:numPr>
          <w:ilvl w:val="0"/>
          <w:numId w:val="258"/>
        </w:numPr>
        <w:rPr>
          <w:rFonts w:ascii="Arial" w:cs="Arial" w:eastAsia="Arial" w:hAnsi="Arial"/>
          <w:sz w:val="11"/>
          <w:szCs w:val="11"/>
          <w:color w:val="auto"/>
        </w:rPr>
      </w:pPr>
      <w:r>
        <w:rPr>
          <w:rFonts w:ascii="Arial" w:cs="Arial" w:eastAsia="Arial" w:hAnsi="Arial"/>
          <w:sz w:val="11"/>
          <w:szCs w:val="11"/>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16" w:lineRule="exact"/>
        <w:rPr>
          <w:rFonts w:ascii="Arial" w:cs="Arial" w:eastAsia="Arial" w:hAnsi="Arial"/>
          <w:sz w:val="11"/>
          <w:szCs w:val="11"/>
          <w:color w:val="auto"/>
        </w:rPr>
      </w:pPr>
    </w:p>
    <w:p>
      <w:pPr>
        <w:ind w:left="840" w:right="1399" w:firstLine="286"/>
        <w:spacing w:after="0" w:line="276" w:lineRule="auto"/>
        <w:tabs>
          <w:tab w:leader="none" w:pos="131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for any exercise of, or failure to exercise, any discretion provided for in the Deposit Agreement (including any determination by the Depositary to take, or not take, any action that the Deposit Agreement provides the Depositary may take);</w:t>
      </w:r>
    </w:p>
    <w:p>
      <w:pPr>
        <w:spacing w:after="0" w:line="114" w:lineRule="exact"/>
        <w:rPr>
          <w:rFonts w:ascii="Arial" w:cs="Arial" w:eastAsia="Arial" w:hAnsi="Arial"/>
          <w:sz w:val="12"/>
          <w:szCs w:val="12"/>
          <w:color w:val="auto"/>
        </w:rPr>
      </w:pPr>
    </w:p>
    <w:p>
      <w:pPr>
        <w:ind w:left="840" w:right="1019" w:firstLine="286"/>
        <w:spacing w:after="0" w:line="276" w:lineRule="auto"/>
        <w:tabs>
          <w:tab w:leader="none" w:pos="1343" w:val="left"/>
        </w:tabs>
        <w:numPr>
          <w:ilvl w:val="0"/>
          <w:numId w:val="258"/>
        </w:numPr>
        <w:rPr>
          <w:rFonts w:ascii="Arial" w:cs="Arial" w:eastAsia="Arial" w:hAnsi="Arial"/>
          <w:sz w:val="12"/>
          <w:szCs w:val="12"/>
          <w:color w:val="auto"/>
        </w:rPr>
      </w:pPr>
      <w:r>
        <w:rPr>
          <w:rFonts w:ascii="Arial" w:cs="Arial" w:eastAsia="Arial" w:hAnsi="Arial"/>
          <w:sz w:val="12"/>
          <w:szCs w:val="12"/>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14" w:lineRule="exact"/>
        <w:rPr>
          <w:rFonts w:ascii="Arial" w:cs="Arial" w:eastAsia="Arial" w:hAnsi="Arial"/>
          <w:sz w:val="12"/>
          <w:szCs w:val="12"/>
          <w:color w:val="auto"/>
        </w:rPr>
      </w:pPr>
    </w:p>
    <w:p>
      <w:pPr>
        <w:ind w:left="1320" w:hanging="194"/>
        <w:spacing w:after="0"/>
        <w:tabs>
          <w:tab w:leader="none" w:pos="132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for any special, consequential or punitive damages for any breach of the terms of the Deposit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A-17</w:t>
      </w:r>
    </w:p>
    <w:p>
      <w:pPr>
        <w:sectPr>
          <w:pgSz w:w="11900" w:h="16838" w:orient="portrait"/>
          <w:cols w:equalWidth="0" w:num="1">
            <w:col w:w="9019"/>
          </w:cols>
          <w:pgMar w:left="1440" w:top="230" w:right="1440" w:bottom="1440" w:gutter="0" w:footer="0" w:header="0"/>
        </w:sectPr>
      </w:pPr>
    </w:p>
    <w:bookmarkStart w:id="324" w:name="page325"/>
    <w:bookmarkEnd w:id="324"/>
    <w:p>
      <w:pPr>
        <w:ind w:left="840" w:right="87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24"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1"/>
          <w:szCs w:val="11"/>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A-18</w:t>
      </w:r>
    </w:p>
    <w:p>
      <w:pPr>
        <w:sectPr>
          <w:pgSz w:w="11900" w:h="16838" w:orient="portrait"/>
          <w:cols w:equalWidth="0" w:num="1">
            <w:col w:w="9019"/>
          </w:cols>
          <w:pgMar w:left="1440" w:top="230" w:right="1440" w:bottom="1440" w:gutter="0" w:footer="0" w:header="0"/>
        </w:sectPr>
      </w:pPr>
    </w:p>
    <w:bookmarkStart w:id="325" w:name="page326"/>
    <w:bookmarkEnd w:id="325"/>
    <w:p>
      <w:pPr>
        <w:ind w:left="1120" w:hanging="288"/>
        <w:spacing w:after="0"/>
        <w:tabs>
          <w:tab w:leader="none" w:pos="1120" w:val="left"/>
        </w:tabs>
        <w:numPr>
          <w:ilvl w:val="0"/>
          <w:numId w:val="25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RESIGNATION AND REMOVAL OF THE DEPOSITARY; APPOINTMENT OF SUCCESSOR CUSTODIAN.</w:t>
      </w:r>
    </w:p>
    <w:p>
      <w:pPr>
        <w:spacing w:after="0" w:line="78" w:lineRule="exact"/>
        <w:rPr>
          <w:sz w:val="20"/>
          <w:szCs w:val="20"/>
          <w:color w:val="auto"/>
        </w:rPr>
      </w:pPr>
    </w:p>
    <w:p>
      <w:pPr>
        <w:ind w:left="840" w:right="879" w:firstLine="294"/>
        <w:spacing w:after="0" w:line="255" w:lineRule="auto"/>
        <w:rPr>
          <w:sz w:val="20"/>
          <w:szCs w:val="20"/>
          <w:color w:val="auto"/>
        </w:rPr>
      </w:pPr>
      <w:r>
        <w:rPr>
          <w:rFonts w:ascii="Arial" w:cs="Arial" w:eastAsia="Arial" w:hAnsi="Arial"/>
          <w:sz w:val="12"/>
          <w:szCs w:val="12"/>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227" w:lineRule="exact"/>
        <w:rPr>
          <w:sz w:val="20"/>
          <w:szCs w:val="20"/>
          <w:color w:val="auto"/>
        </w:rPr>
      </w:pPr>
    </w:p>
    <w:p>
      <w:pPr>
        <w:ind w:left="1120" w:hanging="288"/>
        <w:spacing w:after="0"/>
        <w:tabs>
          <w:tab w:leader="none" w:pos="112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AMENDMENT.</w:t>
      </w:r>
    </w:p>
    <w:p>
      <w:pPr>
        <w:spacing w:after="0" w:line="78" w:lineRule="exact"/>
        <w:rPr>
          <w:sz w:val="20"/>
          <w:szCs w:val="20"/>
          <w:color w:val="auto"/>
        </w:rPr>
      </w:pPr>
    </w:p>
    <w:p>
      <w:pPr>
        <w:ind w:left="840" w:right="839" w:firstLine="294"/>
        <w:spacing w:after="0" w:line="277" w:lineRule="auto"/>
        <w:rPr>
          <w:sz w:val="20"/>
          <w:szCs w:val="20"/>
          <w:color w:val="auto"/>
        </w:rPr>
      </w:pPr>
      <w:r>
        <w:rPr>
          <w:rFonts w:ascii="Arial" w:cs="Arial" w:eastAsia="Arial" w:hAnsi="Arial"/>
          <w:sz w:val="11"/>
          <w:szCs w:val="11"/>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219" w:lineRule="exact"/>
        <w:rPr>
          <w:sz w:val="20"/>
          <w:szCs w:val="20"/>
          <w:color w:val="auto"/>
        </w:rPr>
      </w:pPr>
    </w:p>
    <w:p>
      <w:pPr>
        <w:ind w:left="1120" w:hanging="288"/>
        <w:spacing w:after="0"/>
        <w:tabs>
          <w:tab w:leader="none" w:pos="112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TERMINATION OF DEPOSIT AGREEMENT.</w:t>
      </w:r>
    </w:p>
    <w:p>
      <w:pPr>
        <w:spacing w:after="0" w:line="78" w:lineRule="exact"/>
        <w:rPr>
          <w:rFonts w:ascii="Arial" w:cs="Arial" w:eastAsia="Arial" w:hAnsi="Arial"/>
          <w:sz w:val="12"/>
          <w:szCs w:val="12"/>
          <w:color w:val="auto"/>
        </w:rPr>
      </w:pPr>
    </w:p>
    <w:p>
      <w:pPr>
        <w:ind w:left="840" w:right="979" w:firstLine="286"/>
        <w:spacing w:after="0" w:line="283" w:lineRule="auto"/>
        <w:tabs>
          <w:tab w:leader="none" w:pos="1297" w:val="left"/>
        </w:tabs>
        <w:numPr>
          <w:ilvl w:val="1"/>
          <w:numId w:val="261"/>
        </w:numPr>
        <w:rPr>
          <w:rFonts w:ascii="Arial" w:cs="Arial" w:eastAsia="Arial" w:hAnsi="Arial"/>
          <w:sz w:val="11"/>
          <w:szCs w:val="11"/>
          <w:color w:val="auto"/>
        </w:rPr>
      </w:pPr>
      <w:r>
        <w:rPr>
          <w:rFonts w:ascii="Arial" w:cs="Arial" w:eastAsia="Arial" w:hAnsi="Arial"/>
          <w:sz w:val="11"/>
          <w:szCs w:val="11"/>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1"/>
          <w:szCs w:val="11"/>
          <w:u w:val="single" w:color="auto"/>
          <w:color w:val="auto"/>
        </w:rPr>
        <w:t>Termination Date</w:t>
      </w:r>
      <w:r>
        <w:rPr>
          <w:rFonts w:ascii="Arial" w:cs="Arial" w:eastAsia="Arial" w:hAnsi="Arial"/>
          <w:sz w:val="11"/>
          <w:szCs w:val="11"/>
          <w:color w:val="auto"/>
        </w:rPr>
        <w:t>”), which shall be at least 90 days after the date of that notice, and the Deposit Agreement shall terminate on that Termination Date.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A-19</w:t>
      </w:r>
    </w:p>
    <w:p>
      <w:pPr>
        <w:sectPr>
          <w:pgSz w:w="11900" w:h="16838" w:orient="portrait"/>
          <w:cols w:equalWidth="0" w:num="1">
            <w:col w:w="9019"/>
          </w:cols>
          <w:pgMar w:left="1440" w:top="230" w:right="1440" w:bottom="1440" w:gutter="0" w:footer="0" w:header="0"/>
        </w:sectPr>
      </w:pPr>
    </w:p>
    <w:bookmarkStart w:id="326" w:name="page327"/>
    <w:bookmarkEnd w:id="326"/>
    <w:p>
      <w:pPr>
        <w:ind w:left="840" w:right="999" w:firstLine="286"/>
        <w:spacing w:after="0" w:line="276" w:lineRule="auto"/>
        <w:tabs>
          <w:tab w:leader="none" w:pos="1303" w:val="left"/>
        </w:tabs>
        <w:numPr>
          <w:ilvl w:val="0"/>
          <w:numId w:val="26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After the Termination Date, the Company shall be discharged from all obligations under the Deposit Agreement except for its obligations to the Depositary under Sections 5.8 and 5.9 of that Agreement.</w:t>
      </w:r>
    </w:p>
    <w:p>
      <w:pPr>
        <w:spacing w:after="0" w:line="114" w:lineRule="exact"/>
        <w:rPr>
          <w:rFonts w:ascii="Arial" w:cs="Arial" w:eastAsia="Arial" w:hAnsi="Arial"/>
          <w:sz w:val="12"/>
          <w:szCs w:val="12"/>
          <w:color w:val="auto"/>
        </w:rPr>
      </w:pPr>
    </w:p>
    <w:p>
      <w:pPr>
        <w:ind w:left="840" w:right="879" w:firstLine="286"/>
        <w:spacing w:after="0" w:line="280" w:lineRule="auto"/>
        <w:tabs>
          <w:tab w:leader="none" w:pos="1297" w:val="left"/>
        </w:tabs>
        <w:numPr>
          <w:ilvl w:val="0"/>
          <w:numId w:val="262"/>
        </w:numPr>
        <w:rPr>
          <w:rFonts w:ascii="Arial" w:cs="Arial" w:eastAsia="Arial" w:hAnsi="Arial"/>
          <w:sz w:val="11"/>
          <w:szCs w:val="11"/>
          <w:color w:val="auto"/>
        </w:rPr>
      </w:pPr>
      <w:r>
        <w:rPr>
          <w:rFonts w:ascii="Arial" w:cs="Arial" w:eastAsia="Arial" w:hAnsi="Arial"/>
          <w:sz w:val="11"/>
          <w:szCs w:val="11"/>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(ii) for its obligations under Section 5.8 of that Agreement and (iii) to act as provided in paragraph (d) below.</w:t>
      </w:r>
    </w:p>
    <w:p>
      <w:pPr>
        <w:spacing w:after="0" w:line="115" w:lineRule="exact"/>
        <w:rPr>
          <w:rFonts w:ascii="Arial" w:cs="Arial" w:eastAsia="Arial" w:hAnsi="Arial"/>
          <w:sz w:val="11"/>
          <w:szCs w:val="11"/>
          <w:color w:val="auto"/>
        </w:rPr>
      </w:pPr>
    </w:p>
    <w:p>
      <w:pPr>
        <w:ind w:left="840" w:right="879" w:firstLine="286"/>
        <w:spacing w:after="0" w:line="277" w:lineRule="auto"/>
        <w:tabs>
          <w:tab w:leader="none" w:pos="1303" w:val="left"/>
        </w:tabs>
        <w:numPr>
          <w:ilvl w:val="0"/>
          <w:numId w:val="262"/>
        </w:numPr>
        <w:rPr>
          <w:rFonts w:ascii="Arial" w:cs="Arial" w:eastAsia="Arial" w:hAnsi="Arial"/>
          <w:sz w:val="11"/>
          <w:szCs w:val="11"/>
          <w:color w:val="auto"/>
        </w:rPr>
      </w:pPr>
      <w:r>
        <w:rPr>
          <w:rFonts w:ascii="Arial" w:cs="Arial" w:eastAsia="Arial" w:hAnsi="Arial"/>
          <w:sz w:val="11"/>
          <w:szCs w:val="11"/>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A-20</w:t>
      </w:r>
    </w:p>
    <w:p>
      <w:pPr>
        <w:sectPr>
          <w:pgSz w:w="11900" w:h="16838" w:orient="portrait"/>
          <w:cols w:equalWidth="0" w:num="1">
            <w:col w:w="9019"/>
          </w:cols>
          <w:pgMar w:left="1440" w:top="230" w:right="1440" w:bottom="1440" w:gutter="0" w:footer="0" w:header="0"/>
        </w:sectPr>
      </w:pPr>
    </w:p>
    <w:bookmarkStart w:id="327" w:name="page328"/>
    <w:bookmarkEnd w:id="327"/>
    <w:p>
      <w:pPr>
        <w:ind w:left="1120" w:hanging="288"/>
        <w:spacing w:after="0"/>
        <w:tabs>
          <w:tab w:leader="none" w:pos="1120" w:val="left"/>
        </w:tabs>
        <w:numPr>
          <w:ilvl w:val="0"/>
          <w:numId w:val="26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DTC DIRECT REGISTRATION SYSTEM AND PROFILE MODIFICATION SYSTEM.</w:t>
      </w:r>
    </w:p>
    <w:p>
      <w:pPr>
        <w:spacing w:after="0" w:line="78" w:lineRule="exact"/>
        <w:rPr>
          <w:rFonts w:ascii="Arial" w:cs="Arial" w:eastAsia="Arial" w:hAnsi="Arial"/>
          <w:sz w:val="12"/>
          <w:szCs w:val="12"/>
          <w:color w:val="auto"/>
        </w:rPr>
      </w:pPr>
    </w:p>
    <w:p>
      <w:pPr>
        <w:ind w:left="840" w:right="879" w:firstLine="286"/>
        <w:spacing w:after="0" w:line="254" w:lineRule="auto"/>
        <w:tabs>
          <w:tab w:leader="none" w:pos="1297" w:val="left"/>
        </w:tabs>
        <w:numPr>
          <w:ilvl w:val="1"/>
          <w:numId w:val="263"/>
        </w:numPr>
        <w:rPr>
          <w:rFonts w:ascii="Arial" w:cs="Arial" w:eastAsia="Arial" w:hAnsi="Arial"/>
          <w:sz w:val="12"/>
          <w:szCs w:val="12"/>
          <w:color w:val="auto"/>
        </w:rPr>
      </w:pPr>
      <w:r>
        <w:rPr>
          <w:rFonts w:ascii="Arial" w:cs="Arial" w:eastAsia="Arial" w:hAnsi="Arial"/>
          <w:sz w:val="12"/>
          <w:szCs w:val="12"/>
          <w:color w:val="auto"/>
        </w:rPr>
        <w:t>Notwithstanding the provisions of Section 2.4 of the Deposit Agreement, the parties acknowledge that DTC’s Direct Registration System (“</w:t>
      </w:r>
      <w:r>
        <w:rPr>
          <w:rFonts w:ascii="Arial" w:cs="Arial" w:eastAsia="Arial" w:hAnsi="Arial"/>
          <w:sz w:val="12"/>
          <w:szCs w:val="12"/>
          <w:u w:val="single" w:color="auto"/>
          <w:color w:val="auto"/>
        </w:rPr>
        <w:t>DRS</w:t>
      </w:r>
      <w:r>
        <w:rPr>
          <w:rFonts w:ascii="Arial" w:cs="Arial" w:eastAsia="Arial" w:hAnsi="Arial"/>
          <w:sz w:val="12"/>
          <w:szCs w:val="12"/>
          <w:color w:val="auto"/>
        </w:rPr>
        <w:t>”) and Profile Modification System (“</w:t>
      </w:r>
      <w:r>
        <w:rPr>
          <w:rFonts w:ascii="Arial" w:cs="Arial" w:eastAsia="Arial" w:hAnsi="Arial"/>
          <w:sz w:val="12"/>
          <w:szCs w:val="12"/>
          <w:u w:val="single" w:color="auto"/>
          <w:color w:val="auto"/>
        </w:rPr>
        <w:t>Profile</w:t>
      </w:r>
      <w:r>
        <w:rPr>
          <w:rFonts w:ascii="Arial" w:cs="Arial" w:eastAsia="Arial" w:hAnsi="Arial"/>
          <w:sz w:val="12"/>
          <w:szCs w:val="12"/>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29" w:lineRule="exact"/>
        <w:rPr>
          <w:rFonts w:ascii="Arial" w:cs="Arial" w:eastAsia="Arial" w:hAnsi="Arial"/>
          <w:sz w:val="12"/>
          <w:szCs w:val="12"/>
          <w:color w:val="auto"/>
        </w:rPr>
      </w:pPr>
    </w:p>
    <w:p>
      <w:pPr>
        <w:ind w:left="840" w:right="939" w:firstLine="286"/>
        <w:spacing w:after="0" w:line="283" w:lineRule="auto"/>
        <w:tabs>
          <w:tab w:leader="none" w:pos="1303" w:val="left"/>
        </w:tabs>
        <w:numPr>
          <w:ilvl w:val="1"/>
          <w:numId w:val="263"/>
        </w:numPr>
        <w:rPr>
          <w:rFonts w:ascii="Arial" w:cs="Arial" w:eastAsia="Arial" w:hAnsi="Arial"/>
          <w:sz w:val="11"/>
          <w:szCs w:val="11"/>
          <w:color w:val="auto"/>
        </w:rPr>
      </w:pPr>
      <w:r>
        <w:rPr>
          <w:rFonts w:ascii="Arial" w:cs="Arial" w:eastAsia="Arial" w:hAnsi="Arial"/>
          <w:sz w:val="11"/>
          <w:szCs w:val="11"/>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212" w:lineRule="exact"/>
        <w:rPr>
          <w:rFonts w:ascii="Arial" w:cs="Arial" w:eastAsia="Arial" w:hAnsi="Arial"/>
          <w:sz w:val="11"/>
          <w:szCs w:val="11"/>
          <w:color w:val="auto"/>
        </w:rPr>
      </w:pPr>
    </w:p>
    <w:p>
      <w:pPr>
        <w:ind w:left="1120" w:right="1139" w:hanging="288"/>
        <w:spacing w:after="0" w:line="276" w:lineRule="auto"/>
        <w:tabs>
          <w:tab w:leader="none" w:pos="1120" w:val="left"/>
        </w:tabs>
        <w:numPr>
          <w:ilvl w:val="0"/>
          <w:numId w:val="263"/>
        </w:numPr>
        <w:rPr>
          <w:rFonts w:ascii="Arial" w:cs="Arial" w:eastAsia="Arial" w:hAnsi="Arial"/>
          <w:sz w:val="12"/>
          <w:szCs w:val="12"/>
          <w:color w:val="auto"/>
        </w:rPr>
      </w:pPr>
      <w:r>
        <w:rPr>
          <w:rFonts w:ascii="Arial" w:cs="Arial" w:eastAsia="Arial" w:hAnsi="Arial"/>
          <w:sz w:val="12"/>
          <w:szCs w:val="12"/>
          <w:color w:val="auto"/>
        </w:rPr>
        <w:t>APPOINTMENT OF AGENT FOR SERVICE OF PROCESS; SUBMISSION TO JURISDICTION; JURY TRIAL WAIVER; WAIVER OF IMMUNITIES.</w:t>
      </w:r>
    </w:p>
    <w:p>
      <w:pPr>
        <w:spacing w:after="0" w:line="43"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The Company has (i) appointed as the Company’s authorized agent in the United States upon which process may be served in any suit or proceeding arising out of or relating to the Shares or Deposited Securities, the American Depositary Shares, the Receipts or the Deposit Agreement, (ii) subject to the third following paragraph,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128" w:lineRule="exact"/>
        <w:rPr>
          <w:sz w:val="20"/>
          <w:szCs w:val="20"/>
          <w:color w:val="auto"/>
        </w:rPr>
      </w:pPr>
    </w:p>
    <w:p>
      <w:pPr>
        <w:ind w:left="840" w:right="999" w:firstLine="294"/>
        <w:spacing w:after="0" w:line="256" w:lineRule="auto"/>
        <w:rPr>
          <w:sz w:val="20"/>
          <w:szCs w:val="20"/>
          <w:color w:val="auto"/>
        </w:rPr>
      </w:pPr>
      <w:r>
        <w:rPr>
          <w:rFonts w:ascii="Arial" w:cs="Arial" w:eastAsia="Arial" w:hAnsi="Arial"/>
          <w:sz w:val="12"/>
          <w:szCs w:val="12"/>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A-21</w:t>
      </w:r>
    </w:p>
    <w:p>
      <w:pPr>
        <w:sectPr>
          <w:pgSz w:w="11900" w:h="16838" w:orient="portrait"/>
          <w:cols w:equalWidth="0" w:num="1">
            <w:col w:w="9019"/>
          </w:cols>
          <w:pgMar w:left="1440" w:top="230" w:right="1440" w:bottom="1440" w:gutter="0" w:footer="0" w:header="0"/>
        </w:sectPr>
      </w:pPr>
    </w:p>
    <w:bookmarkStart w:id="328" w:name="page329"/>
    <w:bookmarkEnd w:id="328"/>
    <w:p>
      <w:pPr>
        <w:ind w:left="840" w:right="9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TRANSACTION CONTEMPLATED HEREIN OR THEREIN, OR THE BREACH HEREOF OR THEREOF, INCLUDING, WITHOUT LIMITATION, ANY QUESTION REGARDING EXISTENCE, VALIDITY OR TERMINATION (WHETHER BASED ON CONTRACT, TORT OR ANY OTHER THEORY AND ANY CLAIM BASED ON U.S. FEDERAL SECURITIES LAWS).</w:t>
      </w:r>
    </w:p>
    <w:p>
      <w:pPr>
        <w:spacing w:after="0" w:line="122"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No disclaimer of liability under the United States federal securities laws or the rules and regulations thereunder is intended by any provision of the Deposit Agreement, inasmuch as no person is able to effectively waive the duty of any other person to comply with its obligations under those laws, rules and regulations.</w:t>
      </w:r>
    </w:p>
    <w:p>
      <w:pPr>
        <w:spacing w:after="0" w:line="122" w:lineRule="exact"/>
        <w:rPr>
          <w:sz w:val="20"/>
          <w:szCs w:val="20"/>
          <w:color w:val="auto"/>
        </w:rPr>
      </w:pPr>
    </w:p>
    <w:p>
      <w:pPr>
        <w:ind w:left="840" w:right="839" w:firstLine="294"/>
        <w:spacing w:after="0" w:line="289" w:lineRule="auto"/>
        <w:rPr>
          <w:sz w:val="20"/>
          <w:szCs w:val="20"/>
          <w:color w:val="auto"/>
        </w:rPr>
      </w:pPr>
      <w:r>
        <w:rPr>
          <w:rFonts w:ascii="Arial" w:cs="Arial" w:eastAsia="Arial" w:hAnsi="Arial"/>
          <w:sz w:val="11"/>
          <w:szCs w:val="11"/>
          <w:color w:val="auto"/>
        </w:rPr>
        <w:t>Each Owner and Holder hereby agrees that it will not commence any Proceeding asserting a claim under the Securities Act of 1933, as amended, or the United States Securities Exchange Act of 1934, as amended, or the rules or regulations promulgated under those statutes, except in a United States federal district court unless the Company consents in writing to the selection of an alternative forum. Any person or entity who becomes an Owner or Holder shall be deemed to have notice of and consented to the provisions of Section 7.6 of the Deposit Agreement.</w:t>
      </w:r>
    </w:p>
    <w:p>
      <w:pPr>
        <w:spacing w:after="0" w:line="111"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A-22</w:t>
      </w:r>
    </w:p>
    <w:p>
      <w:pPr>
        <w:sectPr>
          <w:pgSz w:w="11900" w:h="16838" w:orient="portrait"/>
          <w:cols w:equalWidth="0" w:num="1">
            <w:col w:w="9019"/>
          </w:cols>
          <w:pgMar w:left="1440" w:top="230" w:right="1440" w:bottom="1440" w:gutter="0" w:footer="0" w:header="0"/>
        </w:sectPr>
      </w:pPr>
    </w:p>
    <w:bookmarkStart w:id="329" w:name="page330"/>
    <w:bookmarkEnd w:id="329"/>
    <w:p>
      <w:pPr>
        <w:jc w:val="right"/>
        <w:ind w:right="839"/>
        <w:spacing w:after="0"/>
        <w:rPr>
          <w:sz w:val="20"/>
          <w:szCs w:val="20"/>
          <w:color w:val="auto"/>
        </w:rPr>
      </w:pPr>
      <w:r>
        <w:rPr>
          <w:rFonts w:ascii="Arial" w:cs="Arial" w:eastAsia="Arial" w:hAnsi="Arial"/>
          <w:sz w:val="12"/>
          <w:szCs w:val="1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120650</wp:posOffset>
            </wp:positionV>
            <wp:extent cx="466344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149225</wp:posOffset>
            </wp:positionV>
            <wp:extent cx="466344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w:t>
      </w:r>
      <w:r>
        <w:rPr>
          <w:rFonts w:ascii="Arial" w:cs="Arial" w:eastAsia="Arial" w:hAnsi="Arial"/>
          <w:sz w:val="9"/>
          <w:szCs w:val="9"/>
          <w:b w:val="1"/>
          <w:bCs w:val="1"/>
          <w:color w:val="auto"/>
        </w:rPr>
        <w:t>USINESS</w:t>
      </w:r>
      <w:r>
        <w:rPr>
          <w:rFonts w:ascii="Arial" w:cs="Arial" w:eastAsia="Arial" w:hAnsi="Arial"/>
          <w:sz w:val="12"/>
          <w:szCs w:val="12"/>
          <w:b w:val="1"/>
          <w:bCs w:val="1"/>
          <w:color w:val="auto"/>
        </w:rPr>
        <w:t xml:space="preserve"> O</w:t>
      </w:r>
      <w:r>
        <w:rPr>
          <w:rFonts w:ascii="Arial" w:cs="Arial" w:eastAsia="Arial" w:hAnsi="Arial"/>
          <w:sz w:val="9"/>
          <w:szCs w:val="9"/>
          <w:b w:val="1"/>
          <w:bCs w:val="1"/>
          <w:color w:val="auto"/>
        </w:rPr>
        <w:t>PPORTUNITY</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BETWEEN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w:t>
      </w:r>
      <w:r>
        <w:rPr>
          <w:rFonts w:ascii="Arial" w:cs="Arial" w:eastAsia="Arial" w:hAnsi="Arial"/>
          <w:sz w:val="9"/>
          <w:szCs w:val="9"/>
          <w:b w:val="1"/>
          <w:bCs w:val="1"/>
          <w:color w:val="auto"/>
        </w:rPr>
        <w:t>YNARIC</w:t>
      </w:r>
      <w:r>
        <w:rPr>
          <w:rFonts w:ascii="Arial" w:cs="Arial" w:eastAsia="Arial" w:hAnsi="Arial"/>
          <w:sz w:val="12"/>
          <w:szCs w:val="12"/>
          <w:b w:val="1"/>
          <w:bCs w:val="1"/>
          <w:color w:val="auto"/>
        </w:rPr>
        <w:t xml:space="preserve"> AG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AND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w:t>
      </w:r>
      <w:r>
        <w:rPr>
          <w:rFonts w:ascii="Arial" w:cs="Arial" w:eastAsia="Arial" w:hAnsi="Arial"/>
          <w:sz w:val="9"/>
          <w:szCs w:val="9"/>
          <w:b w:val="1"/>
          <w:bCs w:val="1"/>
          <w:color w:val="auto"/>
        </w:rPr>
        <w:t>MIN</w:t>
      </w:r>
      <w:r>
        <w:rPr>
          <w:rFonts w:ascii="Arial" w:cs="Arial" w:eastAsia="Arial" w:hAnsi="Arial"/>
          <w:sz w:val="12"/>
          <w:szCs w:val="12"/>
          <w:b w:val="1"/>
          <w:bCs w:val="1"/>
          <w:color w:val="auto"/>
        </w:rPr>
        <w:t xml:space="preserve"> B</w:t>
      </w:r>
      <w:r>
        <w:rPr>
          <w:rFonts w:ascii="Arial" w:cs="Arial" w:eastAsia="Arial" w:hAnsi="Arial"/>
          <w:sz w:val="9"/>
          <w:szCs w:val="9"/>
          <w:b w:val="1"/>
          <w:bCs w:val="1"/>
          <w:color w:val="auto"/>
        </w:rPr>
        <w:t>ULENT</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LTAN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AND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LPINE</w:t>
      </w:r>
      <w:r>
        <w:rPr>
          <w:rFonts w:ascii="Arial" w:cs="Arial" w:eastAsia="Arial" w:hAnsi="Arial"/>
          <w:sz w:val="12"/>
          <w:szCs w:val="12"/>
          <w:b w:val="1"/>
          <w:bCs w:val="1"/>
          <w:color w:val="auto"/>
        </w:rPr>
        <w:t xml:space="preserve"> S</w:t>
      </w:r>
      <w:r>
        <w:rPr>
          <w:rFonts w:ascii="Arial" w:cs="Arial" w:eastAsia="Arial" w:hAnsi="Arial"/>
          <w:sz w:val="9"/>
          <w:szCs w:val="9"/>
          <w:b w:val="1"/>
          <w:bCs w:val="1"/>
          <w:color w:val="auto"/>
        </w:rPr>
        <w:t>PACE</w:t>
      </w:r>
      <w:r>
        <w:rPr>
          <w:rFonts w:ascii="Arial" w:cs="Arial" w:eastAsia="Arial" w:hAnsi="Arial"/>
          <w:sz w:val="12"/>
          <w:szCs w:val="12"/>
          <w:b w:val="1"/>
          <w:bCs w:val="1"/>
          <w:color w:val="auto"/>
        </w:rPr>
        <w:t xml:space="preserve"> V</w:t>
      </w:r>
      <w:r>
        <w:rPr>
          <w:rFonts w:ascii="Arial" w:cs="Arial" w:eastAsia="Arial" w:hAnsi="Arial"/>
          <w:sz w:val="9"/>
          <w:szCs w:val="9"/>
          <w:b w:val="1"/>
          <w:bCs w:val="1"/>
          <w:color w:val="auto"/>
        </w:rPr>
        <w:t>ENTURES</w:t>
      </w:r>
      <w:r>
        <w:rPr>
          <w:rFonts w:ascii="Arial" w:cs="Arial" w:eastAsia="Arial" w:hAnsi="Arial"/>
          <w:sz w:val="12"/>
          <w:szCs w:val="12"/>
          <w:b w:val="1"/>
          <w:bCs w:val="1"/>
          <w:color w:val="auto"/>
        </w:rPr>
        <w:t xml:space="preserve"> M</w:t>
      </w:r>
      <w:r>
        <w:rPr>
          <w:rFonts w:ascii="Arial" w:cs="Arial" w:eastAsia="Arial" w:hAnsi="Arial"/>
          <w:sz w:val="9"/>
          <w:szCs w:val="9"/>
          <w:b w:val="1"/>
          <w:bCs w:val="1"/>
          <w:color w:val="auto"/>
        </w:rPr>
        <w:t>ANAGEMENT</w:t>
      </w:r>
      <w:r>
        <w:rPr>
          <w:rFonts w:ascii="Arial" w:cs="Arial" w:eastAsia="Arial" w:hAnsi="Arial"/>
          <w:sz w:val="12"/>
          <w:szCs w:val="12"/>
          <w:b w:val="1"/>
          <w:bCs w:val="1"/>
          <w:color w:val="auto"/>
        </w:rPr>
        <w:t xml:space="preserve"> G</w:t>
      </w:r>
      <w:r>
        <w:rPr>
          <w:rFonts w:ascii="Arial" w:cs="Arial" w:eastAsia="Arial" w:hAnsi="Arial"/>
          <w:sz w:val="9"/>
          <w:szCs w:val="9"/>
          <w:b w:val="1"/>
          <w:bCs w:val="1"/>
          <w:color w:val="auto"/>
        </w:rPr>
        <w:t>MB</w:t>
      </w:r>
      <w:r>
        <w:rPr>
          <w:rFonts w:ascii="Arial" w:cs="Arial" w:eastAsia="Arial" w:hAnsi="Arial"/>
          <w:sz w:val="12"/>
          <w:szCs w:val="12"/>
          <w:b w:val="1"/>
          <w:bCs w:val="1"/>
          <w:color w:val="auto"/>
        </w:rPr>
        <w:t>H</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 xml:space="preserve">DATED </w:t>
      </w:r>
      <w:r>
        <w:rPr>
          <w:rFonts w:ascii="Arial" w:cs="Arial" w:eastAsia="Arial" w:hAnsi="Arial"/>
          <w:sz w:val="11"/>
          <w:szCs w:val="11"/>
          <w:b w:val="1"/>
          <w:bCs w:val="1"/>
          <w:color w:val="auto"/>
        </w:rPr>
        <w:t>O</w:t>
      </w:r>
      <w:r>
        <w:rPr>
          <w:rFonts w:ascii="Arial" w:cs="Arial" w:eastAsia="Arial" w:hAnsi="Arial"/>
          <w:sz w:val="10"/>
          <w:szCs w:val="10"/>
          <w:b w:val="1"/>
          <w:bCs w:val="1"/>
          <w:color w:val="auto"/>
        </w:rPr>
        <w:t xml:space="preserve">CTOBER </w:t>
      </w:r>
      <w:r>
        <w:rPr>
          <w:rFonts w:ascii="Arial" w:cs="Arial" w:eastAsia="Arial" w:hAnsi="Arial"/>
          <w:sz w:val="11"/>
          <w:szCs w:val="11"/>
          <w:b w:val="1"/>
          <w:bCs w:val="1"/>
          <w:color w:val="auto"/>
        </w:rPr>
        <w:t>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127635</wp:posOffset>
            </wp:positionV>
            <wp:extent cx="46634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156210</wp:posOffset>
            </wp:positionV>
            <wp:extent cx="46634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30" w:name="page331"/>
    <w:bookmarkEnd w:id="33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BUSINESS OPPORTUNITY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between</w:t>
      </w:r>
    </w:p>
    <w:p>
      <w:pPr>
        <w:spacing w:after="0" w:line="168" w:lineRule="exact"/>
        <w:rPr>
          <w:sz w:val="20"/>
          <w:szCs w:val="20"/>
          <w:color w:val="auto"/>
        </w:rPr>
      </w:pPr>
    </w:p>
    <w:p>
      <w:pPr>
        <w:ind w:left="1120" w:right="919" w:hanging="288"/>
        <w:spacing w:after="0" w:line="266" w:lineRule="auto"/>
        <w:tabs>
          <w:tab w:leader="none" w:pos="1120" w:val="left"/>
        </w:tabs>
        <w:numPr>
          <w:ilvl w:val="0"/>
          <w:numId w:val="264"/>
        </w:numPr>
        <w:rPr>
          <w:rFonts w:ascii="Arial" w:cs="Arial" w:eastAsia="Arial" w:hAnsi="Arial"/>
          <w:sz w:val="12"/>
          <w:szCs w:val="12"/>
          <w:color w:val="auto"/>
        </w:rPr>
      </w:pPr>
      <w:r>
        <w:rPr>
          <w:rFonts w:ascii="Arial" w:cs="Arial" w:eastAsia="Arial" w:hAnsi="Arial"/>
          <w:sz w:val="12"/>
          <w:szCs w:val="12"/>
          <w:b w:val="1"/>
          <w:bCs w:val="1"/>
          <w:color w:val="auto"/>
        </w:rPr>
        <w:t>Mynaric AG</w:t>
      </w:r>
      <w:r>
        <w:rPr>
          <w:rFonts w:ascii="Arial" w:cs="Arial" w:eastAsia="Arial" w:hAnsi="Arial"/>
          <w:sz w:val="12"/>
          <w:szCs w:val="12"/>
          <w:color w:val="auto"/>
        </w:rPr>
        <w:t>, a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incorporated under the laws of the Federal Republic of Germany (“</w:t>
      </w:r>
      <w:r>
        <w:rPr>
          <w:rFonts w:ascii="Arial" w:cs="Arial" w:eastAsia="Arial" w:hAnsi="Arial"/>
          <w:sz w:val="12"/>
          <w:szCs w:val="12"/>
          <w:b w:val="1"/>
          <w:bCs w:val="1"/>
          <w:color w:val="auto"/>
        </w:rPr>
        <w:t>Germany</w:t>
      </w:r>
      <w:r>
        <w:rPr>
          <w:rFonts w:ascii="Arial" w:cs="Arial" w:eastAsia="Arial" w:hAnsi="Arial"/>
          <w:sz w:val="12"/>
          <w:szCs w:val="12"/>
          <w:color w:val="auto"/>
        </w:rPr>
        <w:t>”), having its</w:t>
      </w:r>
      <w:r>
        <w:rPr>
          <w:rFonts w:ascii="Arial" w:cs="Arial" w:eastAsia="Arial" w:hAnsi="Arial"/>
          <w:sz w:val="12"/>
          <w:szCs w:val="12"/>
          <w:b w:val="1"/>
          <w:bCs w:val="1"/>
          <w:color w:val="auto"/>
        </w:rPr>
        <w:t xml:space="preserve"> </w:t>
      </w:r>
      <w:r>
        <w:rPr>
          <w:rFonts w:ascii="Arial" w:cs="Arial" w:eastAsia="Arial" w:hAnsi="Arial"/>
          <w:sz w:val="12"/>
          <w:szCs w:val="12"/>
          <w:color w:val="auto"/>
        </w:rPr>
        <w:t>registered office at Dornierstraße 19, 82205 Gilching, Germany, and registered with the commercial register of the local court of Munich under docket number HRB 232763 (the “</w:t>
      </w:r>
      <w:r>
        <w:rPr>
          <w:rFonts w:ascii="Arial" w:cs="Arial" w:eastAsia="Arial" w:hAnsi="Arial"/>
          <w:sz w:val="12"/>
          <w:szCs w:val="12"/>
          <w:b w:val="1"/>
          <w:bCs w:val="1"/>
          <w:color w:val="auto"/>
        </w:rPr>
        <w:t>Company</w:t>
      </w:r>
      <w:r>
        <w:rPr>
          <w:rFonts w:ascii="Arial" w:cs="Arial" w:eastAsia="Arial" w:hAnsi="Arial"/>
          <w:sz w:val="12"/>
          <w:szCs w:val="12"/>
          <w:color w:val="auto"/>
        </w:rPr>
        <w:t>”);</w:t>
      </w:r>
    </w:p>
    <w:p>
      <w:pPr>
        <w:spacing w:after="0" w:line="54" w:lineRule="exact"/>
        <w:rPr>
          <w:rFonts w:ascii="Arial" w:cs="Arial" w:eastAsia="Arial" w:hAnsi="Arial"/>
          <w:sz w:val="12"/>
          <w:szCs w:val="12"/>
          <w:color w:val="auto"/>
        </w:rPr>
      </w:pPr>
    </w:p>
    <w:p>
      <w:pPr>
        <w:ind w:left="1120" w:hanging="288"/>
        <w:spacing w:after="0"/>
        <w:tabs>
          <w:tab w:leader="none" w:pos="1120" w:val="left"/>
        </w:tabs>
        <w:numPr>
          <w:ilvl w:val="0"/>
          <w:numId w:val="264"/>
        </w:numPr>
        <w:rPr>
          <w:rFonts w:ascii="Arial" w:cs="Arial" w:eastAsia="Arial" w:hAnsi="Arial"/>
          <w:sz w:val="12"/>
          <w:szCs w:val="12"/>
          <w:color w:val="auto"/>
        </w:rPr>
      </w:pPr>
      <w:r>
        <w:rPr>
          <w:rFonts w:ascii="Arial" w:cs="Arial" w:eastAsia="Arial" w:hAnsi="Arial"/>
          <w:sz w:val="12"/>
          <w:szCs w:val="12"/>
          <w:b w:val="1"/>
          <w:bCs w:val="1"/>
          <w:color w:val="auto"/>
        </w:rPr>
        <w:t>Mr. Emin Bulent Altan</w:t>
      </w:r>
      <w:r>
        <w:rPr>
          <w:rFonts w:ascii="Arial" w:cs="Arial" w:eastAsia="Arial" w:hAnsi="Arial"/>
          <w:sz w:val="12"/>
          <w:szCs w:val="12"/>
          <w:color w:val="auto"/>
        </w:rPr>
        <w:t>, born [###], with address at [###] (“</w:t>
      </w:r>
      <w:r>
        <w:rPr>
          <w:rFonts w:ascii="Arial" w:cs="Arial" w:eastAsia="Arial" w:hAnsi="Arial"/>
          <w:sz w:val="12"/>
          <w:szCs w:val="12"/>
          <w:b w:val="1"/>
          <w:bCs w:val="1"/>
          <w:color w:val="auto"/>
        </w:rPr>
        <w:t>Mr. Altan</w:t>
      </w:r>
      <w:r>
        <w:rPr>
          <w:rFonts w:ascii="Arial" w:cs="Arial" w:eastAsia="Arial" w:hAnsi="Arial"/>
          <w:sz w:val="12"/>
          <w:szCs w:val="12"/>
          <w:color w:val="auto"/>
        </w:rPr>
        <w:t>”);</w:t>
      </w:r>
    </w:p>
    <w:p>
      <w:pPr>
        <w:spacing w:after="0" w:line="87" w:lineRule="exact"/>
        <w:rPr>
          <w:rFonts w:ascii="Arial" w:cs="Arial" w:eastAsia="Arial" w:hAnsi="Arial"/>
          <w:sz w:val="12"/>
          <w:szCs w:val="12"/>
          <w:color w:val="auto"/>
        </w:rPr>
      </w:pPr>
    </w:p>
    <w:p>
      <w:pPr>
        <w:ind w:left="1120" w:right="1039" w:hanging="288"/>
        <w:spacing w:after="0" w:line="287" w:lineRule="auto"/>
        <w:tabs>
          <w:tab w:leader="none" w:pos="1120" w:val="left"/>
        </w:tabs>
        <w:numPr>
          <w:ilvl w:val="0"/>
          <w:numId w:val="264"/>
        </w:numPr>
        <w:rPr>
          <w:rFonts w:ascii="Arial" w:cs="Arial" w:eastAsia="Arial" w:hAnsi="Arial"/>
          <w:sz w:val="11"/>
          <w:szCs w:val="11"/>
          <w:color w:val="auto"/>
        </w:rPr>
      </w:pPr>
      <w:r>
        <w:rPr>
          <w:rFonts w:ascii="Arial" w:cs="Arial" w:eastAsia="Arial" w:hAnsi="Arial"/>
          <w:sz w:val="11"/>
          <w:szCs w:val="11"/>
          <w:b w:val="1"/>
          <w:bCs w:val="1"/>
          <w:color w:val="auto"/>
        </w:rPr>
        <w:t>Alpine Space Ventures Management GmbH</w:t>
      </w:r>
      <w:r>
        <w:rPr>
          <w:rFonts w:ascii="Arial" w:cs="Arial" w:eastAsia="Arial" w:hAnsi="Arial"/>
          <w:sz w:val="11"/>
          <w:szCs w:val="11"/>
          <w:color w:val="auto"/>
        </w:rPr>
        <w:t>, a limited liability company incorporated under German law, having its registered office at</w:t>
      </w:r>
      <w:r>
        <w:rPr>
          <w:rFonts w:ascii="Arial" w:cs="Arial" w:eastAsia="Arial" w:hAnsi="Arial"/>
          <w:sz w:val="11"/>
          <w:szCs w:val="11"/>
          <w:b w:val="1"/>
          <w:bCs w:val="1"/>
          <w:color w:val="auto"/>
        </w:rPr>
        <w:t xml:space="preserve"> </w:t>
      </w:r>
      <w:r>
        <w:rPr>
          <w:rFonts w:ascii="Arial" w:cs="Arial" w:eastAsia="Arial" w:hAnsi="Arial"/>
          <w:sz w:val="11"/>
          <w:szCs w:val="11"/>
          <w:color w:val="auto"/>
        </w:rPr>
        <w:t>Katharina-von-Bora-Straße 1, 80333 Munich, Germany, and registered with the commercial register of the local court of Munich under docket number HRB 259649 (the “</w:t>
      </w:r>
      <w:r>
        <w:rPr>
          <w:rFonts w:ascii="Arial" w:cs="Arial" w:eastAsia="Arial" w:hAnsi="Arial"/>
          <w:sz w:val="11"/>
          <w:szCs w:val="11"/>
          <w:b w:val="1"/>
          <w:bCs w:val="1"/>
          <w:color w:val="auto"/>
        </w:rPr>
        <w:t>ASV Manager</w:t>
      </w:r>
      <w:r>
        <w:rPr>
          <w:rFonts w:ascii="Arial" w:cs="Arial" w:eastAsia="Arial" w:hAnsi="Arial"/>
          <w:sz w:val="11"/>
          <w:szCs w:val="11"/>
          <w:color w:val="auto"/>
        </w:rPr>
        <w:t>”) acting as the alternative investment fund manager of Alpine Space Ventures Fund I GmbH &amp; Co. KG, a German limited partnership (Kommanditgesellschaft), having its registered office at Katharina-von-Bora-Straße 1, 80333 Munich, Germany, and registered with the commercial register of the local court of Munich under docket number HRA 113881 (the “</w:t>
      </w:r>
      <w:r>
        <w:rPr>
          <w:rFonts w:ascii="Arial" w:cs="Arial" w:eastAsia="Arial" w:hAnsi="Arial"/>
          <w:sz w:val="11"/>
          <w:szCs w:val="11"/>
          <w:b w:val="1"/>
          <w:bCs w:val="1"/>
          <w:color w:val="auto"/>
        </w:rPr>
        <w:t>ASV Fund</w:t>
      </w:r>
      <w:r>
        <w:rPr>
          <w:rFonts w:ascii="Arial" w:cs="Arial" w:eastAsia="Arial" w:hAnsi="Arial"/>
          <w:sz w:val="11"/>
          <w:szCs w:val="11"/>
          <w:color w:val="auto"/>
        </w:rPr>
        <w:t>”).</w:t>
      </w:r>
    </w:p>
    <w:p>
      <w:pPr>
        <w:spacing w:after="0" w:line="107" w:lineRule="exact"/>
        <w:rPr>
          <w:rFonts w:ascii="Arial" w:cs="Arial" w:eastAsia="Arial" w:hAnsi="Arial"/>
          <w:sz w:val="11"/>
          <w:szCs w:val="11"/>
          <w:color w:val="auto"/>
        </w:rPr>
      </w:pPr>
    </w:p>
    <w:p>
      <w:pPr>
        <w:ind w:left="4460"/>
        <w:spacing w:after="0"/>
        <w:rPr>
          <w:rFonts w:ascii="Arial" w:cs="Arial" w:eastAsia="Arial" w:hAnsi="Arial"/>
          <w:sz w:val="11"/>
          <w:szCs w:val="11"/>
          <w:color w:val="auto"/>
        </w:rPr>
      </w:pPr>
      <w:r>
        <w:rPr>
          <w:rFonts w:ascii="Arial" w:cs="Arial" w:eastAsia="Arial" w:hAnsi="Arial"/>
          <w:sz w:val="11"/>
          <w:szCs w:val="11"/>
          <w:color w:val="auto"/>
        </w:rPr>
        <w:t>– hereinafter collectively referred to as the “</w:t>
      </w:r>
      <w:r>
        <w:rPr>
          <w:rFonts w:ascii="Arial" w:cs="Arial" w:eastAsia="Arial" w:hAnsi="Arial"/>
          <w:sz w:val="11"/>
          <w:szCs w:val="11"/>
          <w:b w:val="1"/>
          <w:bCs w:val="1"/>
          <w:color w:val="auto"/>
        </w:rPr>
        <w:t>Parties</w:t>
      </w:r>
      <w:r>
        <w:rPr>
          <w:rFonts w:ascii="Arial" w:cs="Arial" w:eastAsia="Arial" w:hAnsi="Arial"/>
          <w:sz w:val="11"/>
          <w:szCs w:val="11"/>
          <w:color w:val="auto"/>
        </w:rPr>
        <w:t>” and each as a “</w:t>
      </w:r>
      <w:r>
        <w:rPr>
          <w:rFonts w:ascii="Arial" w:cs="Arial" w:eastAsia="Arial" w:hAnsi="Arial"/>
          <w:sz w:val="11"/>
          <w:szCs w:val="11"/>
          <w:b w:val="1"/>
          <w:bCs w:val="1"/>
          <w:color w:val="auto"/>
        </w:rPr>
        <w:t>Party</w:t>
      </w:r>
      <w:r>
        <w:rPr>
          <w:rFonts w:ascii="Arial" w:cs="Arial" w:eastAsia="Arial" w:hAnsi="Arial"/>
          <w:sz w:val="11"/>
          <w:szCs w:val="11"/>
          <w:color w:val="auto"/>
        </w:rPr>
        <w:t>” –</w:t>
      </w:r>
    </w:p>
    <w:p>
      <w:pPr>
        <w:spacing w:after="0" w:line="261" w:lineRule="exact"/>
        <w:rPr>
          <w:sz w:val="20"/>
          <w:szCs w:val="20"/>
          <w:color w:val="auto"/>
        </w:rPr>
      </w:pPr>
    </w:p>
    <w:p>
      <w:pPr>
        <w:ind w:left="1120" w:hanging="288"/>
        <w:spacing w:after="0"/>
        <w:tabs>
          <w:tab w:leader="none" w:pos="1120"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color w:val="auto"/>
        </w:rPr>
        <w:t>STATUS AND INTENTIONS OF THE PARTIES</w:t>
      </w:r>
    </w:p>
    <w:p>
      <w:pPr>
        <w:spacing w:after="0" w:line="87" w:lineRule="exact"/>
        <w:rPr>
          <w:rFonts w:ascii="Arial" w:cs="Arial" w:eastAsia="Arial" w:hAnsi="Arial"/>
          <w:sz w:val="12"/>
          <w:szCs w:val="12"/>
          <w:b w:val="1"/>
          <w:bCs w:val="1"/>
          <w:color w:val="auto"/>
        </w:rPr>
      </w:pPr>
    </w:p>
    <w:p>
      <w:pPr>
        <w:ind w:left="1480" w:right="959" w:hanging="360"/>
        <w:spacing w:after="0" w:line="287" w:lineRule="auto"/>
        <w:rPr>
          <w:rFonts w:ascii="Arial" w:cs="Arial" w:eastAsia="Arial" w:hAnsi="Arial"/>
          <w:sz w:val="12"/>
          <w:szCs w:val="12"/>
          <w:b w:val="1"/>
          <w:bCs w:val="1"/>
          <w:color w:val="auto"/>
        </w:rPr>
      </w:pPr>
      <w:r>
        <w:rPr>
          <w:rFonts w:ascii="Arial" w:cs="Arial" w:eastAsia="Arial" w:hAnsi="Arial"/>
          <w:sz w:val="11"/>
          <w:szCs w:val="11"/>
          <w:color w:val="auto"/>
        </w:rPr>
        <w:t>1.1 The Company is the holding company of the Mynaric group (“</w:t>
      </w:r>
      <w:r>
        <w:rPr>
          <w:rFonts w:ascii="Arial" w:cs="Arial" w:eastAsia="Arial" w:hAnsi="Arial"/>
          <w:sz w:val="11"/>
          <w:szCs w:val="11"/>
          <w:b w:val="1"/>
          <w:bCs w:val="1"/>
          <w:color w:val="auto"/>
        </w:rPr>
        <w:t>Mynaric</w:t>
      </w:r>
      <w:r>
        <w:rPr>
          <w:rFonts w:ascii="Arial" w:cs="Arial" w:eastAsia="Arial" w:hAnsi="Arial"/>
          <w:sz w:val="11"/>
          <w:szCs w:val="11"/>
          <w:color w:val="auto"/>
        </w:rPr>
        <w:t>”), a leading developer and manufacturer of laser communication technology for aerospace communications networks in government and commercial markets. Mynaric’s core business comprises the development and manufacturing of laser communication technology and products (the “</w:t>
      </w:r>
      <w:r>
        <w:rPr>
          <w:rFonts w:ascii="Arial" w:cs="Arial" w:eastAsia="Arial" w:hAnsi="Arial"/>
          <w:sz w:val="11"/>
          <w:szCs w:val="11"/>
          <w:b w:val="1"/>
          <w:bCs w:val="1"/>
          <w:color w:val="auto"/>
        </w:rPr>
        <w:t>Laser Communication Technology and</w:t>
      </w:r>
      <w:r>
        <w:rPr>
          <w:rFonts w:ascii="Arial" w:cs="Arial" w:eastAsia="Arial" w:hAnsi="Arial"/>
          <w:sz w:val="11"/>
          <w:szCs w:val="11"/>
          <w:color w:val="auto"/>
        </w:rPr>
        <w:t xml:space="preserve"> </w:t>
      </w:r>
      <w:r>
        <w:rPr>
          <w:rFonts w:ascii="Arial" w:cs="Arial" w:eastAsia="Arial" w:hAnsi="Arial"/>
          <w:sz w:val="11"/>
          <w:szCs w:val="11"/>
          <w:b w:val="1"/>
          <w:bCs w:val="1"/>
          <w:color w:val="auto"/>
        </w:rPr>
        <w:t>Products</w:t>
      </w:r>
      <w:r>
        <w:rPr>
          <w:rFonts w:ascii="Arial" w:cs="Arial" w:eastAsia="Arial" w:hAnsi="Arial"/>
          <w:sz w:val="11"/>
          <w:szCs w:val="11"/>
          <w:color w:val="auto"/>
        </w:rPr>
        <w:t>”) as well as the development and implementation of quantum communication technology (“</w:t>
      </w:r>
      <w:r>
        <w:rPr>
          <w:rFonts w:ascii="Arial" w:cs="Arial" w:eastAsia="Arial" w:hAnsi="Arial"/>
          <w:sz w:val="11"/>
          <w:szCs w:val="11"/>
          <w:b w:val="1"/>
          <w:bCs w:val="1"/>
          <w:color w:val="auto"/>
        </w:rPr>
        <w:t>Quantum Communication</w:t>
      </w:r>
      <w:r>
        <w:rPr>
          <w:rFonts w:ascii="Arial" w:cs="Arial" w:eastAsia="Arial" w:hAnsi="Arial"/>
          <w:sz w:val="11"/>
          <w:szCs w:val="11"/>
          <w:color w:val="auto"/>
        </w:rPr>
        <w:t>”) for</w:t>
      </w:r>
      <w:r>
        <w:rPr>
          <w:rFonts w:ascii="Arial" w:cs="Arial" w:eastAsia="Arial" w:hAnsi="Arial"/>
          <w:sz w:val="11"/>
          <w:szCs w:val="11"/>
          <w:b w:val="1"/>
          <w:bCs w:val="1"/>
          <w:color w:val="auto"/>
        </w:rPr>
        <w:t xml:space="preserve"> </w:t>
      </w:r>
      <w:r>
        <w:rPr>
          <w:rFonts w:ascii="Arial" w:cs="Arial" w:eastAsia="Arial" w:hAnsi="Arial"/>
          <w:sz w:val="11"/>
          <w:szCs w:val="11"/>
          <w:color w:val="auto"/>
        </w:rPr>
        <w:t>long distance data transmission between moving objects for terrestrial, airborne and space applications (the “</w:t>
      </w:r>
      <w:r>
        <w:rPr>
          <w:rFonts w:ascii="Arial" w:cs="Arial" w:eastAsia="Arial" w:hAnsi="Arial"/>
          <w:sz w:val="11"/>
          <w:szCs w:val="11"/>
          <w:b w:val="1"/>
          <w:bCs w:val="1"/>
          <w:color w:val="auto"/>
        </w:rPr>
        <w:t>Core Business</w:t>
      </w:r>
      <w:r>
        <w:rPr>
          <w:rFonts w:ascii="Arial" w:cs="Arial" w:eastAsia="Arial" w:hAnsi="Arial"/>
          <w:sz w:val="11"/>
          <w:szCs w:val="11"/>
          <w:color w:val="auto"/>
        </w:rPr>
        <w:t>”).</w:t>
      </w:r>
    </w:p>
    <w:p>
      <w:pPr>
        <w:spacing w:after="0" w:line="44" w:lineRule="exact"/>
        <w:rPr>
          <w:rFonts w:ascii="Arial" w:cs="Arial" w:eastAsia="Arial" w:hAnsi="Arial"/>
          <w:sz w:val="12"/>
          <w:szCs w:val="12"/>
          <w:b w:val="1"/>
          <w:bCs w:val="1"/>
          <w:color w:val="auto"/>
        </w:rPr>
      </w:pPr>
    </w:p>
    <w:p>
      <w:pPr>
        <w:ind w:left="1480" w:right="939" w:hanging="360"/>
        <w:spacing w:after="0" w:line="283" w:lineRule="auto"/>
        <w:rPr>
          <w:rFonts w:ascii="Arial" w:cs="Arial" w:eastAsia="Arial" w:hAnsi="Arial"/>
          <w:sz w:val="12"/>
          <w:szCs w:val="12"/>
          <w:b w:val="1"/>
          <w:bCs w:val="1"/>
          <w:color w:val="auto"/>
        </w:rPr>
      </w:pPr>
      <w:r>
        <w:rPr>
          <w:rFonts w:ascii="Arial" w:cs="Arial" w:eastAsia="Arial" w:hAnsi="Arial"/>
          <w:sz w:val="12"/>
          <w:szCs w:val="12"/>
          <w:color w:val="auto"/>
        </w:rPr>
        <w:t>1.2 The Company contemplates an initial public offering of American depositary shares (“</w:t>
      </w:r>
      <w:r>
        <w:rPr>
          <w:rFonts w:ascii="Arial" w:cs="Arial" w:eastAsia="Arial" w:hAnsi="Arial"/>
          <w:sz w:val="12"/>
          <w:szCs w:val="12"/>
          <w:b w:val="1"/>
          <w:bCs w:val="1"/>
          <w:color w:val="auto"/>
        </w:rPr>
        <w:t>ADS</w:t>
      </w:r>
      <w:r>
        <w:rPr>
          <w:rFonts w:ascii="Arial" w:cs="Arial" w:eastAsia="Arial" w:hAnsi="Arial"/>
          <w:sz w:val="12"/>
          <w:szCs w:val="12"/>
          <w:color w:val="auto"/>
        </w:rPr>
        <w:t>”) of the Company and a listing of such ADSs on a U.S. Stock Exchange.</w:t>
      </w:r>
    </w:p>
    <w:p>
      <w:pPr>
        <w:spacing w:after="0" w:line="47" w:lineRule="exact"/>
        <w:rPr>
          <w:rFonts w:ascii="Arial" w:cs="Arial" w:eastAsia="Arial" w:hAnsi="Arial"/>
          <w:sz w:val="12"/>
          <w:szCs w:val="12"/>
          <w:b w:val="1"/>
          <w:bCs w:val="1"/>
          <w:color w:val="auto"/>
        </w:rPr>
      </w:pPr>
    </w:p>
    <w:p>
      <w:pPr>
        <w:ind w:left="1480" w:right="939" w:hanging="360"/>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1.3 The ASV Fund seeks long-term capital appreciation from venture capital and growth stage investments primarily structured as equity and equity-related investments in companies in the space and space-adjacent sectors. The ASV Fund will make seed and early stage investments in private companies and also make growth capital investments in more developed companies.</w:t>
      </w:r>
    </w:p>
    <w:p>
      <w:pPr>
        <w:spacing w:after="0" w:line="55" w:lineRule="exact"/>
        <w:rPr>
          <w:rFonts w:ascii="Arial" w:cs="Arial" w:eastAsia="Arial" w:hAnsi="Arial"/>
          <w:sz w:val="12"/>
          <w:szCs w:val="12"/>
          <w:b w:val="1"/>
          <w:bCs w:val="1"/>
          <w:color w:val="auto"/>
        </w:rPr>
      </w:pPr>
    </w:p>
    <w:p>
      <w:pPr>
        <w:ind w:left="1480" w:right="979" w:hanging="360"/>
        <w:spacing w:after="0" w:line="302" w:lineRule="auto"/>
        <w:rPr>
          <w:rFonts w:ascii="Arial" w:cs="Arial" w:eastAsia="Arial" w:hAnsi="Arial"/>
          <w:sz w:val="12"/>
          <w:szCs w:val="12"/>
          <w:b w:val="1"/>
          <w:bCs w:val="1"/>
          <w:color w:val="auto"/>
        </w:rPr>
      </w:pPr>
      <w:r>
        <w:rPr>
          <w:rFonts w:ascii="Arial" w:cs="Arial" w:eastAsia="Arial" w:hAnsi="Arial"/>
          <w:sz w:val="11"/>
          <w:szCs w:val="11"/>
          <w:color w:val="auto"/>
        </w:rPr>
        <w:t>1.4 The ASV Manager will be registered as EUVECA manager with the Bundesanstalt für Finanzdienstleistungsaufsicht (“</w:t>
      </w:r>
      <w:r>
        <w:rPr>
          <w:rFonts w:ascii="Arial" w:cs="Arial" w:eastAsia="Arial" w:hAnsi="Arial"/>
          <w:sz w:val="11"/>
          <w:szCs w:val="11"/>
          <w:b w:val="1"/>
          <w:bCs w:val="1"/>
          <w:color w:val="auto"/>
        </w:rPr>
        <w:t>BaFin</w:t>
      </w:r>
      <w:r>
        <w:rPr>
          <w:rFonts w:ascii="Arial" w:cs="Arial" w:eastAsia="Arial" w:hAnsi="Arial"/>
          <w:sz w:val="11"/>
          <w:szCs w:val="11"/>
          <w:color w:val="auto"/>
        </w:rPr>
        <w:t>”) and will provide portfolio management and risk management and administrative services to the ASV Fund, including investigating, analyzing, structuring and negotiating potential investments and dispositions and monitoring the performance of ASV Fund’s portfolio companies.</w:t>
      </w:r>
    </w:p>
    <w:p>
      <w:pPr>
        <w:spacing w:after="0" w:line="35" w:lineRule="exact"/>
        <w:rPr>
          <w:rFonts w:ascii="Arial" w:cs="Arial" w:eastAsia="Arial" w:hAnsi="Arial"/>
          <w:sz w:val="12"/>
          <w:szCs w:val="12"/>
          <w:b w:val="1"/>
          <w:bCs w:val="1"/>
          <w:color w:val="auto"/>
        </w:rPr>
      </w:pPr>
    </w:p>
    <w:p>
      <w:pPr>
        <w:ind w:left="1480" w:right="899" w:hanging="360"/>
        <w:spacing w:after="0" w:line="266" w:lineRule="auto"/>
        <w:rPr>
          <w:rFonts w:ascii="Arial" w:cs="Arial" w:eastAsia="Arial" w:hAnsi="Arial"/>
          <w:sz w:val="12"/>
          <w:szCs w:val="12"/>
          <w:b w:val="1"/>
          <w:bCs w:val="1"/>
          <w:color w:val="auto"/>
        </w:rPr>
      </w:pPr>
      <w:r>
        <w:rPr>
          <w:rFonts w:ascii="Arial" w:cs="Arial" w:eastAsia="Arial" w:hAnsi="Arial"/>
          <w:sz w:val="12"/>
          <w:szCs w:val="12"/>
          <w:color w:val="auto"/>
        </w:rPr>
        <w:t>1.5 As of the date hereof, Mr. Altan serves as the chief executive officer (“</w:t>
      </w:r>
      <w:r>
        <w:rPr>
          <w:rFonts w:ascii="Arial" w:cs="Arial" w:eastAsia="Arial" w:hAnsi="Arial"/>
          <w:sz w:val="12"/>
          <w:szCs w:val="12"/>
          <w:b w:val="1"/>
          <w:bCs w:val="1"/>
          <w:color w:val="auto"/>
        </w:rPr>
        <w:t>CEO</w:t>
      </w:r>
      <w:r>
        <w:rPr>
          <w:rFonts w:ascii="Arial" w:cs="Arial" w:eastAsia="Arial" w:hAnsi="Arial"/>
          <w:sz w:val="12"/>
          <w:szCs w:val="12"/>
          <w:color w:val="auto"/>
        </w:rPr>
        <w:t>”) of the Company. At the same time, Mr. Altan and will serve as one out of four members of the recommendations committee established for the purpose of giving investments recommendations to the ASV Manager.</w:t>
      </w:r>
    </w:p>
    <w:p>
      <w:pPr>
        <w:spacing w:after="0" w:line="58" w:lineRule="exact"/>
        <w:rPr>
          <w:rFonts w:ascii="Arial" w:cs="Arial" w:eastAsia="Arial" w:hAnsi="Arial"/>
          <w:sz w:val="12"/>
          <w:szCs w:val="12"/>
          <w:b w:val="1"/>
          <w:bCs w:val="1"/>
          <w:color w:val="auto"/>
        </w:rPr>
      </w:pPr>
    </w:p>
    <w:p>
      <w:pPr>
        <w:ind w:left="1480" w:right="919" w:hanging="360"/>
        <w:spacing w:after="0" w:line="256" w:lineRule="auto"/>
        <w:rPr>
          <w:rFonts w:ascii="Arial" w:cs="Arial" w:eastAsia="Arial" w:hAnsi="Arial"/>
          <w:sz w:val="12"/>
          <w:szCs w:val="12"/>
          <w:b w:val="1"/>
          <w:bCs w:val="1"/>
          <w:color w:val="auto"/>
        </w:rPr>
      </w:pPr>
      <w:r>
        <w:rPr>
          <w:rFonts w:ascii="Arial" w:cs="Arial" w:eastAsia="Arial" w:hAnsi="Arial"/>
          <w:sz w:val="12"/>
          <w:szCs w:val="12"/>
          <w:color w:val="auto"/>
        </w:rPr>
        <w:t>1.6 The investment strategy of the ASV Fund also permits certain investments which may compete with the Core Business of the Company. Accordingly, the Company, Mr. Altan and the ASV Manager wish to identify the circumstances under which, and the procedures pursuant to which, Business Opportunities (as defined below) of which the ASV Manager becomes aware are to be communicated to the Company and related protocols for pursuit of those Business Opportunities by the ASV Manager on the one hand and the Company on the other hand.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26" w:right="1440" w:bottom="1440" w:gutter="0" w:footer="0" w:header="0"/>
        </w:sectPr>
      </w:pPr>
    </w:p>
    <w:bookmarkStart w:id="331" w:name="page332"/>
    <w:bookmarkEnd w:id="33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NOW, THEREFORE</w:t>
      </w:r>
      <w:r>
        <w:rPr>
          <w:rFonts w:ascii="Arial" w:cs="Arial" w:eastAsia="Arial" w:hAnsi="Arial"/>
          <w:sz w:val="12"/>
          <w:szCs w:val="12"/>
          <w:color w:val="auto"/>
        </w:rPr>
        <w:t>, the Parties agree as follows:</w:t>
      </w:r>
    </w:p>
    <w:p>
      <w:pPr>
        <w:spacing w:after="0" w:line="249" w:lineRule="exact"/>
        <w:rPr>
          <w:sz w:val="20"/>
          <w:szCs w:val="20"/>
          <w:color w:val="auto"/>
        </w:rPr>
      </w:pPr>
    </w:p>
    <w:p>
      <w:pPr>
        <w:ind w:left="1120" w:hanging="288"/>
        <w:spacing w:after="0"/>
        <w:tabs>
          <w:tab w:leader="none" w:pos="1120" w:val="left"/>
        </w:tabs>
        <w:numPr>
          <w:ilvl w:val="0"/>
          <w:numId w:val="266"/>
        </w:numPr>
        <w:rPr>
          <w:rFonts w:ascii="Arial" w:cs="Arial" w:eastAsia="Arial" w:hAnsi="Arial"/>
          <w:sz w:val="12"/>
          <w:szCs w:val="12"/>
          <w:b w:val="1"/>
          <w:bCs w:val="1"/>
          <w:color w:val="auto"/>
        </w:rPr>
      </w:pPr>
      <w:r>
        <w:rPr>
          <w:rFonts w:ascii="Arial" w:cs="Arial" w:eastAsia="Arial" w:hAnsi="Arial"/>
          <w:sz w:val="12"/>
          <w:szCs w:val="12"/>
          <w:b w:val="1"/>
          <w:bCs w:val="1"/>
          <w:color w:val="auto"/>
        </w:rPr>
        <w:t>BUSINESS OPPORTUNITY COVENANT</w:t>
      </w:r>
    </w:p>
    <w:p>
      <w:pPr>
        <w:spacing w:after="0" w:line="87" w:lineRule="exact"/>
        <w:rPr>
          <w:rFonts w:ascii="Arial" w:cs="Arial" w:eastAsia="Arial" w:hAnsi="Arial"/>
          <w:sz w:val="12"/>
          <w:szCs w:val="12"/>
          <w:b w:val="1"/>
          <w:bCs w:val="1"/>
          <w:color w:val="auto"/>
        </w:rPr>
      </w:pPr>
    </w:p>
    <w:p>
      <w:pPr>
        <w:ind w:left="1480" w:right="839" w:hanging="360"/>
        <w:spacing w:after="0" w:line="261" w:lineRule="auto"/>
        <w:rPr>
          <w:rFonts w:ascii="Arial" w:cs="Arial" w:eastAsia="Arial" w:hAnsi="Arial"/>
          <w:sz w:val="12"/>
          <w:szCs w:val="12"/>
          <w:b w:val="1"/>
          <w:bCs w:val="1"/>
          <w:color w:val="auto"/>
        </w:rPr>
      </w:pPr>
      <w:r>
        <w:rPr>
          <w:rFonts w:ascii="Arial" w:cs="Arial" w:eastAsia="Arial" w:hAnsi="Arial"/>
          <w:sz w:val="12"/>
          <w:szCs w:val="12"/>
          <w:color w:val="auto"/>
        </w:rPr>
        <w:t>2.1 For purposes of this Agreement, “</w:t>
      </w:r>
      <w:r>
        <w:rPr>
          <w:rFonts w:ascii="Arial" w:cs="Arial" w:eastAsia="Arial" w:hAnsi="Arial"/>
          <w:sz w:val="12"/>
          <w:szCs w:val="12"/>
          <w:b w:val="1"/>
          <w:bCs w:val="1"/>
          <w:color w:val="auto"/>
        </w:rPr>
        <w:t>Business Opportunity</w:t>
      </w:r>
      <w:r>
        <w:rPr>
          <w:rFonts w:ascii="Arial" w:cs="Arial" w:eastAsia="Arial" w:hAnsi="Arial"/>
          <w:sz w:val="12"/>
          <w:szCs w:val="12"/>
          <w:color w:val="auto"/>
        </w:rPr>
        <w:t>” shall mean the investment in, whether alone or jointly with another fund or entity and whether directly or indirectly, through an entity contracted by ASV Fund or the ASV Manager, any entity or business which develops or manufactures Laser Communication Technology and Products or which develops and implements Quantum Communication or otherwise engages in the Core Business.</w:t>
      </w:r>
    </w:p>
    <w:p>
      <w:pPr>
        <w:spacing w:after="0" w:line="60" w:lineRule="exact"/>
        <w:rPr>
          <w:rFonts w:ascii="Arial" w:cs="Arial" w:eastAsia="Arial" w:hAnsi="Arial"/>
          <w:sz w:val="12"/>
          <w:szCs w:val="12"/>
          <w:b w:val="1"/>
          <w:bCs w:val="1"/>
          <w:color w:val="auto"/>
        </w:rPr>
      </w:pPr>
    </w:p>
    <w:p>
      <w:pPr>
        <w:ind w:left="1480" w:right="859" w:hanging="360"/>
        <w:spacing w:after="0" w:line="254" w:lineRule="auto"/>
        <w:rPr>
          <w:rFonts w:ascii="Arial" w:cs="Arial" w:eastAsia="Arial" w:hAnsi="Arial"/>
          <w:sz w:val="12"/>
          <w:szCs w:val="12"/>
          <w:b w:val="1"/>
          <w:bCs w:val="1"/>
          <w:color w:val="auto"/>
        </w:rPr>
      </w:pPr>
      <w:r>
        <w:rPr>
          <w:rFonts w:ascii="Arial" w:cs="Arial" w:eastAsia="Arial" w:hAnsi="Arial"/>
          <w:sz w:val="12"/>
          <w:szCs w:val="12"/>
          <w:color w:val="auto"/>
        </w:rPr>
        <w:t>2.2 If, following the date hereof, the ASV Manager becomes aware of a Business Opportunity, then the ASV Manager shall inform the Company of such Business Opportunity by way of written notice, such written notice to include at least the following information relating to such Business Opportunity: (</w:t>
      </w:r>
      <w:r>
        <w:rPr>
          <w:rFonts w:ascii="Arial" w:cs="Arial" w:eastAsia="Arial" w:hAnsi="Arial"/>
          <w:sz w:val="12"/>
          <w:szCs w:val="12"/>
          <w:i w:val="1"/>
          <w:iCs w:val="1"/>
          <w:color w:val="auto"/>
        </w:rPr>
        <w:t>i</w:t>
      </w:r>
      <w:r>
        <w:rPr>
          <w:rFonts w:ascii="Arial" w:cs="Arial" w:eastAsia="Arial" w:hAnsi="Arial"/>
          <w:sz w:val="12"/>
          <w:szCs w:val="12"/>
          <w:color w:val="auto"/>
        </w:rPr>
        <w:t>) the name of the relevant target entity, business or product, (</w:t>
      </w:r>
      <w:r>
        <w:rPr>
          <w:rFonts w:ascii="Arial" w:cs="Arial" w:eastAsia="Arial" w:hAnsi="Arial"/>
          <w:sz w:val="12"/>
          <w:szCs w:val="12"/>
          <w:i w:val="1"/>
          <w:iCs w:val="1"/>
          <w:color w:val="auto"/>
        </w:rPr>
        <w:t>ii</w:t>
      </w:r>
      <w:r>
        <w:rPr>
          <w:rFonts w:ascii="Arial" w:cs="Arial" w:eastAsia="Arial" w:hAnsi="Arial"/>
          <w:sz w:val="12"/>
          <w:szCs w:val="12"/>
          <w:color w:val="auto"/>
        </w:rPr>
        <w:t>) a description of such Business Opportunity and (</w:t>
      </w:r>
      <w:r>
        <w:rPr>
          <w:rFonts w:ascii="Arial" w:cs="Arial" w:eastAsia="Arial" w:hAnsi="Arial"/>
          <w:sz w:val="12"/>
          <w:szCs w:val="12"/>
          <w:i w:val="1"/>
          <w:iCs w:val="1"/>
          <w:color w:val="auto"/>
        </w:rPr>
        <w:t>iii</w:t>
      </w:r>
      <w:r>
        <w:rPr>
          <w:rFonts w:ascii="Arial" w:cs="Arial" w:eastAsia="Arial" w:hAnsi="Arial"/>
          <w:sz w:val="12"/>
          <w:szCs w:val="12"/>
          <w:color w:val="auto"/>
        </w:rPr>
        <w:t>) contact details for the relevant individual. If the ASV Manager is unable to provide any of the information referred to (i) to (iii) in this Section 2.2 due to contractual or other confidentiality restrictions relating to the Business Opportunity or for any other reason, the ASV Manager shall use best efforts to obtain the necessary waivers, carve-outs or similar from such restrictions to the benefit of the Company.</w:t>
      </w:r>
    </w:p>
    <w:p>
      <w:pPr>
        <w:spacing w:after="0" w:line="66" w:lineRule="exact"/>
        <w:rPr>
          <w:rFonts w:ascii="Arial" w:cs="Arial" w:eastAsia="Arial" w:hAnsi="Arial"/>
          <w:sz w:val="12"/>
          <w:szCs w:val="12"/>
          <w:b w:val="1"/>
          <w:bCs w:val="1"/>
          <w:color w:val="auto"/>
        </w:rPr>
      </w:pPr>
    </w:p>
    <w:p>
      <w:pPr>
        <w:ind w:left="1480" w:right="899" w:hanging="3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2.3 The ASV Manager shall refrain, and shall cause all of its respective Affiliates to refrain, from pursuing, acquiring, or otherwise utilizing such Business Opportunity from the date the ASV Manager or any of its Affiliates becomes aware of such Business Opportunity until the Company has been notified of the Business Opportunity pursuant to Section 2.2 above and the earlier of (</w:t>
      </w:r>
      <w:r>
        <w:rPr>
          <w:rFonts w:ascii="Arial" w:cs="Arial" w:eastAsia="Arial" w:hAnsi="Arial"/>
          <w:sz w:val="11"/>
          <w:szCs w:val="11"/>
          <w:i w:val="1"/>
          <w:iCs w:val="1"/>
          <w:color w:val="auto"/>
        </w:rPr>
        <w:t>i</w:t>
      </w:r>
      <w:r>
        <w:rPr>
          <w:rFonts w:ascii="Arial" w:cs="Arial" w:eastAsia="Arial" w:hAnsi="Arial"/>
          <w:sz w:val="11"/>
          <w:szCs w:val="11"/>
          <w:color w:val="auto"/>
        </w:rPr>
        <w:t>) the two (2)-week notice period under Section 2.4 has lapsed without the Company informing the ASV Manager that it elects to pursue, acquire, or otherwise utilize the applicable Business Opportunity and (</w:t>
      </w:r>
      <w:r>
        <w:rPr>
          <w:rFonts w:ascii="Arial" w:cs="Arial" w:eastAsia="Arial" w:hAnsi="Arial"/>
          <w:sz w:val="11"/>
          <w:szCs w:val="11"/>
          <w:i w:val="1"/>
          <w:iCs w:val="1"/>
          <w:color w:val="auto"/>
        </w:rPr>
        <w:t>ii</w:t>
      </w:r>
      <w:r>
        <w:rPr>
          <w:rFonts w:ascii="Arial" w:cs="Arial" w:eastAsia="Arial" w:hAnsi="Arial"/>
          <w:sz w:val="11"/>
          <w:szCs w:val="11"/>
          <w:color w:val="auto"/>
        </w:rPr>
        <w:t>) the time the Company informs the ASV Manager that it does not intend to pursue, acquire, or otherwise utilize such Business Opportunity in accordance with Section 2.4.</w:t>
      </w:r>
    </w:p>
    <w:p>
      <w:pPr>
        <w:spacing w:after="0" w:line="50" w:lineRule="exact"/>
        <w:rPr>
          <w:rFonts w:ascii="Arial" w:cs="Arial" w:eastAsia="Arial" w:hAnsi="Arial"/>
          <w:sz w:val="12"/>
          <w:szCs w:val="12"/>
          <w:b w:val="1"/>
          <w:bCs w:val="1"/>
          <w:color w:val="auto"/>
        </w:rPr>
      </w:pPr>
    </w:p>
    <w:p>
      <w:pPr>
        <w:ind w:left="1480" w:right="879" w:hanging="360"/>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2.4 After being informed of the Business Opportunity, the Company shall inform the ASV Manager in writing within two (2) weeks of its election to (</w:t>
      </w:r>
      <w:r>
        <w:rPr>
          <w:rFonts w:ascii="Arial" w:cs="Arial" w:eastAsia="Arial" w:hAnsi="Arial"/>
          <w:sz w:val="11"/>
          <w:szCs w:val="11"/>
          <w:i w:val="1"/>
          <w:iCs w:val="1"/>
          <w:color w:val="auto"/>
        </w:rPr>
        <w:t>i</w:t>
      </w:r>
      <w:r>
        <w:rPr>
          <w:rFonts w:ascii="Arial" w:cs="Arial" w:eastAsia="Arial" w:hAnsi="Arial"/>
          <w:sz w:val="11"/>
          <w:szCs w:val="11"/>
          <w:color w:val="auto"/>
        </w:rPr>
        <w:t>) pursue, acquire, or otherwise utilize such Business Opportunity or (</w:t>
      </w:r>
      <w:r>
        <w:rPr>
          <w:rFonts w:ascii="Arial" w:cs="Arial" w:eastAsia="Arial" w:hAnsi="Arial"/>
          <w:sz w:val="11"/>
          <w:szCs w:val="11"/>
          <w:i w:val="1"/>
          <w:iCs w:val="1"/>
          <w:color w:val="auto"/>
        </w:rPr>
        <w:t>ii</w:t>
      </w:r>
      <w:r>
        <w:rPr>
          <w:rFonts w:ascii="Arial" w:cs="Arial" w:eastAsia="Arial" w:hAnsi="Arial"/>
          <w:sz w:val="11"/>
          <w:szCs w:val="11"/>
          <w:color w:val="auto"/>
        </w:rPr>
        <w:t>) refrain from doing the foregoing. For the avoidance of doubt, if the Company does not inform the ASV Manager about its election in writing pursuant to this Section 2.4, the Company shall be deemed to have elected to refrain from pursuing, acquiring, or otherwise utilizing such Business Opportunity.</w:t>
      </w:r>
    </w:p>
    <w:p>
      <w:pPr>
        <w:spacing w:after="0" w:line="47" w:lineRule="exact"/>
        <w:rPr>
          <w:rFonts w:ascii="Arial" w:cs="Arial" w:eastAsia="Arial" w:hAnsi="Arial"/>
          <w:sz w:val="12"/>
          <w:szCs w:val="12"/>
          <w:b w:val="1"/>
          <w:bCs w:val="1"/>
          <w:color w:val="auto"/>
        </w:rPr>
      </w:pPr>
    </w:p>
    <w:p>
      <w:pPr>
        <w:ind w:left="1480" w:right="879" w:hanging="360"/>
        <w:spacing w:after="0" w:line="298" w:lineRule="auto"/>
        <w:rPr>
          <w:rFonts w:ascii="Arial" w:cs="Arial" w:eastAsia="Arial" w:hAnsi="Arial"/>
          <w:sz w:val="12"/>
          <w:szCs w:val="12"/>
          <w:b w:val="1"/>
          <w:bCs w:val="1"/>
          <w:color w:val="auto"/>
        </w:rPr>
      </w:pPr>
      <w:r>
        <w:rPr>
          <w:rFonts w:ascii="Arial" w:cs="Arial" w:eastAsia="Arial" w:hAnsi="Arial"/>
          <w:sz w:val="11"/>
          <w:szCs w:val="11"/>
          <w:color w:val="auto"/>
        </w:rPr>
        <w:t>2.5 If the Company elects to pursue acquire, or otherwise utilize such Business Opportunity in accordance with Section 2.4 above, the Company shall reimburse the ASV Manager and the Fund for any reasonable and properly documented costs and expenses incurred by the ASV Manager or the Fund (as applicable) and/or any of their Affiliates in connection with having sourced such Business Opportunity.</w:t>
      </w:r>
    </w:p>
    <w:p>
      <w:pPr>
        <w:spacing w:after="0" w:line="41" w:lineRule="exact"/>
        <w:rPr>
          <w:rFonts w:ascii="Arial" w:cs="Arial" w:eastAsia="Arial" w:hAnsi="Arial"/>
          <w:sz w:val="12"/>
          <w:szCs w:val="12"/>
          <w:b w:val="1"/>
          <w:bCs w:val="1"/>
          <w:color w:val="auto"/>
        </w:rPr>
      </w:pPr>
    </w:p>
    <w:p>
      <w:pPr>
        <w:ind w:left="1120"/>
        <w:spacing w:after="0"/>
        <w:rPr>
          <w:rFonts w:ascii="Arial" w:cs="Arial" w:eastAsia="Arial" w:hAnsi="Arial"/>
          <w:sz w:val="12"/>
          <w:szCs w:val="12"/>
          <w:b w:val="1"/>
          <w:bCs w:val="1"/>
          <w:color w:val="auto"/>
        </w:rPr>
      </w:pPr>
      <w:r>
        <w:rPr>
          <w:rFonts w:ascii="Arial" w:cs="Arial" w:eastAsia="Arial" w:hAnsi="Arial"/>
          <w:sz w:val="11"/>
          <w:szCs w:val="11"/>
          <w:color w:val="auto"/>
        </w:rPr>
        <w:t>2.6    If the Company, pursuant to Section 2.4 above, elects to pursue, acquire, or otherwise utilize such Business Opportunity, then the ASV</w:t>
      </w:r>
    </w:p>
    <w:p>
      <w:pPr>
        <w:spacing w:after="0" w:line="26" w:lineRule="exact"/>
        <w:rPr>
          <w:rFonts w:ascii="Arial" w:cs="Arial" w:eastAsia="Arial" w:hAnsi="Arial"/>
          <w:sz w:val="12"/>
          <w:szCs w:val="12"/>
          <w:b w:val="1"/>
          <w:bCs w:val="1"/>
          <w:color w:val="auto"/>
        </w:rPr>
      </w:pPr>
    </w:p>
    <w:p>
      <w:pPr>
        <w:ind w:left="1480" w:right="859"/>
        <w:spacing w:after="0" w:line="253" w:lineRule="auto"/>
        <w:rPr>
          <w:rFonts w:ascii="Arial" w:cs="Arial" w:eastAsia="Arial" w:hAnsi="Arial"/>
          <w:sz w:val="12"/>
          <w:szCs w:val="12"/>
          <w:b w:val="1"/>
          <w:bCs w:val="1"/>
          <w:color w:val="auto"/>
        </w:rPr>
      </w:pPr>
      <w:r>
        <w:rPr>
          <w:rFonts w:ascii="Arial" w:cs="Arial" w:eastAsia="Arial" w:hAnsi="Arial"/>
          <w:sz w:val="12"/>
          <w:szCs w:val="12"/>
          <w:color w:val="auto"/>
        </w:rPr>
        <w:t>Manager shall, and shall cause its respective Affiliates to refrain from pursuing, acquiring, or otherwise utilizing such Business Opportunity until the time the Company informs the ASV Manager in writing that it has abandoned its pursuit of such Business Opportunity (</w:t>
      </w:r>
      <w:r>
        <w:rPr>
          <w:rFonts w:ascii="Arial" w:cs="Arial" w:eastAsia="Arial" w:hAnsi="Arial"/>
          <w:sz w:val="12"/>
          <w:szCs w:val="12"/>
          <w:i w:val="1"/>
          <w:iCs w:val="1"/>
          <w:color w:val="auto"/>
        </w:rPr>
        <w:t>e.g.</w:t>
      </w:r>
      <w:r>
        <w:rPr>
          <w:rFonts w:ascii="Arial" w:cs="Arial" w:eastAsia="Arial" w:hAnsi="Arial"/>
          <w:sz w:val="12"/>
          <w:szCs w:val="12"/>
          <w:color w:val="auto"/>
        </w:rPr>
        <w:t>, because the Company could not agree with the other counterparty on the terms of the transaction relating to the Business Opportunity).</w:t>
      </w:r>
    </w:p>
    <w:p>
      <w:pPr>
        <w:spacing w:after="0" w:line="66" w:lineRule="exact"/>
        <w:rPr>
          <w:rFonts w:ascii="Arial" w:cs="Arial" w:eastAsia="Arial" w:hAnsi="Arial"/>
          <w:sz w:val="12"/>
          <w:szCs w:val="12"/>
          <w:b w:val="1"/>
          <w:bCs w:val="1"/>
          <w:color w:val="auto"/>
        </w:rPr>
      </w:pPr>
    </w:p>
    <w:p>
      <w:pPr>
        <w:ind w:left="1480" w:right="959" w:hanging="360"/>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2.7 If the Company does not elect, pursuant to Section 2.4, to pursue, acquire, or otherwise utilize such Business Opportunity or abandons its pursuit of such Business Opportunity pursuant to Section 2.6, then the ASV Manager may cause the ASV Fund to pursue, acquire, or otherwise utilize such Business Opportunity and the Company shall have no rights whatsoever with respect to the pursuit of the Business Opportunity including, for the avoidance of doubt, in respect of any follow-on investments in relation thereto.</w:t>
      </w:r>
    </w:p>
    <w:p>
      <w:pPr>
        <w:spacing w:after="0" w:line="47" w:lineRule="exact"/>
        <w:rPr>
          <w:rFonts w:ascii="Arial" w:cs="Arial" w:eastAsia="Arial" w:hAnsi="Arial"/>
          <w:sz w:val="12"/>
          <w:szCs w:val="12"/>
          <w:b w:val="1"/>
          <w:bCs w:val="1"/>
          <w:color w:val="auto"/>
        </w:rPr>
      </w:pPr>
    </w:p>
    <w:p>
      <w:pPr>
        <w:ind w:left="1480" w:right="879" w:hanging="3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2.8 When making determinations with respect to a potential Business Opportunity, the ASV Manager may rely on information provided by the respective portfolio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26" w:right="1440" w:bottom="1440" w:gutter="0" w:footer="0" w:header="0"/>
        </w:sectPr>
      </w:pPr>
    </w:p>
    <w:bookmarkStart w:id="332" w:name="page333"/>
    <w:bookmarkEnd w:id="332"/>
    <w:p>
      <w:pPr>
        <w:ind w:left="1480" w:right="919" w:hanging="359"/>
        <w:spacing w:after="0" w:line="276" w:lineRule="auto"/>
        <w:tabs>
          <w:tab w:leader="none" w:pos="146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2.9</w:t>
      </w:r>
      <w:r>
        <w:rPr>
          <w:sz w:val="20"/>
          <w:szCs w:val="20"/>
          <w:color w:val="auto"/>
        </w:rPr>
        <w:tab/>
      </w:r>
      <w:r>
        <w:rPr>
          <w:rFonts w:ascii="Arial" w:cs="Arial" w:eastAsia="Arial" w:hAnsi="Arial"/>
          <w:sz w:val="12"/>
          <w:szCs w:val="12"/>
          <w:color w:val="auto"/>
        </w:rPr>
        <w:t>For the avoidance of doubt, and except as specifically set forth otherwise in this agreement, the Company shall not have any other right to participate in, or to be informed about, any opportunities sourced by the ASV Manager.</w:t>
      </w:r>
    </w:p>
    <w:p>
      <w:pPr>
        <w:spacing w:after="0" w:line="48" w:lineRule="exact"/>
        <w:rPr>
          <w:sz w:val="20"/>
          <w:szCs w:val="20"/>
          <w:color w:val="auto"/>
        </w:rPr>
      </w:pPr>
    </w:p>
    <w:p>
      <w:pPr>
        <w:ind w:left="1120" w:hanging="288"/>
        <w:spacing w:after="0"/>
        <w:tabs>
          <w:tab w:leader="none" w:pos="1120" w:val="left"/>
        </w:tabs>
        <w:numPr>
          <w:ilvl w:val="0"/>
          <w:numId w:val="267"/>
        </w:numPr>
        <w:rPr>
          <w:rFonts w:ascii="Arial" w:cs="Arial" w:eastAsia="Arial" w:hAnsi="Arial"/>
          <w:sz w:val="12"/>
          <w:szCs w:val="12"/>
          <w:b w:val="1"/>
          <w:bCs w:val="1"/>
          <w:color w:val="auto"/>
        </w:rPr>
      </w:pPr>
      <w:r>
        <w:rPr>
          <w:rFonts w:ascii="Arial" w:cs="Arial" w:eastAsia="Arial" w:hAnsi="Arial"/>
          <w:sz w:val="12"/>
          <w:szCs w:val="12"/>
          <w:b w:val="1"/>
          <w:bCs w:val="1"/>
          <w:color w:val="auto"/>
        </w:rPr>
        <w:t>RIGHT OF FIRST OFFER</w:t>
      </w:r>
    </w:p>
    <w:p>
      <w:pPr>
        <w:spacing w:after="0" w:line="91" w:lineRule="exact"/>
        <w:rPr>
          <w:rFonts w:ascii="Arial" w:cs="Arial" w:eastAsia="Arial" w:hAnsi="Arial"/>
          <w:sz w:val="12"/>
          <w:szCs w:val="12"/>
          <w:b w:val="1"/>
          <w:bCs w:val="1"/>
          <w:color w:val="auto"/>
        </w:rPr>
      </w:pPr>
    </w:p>
    <w:p>
      <w:pPr>
        <w:ind w:left="1120"/>
        <w:spacing w:after="0"/>
        <w:rPr>
          <w:rFonts w:ascii="Arial" w:cs="Arial" w:eastAsia="Arial" w:hAnsi="Arial"/>
          <w:sz w:val="12"/>
          <w:szCs w:val="12"/>
          <w:b w:val="1"/>
          <w:bCs w:val="1"/>
          <w:color w:val="auto"/>
        </w:rPr>
      </w:pPr>
      <w:r>
        <w:rPr>
          <w:rFonts w:ascii="Arial" w:cs="Arial" w:eastAsia="Arial" w:hAnsi="Arial"/>
          <w:sz w:val="11"/>
          <w:szCs w:val="11"/>
          <w:color w:val="auto"/>
        </w:rPr>
        <w:t>3.1    If the ASV Fund intends to Transfer (as defined below) with or without consideration any of its investments in any entity or business active</w:t>
      </w:r>
    </w:p>
    <w:p>
      <w:pPr>
        <w:spacing w:after="0" w:line="26" w:lineRule="exact"/>
        <w:rPr>
          <w:rFonts w:ascii="Arial" w:cs="Arial" w:eastAsia="Arial" w:hAnsi="Arial"/>
          <w:sz w:val="12"/>
          <w:szCs w:val="12"/>
          <w:b w:val="1"/>
          <w:bCs w:val="1"/>
          <w:color w:val="auto"/>
        </w:rPr>
      </w:pPr>
    </w:p>
    <w:p>
      <w:pPr>
        <w:ind w:left="1480" w:right="859"/>
        <w:spacing w:after="0" w:line="252" w:lineRule="auto"/>
        <w:rPr>
          <w:rFonts w:ascii="Arial" w:cs="Arial" w:eastAsia="Arial" w:hAnsi="Arial"/>
          <w:sz w:val="12"/>
          <w:szCs w:val="12"/>
          <w:b w:val="1"/>
          <w:bCs w:val="1"/>
          <w:color w:val="auto"/>
        </w:rPr>
      </w:pPr>
      <w:r>
        <w:rPr>
          <w:rFonts w:ascii="Arial" w:cs="Arial" w:eastAsia="Arial" w:hAnsi="Arial"/>
          <w:sz w:val="12"/>
          <w:szCs w:val="12"/>
          <w:color w:val="auto"/>
        </w:rPr>
        <w:t>in the Core Business (the “</w:t>
      </w:r>
      <w:r>
        <w:rPr>
          <w:rFonts w:ascii="Arial" w:cs="Arial" w:eastAsia="Arial" w:hAnsi="Arial"/>
          <w:sz w:val="12"/>
          <w:szCs w:val="12"/>
          <w:b w:val="1"/>
          <w:bCs w:val="1"/>
          <w:color w:val="auto"/>
        </w:rPr>
        <w:t>Core Venture Interests</w:t>
      </w:r>
      <w:r>
        <w:rPr>
          <w:rFonts w:ascii="Arial" w:cs="Arial" w:eastAsia="Arial" w:hAnsi="Arial"/>
          <w:sz w:val="12"/>
          <w:szCs w:val="12"/>
          <w:color w:val="auto"/>
        </w:rPr>
        <w:t>”), the ASV Manager shall cause the ASV Fund to provide written notice of such intention to the Company, including the total number of Core Venture Interests held by the ASV Fund to be offered to the Company and all other information necessary to assess such Core Venture Interests and relevant for the exercise of the Right of First Offer (as defined below) (the “</w:t>
      </w:r>
      <w:r>
        <w:rPr>
          <w:rFonts w:ascii="Arial" w:cs="Arial" w:eastAsia="Arial" w:hAnsi="Arial"/>
          <w:sz w:val="12"/>
          <w:szCs w:val="12"/>
          <w:b w:val="1"/>
          <w:bCs w:val="1"/>
          <w:color w:val="auto"/>
        </w:rPr>
        <w:t>Offer Notice</w:t>
      </w:r>
      <w:r>
        <w:rPr>
          <w:rFonts w:ascii="Arial" w:cs="Arial" w:eastAsia="Arial" w:hAnsi="Arial"/>
          <w:sz w:val="12"/>
          <w:szCs w:val="12"/>
          <w:color w:val="auto"/>
        </w:rPr>
        <w:t>”). “</w:t>
      </w:r>
      <w:r>
        <w:rPr>
          <w:rFonts w:ascii="Arial" w:cs="Arial" w:eastAsia="Arial" w:hAnsi="Arial"/>
          <w:sz w:val="12"/>
          <w:szCs w:val="12"/>
          <w:b w:val="1"/>
          <w:bCs w:val="1"/>
          <w:color w:val="auto"/>
        </w:rPr>
        <w:t>Transfer</w:t>
      </w:r>
      <w:r>
        <w:rPr>
          <w:rFonts w:ascii="Arial" w:cs="Arial" w:eastAsia="Arial" w:hAnsi="Arial"/>
          <w:sz w:val="12"/>
          <w:szCs w:val="12"/>
          <w:color w:val="auto"/>
        </w:rPr>
        <w:t>” means to, directly or indirectly, sell, assign, transfer, donate, offer, grant a participation in, place in trust, enter into any voting agreement in respect of, otherwise dispose of or enter into any transaction which results in a full or partial transfer to any individual, entity or other person.</w:t>
      </w:r>
    </w:p>
    <w:p>
      <w:pPr>
        <w:spacing w:after="0" w:line="66" w:lineRule="exact"/>
        <w:rPr>
          <w:rFonts w:ascii="Arial" w:cs="Arial" w:eastAsia="Arial" w:hAnsi="Arial"/>
          <w:sz w:val="12"/>
          <w:szCs w:val="12"/>
          <w:b w:val="1"/>
          <w:bCs w:val="1"/>
          <w:color w:val="auto"/>
        </w:rPr>
      </w:pPr>
    </w:p>
    <w:p>
      <w:pPr>
        <w:ind w:left="1480" w:right="879" w:hanging="360"/>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3.2 For a period of two (2) weeks after receipt of the Offer Notice, the Company shall have the right, but not the obligation, to make a purchase offer as to the Core Venture Interests by giving a written notice (the “</w:t>
      </w:r>
      <w:r>
        <w:rPr>
          <w:rFonts w:ascii="Arial" w:cs="Arial" w:eastAsia="Arial" w:hAnsi="Arial"/>
          <w:sz w:val="12"/>
          <w:szCs w:val="12"/>
          <w:b w:val="1"/>
          <w:bCs w:val="1"/>
          <w:color w:val="auto"/>
        </w:rPr>
        <w:t>Purchase Notice</w:t>
      </w:r>
      <w:r>
        <w:rPr>
          <w:rFonts w:ascii="Arial" w:cs="Arial" w:eastAsia="Arial" w:hAnsi="Arial"/>
          <w:sz w:val="12"/>
          <w:szCs w:val="12"/>
          <w:color w:val="auto"/>
        </w:rPr>
        <w:t>”) to the ASV Fund (“</w:t>
      </w:r>
      <w:r>
        <w:rPr>
          <w:rFonts w:ascii="Arial" w:cs="Arial" w:eastAsia="Arial" w:hAnsi="Arial"/>
          <w:sz w:val="12"/>
          <w:szCs w:val="12"/>
          <w:b w:val="1"/>
          <w:bCs w:val="1"/>
          <w:color w:val="auto"/>
        </w:rPr>
        <w:t>Right of First</w:t>
      </w:r>
      <w:r>
        <w:rPr>
          <w:rFonts w:ascii="Arial" w:cs="Arial" w:eastAsia="Arial" w:hAnsi="Arial"/>
          <w:sz w:val="12"/>
          <w:szCs w:val="12"/>
          <w:color w:val="auto"/>
        </w:rPr>
        <w:t xml:space="preserve"> </w:t>
      </w:r>
      <w:r>
        <w:rPr>
          <w:rFonts w:ascii="Arial" w:cs="Arial" w:eastAsia="Arial" w:hAnsi="Arial"/>
          <w:sz w:val="12"/>
          <w:szCs w:val="12"/>
          <w:b w:val="1"/>
          <w:bCs w:val="1"/>
          <w:color w:val="auto"/>
        </w:rPr>
        <w:t>Offer</w:t>
      </w:r>
      <w:r>
        <w:rPr>
          <w:rFonts w:ascii="Arial" w:cs="Arial" w:eastAsia="Arial" w:hAnsi="Arial"/>
          <w:sz w:val="12"/>
          <w:szCs w:val="12"/>
          <w:color w:val="auto"/>
        </w:rPr>
        <w:t>”). The Purchase Notice shall set forth (i) the price per Core Venture Interest at which such purchase is proposed to be made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Offered Price</w:t>
      </w:r>
      <w:r>
        <w:rPr>
          <w:rFonts w:ascii="Arial" w:cs="Arial" w:eastAsia="Arial" w:hAnsi="Arial"/>
          <w:sz w:val="12"/>
          <w:szCs w:val="12"/>
          <w:color w:val="auto"/>
        </w:rPr>
        <w:t>”), and (ii) all other material terms and conditions of the purchase offer (the “</w:t>
      </w:r>
      <w:r>
        <w:rPr>
          <w:rFonts w:ascii="Arial" w:cs="Arial" w:eastAsia="Arial" w:hAnsi="Arial"/>
          <w:sz w:val="12"/>
          <w:szCs w:val="12"/>
          <w:b w:val="1"/>
          <w:bCs w:val="1"/>
          <w:color w:val="auto"/>
        </w:rPr>
        <w:t>Purchase Offer</w:t>
      </w:r>
      <w:r>
        <w:rPr>
          <w:rFonts w:ascii="Arial" w:cs="Arial" w:eastAsia="Arial" w:hAnsi="Arial"/>
          <w:sz w:val="12"/>
          <w:szCs w:val="12"/>
          <w:color w:val="auto"/>
        </w:rPr>
        <w:t>”). Failure of the Company to deliver the Purchase Notice for the Core Venture Interests before expiration of the two (2)-week period shall be deemed a rejection of the offer to purchase any Core Venture Interests.</w:t>
      </w:r>
    </w:p>
    <w:p>
      <w:pPr>
        <w:spacing w:after="0" w:line="65" w:lineRule="exact"/>
        <w:rPr>
          <w:rFonts w:ascii="Arial" w:cs="Arial" w:eastAsia="Arial" w:hAnsi="Arial"/>
          <w:sz w:val="12"/>
          <w:szCs w:val="12"/>
          <w:b w:val="1"/>
          <w:bCs w:val="1"/>
          <w:color w:val="auto"/>
        </w:rPr>
      </w:pPr>
    </w:p>
    <w:p>
      <w:pPr>
        <w:ind w:left="1480" w:right="879" w:hanging="360"/>
        <w:spacing w:after="0" w:line="305" w:lineRule="auto"/>
        <w:rPr>
          <w:rFonts w:ascii="Arial" w:cs="Arial" w:eastAsia="Arial" w:hAnsi="Arial"/>
          <w:sz w:val="12"/>
          <w:szCs w:val="12"/>
          <w:b w:val="1"/>
          <w:bCs w:val="1"/>
          <w:color w:val="auto"/>
        </w:rPr>
      </w:pPr>
      <w:r>
        <w:rPr>
          <w:rFonts w:ascii="Arial" w:cs="Arial" w:eastAsia="Arial" w:hAnsi="Arial"/>
          <w:sz w:val="10"/>
          <w:szCs w:val="10"/>
          <w:color w:val="auto"/>
        </w:rPr>
        <w:t>3.3 For a period of two (2) weeks after receipt of the Purchase Notice, the ASV Fund shall have the right, but not the obligation, to accept the Purchase Offer as to the Core Venture Interests by giving a written notice of acceptance (which shall be deemed irrevocable) (the “</w:t>
      </w:r>
      <w:r>
        <w:rPr>
          <w:rFonts w:ascii="Arial" w:cs="Arial" w:eastAsia="Arial" w:hAnsi="Arial"/>
          <w:sz w:val="10"/>
          <w:szCs w:val="10"/>
          <w:b w:val="1"/>
          <w:bCs w:val="1"/>
          <w:color w:val="auto"/>
        </w:rPr>
        <w:t>Acceptance Notice</w:t>
      </w:r>
      <w:r>
        <w:rPr>
          <w:rFonts w:ascii="Arial" w:cs="Arial" w:eastAsia="Arial" w:hAnsi="Arial"/>
          <w:sz w:val="10"/>
          <w:szCs w:val="10"/>
          <w:color w:val="auto"/>
        </w:rPr>
        <w:t>”) to the Company. Failure to deliver the Acceptance Notice before the expiration of the two (2) weeks period shall be deemed a rejection of the Purchase Offer. If the Purchase Offer is accepted as to all of the offered Core Venture Interests within such two</w:t>
      </w:r>
    </w:p>
    <w:p>
      <w:pPr>
        <w:ind w:left="1480" w:right="899"/>
        <w:spacing w:after="0" w:line="260" w:lineRule="auto"/>
        <w:tabs>
          <w:tab w:leader="none" w:pos="1650" w:val="left"/>
        </w:tabs>
        <w:numPr>
          <w:ilvl w:val="1"/>
          <w:numId w:val="267"/>
        </w:numPr>
        <w:rPr>
          <w:rFonts w:ascii="Arial" w:cs="Arial" w:eastAsia="Arial" w:hAnsi="Arial"/>
          <w:sz w:val="12"/>
          <w:szCs w:val="12"/>
          <w:color w:val="auto"/>
        </w:rPr>
      </w:pPr>
      <w:r>
        <w:rPr>
          <w:rFonts w:ascii="Arial" w:cs="Arial" w:eastAsia="Arial" w:hAnsi="Arial"/>
          <w:sz w:val="12"/>
          <w:szCs w:val="12"/>
          <w:color w:val="auto"/>
        </w:rPr>
        <w:t>weeks period, the Company shall purchase the Core Venture Interests and pay the Offered Price in cash for such Core Venture Interests within four (4) weeks after the Acceptance Notice has been delivered.</w:t>
      </w:r>
    </w:p>
    <w:p>
      <w:pPr>
        <w:spacing w:after="0" w:line="61" w:lineRule="exact"/>
        <w:rPr>
          <w:sz w:val="20"/>
          <w:szCs w:val="20"/>
          <w:color w:val="auto"/>
        </w:rPr>
      </w:pPr>
    </w:p>
    <w:p>
      <w:pPr>
        <w:ind w:left="1480" w:right="899" w:hanging="359"/>
        <w:spacing w:after="0" w:line="306" w:lineRule="auto"/>
        <w:tabs>
          <w:tab w:leader="none" w:pos="1460"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0"/>
          <w:szCs w:val="10"/>
          <w:color w:val="auto"/>
        </w:rPr>
        <w:t>If the purchase and sale of such Core Venture Interests is subject to any prior regulatory approval and the Company acts in a commercially reasonable manner to obtain such regulatory approval (any such regulatory approval to be obtained at the sole cost and expense of the Company), the time period during which such purchase and sale may be consummated shall be extended until the expiration of five</w:t>
      </w:r>
    </w:p>
    <w:p>
      <w:pPr>
        <w:spacing w:after="0" w:line="1" w:lineRule="exact"/>
        <w:rPr>
          <w:sz w:val="20"/>
          <w:szCs w:val="20"/>
          <w:color w:val="auto"/>
        </w:rPr>
      </w:pPr>
    </w:p>
    <w:p>
      <w:pPr>
        <w:ind w:left="1640" w:hanging="160"/>
        <w:spacing w:after="0"/>
        <w:tabs>
          <w:tab w:leader="none" w:pos="1640" w:val="left"/>
        </w:tabs>
        <w:numPr>
          <w:ilvl w:val="0"/>
          <w:numId w:val="268"/>
        </w:numPr>
        <w:rPr>
          <w:rFonts w:ascii="Arial" w:cs="Arial" w:eastAsia="Arial" w:hAnsi="Arial"/>
          <w:sz w:val="11"/>
          <w:szCs w:val="11"/>
          <w:color w:val="auto"/>
        </w:rPr>
      </w:pPr>
      <w:r>
        <w:rPr>
          <w:rFonts w:ascii="Arial" w:cs="Arial" w:eastAsia="Arial" w:hAnsi="Arial"/>
          <w:sz w:val="11"/>
          <w:szCs w:val="11"/>
          <w:color w:val="auto"/>
        </w:rPr>
        <w:t>Business Days after all such approvals shall have been received, and provided further, that such time period shall not exceed six</w:t>
      </w:r>
    </w:p>
    <w:p>
      <w:pPr>
        <w:spacing w:after="0" w:line="17" w:lineRule="exact"/>
        <w:rPr>
          <w:rFonts w:ascii="Arial" w:cs="Arial" w:eastAsia="Arial" w:hAnsi="Arial"/>
          <w:sz w:val="11"/>
          <w:szCs w:val="11"/>
          <w:color w:val="auto"/>
        </w:rPr>
      </w:pPr>
    </w:p>
    <w:p>
      <w:pPr>
        <w:ind w:left="1480" w:right="1059"/>
        <w:spacing w:after="0" w:line="306" w:lineRule="auto"/>
        <w:tabs>
          <w:tab w:leader="none" w:pos="1650" w:val="left"/>
        </w:tabs>
        <w:numPr>
          <w:ilvl w:val="0"/>
          <w:numId w:val="268"/>
        </w:numPr>
        <w:rPr>
          <w:rFonts w:ascii="Arial" w:cs="Arial" w:eastAsia="Arial" w:hAnsi="Arial"/>
          <w:sz w:val="11"/>
          <w:szCs w:val="11"/>
          <w:color w:val="auto"/>
        </w:rPr>
      </w:pPr>
      <w:r>
        <w:rPr>
          <w:rFonts w:ascii="Arial" w:cs="Arial" w:eastAsia="Arial" w:hAnsi="Arial"/>
          <w:sz w:val="11"/>
          <w:szCs w:val="11"/>
          <w:color w:val="auto"/>
        </w:rPr>
        <w:t>months from the acceptance of the Purchase Offer without the consent of the ASV Fund, unless the delay results in whole or in part from the failure of the ASV Fund to cooperate in a commercially reasonable manner in obtaining such regulatory approvals.</w:t>
      </w:r>
    </w:p>
    <w:p>
      <w:pPr>
        <w:spacing w:after="0" w:line="38" w:lineRule="exact"/>
        <w:rPr>
          <w:sz w:val="20"/>
          <w:szCs w:val="20"/>
          <w:color w:val="auto"/>
        </w:rPr>
      </w:pPr>
    </w:p>
    <w:p>
      <w:pPr>
        <w:ind w:left="1480" w:right="839" w:hanging="359"/>
        <w:spacing w:after="0" w:line="254" w:lineRule="auto"/>
        <w:tabs>
          <w:tab w:leader="none" w:pos="1460" w:val="left"/>
        </w:tabs>
        <w:rPr>
          <w:sz w:val="20"/>
          <w:szCs w:val="20"/>
          <w:color w:val="auto"/>
        </w:rPr>
      </w:pPr>
      <w:r>
        <w:rPr>
          <w:rFonts w:ascii="Arial" w:cs="Arial" w:eastAsia="Arial" w:hAnsi="Arial"/>
          <w:sz w:val="12"/>
          <w:szCs w:val="12"/>
          <w:color w:val="auto"/>
        </w:rPr>
        <w:t>3.5</w:t>
      </w:r>
      <w:r>
        <w:rPr>
          <w:sz w:val="20"/>
          <w:szCs w:val="20"/>
          <w:color w:val="auto"/>
        </w:rPr>
        <w:tab/>
      </w:r>
      <w:r>
        <w:rPr>
          <w:rFonts w:ascii="Arial" w:cs="Arial" w:eastAsia="Arial" w:hAnsi="Arial"/>
          <w:sz w:val="12"/>
          <w:szCs w:val="12"/>
          <w:color w:val="auto"/>
        </w:rPr>
        <w:t>If (i) the ASV Fund has not properly received the Purchase Offer for all offered Core Venture Interests or (ii) the Company fails to submit a Purchase Notice in a timely manner, in each case in accordance with Section 3.2, the ASV Fund shall have the right to sell the Core Venture Interests to one or more third parties on any terms and conditions it chooses in accordance with this Agreement. If, however, the ASV Fund (</w:t>
      </w:r>
      <w:r>
        <w:rPr>
          <w:rFonts w:ascii="Arial" w:cs="Arial" w:eastAsia="Arial" w:hAnsi="Arial"/>
          <w:sz w:val="12"/>
          <w:szCs w:val="12"/>
          <w:i w:val="1"/>
          <w:iCs w:val="1"/>
          <w:color w:val="auto"/>
        </w:rPr>
        <w:t>i</w:t>
      </w:r>
      <w:r>
        <w:rPr>
          <w:rFonts w:ascii="Arial" w:cs="Arial" w:eastAsia="Arial" w:hAnsi="Arial"/>
          <w:sz w:val="12"/>
          <w:szCs w:val="12"/>
          <w:color w:val="auto"/>
        </w:rPr>
        <w:t>) does not accept the Purchase Offer or (</w:t>
      </w:r>
      <w:r>
        <w:rPr>
          <w:rFonts w:ascii="Arial" w:cs="Arial" w:eastAsia="Arial" w:hAnsi="Arial"/>
          <w:sz w:val="12"/>
          <w:szCs w:val="12"/>
          <w:i w:val="1"/>
          <w:iCs w:val="1"/>
          <w:color w:val="auto"/>
        </w:rPr>
        <w:t>ii</w:t>
      </w:r>
      <w:r>
        <w:rPr>
          <w:rFonts w:ascii="Arial" w:cs="Arial" w:eastAsia="Arial" w:hAnsi="Arial"/>
          <w:sz w:val="12"/>
          <w:szCs w:val="12"/>
          <w:color w:val="auto"/>
        </w:rPr>
        <w:t>) fails to deliver the Acceptance Notice before the expiration of the two (2) weeks period, in each case in accordance with Section 3.3, the ASV Fund shall have the right to sell the Core Venture Interests to one or more third parties provided that the ASV Fund may not sell the Core Venture Interests on terms and conditions less favorable than those proposed in the Purchase Notice.</w:t>
      </w:r>
    </w:p>
    <w:p>
      <w:pPr>
        <w:spacing w:after="0" w:line="67"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3.6</w:t>
      </w:r>
      <w:r>
        <w:rPr>
          <w:sz w:val="20"/>
          <w:szCs w:val="20"/>
          <w:color w:val="auto"/>
        </w:rPr>
        <w:tab/>
      </w:r>
      <w:r>
        <w:rPr>
          <w:rFonts w:ascii="Arial" w:cs="Arial" w:eastAsia="Arial" w:hAnsi="Arial"/>
          <w:sz w:val="10"/>
          <w:szCs w:val="10"/>
          <w:color w:val="auto"/>
        </w:rPr>
        <w:t>The Parties shall take any actions and make and receive any declarations which are required under applicable law (including notarization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Beurkundung</w:t>
      </w:r>
      <w:r>
        <w:rPr>
          <w:rFonts w:ascii="Arial" w:cs="Arial" w:eastAsia="Arial" w:hAnsi="Arial"/>
          <w:sz w:val="10"/>
          <w:szCs w:val="10"/>
          <w:color w:val="auto"/>
        </w:rPr>
        <w:t>) of any definitive sale and purchase agreements) or, in the reasonable view of a prudent business person, are appropriate and</w:t>
      </w:r>
    </w:p>
    <w:p>
      <w:pPr>
        <w:spacing w:after="0" w:line="29" w:lineRule="exact"/>
        <w:rPr>
          <w:sz w:val="20"/>
          <w:szCs w:val="20"/>
          <w:color w:val="auto"/>
        </w:rPr>
      </w:pPr>
    </w:p>
    <w:p>
      <w:pPr>
        <w:ind w:left="1480"/>
        <w:spacing w:after="0"/>
        <w:rPr>
          <w:sz w:val="20"/>
          <w:szCs w:val="20"/>
          <w:color w:val="auto"/>
        </w:rPr>
      </w:pPr>
      <w:r>
        <w:rPr>
          <w:rFonts w:ascii="Arial" w:cs="Arial" w:eastAsia="Arial" w:hAnsi="Arial"/>
          <w:sz w:val="10"/>
          <w:szCs w:val="10"/>
          <w:color w:val="auto"/>
        </w:rPr>
        <w:t>customarily made or are received in comparable transactions, in connection with the purchase and sale of the Core Venture Interests to the</w:t>
      </w:r>
    </w:p>
    <w:p>
      <w:pPr>
        <w:spacing w:after="0" w:line="29"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Company as provided for in the definitive sale and purchase agreements, and shall provide reasonable cooperation and assistance in</w:t>
      </w:r>
    </w:p>
    <w:p>
      <w:pPr>
        <w:spacing w:after="0" w:line="18"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effecting such purchase and sale, including (but not limited to) in respect of any regulatory filings that may be required in connection</w:t>
      </w:r>
    </w:p>
    <w:p>
      <w:pPr>
        <w:spacing w:after="0" w:line="1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therewith.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333" w:name="page334"/>
    <w:bookmarkEnd w:id="333"/>
    <w:p>
      <w:pPr>
        <w:ind w:left="1120" w:hanging="288"/>
        <w:spacing w:after="0"/>
        <w:tabs>
          <w:tab w:leader="none" w:pos="1120" w:val="left"/>
        </w:tabs>
        <w:numPr>
          <w:ilvl w:val="0"/>
          <w:numId w:val="26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MISCELLANEOUS</w:t>
      </w:r>
    </w:p>
    <w:p>
      <w:pPr>
        <w:spacing w:after="0" w:line="91" w:lineRule="exact"/>
        <w:rPr>
          <w:rFonts w:ascii="Arial" w:cs="Arial" w:eastAsia="Arial" w:hAnsi="Arial"/>
          <w:sz w:val="12"/>
          <w:szCs w:val="12"/>
          <w:b w:val="1"/>
          <w:bCs w:val="1"/>
          <w:color w:val="auto"/>
        </w:rPr>
      </w:pPr>
    </w:p>
    <w:p>
      <w:pPr>
        <w:ind w:left="1120"/>
        <w:spacing w:after="0"/>
        <w:rPr>
          <w:rFonts w:ascii="Arial" w:cs="Arial" w:eastAsia="Arial" w:hAnsi="Arial"/>
          <w:sz w:val="12"/>
          <w:szCs w:val="12"/>
          <w:b w:val="1"/>
          <w:bCs w:val="1"/>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Term and Termination:</w:t>
      </w:r>
    </w:p>
    <w:p>
      <w:pPr>
        <w:spacing w:after="0" w:line="83" w:lineRule="exact"/>
        <w:rPr>
          <w:rFonts w:ascii="Arial" w:cs="Arial" w:eastAsia="Arial" w:hAnsi="Arial"/>
          <w:sz w:val="12"/>
          <w:szCs w:val="12"/>
          <w:b w:val="1"/>
          <w:bCs w:val="1"/>
          <w:color w:val="auto"/>
        </w:rPr>
      </w:pPr>
    </w:p>
    <w:p>
      <w:pPr>
        <w:ind w:left="1780" w:right="1079" w:hanging="291"/>
        <w:spacing w:after="0" w:line="283" w:lineRule="auto"/>
        <w:tabs>
          <w:tab w:leader="none" w:pos="1780" w:val="left"/>
        </w:tabs>
        <w:numPr>
          <w:ilvl w:val="1"/>
          <w:numId w:val="269"/>
        </w:numPr>
        <w:rPr>
          <w:rFonts w:ascii="Arial" w:cs="Arial" w:eastAsia="Arial" w:hAnsi="Arial"/>
          <w:sz w:val="12"/>
          <w:szCs w:val="12"/>
          <w:color w:val="auto"/>
        </w:rPr>
      </w:pPr>
      <w:r>
        <w:rPr>
          <w:rFonts w:ascii="Arial" w:cs="Arial" w:eastAsia="Arial" w:hAnsi="Arial"/>
          <w:sz w:val="12"/>
          <w:szCs w:val="12"/>
          <w:color w:val="auto"/>
        </w:rPr>
        <w:t>This Agreement shall become effective on the first day of trading of the Company’s ADSs on a U.S. stock exchange (“</w:t>
      </w:r>
      <w:r>
        <w:rPr>
          <w:rFonts w:ascii="Arial" w:cs="Arial" w:eastAsia="Arial" w:hAnsi="Arial"/>
          <w:sz w:val="12"/>
          <w:szCs w:val="12"/>
          <w:b w:val="1"/>
          <w:bCs w:val="1"/>
          <w:color w:val="auto"/>
        </w:rPr>
        <w:t>Effective</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 This Agreement is concluded for a term of five (5) years beginning on the Effective Date.</w:t>
      </w:r>
    </w:p>
    <w:p>
      <w:pPr>
        <w:spacing w:after="0" w:line="47" w:lineRule="exact"/>
        <w:rPr>
          <w:rFonts w:ascii="Arial" w:cs="Arial" w:eastAsia="Arial" w:hAnsi="Arial"/>
          <w:sz w:val="12"/>
          <w:szCs w:val="12"/>
          <w:color w:val="auto"/>
        </w:rPr>
      </w:pPr>
    </w:p>
    <w:p>
      <w:pPr>
        <w:ind w:left="1780" w:right="999" w:hanging="291"/>
        <w:spacing w:after="0" w:line="276" w:lineRule="auto"/>
        <w:tabs>
          <w:tab w:leader="none" w:pos="1780" w:val="left"/>
        </w:tabs>
        <w:numPr>
          <w:ilvl w:val="1"/>
          <w:numId w:val="269"/>
        </w:numPr>
        <w:rPr>
          <w:rFonts w:ascii="Arial" w:cs="Arial" w:eastAsia="Arial" w:hAnsi="Arial"/>
          <w:sz w:val="12"/>
          <w:szCs w:val="12"/>
          <w:color w:val="auto"/>
        </w:rPr>
      </w:pPr>
      <w:r>
        <w:rPr>
          <w:rFonts w:ascii="Arial" w:cs="Arial" w:eastAsia="Arial" w:hAnsi="Arial"/>
          <w:sz w:val="12"/>
          <w:szCs w:val="12"/>
          <w:color w:val="auto"/>
        </w:rPr>
        <w:t>Each Party may terminate this Agreement for cause (</w:t>
      </w:r>
      <w:r>
        <w:rPr>
          <w:rFonts w:ascii="Arial" w:cs="Arial" w:eastAsia="Arial" w:hAnsi="Arial"/>
          <w:sz w:val="12"/>
          <w:szCs w:val="12"/>
          <w:i w:val="1"/>
          <w:iCs w:val="1"/>
          <w:color w:val="auto"/>
        </w:rPr>
        <w:t>Kündigung aus wichtigem Grund</w:t>
      </w:r>
      <w:r>
        <w:rPr>
          <w:rFonts w:ascii="Arial" w:cs="Arial" w:eastAsia="Arial" w:hAnsi="Arial"/>
          <w:sz w:val="12"/>
          <w:szCs w:val="12"/>
          <w:color w:val="auto"/>
        </w:rPr>
        <w:t>) by serving notice to the other Party. Cause for termination by either Party shall include the following:</w:t>
      </w:r>
    </w:p>
    <w:p>
      <w:pPr>
        <w:spacing w:after="0" w:line="51" w:lineRule="exact"/>
        <w:rPr>
          <w:rFonts w:ascii="Arial" w:cs="Arial" w:eastAsia="Arial" w:hAnsi="Arial"/>
          <w:sz w:val="12"/>
          <w:szCs w:val="12"/>
          <w:color w:val="auto"/>
        </w:rPr>
      </w:pPr>
    </w:p>
    <w:p>
      <w:pPr>
        <w:ind w:left="2140" w:right="1379" w:hanging="354"/>
        <w:spacing w:after="0" w:line="276" w:lineRule="auto"/>
        <w:tabs>
          <w:tab w:leader="none" w:pos="2140" w:val="left"/>
        </w:tabs>
        <w:numPr>
          <w:ilvl w:val="2"/>
          <w:numId w:val="269"/>
        </w:numPr>
        <w:rPr>
          <w:rFonts w:ascii="Arial" w:cs="Arial" w:eastAsia="Arial" w:hAnsi="Arial"/>
          <w:sz w:val="12"/>
          <w:szCs w:val="12"/>
          <w:color w:val="auto"/>
        </w:rPr>
      </w:pPr>
      <w:r>
        <w:rPr>
          <w:rFonts w:ascii="Arial" w:cs="Arial" w:eastAsia="Arial" w:hAnsi="Arial"/>
          <w:sz w:val="12"/>
          <w:szCs w:val="12"/>
          <w:color w:val="auto"/>
        </w:rPr>
        <w:t>application for the opening of insolvency proceedings with respect to the other Party, as well as the refusal to open insolvency proceedings for lack of assets, or any similar proceeding;</w:t>
      </w:r>
    </w:p>
    <w:p>
      <w:pPr>
        <w:spacing w:after="0" w:line="51" w:lineRule="exact"/>
        <w:rPr>
          <w:rFonts w:ascii="Arial" w:cs="Arial" w:eastAsia="Arial" w:hAnsi="Arial"/>
          <w:sz w:val="12"/>
          <w:szCs w:val="12"/>
          <w:color w:val="auto"/>
        </w:rPr>
      </w:pPr>
    </w:p>
    <w:p>
      <w:pPr>
        <w:ind w:left="2140" w:hanging="354"/>
        <w:spacing w:after="0"/>
        <w:tabs>
          <w:tab w:leader="none" w:pos="2140" w:val="left"/>
        </w:tabs>
        <w:numPr>
          <w:ilvl w:val="2"/>
          <w:numId w:val="269"/>
        </w:numPr>
        <w:rPr>
          <w:rFonts w:ascii="Arial" w:cs="Arial" w:eastAsia="Arial" w:hAnsi="Arial"/>
          <w:sz w:val="12"/>
          <w:szCs w:val="12"/>
          <w:color w:val="auto"/>
        </w:rPr>
      </w:pPr>
      <w:r>
        <w:rPr>
          <w:rFonts w:ascii="Arial" w:cs="Arial" w:eastAsia="Arial" w:hAnsi="Arial"/>
          <w:sz w:val="12"/>
          <w:szCs w:val="12"/>
          <w:color w:val="auto"/>
        </w:rPr>
        <w:t>the termination of Mr. Altan’s engagement as the CEO of the Company; and</w:t>
      </w:r>
    </w:p>
    <w:p>
      <w:pPr>
        <w:spacing w:after="0" w:line="87" w:lineRule="exact"/>
        <w:rPr>
          <w:rFonts w:ascii="Arial" w:cs="Arial" w:eastAsia="Arial" w:hAnsi="Arial"/>
          <w:sz w:val="12"/>
          <w:szCs w:val="12"/>
          <w:color w:val="auto"/>
        </w:rPr>
      </w:pPr>
    </w:p>
    <w:p>
      <w:pPr>
        <w:ind w:left="2140" w:hanging="354"/>
        <w:spacing w:after="0"/>
        <w:tabs>
          <w:tab w:leader="none" w:pos="2140" w:val="left"/>
        </w:tabs>
        <w:numPr>
          <w:ilvl w:val="2"/>
          <w:numId w:val="269"/>
        </w:numPr>
        <w:rPr>
          <w:rFonts w:ascii="Arial" w:cs="Arial" w:eastAsia="Arial" w:hAnsi="Arial"/>
          <w:sz w:val="12"/>
          <w:szCs w:val="12"/>
          <w:color w:val="auto"/>
        </w:rPr>
      </w:pPr>
      <w:r>
        <w:rPr>
          <w:rFonts w:ascii="Arial" w:cs="Arial" w:eastAsia="Arial" w:hAnsi="Arial"/>
          <w:sz w:val="12"/>
          <w:szCs w:val="12"/>
          <w:color w:val="auto"/>
        </w:rPr>
        <w:t>the termination of Mr. Altan’s permanent involvement in the affairs of the ASV Fund.</w:t>
      </w:r>
    </w:p>
    <w:p>
      <w:pPr>
        <w:spacing w:after="0" w:line="87" w:lineRule="exact"/>
        <w:rPr>
          <w:rFonts w:ascii="Arial" w:cs="Arial" w:eastAsia="Arial" w:hAnsi="Arial"/>
          <w:sz w:val="12"/>
          <w:szCs w:val="12"/>
          <w:color w:val="auto"/>
        </w:rPr>
      </w:pPr>
    </w:p>
    <w:p>
      <w:pPr>
        <w:ind w:left="1780" w:right="1139" w:hanging="291"/>
        <w:spacing w:after="0" w:line="276" w:lineRule="auto"/>
        <w:tabs>
          <w:tab w:leader="none" w:pos="1780" w:val="left"/>
        </w:tabs>
        <w:numPr>
          <w:ilvl w:val="1"/>
          <w:numId w:val="269"/>
        </w:numPr>
        <w:rPr>
          <w:rFonts w:ascii="Arial" w:cs="Arial" w:eastAsia="Arial" w:hAnsi="Arial"/>
          <w:sz w:val="12"/>
          <w:szCs w:val="12"/>
          <w:color w:val="auto"/>
        </w:rPr>
      </w:pPr>
      <w:r>
        <w:rPr>
          <w:rFonts w:ascii="Arial" w:cs="Arial" w:eastAsia="Arial" w:hAnsi="Arial"/>
          <w:sz w:val="12"/>
          <w:szCs w:val="12"/>
          <w:color w:val="auto"/>
        </w:rPr>
        <w:t>Claims and obligations of the Parties which have already come into existence under this Agreement will not be affected by any termination pursuant to this Section 4.1.</w:t>
      </w:r>
    </w:p>
    <w:p>
      <w:pPr>
        <w:spacing w:after="0" w:line="48" w:lineRule="exact"/>
        <w:rPr>
          <w:sz w:val="20"/>
          <w:szCs w:val="20"/>
          <w:color w:val="auto"/>
        </w:rPr>
      </w:pPr>
    </w:p>
    <w:p>
      <w:pPr>
        <w:ind w:left="1480" w:right="959" w:hanging="359"/>
        <w:spacing w:after="0" w:line="283" w:lineRule="auto"/>
        <w:tabs>
          <w:tab w:leader="none" w:pos="146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2"/>
          <w:szCs w:val="12"/>
          <w:u w:val="single" w:color="auto"/>
          <w:color w:val="auto"/>
        </w:rPr>
        <w:t>Definition of Business Day</w:t>
      </w:r>
      <w:r>
        <w:rPr>
          <w:rFonts w:ascii="Arial" w:cs="Arial" w:eastAsia="Arial" w:hAnsi="Arial"/>
          <w:sz w:val="12"/>
          <w:szCs w:val="12"/>
          <w:color w:val="auto"/>
        </w:rPr>
        <w:t>: “</w:t>
      </w:r>
      <w:r>
        <w:rPr>
          <w:rFonts w:ascii="Arial" w:cs="Arial" w:eastAsia="Arial" w:hAnsi="Arial"/>
          <w:sz w:val="12"/>
          <w:szCs w:val="12"/>
          <w:b w:val="1"/>
          <w:bCs w:val="1"/>
          <w:color w:val="auto"/>
        </w:rPr>
        <w:t>Business Day</w:t>
      </w:r>
      <w:r>
        <w:rPr>
          <w:rFonts w:ascii="Arial" w:cs="Arial" w:eastAsia="Arial" w:hAnsi="Arial"/>
          <w:sz w:val="12"/>
          <w:szCs w:val="12"/>
          <w:color w:val="auto"/>
        </w:rPr>
        <w:t>” shall mean any day on which the commercial banks in Frankfurt am Main, Germany, and in</w:t>
      </w:r>
      <w:r>
        <w:rPr>
          <w:rFonts w:ascii="Arial" w:cs="Arial" w:eastAsia="Arial" w:hAnsi="Arial"/>
          <w:sz w:val="12"/>
          <w:szCs w:val="12"/>
          <w:u w:val="single" w:color="auto"/>
          <w:color w:val="auto"/>
        </w:rPr>
        <w:t xml:space="preserve"> </w:t>
      </w:r>
      <w:r>
        <w:rPr>
          <w:rFonts w:ascii="Arial" w:cs="Arial" w:eastAsia="Arial" w:hAnsi="Arial"/>
          <w:sz w:val="12"/>
          <w:szCs w:val="12"/>
          <w:color w:val="auto"/>
        </w:rPr>
        <w:t>New York City, New York, United States, are open for regular business transactions.</w:t>
      </w:r>
    </w:p>
    <w:p>
      <w:pPr>
        <w:spacing w:after="0" w:line="44" w:lineRule="exact"/>
        <w:rPr>
          <w:sz w:val="20"/>
          <w:szCs w:val="20"/>
          <w:color w:val="auto"/>
        </w:rPr>
      </w:pPr>
    </w:p>
    <w:p>
      <w:pPr>
        <w:ind w:left="1480" w:right="939" w:hanging="359"/>
        <w:spacing w:after="0" w:line="330" w:lineRule="auto"/>
        <w:tabs>
          <w:tab w:leader="none" w:pos="1460"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u w:val="single" w:color="auto"/>
          <w:color w:val="auto"/>
        </w:rPr>
        <w:t>Definition of Affiliates</w:t>
      </w:r>
      <w:r>
        <w:rPr>
          <w:rFonts w:ascii="Arial" w:cs="Arial" w:eastAsia="Arial" w:hAnsi="Arial"/>
          <w:sz w:val="11"/>
          <w:szCs w:val="11"/>
          <w:color w:val="auto"/>
        </w:rPr>
        <w:t>: “</w:t>
      </w:r>
      <w:r>
        <w:rPr>
          <w:rFonts w:ascii="Arial" w:cs="Arial" w:eastAsia="Arial" w:hAnsi="Arial"/>
          <w:sz w:val="11"/>
          <w:szCs w:val="11"/>
          <w:b w:val="1"/>
          <w:bCs w:val="1"/>
          <w:color w:val="auto"/>
        </w:rPr>
        <w:t>Affiliate</w:t>
      </w:r>
      <w:r>
        <w:rPr>
          <w:rFonts w:ascii="Arial" w:cs="Arial" w:eastAsia="Arial" w:hAnsi="Arial"/>
          <w:sz w:val="11"/>
          <w:szCs w:val="11"/>
          <w:color w:val="auto"/>
        </w:rPr>
        <w:t>” means, with respect to any person, any other person whose securities or other ownership interests</w:t>
      </w:r>
      <w:r>
        <w:rPr>
          <w:rFonts w:ascii="Arial" w:cs="Arial" w:eastAsia="Arial" w:hAnsi="Arial"/>
          <w:sz w:val="11"/>
          <w:szCs w:val="11"/>
          <w:u w:val="single" w:color="auto"/>
          <w:color w:val="auto"/>
        </w:rPr>
        <w:t xml:space="preserve"> </w:t>
      </w:r>
      <w:r>
        <w:rPr>
          <w:rFonts w:ascii="Arial" w:cs="Arial" w:eastAsia="Arial" w:hAnsi="Arial"/>
          <w:sz w:val="11"/>
          <w:szCs w:val="11"/>
          <w:color w:val="auto"/>
        </w:rPr>
        <w:t>having more than 50% of the voting rights are at the time directly or indirectly owned by such person and/or one or more of its Affiliates.</w:t>
      </w:r>
    </w:p>
    <w:p>
      <w:pPr>
        <w:spacing w:after="0" w:line="25" w:lineRule="exact"/>
        <w:rPr>
          <w:sz w:val="20"/>
          <w:szCs w:val="20"/>
          <w:color w:val="auto"/>
        </w:rPr>
      </w:pPr>
    </w:p>
    <w:p>
      <w:pPr>
        <w:ind w:left="1480" w:right="979" w:hanging="359"/>
        <w:spacing w:after="0" w:line="379" w:lineRule="auto"/>
        <w:tabs>
          <w:tab w:leader="none" w:pos="146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0"/>
          <w:szCs w:val="10"/>
          <w:u w:val="single" w:color="auto"/>
          <w:color w:val="auto"/>
        </w:rPr>
        <w:t>Entire Agreement</w:t>
      </w:r>
      <w:r>
        <w:rPr>
          <w:rFonts w:ascii="Arial" w:cs="Arial" w:eastAsia="Arial" w:hAnsi="Arial"/>
          <w:sz w:val="10"/>
          <w:szCs w:val="10"/>
          <w:color w:val="auto"/>
        </w:rPr>
        <w:t>: This Agreement contains the entire agreement between the Parties with respect to the subject matter hereof and</w:t>
      </w:r>
      <w:r>
        <w:rPr>
          <w:rFonts w:ascii="Arial" w:cs="Arial" w:eastAsia="Arial" w:hAnsi="Arial"/>
          <w:sz w:val="10"/>
          <w:szCs w:val="10"/>
          <w:u w:val="single" w:color="auto"/>
          <w:color w:val="auto"/>
        </w:rPr>
        <w:t xml:space="preserve"> </w:t>
      </w:r>
      <w:r>
        <w:rPr>
          <w:rFonts w:ascii="Arial" w:cs="Arial" w:eastAsia="Arial" w:hAnsi="Arial"/>
          <w:sz w:val="10"/>
          <w:szCs w:val="10"/>
          <w:color w:val="auto"/>
        </w:rPr>
        <w:t>supersedes and replaces all oral and written declarations of intention made by the Parties in connection with the contractual negotiations.</w:t>
      </w:r>
    </w:p>
    <w:p>
      <w:pPr>
        <w:spacing w:after="0" w:line="6" w:lineRule="exact"/>
        <w:rPr>
          <w:sz w:val="20"/>
          <w:szCs w:val="20"/>
          <w:color w:val="auto"/>
        </w:rPr>
      </w:pPr>
    </w:p>
    <w:p>
      <w:pPr>
        <w:ind w:left="1480" w:right="899" w:hanging="359"/>
        <w:spacing w:after="0" w:line="276" w:lineRule="auto"/>
        <w:tabs>
          <w:tab w:leader="none" w:pos="1460" w:val="left"/>
        </w:tabs>
        <w:rPr>
          <w:sz w:val="20"/>
          <w:szCs w:val="20"/>
          <w:color w:val="auto"/>
        </w:rPr>
      </w:pPr>
      <w:r>
        <w:rPr>
          <w:rFonts w:ascii="Arial" w:cs="Arial" w:eastAsia="Arial" w:hAnsi="Arial"/>
          <w:sz w:val="12"/>
          <w:szCs w:val="12"/>
          <w:color w:val="auto"/>
        </w:rPr>
        <w:t>4.5</w:t>
      </w:r>
      <w:r>
        <w:rPr>
          <w:sz w:val="20"/>
          <w:szCs w:val="20"/>
          <w:color w:val="auto"/>
        </w:rPr>
        <w:tab/>
      </w:r>
      <w:r>
        <w:rPr>
          <w:rFonts w:ascii="Arial" w:cs="Arial" w:eastAsia="Arial" w:hAnsi="Arial"/>
          <w:sz w:val="12"/>
          <w:szCs w:val="12"/>
          <w:u w:val="single" w:color="auto"/>
          <w:color w:val="auto"/>
        </w:rPr>
        <w:t>Amendments</w:t>
      </w:r>
      <w:r>
        <w:rPr>
          <w:rFonts w:ascii="Arial" w:cs="Arial" w:eastAsia="Arial" w:hAnsi="Arial"/>
          <w:sz w:val="12"/>
          <w:szCs w:val="12"/>
          <w:color w:val="auto"/>
        </w:rPr>
        <w:t>: Any provision of this Agreement (including this Section 4.5) may be amended or waived only if such amendment or waiver</w:t>
      </w:r>
      <w:r>
        <w:rPr>
          <w:rFonts w:ascii="Arial" w:cs="Arial" w:eastAsia="Arial" w:hAnsi="Arial"/>
          <w:sz w:val="12"/>
          <w:szCs w:val="12"/>
          <w:u w:val="single" w:color="auto"/>
          <w:color w:val="auto"/>
        </w:rPr>
        <w:t xml:space="preserve"> </w:t>
      </w:r>
      <w:r>
        <w:rPr>
          <w:rFonts w:ascii="Arial" w:cs="Arial" w:eastAsia="Arial" w:hAnsi="Arial"/>
          <w:sz w:val="12"/>
          <w:szCs w:val="12"/>
          <w:color w:val="auto"/>
        </w:rPr>
        <w:t>is by written instrument executed by all Parties.</w:t>
      </w:r>
    </w:p>
    <w:p>
      <w:pPr>
        <w:spacing w:after="0" w:line="52" w:lineRule="exact"/>
        <w:rPr>
          <w:sz w:val="20"/>
          <w:szCs w:val="20"/>
          <w:color w:val="auto"/>
        </w:rPr>
      </w:pPr>
    </w:p>
    <w:p>
      <w:pPr>
        <w:ind w:left="1480" w:right="939" w:hanging="359"/>
        <w:spacing w:after="0" w:line="256" w:lineRule="auto"/>
        <w:tabs>
          <w:tab w:leader="none" w:pos="1460"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and other communications hereunder shall be made in writing (unless a more stringent form is required by</w:t>
      </w:r>
      <w:r>
        <w:rPr>
          <w:rFonts w:ascii="Arial" w:cs="Arial" w:eastAsia="Arial" w:hAnsi="Arial"/>
          <w:sz w:val="12"/>
          <w:szCs w:val="12"/>
          <w:u w:val="single" w:color="auto"/>
          <w:color w:val="auto"/>
        </w:rPr>
        <w:t xml:space="preserve"> </w:t>
      </w:r>
      <w:r>
        <w:rPr>
          <w:rFonts w:ascii="Arial" w:cs="Arial" w:eastAsia="Arial" w:hAnsi="Arial"/>
          <w:sz w:val="12"/>
          <w:szCs w:val="12"/>
          <w:color w:val="auto"/>
        </w:rPr>
        <w:t>applicable mandatory law) in the English language and delivered by hand, by courier or in electronic form (Section 127(2) of the German Civil Code (</w:t>
      </w:r>
      <w:r>
        <w:rPr>
          <w:rFonts w:ascii="Arial" w:cs="Arial" w:eastAsia="Arial" w:hAnsi="Arial"/>
          <w:sz w:val="12"/>
          <w:szCs w:val="12"/>
          <w:i w:val="1"/>
          <w:iCs w:val="1"/>
          <w:color w:val="auto"/>
        </w:rPr>
        <w:t>Bürgerliches Gesetzbuch</w:t>
      </w:r>
      <w:r>
        <w:rPr>
          <w:rFonts w:ascii="Arial" w:cs="Arial" w:eastAsia="Arial" w:hAnsi="Arial"/>
          <w:sz w:val="12"/>
          <w:szCs w:val="12"/>
          <w:color w:val="auto"/>
        </w:rPr>
        <w:t>)), but only to the extent agreed between the Parties in writing with respect to a certain matter, to the person at the address set forth below, or such other address as may be designated by the respective Party to the other Party/Parties in the same manner:</w:t>
      </w:r>
    </w:p>
    <w:p>
      <w:pPr>
        <w:spacing w:after="0" w:line="65" w:lineRule="exact"/>
        <w:rPr>
          <w:sz w:val="20"/>
          <w:szCs w:val="20"/>
          <w:color w:val="auto"/>
        </w:rPr>
      </w:pPr>
    </w:p>
    <w:p>
      <w:pPr>
        <w:ind w:left="1780" w:hanging="291"/>
        <w:spacing w:after="0"/>
        <w:tabs>
          <w:tab w:leader="none" w:pos="178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 xml:space="preserve">If to the </w:t>
      </w:r>
      <w:r>
        <w:rPr>
          <w:rFonts w:ascii="Arial" w:cs="Arial" w:eastAsia="Arial" w:hAnsi="Arial"/>
          <w:sz w:val="12"/>
          <w:szCs w:val="12"/>
          <w:u w:val="single" w:color="auto"/>
          <w:color w:val="auto"/>
        </w:rPr>
        <w:t>Company</w:t>
      </w:r>
      <w:r>
        <w:rPr>
          <w:rFonts w:ascii="Arial" w:cs="Arial" w:eastAsia="Arial" w:hAnsi="Arial"/>
          <w:sz w:val="12"/>
          <w:szCs w:val="12"/>
          <w:color w:val="auto"/>
        </w:rPr>
        <w:t>:</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Dornierstraße 19</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82205 Gilching</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Germany</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Email: [###]</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Attention: To the Supervisory Board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26" w:right="1440" w:bottom="1440" w:gutter="0" w:footer="0" w:header="0"/>
        </w:sectPr>
      </w:pPr>
    </w:p>
    <w:bookmarkStart w:id="334" w:name="page335"/>
    <w:bookmarkEnd w:id="334"/>
    <w:p>
      <w:pPr>
        <w:ind w:left="1780" w:hanging="291"/>
        <w:spacing w:after="0"/>
        <w:tabs>
          <w:tab w:leader="none" w:pos="1780" w:val="left"/>
        </w:tabs>
        <w:numPr>
          <w:ilvl w:val="0"/>
          <w:numId w:val="27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If to </w:t>
      </w:r>
      <w:r>
        <w:rPr>
          <w:rFonts w:ascii="Arial" w:cs="Arial" w:eastAsia="Arial" w:hAnsi="Arial"/>
          <w:sz w:val="12"/>
          <w:szCs w:val="12"/>
          <w:u w:val="single" w:color="auto"/>
          <w:color w:val="auto"/>
        </w:rPr>
        <w:t>Mr. Altan</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1780" w:hanging="291"/>
        <w:spacing w:after="0"/>
        <w:tabs>
          <w:tab w:leader="none" w:pos="178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 xml:space="preserve">If to the </w:t>
      </w:r>
      <w:r>
        <w:rPr>
          <w:rFonts w:ascii="Arial" w:cs="Arial" w:eastAsia="Arial" w:hAnsi="Arial"/>
          <w:sz w:val="12"/>
          <w:szCs w:val="12"/>
          <w:u w:val="single" w:color="auto"/>
          <w:color w:val="auto"/>
        </w:rPr>
        <w:t>ASV Manager</w:t>
      </w:r>
      <w:r>
        <w:rPr>
          <w:rFonts w:ascii="Arial" w:cs="Arial" w:eastAsia="Arial" w:hAnsi="Arial"/>
          <w:sz w:val="12"/>
          <w:szCs w:val="12"/>
          <w:color w:val="auto"/>
        </w:rPr>
        <w:t>:</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1480" w:right="919" w:hanging="359"/>
        <w:spacing w:after="0" w:line="289" w:lineRule="auto"/>
        <w:tabs>
          <w:tab w:leader="none" w:pos="1460" w:val="left"/>
        </w:tabs>
        <w:rPr>
          <w:sz w:val="20"/>
          <w:szCs w:val="20"/>
          <w:color w:val="auto"/>
        </w:rPr>
      </w:pPr>
      <w:r>
        <w:rPr>
          <w:rFonts w:ascii="Arial" w:cs="Arial" w:eastAsia="Arial" w:hAnsi="Arial"/>
          <w:sz w:val="12"/>
          <w:szCs w:val="12"/>
          <w:color w:val="auto"/>
        </w:rPr>
        <w:t>4.7</w:t>
      </w:r>
      <w:r>
        <w:rPr>
          <w:sz w:val="20"/>
          <w:szCs w:val="20"/>
          <w:color w:val="auto"/>
        </w:rPr>
        <w:tab/>
      </w:r>
      <w:r>
        <w:rPr>
          <w:rFonts w:ascii="Arial" w:cs="Arial" w:eastAsia="Arial" w:hAnsi="Arial"/>
          <w:sz w:val="11"/>
          <w:szCs w:val="11"/>
          <w:u w:val="single" w:color="auto"/>
          <w:color w:val="auto"/>
        </w:rPr>
        <w:t>Governing Law; Jurisdiction</w:t>
      </w:r>
      <w:r>
        <w:rPr>
          <w:rFonts w:ascii="Arial" w:cs="Arial" w:eastAsia="Arial" w:hAnsi="Arial"/>
          <w:sz w:val="11"/>
          <w:szCs w:val="11"/>
          <w:color w:val="auto"/>
        </w:rPr>
        <w:t>: This Agreement shall be governed by, and construed in accordance with, the laws of Germany (excluding</w:t>
      </w:r>
      <w:r>
        <w:rPr>
          <w:rFonts w:ascii="Arial" w:cs="Arial" w:eastAsia="Arial" w:hAnsi="Arial"/>
          <w:sz w:val="11"/>
          <w:szCs w:val="11"/>
          <w:u w:val="single" w:color="auto"/>
          <w:color w:val="auto"/>
        </w:rPr>
        <w:t xml:space="preserve"> </w:t>
      </w:r>
      <w:r>
        <w:rPr>
          <w:rFonts w:ascii="Arial" w:cs="Arial" w:eastAsia="Arial" w:hAnsi="Arial"/>
          <w:sz w:val="11"/>
          <w:szCs w:val="11"/>
          <w:color w:val="auto"/>
        </w:rPr>
        <w:t>conflict of laws rules). All disputes arising out of or in connection with this Agreement or its validity shall be finally settled in accordance with the Arbitration Rules of the German Arbitration Institute (DIS) without recourse to the ordinary courts of law. The arbitral tribunal shall be comprised of three members. The seat of the arbitration is Munich, Germany. The language of the arbitration shall be English.</w:t>
      </w:r>
    </w:p>
    <w:p>
      <w:pPr>
        <w:spacing w:after="0" w:line="48" w:lineRule="exact"/>
        <w:rPr>
          <w:sz w:val="20"/>
          <w:szCs w:val="20"/>
          <w:color w:val="auto"/>
        </w:rPr>
      </w:pPr>
    </w:p>
    <w:p>
      <w:pPr>
        <w:ind w:left="1480" w:right="879" w:hanging="359"/>
        <w:spacing w:after="0" w:line="280" w:lineRule="auto"/>
        <w:tabs>
          <w:tab w:leader="none" w:pos="1460" w:val="left"/>
        </w:tabs>
        <w:rPr>
          <w:sz w:val="20"/>
          <w:szCs w:val="20"/>
          <w:color w:val="auto"/>
        </w:rPr>
      </w:pPr>
      <w:r>
        <w:rPr>
          <w:rFonts w:ascii="Arial" w:cs="Arial" w:eastAsia="Arial" w:hAnsi="Arial"/>
          <w:sz w:val="12"/>
          <w:szCs w:val="12"/>
          <w:color w:val="auto"/>
        </w:rPr>
        <w:t>4.8</w:t>
      </w:r>
      <w:r>
        <w:rPr>
          <w:sz w:val="20"/>
          <w:szCs w:val="20"/>
          <w:color w:val="auto"/>
        </w:rPr>
        <w:tab/>
      </w:r>
      <w:r>
        <w:rPr>
          <w:rFonts w:ascii="Arial" w:cs="Arial" w:eastAsia="Arial" w:hAnsi="Arial"/>
          <w:sz w:val="11"/>
          <w:szCs w:val="11"/>
          <w:u w:val="single" w:color="auto"/>
          <w:color w:val="auto"/>
        </w:rPr>
        <w:t>Severability</w:t>
      </w:r>
      <w:r>
        <w:rPr>
          <w:rFonts w:ascii="Arial" w:cs="Arial" w:eastAsia="Arial" w:hAnsi="Arial"/>
          <w:sz w:val="11"/>
          <w:szCs w:val="11"/>
          <w:color w:val="auto"/>
        </w:rPr>
        <w:t>: Should any individual provision of this Agreement be or become wholly or partially invalid, or should there prove to be an</w:t>
      </w:r>
      <w:r>
        <w:rPr>
          <w:rFonts w:ascii="Arial" w:cs="Arial" w:eastAsia="Arial" w:hAnsi="Arial"/>
          <w:sz w:val="11"/>
          <w:szCs w:val="11"/>
          <w:u w:val="single" w:color="auto"/>
          <w:color w:val="auto"/>
        </w:rPr>
        <w:t xml:space="preserve"> </w:t>
      </w:r>
      <w:r>
        <w:rPr>
          <w:rFonts w:ascii="Arial" w:cs="Arial" w:eastAsia="Arial" w:hAnsi="Arial"/>
          <w:sz w:val="11"/>
          <w:szCs w:val="11"/>
          <w:color w:val="auto"/>
        </w:rPr>
        <w:t>omission herein, the validity of the remaining provisions shall not be affected. In the place of the invalid or impracticable provision or in order to fill a gap herein, the Parties to this Agreement undertake to agree on an appropriate provision that, to the extent legally permissible, comes closest to what the Parties intended or would have intended in accordance with the purpose of this Agreement had they considered the matter at the outset. This shall also apply if the invalidity of a provision results from a measure of performance or time set as a standard in this Agreement. In such cases, a legally valid measure of performance or time which comes as close as possible to that originally agreed shall be deemed to be agreed upon instead. For the avoidance of doubt, the Parties agree that Section 139 of the German Civil Code (</w:t>
      </w:r>
      <w:r>
        <w:rPr>
          <w:rFonts w:ascii="Arial" w:cs="Arial" w:eastAsia="Arial" w:hAnsi="Arial"/>
          <w:sz w:val="11"/>
          <w:szCs w:val="11"/>
          <w:i w:val="1"/>
          <w:iCs w:val="1"/>
          <w:color w:val="auto"/>
        </w:rPr>
        <w:t>Bürgerliches Gesetzbuch</w:t>
      </w:r>
      <w:r>
        <w:rPr>
          <w:rFonts w:ascii="Arial" w:cs="Arial" w:eastAsia="Arial" w:hAnsi="Arial"/>
          <w:sz w:val="11"/>
          <w:szCs w:val="11"/>
          <w:color w:val="auto"/>
        </w:rPr>
        <w:t>) shall not be applicable.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follow</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335" w:name="page336"/>
    <w:bookmarkEnd w:id="33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206375</wp:posOffset>
            </wp:positionV>
            <wp:extent cx="186309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31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Name: Dr. Manfred Krischke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Position: Chairman of the Supervisory Board</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Emin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206375</wp:posOffset>
            </wp:positionV>
            <wp:extent cx="186309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31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Name: Emin Bulent Altan</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Alpine Space Ventures Management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206375</wp:posOffset>
            </wp:positionV>
            <wp:extent cx="186309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31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Name: [###]</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Position: Managing Director (Geschäftsführer)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Signature Page to Business Opportunity Agreement</w:t>
      </w:r>
    </w:p>
    <w:p>
      <w:pPr>
        <w:sectPr>
          <w:pgSz w:w="11900" w:h="16838" w:orient="portrait"/>
          <w:cols w:equalWidth="0" w:num="1">
            <w:col w:w="9019"/>
          </w:cols>
          <w:pgMar w:left="1440" w:top="226" w:right="1440" w:bottom="1440" w:gutter="0" w:footer="0" w:header="0"/>
        </w:sectPr>
      </w:pPr>
    </w:p>
    <w:bookmarkStart w:id="336" w:name="page337"/>
    <w:bookmarkEnd w:id="336"/>
    <w:p>
      <w:pPr>
        <w:jc w:val="right"/>
        <w:ind w:right="839"/>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We consent to the use of our report dated October 18, 2021, with respect to the consolidated financial statements of Mynaric AG, included herein and to the reference to our firm under the heading “Experts” in the prospectus.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KPMG AG Wirtschaftsprüfungsgesellschaft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Munich, Germany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November 2, 2021</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1)"/>
      <w:numFmt w:val="decimal"/>
      <w:start w:val="1"/>
    </w:lvl>
  </w:abstractNum>
  <w:abstractNum w:abstractNumId="2">
    <w:nsid w:val="5551B9F3"/>
    <w:multiLevelType w:val="hybridMultilevel"/>
    <w:lvl w:ilvl="0">
      <w:lvlJc w:val="left"/>
      <w:lvlText w:val="(%1)"/>
      <w:numFmt w:val="decimal"/>
      <w:start w:val="1"/>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
      <w:numFmt w:val="bullet"/>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
      <w:numFmt w:val="bullet"/>
      <w:start w:val="1"/>
    </w:lvl>
  </w:abstractNum>
  <w:abstractNum w:abstractNumId="9">
    <w:nsid w:val="754342"/>
    <w:multiLevelType w:val="hybridMultilevel"/>
    <w:lvl w:ilvl="0">
      <w:lvlJc w:val="left"/>
      <w:lvlText w:val="(%1)"/>
      <w:numFmt w:val="decimal"/>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
      <w:numFmt w:val="bullet"/>
      <w:start w:val="1"/>
    </w:lvl>
  </w:abstractNum>
  <w:abstractNum w:abstractNumId="12">
    <w:nsid w:val="1816F8C4"/>
    <w:multiLevelType w:val="hybridMultilevel"/>
    <w:lvl w:ilvl="0">
      <w:lvlJc w:val="left"/>
      <w:lvlText w:val="•"/>
      <w:numFmt w:val="bullet"/>
      <w:start w:val="1"/>
    </w:lvl>
  </w:abstractNum>
  <w:abstractNum w:abstractNumId="13">
    <w:nsid w:val="37DF2233"/>
    <w:multiLevelType w:val="hybridMultilevel"/>
    <w:lvl w:ilvl="0">
      <w:lvlJc w:val="left"/>
      <w:lvlText w:val="•"/>
      <w:numFmt w:val="bullet"/>
      <w:start w:val="1"/>
    </w:lvl>
  </w:abstractNum>
  <w:abstractNum w:abstractNumId="14">
    <w:nsid w:val="7AB49DAF"/>
    <w:multiLevelType w:val="hybridMultilevel"/>
    <w:lvl w:ilvl="0">
      <w:lvlJc w:val="left"/>
      <w:lvlText w:val="(%1)"/>
      <w:numFmt w:val="decimal"/>
      <w:start w:val="1"/>
    </w:lvl>
  </w:abstractNum>
  <w:abstractNum w:abstractNumId="15">
    <w:nsid w:val="759F82CD"/>
    <w:multiLevelType w:val="hybridMultilevel"/>
    <w:lvl w:ilvl="0">
      <w:lvlJc w:val="left"/>
      <w:lvlText w:val="(%1)"/>
      <w:numFmt w:val="decimal"/>
      <w:start w:val="2"/>
    </w:lvl>
  </w:abstractNum>
  <w:abstractNum w:abstractNumId="16">
    <w:nsid w:val="61E74EA3"/>
    <w:multiLevelType w:val="hybridMultilevel"/>
    <w:lvl w:ilvl="0">
      <w:lvlJc w:val="left"/>
      <w:lvlText w:val="(%1)"/>
      <w:numFmt w:val="decimal"/>
      <w:start w:val="1"/>
    </w:lvl>
  </w:abstractNum>
  <w:abstractNum w:abstractNumId="17">
    <w:nsid w:val="597B4D84"/>
    <w:multiLevelType w:val="hybridMultilevel"/>
    <w:lvl w:ilvl="0">
      <w:lvlJc w:val="left"/>
      <w:lvlText w:val="(%1)"/>
      <w:numFmt w:val="decimal"/>
      <w:start w:val="2"/>
    </w:lvl>
  </w:abstractNum>
  <w:abstractNum w:abstractNumId="18">
    <w:nsid w:val="F819E7F"/>
    <w:multiLevelType w:val="hybridMultilevel"/>
    <w:lvl w:ilvl="0">
      <w:lvlJc w:val="left"/>
      <w:lvlText w:val="•"/>
      <w:numFmt w:val="bullet"/>
      <w:start w:val="1"/>
    </w:lvl>
  </w:abstractNum>
  <w:abstractNum w:abstractNumId="19">
    <w:nsid w:val="57C7D42D"/>
    <w:multiLevelType w:val="hybridMultilevel"/>
    <w:lvl w:ilvl="0">
      <w:lvlJc w:val="left"/>
      <w:lvlText w:val="•"/>
      <w:numFmt w:val="bullet"/>
      <w:start w:val="1"/>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1)"/>
      <w:numFmt w:val="lowerRoman"/>
      <w:start w:val="2"/>
    </w:lvl>
  </w:abstractNum>
  <w:abstractNum w:abstractNumId="23">
    <w:nsid w:val="75486E47"/>
    <w:multiLevelType w:val="hybridMultilevel"/>
    <w:lvl w:ilvl="0">
      <w:lvlJc w:val="left"/>
      <w:lvlText w:val="•"/>
      <w:numFmt w:val="bullet"/>
      <w:start w:val="1"/>
    </w:lvl>
  </w:abstractNum>
  <w:abstractNum w:abstractNumId="24">
    <w:nsid w:val="6E534CDE"/>
    <w:multiLevelType w:val="hybridMultilevel"/>
    <w:lvl w:ilvl="0">
      <w:lvlJc w:val="left"/>
      <w:lvlText w:val="•"/>
      <w:numFmt w:val="bullet"/>
      <w:start w:val="1"/>
    </w:lvl>
  </w:abstractNum>
  <w:abstractNum w:abstractNumId="25">
    <w:nsid w:val="1A0DDE32"/>
    <w:multiLevelType w:val="hybridMultilevel"/>
    <w:lvl w:ilvl="0">
      <w:lvlJc w:val="left"/>
      <w:lvlText w:val="•"/>
      <w:numFmt w:val="bullet"/>
      <w:start w:val="1"/>
    </w:lvl>
  </w:abstractNum>
  <w:abstractNum w:abstractNumId="26">
    <w:nsid w:val="65968C1C"/>
    <w:multiLevelType w:val="hybridMultilevel"/>
    <w:lvl w:ilvl="0">
      <w:lvlJc w:val="left"/>
      <w:lvlText w:val="•"/>
      <w:numFmt w:val="bullet"/>
      <w:start w:val="1"/>
    </w:lvl>
  </w:abstractNum>
  <w:abstractNum w:abstractNumId="27">
    <w:nsid w:val="46263DEC"/>
    <w:multiLevelType w:val="hybridMultilevel"/>
    <w:lvl w:ilvl="0">
      <w:lvlJc w:val="left"/>
      <w:lvlText w:val="•"/>
      <w:numFmt w:val="bullet"/>
      <w:start w:val="1"/>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1)"/>
      <w:numFmt w:val="decimal"/>
      <w:start w:val="1"/>
    </w:lvl>
  </w:abstractNum>
  <w:abstractNum w:abstractNumId="30">
    <w:nsid w:val="746F2E30"/>
    <w:multiLevelType w:val="hybridMultilevel"/>
    <w:lvl w:ilvl="0">
      <w:lvlJc w:val="left"/>
      <w:lvlText w:val="(%1)"/>
      <w:numFmt w:val="decimal"/>
      <w:start w:val="3"/>
    </w:lvl>
  </w:abstractNum>
  <w:abstractNum w:abstractNumId="31">
    <w:nsid w:val="6FDE8AF6"/>
    <w:multiLevelType w:val="hybridMultilevel"/>
    <w:lvl w:ilvl="0">
      <w:lvlJc w:val="left"/>
      <w:lvlText w:val="$"/>
      <w:numFmt w:val="bullet"/>
      <w:start w:val="1"/>
    </w:lvl>
  </w:abstractNum>
  <w:abstractNum w:abstractNumId="32">
    <w:nsid w:val="3FC32E20"/>
    <w:multiLevelType w:val="hybridMultilevel"/>
    <w:lvl w:ilvl="0">
      <w:lvlJc w:val="left"/>
      <w:lvlText w:val="(%1)"/>
      <w:numFmt w:val="decimal"/>
      <w:start w:val="1"/>
    </w:lvl>
  </w:abstractNum>
  <w:abstractNum w:abstractNumId="33">
    <w:nsid w:val="49C0E823"/>
    <w:multiLevelType w:val="hybridMultilevel"/>
    <w:lvl w:ilvl="0">
      <w:lvlJc w:val="left"/>
      <w:lvlText w:val="(%1)"/>
      <w:numFmt w:val="decimal"/>
      <w:start w:val="2"/>
    </w:lvl>
  </w:abstractNum>
  <w:abstractNum w:abstractNumId="34">
    <w:nsid w:val="14D53685"/>
    <w:multiLevelType w:val="hybridMultilevel"/>
    <w:lvl w:ilvl="0">
      <w:lvlJc w:val="left"/>
      <w:lvlText w:val="(%1)"/>
      <w:numFmt w:val="decimal"/>
      <w:start w:val="1"/>
    </w:lvl>
  </w:abstractNum>
  <w:abstractNum w:abstractNumId="35">
    <w:nsid w:val="230F856C"/>
    <w:multiLevelType w:val="hybridMultilevel"/>
    <w:lvl w:ilvl="0">
      <w:lvlJc w:val="left"/>
      <w:lvlText w:val="(%1)"/>
      <w:numFmt w:val="decimal"/>
      <w:start w:val="2"/>
    </w:lvl>
  </w:abstractNum>
  <w:abstractNum w:abstractNumId="36">
    <w:nsid w:val="6EAA85FB"/>
    <w:multiLevelType w:val="hybridMultilevel"/>
    <w:lvl w:ilvl="0">
      <w:lvlJc w:val="left"/>
      <w:lvlText w:val="(%1)"/>
      <w:numFmt w:val="decimal"/>
      <w:start w:val="1"/>
    </w:lvl>
  </w:abstractNum>
  <w:abstractNum w:abstractNumId="37">
    <w:nsid w:val="3F06ECB2"/>
    <w:multiLevelType w:val="hybridMultilevel"/>
    <w:lvl w:ilvl="0">
      <w:lvlJc w:val="left"/>
      <w:lvlText w:val="(%1)"/>
      <w:numFmt w:val="decimal"/>
      <w:start w:val="1"/>
    </w:lvl>
  </w:abstractNum>
  <w:abstractNum w:abstractNumId="38">
    <w:nsid w:val="3B594807"/>
    <w:multiLevelType w:val="hybridMultilevel"/>
    <w:lvl w:ilvl="0">
      <w:lvlJc w:val="left"/>
      <w:lvlText w:val="•"/>
      <w:numFmt w:val="bullet"/>
      <w:start w:val="1"/>
    </w:lvl>
  </w:abstractNum>
  <w:abstractNum w:abstractNumId="39">
    <w:nsid w:val="6CAA2304"/>
    <w:multiLevelType w:val="hybridMultilevel"/>
    <w:lvl w:ilvl="0">
      <w:lvlJc w:val="left"/>
      <w:lvlText w:val="•"/>
      <w:numFmt w:val="bullet"/>
      <w:start w:val="1"/>
    </w:lvl>
  </w:abstractNum>
  <w:abstractNum w:abstractNumId="40">
    <w:nsid w:val="3F7C2FF4"/>
    <w:multiLevelType w:val="hybridMultilevel"/>
    <w:lvl w:ilvl="0">
      <w:lvlJc w:val="left"/>
      <w:lvlText w:val="•"/>
      <w:numFmt w:val="bullet"/>
      <w:start w:val="1"/>
    </w:lvl>
  </w:abstractNum>
  <w:abstractNum w:abstractNumId="41">
    <w:nsid w:val="25413BEC"/>
    <w:multiLevelType w:val="hybridMultilevel"/>
    <w:lvl w:ilvl="0">
      <w:lvlJc w:val="left"/>
      <w:lvlText w:val="•"/>
      <w:numFmt w:val="bullet"/>
      <w:start w:val="1"/>
    </w:lvl>
  </w:abstractNum>
  <w:abstractNum w:abstractNumId="42">
    <w:nsid w:val="17180B0B"/>
    <w:multiLevelType w:val="hybridMultilevel"/>
    <w:lvl w:ilvl="0">
      <w:lvlJc w:val="left"/>
      <w:lvlText w:val="•"/>
      <w:numFmt w:val="bullet"/>
      <w:start w:val="1"/>
    </w:lvl>
  </w:abstractNum>
  <w:abstractNum w:abstractNumId="43">
    <w:nsid w:val="579328B9"/>
    <w:multiLevelType w:val="hybridMultilevel"/>
    <w:lvl w:ilvl="0">
      <w:lvlJc w:val="left"/>
      <w:lvlText w:val="•"/>
      <w:numFmt w:val="bullet"/>
      <w:start w:val="1"/>
    </w:lvl>
  </w:abstractNum>
  <w:abstractNum w:abstractNumId="44">
    <w:nsid w:val="5D205E20"/>
    <w:multiLevelType w:val="hybridMultilevel"/>
    <w:lvl w:ilvl="0">
      <w:lvlJc w:val="left"/>
      <w:lvlText w:val="•"/>
      <w:numFmt w:val="bullet"/>
      <w:start w:val="1"/>
    </w:lvl>
  </w:abstractNum>
  <w:abstractNum w:abstractNumId="45">
    <w:nsid w:val="11CCA8BA"/>
    <w:multiLevelType w:val="hybridMultilevel"/>
    <w:lvl w:ilvl="0">
      <w:lvlJc w:val="left"/>
      <w:lvlText w:val="(%1)"/>
      <w:numFmt w:val="decimal"/>
      <w:start w:val="1"/>
    </w:lvl>
  </w:abstractNum>
  <w:abstractNum w:abstractNumId="46">
    <w:nsid w:val="4D32AB86"/>
    <w:multiLevelType w:val="hybridMultilevel"/>
    <w:lvl w:ilvl="0">
      <w:lvlJc w:val="left"/>
      <w:lvlText w:val="(%1)"/>
      <w:numFmt w:val="decimal"/>
      <w:start w:val="6"/>
    </w:lvl>
  </w:abstractNum>
  <w:abstractNum w:abstractNumId="47">
    <w:nsid w:val="3F07ACC3"/>
    <w:multiLevelType w:val="hybridMultilevel"/>
    <w:lvl w:ilvl="0">
      <w:lvlJc w:val="left"/>
      <w:lvlText w:val="•"/>
      <w:numFmt w:val="bullet"/>
      <w:start w:val="1"/>
    </w:lvl>
  </w:abstractNum>
  <w:abstractNum w:abstractNumId="48">
    <w:nsid w:val="6B47F63E"/>
    <w:multiLevelType w:val="hybridMultilevel"/>
    <w:lvl w:ilvl="0">
      <w:lvlJc w:val="left"/>
      <w:lvlText w:val="•"/>
      <w:numFmt w:val="bullet"/>
      <w:start w:val="1"/>
    </w:lvl>
  </w:abstractNum>
  <w:abstractNum w:abstractNumId="49">
    <w:nsid w:val="5CB44A05"/>
    <w:multiLevelType w:val="hybridMultilevel"/>
    <w:lvl w:ilvl="0">
      <w:lvlJc w:val="left"/>
      <w:lvlText w:val="(%1)"/>
      <w:numFmt w:val="decimal"/>
      <w:start w:val="1"/>
    </w:lvl>
  </w:abstractNum>
  <w:abstractNum w:abstractNumId="50">
    <w:nsid w:val="16CF80F1"/>
    <w:multiLevelType w:val="hybridMultilevel"/>
    <w:lvl w:ilvl="0">
      <w:lvlJc w:val="left"/>
      <w:lvlText w:val="•"/>
      <w:numFmt w:val="bullet"/>
      <w:start w:val="1"/>
    </w:lvl>
  </w:abstractNum>
  <w:abstractNum w:abstractNumId="51">
    <w:nsid w:val="1C695DEC"/>
    <w:multiLevelType w:val="hybridMultilevel"/>
    <w:lvl w:ilvl="0">
      <w:lvlJc w:val="left"/>
      <w:lvlText w:val="•"/>
      <w:numFmt w:val="bullet"/>
      <w:start w:val="1"/>
    </w:lvl>
  </w:abstractNum>
  <w:abstractNum w:abstractNumId="52">
    <w:nsid w:val="3FCFAED9"/>
    <w:multiLevelType w:val="hybridMultilevel"/>
    <w:lvl w:ilvl="0">
      <w:lvlJc w:val="left"/>
      <w:lvlText w:val="•"/>
      <w:numFmt w:val="bullet"/>
      <w:start w:val="1"/>
    </w:lvl>
  </w:abstractNum>
  <w:abstractNum w:abstractNumId="53">
    <w:nsid w:val="F856867"/>
    <w:multiLevelType w:val="hybridMultilevel"/>
    <w:lvl w:ilvl="0">
      <w:lvlJc w:val="left"/>
      <w:lvlText w:val="•"/>
      <w:numFmt w:val="bullet"/>
      <w:start w:val="1"/>
    </w:lvl>
  </w:abstractNum>
  <w:abstractNum w:abstractNumId="54">
    <w:nsid w:val="11B1CC33"/>
    <w:multiLevelType w:val="hybridMultilevel"/>
    <w:lvl w:ilvl="0">
      <w:lvlJc w:val="left"/>
      <w:lvlText w:val="*"/>
      <w:numFmt w:val="bullet"/>
      <w:start w:val="1"/>
    </w:lvl>
  </w:abstractNum>
  <w:abstractNum w:abstractNumId="55">
    <w:nsid w:val="2E22FBB7"/>
    <w:multiLevelType w:val="hybridMultilevel"/>
    <w:lvl w:ilvl="0">
      <w:lvlJc w:val="left"/>
      <w:lvlText w:val="(%1)"/>
      <w:numFmt w:val="decimal"/>
      <w:start w:val="1"/>
    </w:lvl>
  </w:abstractNum>
  <w:abstractNum w:abstractNumId="56">
    <w:nsid w:val="29934699"/>
    <w:multiLevelType w:val="hybridMultilevel"/>
    <w:lvl w:ilvl="0">
      <w:lvlJc w:val="left"/>
      <w:lvlText w:val="•"/>
      <w:numFmt w:val="bullet"/>
      <w:start w:val="1"/>
    </w:lvl>
  </w:abstractNum>
  <w:abstractNum w:abstractNumId="57">
    <w:nsid w:val="77485850"/>
    <w:multiLevelType w:val="hybridMultilevel"/>
    <w:lvl w:ilvl="0">
      <w:lvlJc w:val="left"/>
      <w:lvlText w:val="•"/>
      <w:numFmt w:val="bullet"/>
      <w:start w:val="1"/>
    </w:lvl>
    <w:lvl w:ilvl="1">
      <w:lvlJc w:val="left"/>
      <w:lvlText w:val="\endash "/>
      <w:numFmt w:val="bullet"/>
      <w:start w:val="1"/>
    </w:lvl>
  </w:abstractNum>
  <w:abstractNum w:abstractNumId="58">
    <w:nsid w:val="744939A3"/>
    <w:multiLevelType w:val="hybridMultilevel"/>
    <w:lvl w:ilvl="0">
      <w:lvlJc w:val="left"/>
      <w:lvlText w:val="•"/>
      <w:numFmt w:val="bullet"/>
      <w:start w:val="1"/>
    </w:lvl>
  </w:abstractNum>
  <w:abstractNum w:abstractNumId="59">
    <w:nsid w:val="4FA0D2E3"/>
    <w:multiLevelType w:val="hybridMultilevel"/>
    <w:lvl w:ilvl="0">
      <w:lvlJc w:val="left"/>
      <w:lvlText w:val=","/>
      <w:numFmt w:val="bullet"/>
      <w:start w:val="1"/>
    </w:lvl>
  </w:abstractNum>
  <w:abstractNum w:abstractNumId="60">
    <w:nsid w:val="6B1D2C14"/>
    <w:multiLevelType w:val="hybridMultilevel"/>
    <w:lvl w:ilvl="0">
      <w:lvlJc w:val="left"/>
      <w:lvlText w:val="(%1)"/>
      <w:numFmt w:val="decimal"/>
      <w:start w:val="1"/>
    </w:lvl>
  </w:abstractNum>
  <w:abstractNum w:abstractNumId="61">
    <w:nsid w:val="68B867D3"/>
    <w:multiLevelType w:val="hybridMultilevel"/>
    <w:lvl w:ilvl="0">
      <w:lvlJc w:val="left"/>
      <w:lvlText w:val="•"/>
      <w:numFmt w:val="bullet"/>
      <w:start w:val="1"/>
    </w:lvl>
  </w:abstractNum>
  <w:abstractNum w:abstractNumId="62">
    <w:nsid w:val="3F7F5DD9"/>
    <w:multiLevelType w:val="hybridMultilevel"/>
    <w:lvl w:ilvl="0">
      <w:lvlJc w:val="left"/>
      <w:lvlText w:val="•"/>
      <w:numFmt w:val="bullet"/>
      <w:start w:val="1"/>
    </w:lvl>
  </w:abstractNum>
  <w:abstractNum w:abstractNumId="63">
    <w:nsid w:val="2AE05A34"/>
    <w:multiLevelType w:val="hybridMultilevel"/>
    <w:lvl w:ilvl="0">
      <w:lvlJc w:val="left"/>
      <w:lvlText w:val="•"/>
      <w:numFmt w:val="bullet"/>
      <w:start w:val="1"/>
    </w:lvl>
  </w:abstractNum>
  <w:abstractNum w:abstractNumId="64">
    <w:nsid w:val="32794FF7"/>
    <w:multiLevelType w:val="hybridMultilevel"/>
    <w:lvl w:ilvl="0">
      <w:lvlJc w:val="left"/>
      <w:lvlText w:val="(%1)"/>
      <w:numFmt w:val="lowerRoman"/>
      <w:start w:val="2"/>
    </w:lvl>
  </w:abstractNum>
  <w:abstractNum w:abstractNumId="65">
    <w:nsid w:val="5454945E"/>
    <w:multiLevelType w:val="hybridMultilevel"/>
    <w:lvl w:ilvl="0">
      <w:lvlJc w:val="left"/>
      <w:lvlText w:val="•"/>
      <w:numFmt w:val="bullet"/>
      <w:start w:val="1"/>
    </w:lvl>
  </w:abstractNum>
  <w:abstractNum w:abstractNumId="66">
    <w:nsid w:val="4DEFDFA0"/>
    <w:multiLevelType w:val="hybridMultilevel"/>
    <w:lvl w:ilvl="0">
      <w:lvlJc w:val="left"/>
      <w:lvlText w:val="•"/>
      <w:numFmt w:val="bullet"/>
      <w:start w:val="1"/>
    </w:lvl>
  </w:abstractNum>
  <w:abstractNum w:abstractNumId="67">
    <w:nsid w:val="2123D5F2"/>
    <w:multiLevelType w:val="hybridMultilevel"/>
    <w:lvl w:ilvl="0">
      <w:lvlJc w:val="left"/>
      <w:lvlText w:val="•"/>
      <w:numFmt w:val="bullet"/>
      <w:start w:val="1"/>
    </w:lvl>
  </w:abstractNum>
  <w:abstractNum w:abstractNumId="68">
    <w:nsid w:val="135B8110"/>
    <w:multiLevelType w:val="hybridMultilevel"/>
    <w:lvl w:ilvl="0">
      <w:lvlJc w:val="left"/>
      <w:lvlText w:val="•"/>
      <w:numFmt w:val="bullet"/>
      <w:start w:val="1"/>
    </w:lvl>
  </w:abstractNum>
  <w:abstractNum w:abstractNumId="69">
    <w:nsid w:val="94927A8"/>
    <w:multiLevelType w:val="hybridMultilevel"/>
    <w:lvl w:ilvl="0">
      <w:lvlJc w:val="left"/>
      <w:lvlText w:val="•"/>
      <w:numFmt w:val="bullet"/>
      <w:start w:val="1"/>
    </w:lvl>
  </w:abstractNum>
  <w:abstractNum w:abstractNumId="70">
    <w:nsid w:val="DCDF8F6"/>
    <w:multiLevelType w:val="hybridMultilevel"/>
    <w:lvl w:ilvl="0">
      <w:lvlJc w:val="left"/>
      <w:lvlText w:val="•"/>
      <w:numFmt w:val="bullet"/>
      <w:start w:val="1"/>
    </w:lvl>
  </w:abstractNum>
  <w:abstractNum w:abstractNumId="71">
    <w:nsid w:val="52D7B105"/>
    <w:multiLevelType w:val="hybridMultilevel"/>
    <w:lvl w:ilvl="0">
      <w:lvlJc w:val="left"/>
      <w:lvlText w:val="•"/>
      <w:numFmt w:val="bullet"/>
      <w:start w:val="1"/>
    </w:lvl>
  </w:abstractNum>
  <w:abstractNum w:abstractNumId="72">
    <w:nsid w:val="2E8A6394"/>
    <w:multiLevelType w:val="hybridMultilevel"/>
    <w:lvl w:ilvl="0">
      <w:lvlJc w:val="left"/>
      <w:lvlText w:val="•"/>
      <w:numFmt w:val="bullet"/>
      <w:start w:val="1"/>
    </w:lvl>
  </w:abstractNum>
  <w:abstractNum w:abstractNumId="73">
    <w:nsid w:val="24E60401"/>
    <w:multiLevelType w:val="hybridMultilevel"/>
    <w:lvl w:ilvl="0">
      <w:lvlJc w:val="left"/>
      <w:lvlText w:val="•"/>
      <w:numFmt w:val="bullet"/>
      <w:start w:val="1"/>
    </w:lvl>
  </w:abstractNum>
  <w:abstractNum w:abstractNumId="74">
    <w:nsid w:val="2A6AD9BE"/>
    <w:multiLevelType w:val="hybridMultilevel"/>
    <w:lvl w:ilvl="0">
      <w:lvlJc w:val="left"/>
      <w:lvlText w:val="(%1)"/>
      <w:numFmt w:val="lowerRoman"/>
      <w:start w:val="1"/>
    </w:lvl>
  </w:abstractNum>
  <w:abstractNum w:abstractNumId="75">
    <w:nsid w:val="BAAC1B4"/>
    <w:multiLevelType w:val="hybridMultilevel"/>
    <w:lvl w:ilvl="0">
      <w:lvlJc w:val="left"/>
      <w:lvlText w:val="•"/>
      <w:numFmt w:val="bullet"/>
      <w:start w:val="1"/>
    </w:lvl>
  </w:abstractNum>
  <w:abstractNum w:abstractNumId="76">
    <w:nsid w:val="36B2ACBC"/>
    <w:multiLevelType w:val="hybridMultilevel"/>
    <w:lvl w:ilvl="0">
      <w:lvlJc w:val="left"/>
      <w:lvlText w:val="•"/>
      <w:numFmt w:val="bullet"/>
      <w:start w:val="1"/>
    </w:lvl>
  </w:abstractNum>
  <w:abstractNum w:abstractNumId="77">
    <w:nsid w:val="779D8544"/>
    <w:multiLevelType w:val="hybridMultilevel"/>
    <w:lvl w:ilvl="0">
      <w:lvlJc w:val="left"/>
      <w:lvlText w:val="•"/>
      <w:numFmt w:val="bullet"/>
      <w:start w:val="1"/>
    </w:lvl>
  </w:abstractNum>
  <w:abstractNum w:abstractNumId="78">
    <w:nsid w:val="4AB26E78"/>
    <w:multiLevelType w:val="hybridMultilevel"/>
    <w:lvl w:ilvl="0">
      <w:lvlJc w:val="left"/>
      <w:lvlText w:val="(%1)"/>
      <w:numFmt w:val="lowerRoman"/>
      <w:start w:val="2"/>
    </w:lvl>
  </w:abstractNum>
  <w:abstractNum w:abstractNumId="79">
    <w:nsid w:val="21FAA2FA"/>
    <w:multiLevelType w:val="hybridMultilevel"/>
    <w:lvl w:ilvl="0">
      <w:lvlJc w:val="left"/>
      <w:lvlText w:val="(%1)"/>
      <w:numFmt w:val="lowerRoman"/>
      <w:start w:val="1"/>
    </w:lvl>
  </w:abstractNum>
  <w:abstractNum w:abstractNumId="80">
    <w:nsid w:val="5451CF49"/>
    <w:multiLevelType w:val="hybridMultilevel"/>
    <w:lvl w:ilvl="0">
      <w:lvlJc w:val="left"/>
      <w:lvlText w:val="•"/>
      <w:numFmt w:val="bullet"/>
      <w:start w:val="1"/>
    </w:lvl>
  </w:abstractNum>
  <w:abstractNum w:abstractNumId="81">
    <w:nsid w:val="6181EF69"/>
    <w:multiLevelType w:val="hybridMultilevel"/>
    <w:lvl w:ilvl="0">
      <w:lvlJc w:val="left"/>
      <w:lvlText w:val="•"/>
      <w:numFmt w:val="bullet"/>
      <w:start w:val="1"/>
    </w:lvl>
  </w:abstractNum>
  <w:abstractNum w:abstractNumId="82">
    <w:nsid w:val="3E6400E6"/>
    <w:multiLevelType w:val="hybridMultilevel"/>
    <w:lvl w:ilvl="0">
      <w:lvlJc w:val="left"/>
      <w:lvlText w:val="•"/>
      <w:numFmt w:val="bullet"/>
      <w:start w:val="1"/>
    </w:lvl>
  </w:abstractNum>
  <w:abstractNum w:abstractNumId="83">
    <w:nsid w:val="14217E23"/>
    <w:multiLevelType w:val="hybridMultilevel"/>
    <w:lvl w:ilvl="0">
      <w:lvlJc w:val="left"/>
      <w:lvlText w:val="•"/>
      <w:numFmt w:val="bullet"/>
      <w:start w:val="1"/>
    </w:lvl>
  </w:abstractNum>
  <w:abstractNum w:abstractNumId="84">
    <w:nsid w:val="710757D0"/>
    <w:multiLevelType w:val="hybridMultilevel"/>
    <w:lvl w:ilvl="0">
      <w:lvlJc w:val="left"/>
      <w:lvlText w:val="•"/>
      <w:numFmt w:val="bullet"/>
      <w:start w:val="1"/>
    </w:lvl>
  </w:abstractNum>
  <w:abstractNum w:abstractNumId="85">
    <w:nsid w:val="5015CD1A"/>
    <w:multiLevelType w:val="hybridMultilevel"/>
    <w:lvl w:ilvl="0">
      <w:lvlJc w:val="left"/>
      <w:lvlText w:val="•"/>
      <w:numFmt w:val="bullet"/>
      <w:start w:val="1"/>
    </w:lvl>
  </w:abstractNum>
  <w:abstractNum w:abstractNumId="86">
    <w:nsid w:val="424479DA"/>
    <w:multiLevelType w:val="hybridMultilevel"/>
    <w:lvl w:ilvl="0">
      <w:lvlJc w:val="left"/>
      <w:lvlText w:val="•"/>
      <w:numFmt w:val="bullet"/>
      <w:start w:val="1"/>
    </w:lvl>
  </w:abstractNum>
  <w:abstractNum w:abstractNumId="87">
    <w:nsid w:val="1A9A9E69"/>
    <w:multiLevelType w:val="hybridMultilevel"/>
    <w:lvl w:ilvl="0">
      <w:lvlJc w:val="left"/>
      <w:lvlText w:val="•"/>
      <w:numFmt w:val="bullet"/>
      <w:start w:val="1"/>
    </w:lvl>
  </w:abstractNum>
  <w:abstractNum w:abstractNumId="88">
    <w:nsid w:val="475E256A"/>
    <w:multiLevelType w:val="hybridMultilevel"/>
    <w:lvl w:ilvl="0">
      <w:lvlJc w:val="left"/>
      <w:lvlText w:val="•"/>
      <w:numFmt w:val="bullet"/>
      <w:start w:val="1"/>
    </w:lvl>
  </w:abstractNum>
  <w:abstractNum w:abstractNumId="89">
    <w:nsid w:val="368DB37E"/>
    <w:multiLevelType w:val="hybridMultilevel"/>
    <w:lvl w:ilvl="0">
      <w:lvlJc w:val="left"/>
      <w:lvlText w:val="(%1)"/>
      <w:numFmt w:val="lowerLetter"/>
      <w:start w:val="1"/>
    </w:lvl>
  </w:abstractNum>
  <w:abstractNum w:abstractNumId="90">
    <w:nsid w:val="6A3B714C"/>
    <w:multiLevelType w:val="hybridMultilevel"/>
    <w:lvl w:ilvl="0">
      <w:lvlJc w:val="left"/>
      <w:lvlText w:val="(%1)"/>
      <w:numFmt w:val="lowerLetter"/>
      <w:start w:val="1"/>
    </w:lvl>
  </w:abstractNum>
  <w:abstractNum w:abstractNumId="91">
    <w:nsid w:val="327B517E"/>
    <w:multiLevelType w:val="hybridMultilevel"/>
    <w:lvl w:ilvl="0">
      <w:lvlJc w:val="left"/>
      <w:lvlText w:val="(%1)"/>
      <w:numFmt w:val="lowerRoman"/>
      <w:start w:val="1"/>
    </w:lvl>
  </w:abstractNum>
  <w:abstractNum w:abstractNumId="92">
    <w:nsid w:val="1F461B51"/>
    <w:multiLevelType w:val="hybridMultilevel"/>
    <w:lvl w:ilvl="0">
      <w:lvlJc w:val="left"/>
      <w:lvlText w:val="(%1)"/>
      <w:numFmt w:val="lowerLetter"/>
      <w:start w:val="1"/>
    </w:lvl>
  </w:abstractNum>
  <w:abstractNum w:abstractNumId="93">
    <w:nsid w:val="29BACF25"/>
    <w:multiLevelType w:val="hybridMultilevel"/>
    <w:lvl w:ilvl="0">
      <w:lvlJc w:val="left"/>
      <w:lvlText w:val="(%1)"/>
      <w:numFmt w:val="lowerRoman"/>
      <w:start w:val="1"/>
    </w:lvl>
  </w:abstractNum>
  <w:abstractNum w:abstractNumId="94">
    <w:nsid w:val="5D5BABB3"/>
    <w:multiLevelType w:val="hybridMultilevel"/>
    <w:lvl w:ilvl="0">
      <w:lvlJc w:val="left"/>
      <w:lvlText w:val="*"/>
      <w:numFmt w:val="bullet"/>
      <w:start w:val="1"/>
    </w:lvl>
  </w:abstractNum>
  <w:abstractNum w:abstractNumId="95">
    <w:nsid w:val="51BF6B48"/>
    <w:multiLevelType w:val="hybridMultilevel"/>
    <w:lvl w:ilvl="0">
      <w:lvlJc w:val="left"/>
      <w:lvlText w:val="%1."/>
      <w:numFmt w:val="decimal"/>
      <w:start w:val="1"/>
    </w:lvl>
  </w:abstractNum>
  <w:abstractNum w:abstractNumId="96">
    <w:nsid w:val="7E0F6384"/>
    <w:multiLevelType w:val="hybridMultilevel"/>
    <w:lvl w:ilvl="0">
      <w:lvlJc w:val="left"/>
      <w:lvlText w:val="%1."/>
      <w:numFmt w:val="decimal"/>
      <w:start w:val="2"/>
    </w:lvl>
  </w:abstractNum>
  <w:abstractNum w:abstractNumId="97">
    <w:nsid w:val="2B4B8B53"/>
    <w:multiLevelType w:val="hybridMultilevel"/>
    <w:lvl w:ilvl="0">
      <w:lvlJc w:val="left"/>
      <w:lvlText w:val="%1."/>
      <w:numFmt w:val="decimal"/>
      <w:start w:val="3"/>
    </w:lvl>
  </w:abstractNum>
  <w:abstractNum w:abstractNumId="98">
    <w:nsid w:val="72E3413A"/>
    <w:multiLevelType w:val="hybridMultilevel"/>
    <w:lvl w:ilvl="0">
      <w:lvlJc w:val="left"/>
      <w:lvlText w:val="%1."/>
      <w:numFmt w:val="decimal"/>
      <w:start w:val="4"/>
    </w:lvl>
  </w:abstractNum>
  <w:abstractNum w:abstractNumId="99">
    <w:nsid w:val="116AE494"/>
    <w:multiLevelType w:val="hybridMultilevel"/>
    <w:lvl w:ilvl="0">
      <w:lvlJc w:val="left"/>
      <w:lvlText w:val="%1."/>
      <w:numFmt w:val="decimal"/>
      <w:start w:val="5"/>
    </w:lvl>
  </w:abstractNum>
  <w:abstractNum w:abstractNumId="100">
    <w:nsid w:val="3494B2FB"/>
    <w:multiLevelType w:val="hybridMultilevel"/>
    <w:lvl w:ilvl="0">
      <w:lvlJc w:val="left"/>
      <w:lvlText w:val="%1."/>
      <w:numFmt w:val="decimal"/>
      <w:start w:val="6"/>
    </w:lvl>
  </w:abstractNum>
  <w:abstractNum w:abstractNumId="101">
    <w:nsid w:val="B13A31"/>
    <w:multiLevelType w:val="hybridMultilevel"/>
    <w:lvl w:ilvl="0">
      <w:lvlJc w:val="left"/>
      <w:lvlText w:val="1"/>
      <w:numFmt w:val="bullet"/>
      <w:start w:val="1"/>
    </w:lvl>
  </w:abstractNum>
  <w:abstractNum w:abstractNumId="102">
    <w:nsid w:val="64429599"/>
    <w:multiLevelType w:val="hybridMultilevel"/>
    <w:lvl w:ilvl="0">
      <w:lvlJc w:val="left"/>
      <w:lvlText w:val="2"/>
      <w:numFmt w:val="bullet"/>
      <w:start w:val="1"/>
    </w:lvl>
  </w:abstractNum>
  <w:abstractNum w:abstractNumId="103">
    <w:nsid w:val="631F1690"/>
    <w:multiLevelType w:val="hybridMultilevel"/>
    <w:lvl w:ilvl="0">
      <w:lvlJc w:val="left"/>
      <w:lvlText w:val="3"/>
      <w:numFmt w:val="bullet"/>
      <w:start w:val="1"/>
    </w:lvl>
  </w:abstractNum>
  <w:abstractNum w:abstractNumId="104">
    <w:nsid w:val="25973E32"/>
    <w:multiLevelType w:val="hybridMultilevel"/>
    <w:lvl w:ilvl="0">
      <w:lvlJc w:val="left"/>
      <w:lvlText w:val="%1."/>
      <w:numFmt w:val="decimal"/>
      <w:start w:val="7"/>
    </w:lvl>
  </w:abstractNum>
  <w:abstractNum w:abstractNumId="105">
    <w:nsid w:val="EAD6F57"/>
    <w:multiLevelType w:val="hybridMultilevel"/>
    <w:lvl w:ilvl="0">
      <w:lvlJc w:val="left"/>
      <w:lvlText w:val="%1)"/>
      <w:numFmt w:val="lowerLetter"/>
      <w:start w:val="1"/>
    </w:lvl>
  </w:abstractNum>
  <w:abstractNum w:abstractNumId="106">
    <w:nsid w:val="6EC9D844"/>
    <w:multiLevelType w:val="hybridMultilevel"/>
    <w:lvl w:ilvl="0">
      <w:lvlJc w:val="left"/>
      <w:lvlText w:val="%1)"/>
      <w:numFmt w:val="lowerLetter"/>
      <w:start w:val="2"/>
    </w:lvl>
  </w:abstractNum>
  <w:abstractNum w:abstractNumId="107">
    <w:nsid w:val="5C49EAEE"/>
    <w:multiLevelType w:val="hybridMultilevel"/>
    <w:lvl w:ilvl="0">
      <w:lvlJc w:val="left"/>
      <w:lvlText w:val="%1."/>
      <w:numFmt w:val="decimal"/>
      <w:start w:val="8"/>
    </w:lvl>
  </w:abstractNum>
  <w:abstractNum w:abstractNumId="108">
    <w:nsid w:val="64AF49B"/>
    <w:multiLevelType w:val="hybridMultilevel"/>
    <w:lvl w:ilvl="0">
      <w:lvlJc w:val="left"/>
      <w:lvlText w:val="%1."/>
      <w:numFmt w:val="decimal"/>
      <w:start w:val="9"/>
    </w:lvl>
  </w:abstractNum>
  <w:abstractNum w:abstractNumId="109">
    <w:nsid w:val="397C46BC"/>
    <w:multiLevelType w:val="hybridMultilevel"/>
    <w:lvl w:ilvl="0">
      <w:lvlJc w:val="left"/>
      <w:lvlText w:val="%1."/>
      <w:numFmt w:val="decimal"/>
      <w:start w:val="10"/>
    </w:lvl>
  </w:abstractNum>
  <w:abstractNum w:abstractNumId="110">
    <w:nsid w:val="7E448DE9"/>
    <w:multiLevelType w:val="hybridMultilevel"/>
    <w:lvl w:ilvl="0">
      <w:lvlJc w:val="left"/>
      <w:lvlText w:val="%1."/>
      <w:numFmt w:val="decimal"/>
      <w:start w:val="11"/>
    </w:lvl>
  </w:abstractNum>
  <w:abstractNum w:abstractNumId="111">
    <w:nsid w:val="5A9CC3E5"/>
    <w:multiLevelType w:val="hybridMultilevel"/>
    <w:lvl w:ilvl="0">
      <w:lvlJc w:val="left"/>
      <w:lvlText w:val="%1)"/>
      <w:numFmt w:val="lowerLetter"/>
      <w:start w:val="1"/>
    </w:lvl>
  </w:abstractNum>
  <w:abstractNum w:abstractNumId="112">
    <w:nsid w:val="1AFE3625"/>
    <w:multiLevelType w:val="hybridMultilevel"/>
    <w:lvl w:ilvl="0">
      <w:lvlJc w:val="left"/>
      <w:lvlText w:val="%1)"/>
      <w:numFmt w:val="lowerLetter"/>
      <w:start w:val="2"/>
    </w:lvl>
  </w:abstractNum>
  <w:abstractNum w:abstractNumId="113">
    <w:nsid w:val="3CA88ECF"/>
    <w:multiLevelType w:val="hybridMultilevel"/>
    <w:lvl w:ilvl="0">
      <w:lvlJc w:val="left"/>
      <w:lvlText w:val="%1."/>
      <w:numFmt w:val="decimal"/>
      <w:start w:val="12"/>
    </w:lvl>
  </w:abstractNum>
  <w:abstractNum w:abstractNumId="114">
    <w:nsid w:val="6EBE4208"/>
    <w:multiLevelType w:val="hybridMultilevel"/>
    <w:lvl w:ilvl="0">
      <w:lvlJc w:val="left"/>
      <w:lvlText w:val="%1)"/>
      <w:numFmt w:val="lowerLetter"/>
      <w:start w:val="1"/>
    </w:lvl>
  </w:abstractNum>
  <w:abstractNum w:abstractNumId="115">
    <w:nsid w:val="C058DF5"/>
    <w:multiLevelType w:val="hybridMultilevel"/>
    <w:lvl w:ilvl="0">
      <w:lvlJc w:val="left"/>
      <w:lvlText w:val="%1)"/>
      <w:numFmt w:val="lowerLetter"/>
      <w:start w:val="2"/>
    </w:lvl>
  </w:abstractNum>
  <w:abstractNum w:abstractNumId="116">
    <w:nsid w:val="CBE5BE9"/>
    <w:multiLevelType w:val="hybridMultilevel"/>
    <w:lvl w:ilvl="0">
      <w:lvlJc w:val="left"/>
      <w:lvlText w:val="%1."/>
      <w:numFmt w:val="decimal"/>
      <w:start w:val="13"/>
    </w:lvl>
  </w:abstractNum>
  <w:abstractNum w:abstractNumId="117">
    <w:nsid w:val="3102BBE2"/>
    <w:multiLevelType w:val="hybridMultilevel"/>
    <w:lvl w:ilvl="0">
      <w:lvlJc w:val="left"/>
      <w:lvlText w:val="%1."/>
      <w:numFmt w:val="decimal"/>
      <w:start w:val="14"/>
    </w:lvl>
  </w:abstractNum>
  <w:abstractNum w:abstractNumId="118">
    <w:nsid w:val="26A02C5E"/>
    <w:multiLevelType w:val="hybridMultilevel"/>
    <w:lvl w:ilvl="0">
      <w:lvlJc w:val="left"/>
      <w:lvlText w:val="%1."/>
      <w:numFmt w:val="decimal"/>
      <w:start w:val="15"/>
    </w:lvl>
  </w:abstractNum>
  <w:abstractNum w:abstractNumId="119">
    <w:nsid w:val="541C8153"/>
    <w:multiLevelType w:val="hybridMultilevel"/>
    <w:lvl w:ilvl="0">
      <w:lvlJc w:val="left"/>
      <w:lvlText w:val="%1)"/>
      <w:numFmt w:val="lowerLetter"/>
      <w:start w:val="1"/>
    </w:lvl>
  </w:abstractNum>
  <w:abstractNum w:abstractNumId="120">
    <w:nsid w:val="67906F60"/>
    <w:multiLevelType w:val="hybridMultilevel"/>
    <w:lvl w:ilvl="0">
      <w:lvlJc w:val="left"/>
      <w:lvlText w:val="•"/>
      <w:numFmt w:val="bullet"/>
      <w:start w:val="1"/>
    </w:lvl>
  </w:abstractNum>
  <w:abstractNum w:abstractNumId="121">
    <w:nsid w:val="10DB9DAA"/>
    <w:multiLevelType w:val="hybridMultilevel"/>
    <w:lvl w:ilvl="0">
      <w:lvlJc w:val="left"/>
      <w:lvlText w:val="%1)"/>
      <w:numFmt w:val="lowerLetter"/>
      <w:start w:val="2"/>
    </w:lvl>
  </w:abstractNum>
  <w:abstractNum w:abstractNumId="122">
    <w:nsid w:val="697D2D2"/>
    <w:multiLevelType w:val="hybridMultilevel"/>
    <w:lvl w:ilvl="0">
      <w:lvlJc w:val="left"/>
      <w:lvlText w:val="%1)"/>
      <w:numFmt w:val="lowerLetter"/>
      <w:start w:val="3"/>
    </w:lvl>
  </w:abstractNum>
  <w:abstractNum w:abstractNumId="123">
    <w:nsid w:val="6D68AB2"/>
    <w:multiLevelType w:val="hybridMultilevel"/>
    <w:lvl w:ilvl="0">
      <w:lvlJc w:val="left"/>
      <w:lvlText w:val="%1."/>
      <w:numFmt w:val="decimal"/>
      <w:start w:val="16"/>
    </w:lvl>
  </w:abstractNum>
  <w:abstractNum w:abstractNumId="124">
    <w:nsid w:val="3A966CD0"/>
    <w:multiLevelType w:val="hybridMultilevel"/>
    <w:lvl w:ilvl="0">
      <w:lvlJc w:val="left"/>
      <w:lvlText w:val="%1)"/>
      <w:numFmt w:val="lowerLetter"/>
      <w:start w:val="1"/>
    </w:lvl>
  </w:abstractNum>
  <w:abstractNum w:abstractNumId="125">
    <w:nsid w:val="63F37E85"/>
    <w:multiLevelType w:val="hybridMultilevel"/>
    <w:lvl w:ilvl="0">
      <w:lvlJc w:val="left"/>
      <w:lvlText w:val="%1)"/>
      <w:numFmt w:val="lowerLetter"/>
      <w:start w:val="2"/>
    </w:lvl>
  </w:abstractNum>
  <w:abstractNum w:abstractNumId="126">
    <w:nsid w:val="5895F5FA"/>
    <w:multiLevelType w:val="hybridMultilevel"/>
    <w:lvl w:ilvl="0">
      <w:lvlJc w:val="left"/>
      <w:lvlText w:val="%1)"/>
      <w:numFmt w:val="lowerLetter"/>
      <w:start w:val="3"/>
    </w:lvl>
  </w:abstractNum>
  <w:abstractNum w:abstractNumId="127">
    <w:nsid w:val="38A5D054"/>
    <w:multiLevelType w:val="hybridMultilevel"/>
    <w:lvl w:ilvl="0">
      <w:lvlJc w:val="left"/>
      <w:lvlText w:val="%1."/>
      <w:numFmt w:val="decimal"/>
      <w:start w:val="17"/>
    </w:lvl>
  </w:abstractNum>
  <w:abstractNum w:abstractNumId="128">
    <w:nsid w:val="F3F09D8"/>
    <w:multiLevelType w:val="hybridMultilevel"/>
    <w:lvl w:ilvl="0">
      <w:lvlJc w:val="left"/>
      <w:lvlText w:val="%1)"/>
      <w:numFmt w:val="lowerLetter"/>
      <w:start w:val="2"/>
    </w:lvl>
  </w:abstractNum>
  <w:abstractNum w:abstractNumId="129">
    <w:nsid w:val="4B793735"/>
    <w:multiLevelType w:val="hybridMultilevel"/>
    <w:lvl w:ilvl="0">
      <w:lvlJc w:val="left"/>
      <w:lvlText w:val="%1."/>
      <w:numFmt w:val="decimal"/>
      <w:start w:val="18"/>
    </w:lvl>
  </w:abstractNum>
  <w:abstractNum w:abstractNumId="130">
    <w:nsid w:val="4A10B4E8"/>
    <w:multiLevelType w:val="hybridMultilevel"/>
    <w:lvl w:ilvl="0">
      <w:lvlJc w:val="left"/>
      <w:lvlText w:val="•"/>
      <w:numFmt w:val="bullet"/>
      <w:start w:val="1"/>
    </w:lvl>
  </w:abstractNum>
  <w:abstractNum w:abstractNumId="131">
    <w:nsid w:val="43D3BCD4"/>
    <w:multiLevelType w:val="hybridMultilevel"/>
    <w:lvl w:ilvl="0">
      <w:lvlJc w:val="left"/>
      <w:lvlText w:val="%1."/>
      <w:numFmt w:val="decimal"/>
      <w:start w:val="18"/>
    </w:lvl>
    <w:lvl w:ilvl="1">
      <w:lvlJc w:val="left"/>
      <w:lvlText w:val="•"/>
      <w:numFmt w:val="bullet"/>
      <w:start w:val="1"/>
    </w:lvl>
  </w:abstractNum>
  <w:abstractNum w:abstractNumId="132">
    <w:nsid w:val="4C2A7166"/>
    <w:multiLevelType w:val="hybridMultilevel"/>
    <w:lvl w:ilvl="0">
      <w:lvlJc w:val="left"/>
      <w:lvlText w:val="•"/>
      <w:numFmt w:val="bullet"/>
      <w:start w:val="1"/>
    </w:lvl>
  </w:abstractNum>
  <w:abstractNum w:abstractNumId="133">
    <w:nsid w:val="2E534A82"/>
    <w:multiLevelType w:val="hybridMultilevel"/>
    <w:lvl w:ilvl="0">
      <w:lvlJc w:val="left"/>
      <w:lvlText w:val="%1."/>
      <w:numFmt w:val="decimal"/>
      <w:start w:val="1"/>
    </w:lvl>
  </w:abstractNum>
  <w:abstractNum w:abstractNumId="134">
    <w:nsid w:val="26F2D364"/>
    <w:multiLevelType w:val="hybridMultilevel"/>
    <w:lvl w:ilvl="0">
      <w:lvlJc w:val="left"/>
      <w:lvlText w:val="%1."/>
      <w:numFmt w:val="decimal"/>
      <w:start w:val="2"/>
    </w:lvl>
  </w:abstractNum>
  <w:abstractNum w:abstractNumId="135">
    <w:nsid w:val="71C1AF98"/>
    <w:multiLevelType w:val="hybridMultilevel"/>
    <w:lvl w:ilvl="0">
      <w:lvlJc w:val="left"/>
      <w:lvlText w:val="%1."/>
      <w:numFmt w:val="decimal"/>
      <w:start w:val="3"/>
    </w:lvl>
  </w:abstractNum>
  <w:abstractNum w:abstractNumId="136">
    <w:nsid w:val="3D00B9D9"/>
    <w:multiLevelType w:val="hybridMultilevel"/>
    <w:lvl w:ilvl="0">
      <w:lvlJc w:val="left"/>
      <w:lvlText w:val="3.%1."/>
      <w:numFmt w:val="decimal"/>
      <w:start w:val="1"/>
    </w:lvl>
  </w:abstractNum>
  <w:abstractNum w:abstractNumId="137">
    <w:nsid w:val="15BCABA8"/>
    <w:multiLevelType w:val="hybridMultilevel"/>
    <w:lvl w:ilvl="0">
      <w:lvlJc w:val="left"/>
      <w:lvlText w:val="%1)"/>
      <w:numFmt w:val="lowerLetter"/>
      <w:start w:val="1"/>
    </w:lvl>
  </w:abstractNum>
  <w:abstractNum w:abstractNumId="138">
    <w:nsid w:val="4E0B9A87"/>
    <w:multiLevelType w:val="hybridMultilevel"/>
    <w:lvl w:ilvl="0">
      <w:lvlJc w:val="left"/>
      <w:lvlText w:val="%1)"/>
      <w:numFmt w:val="lowerLetter"/>
      <w:start w:val="2"/>
    </w:lvl>
  </w:abstractNum>
  <w:abstractNum w:abstractNumId="139">
    <w:nsid w:val="434BAE75"/>
    <w:multiLevelType w:val="hybridMultilevel"/>
    <w:lvl w:ilvl="0">
      <w:lvlJc w:val="left"/>
      <w:lvlText w:val="•"/>
      <w:numFmt w:val="bullet"/>
      <w:start w:val="1"/>
    </w:lvl>
  </w:abstractNum>
  <w:abstractNum w:abstractNumId="140">
    <w:nsid w:val="4F38F265"/>
    <w:multiLevelType w:val="hybridMultilevel"/>
    <w:lvl w:ilvl="0">
      <w:lvlJc w:val="left"/>
      <w:lvlText w:val="%1)"/>
      <w:numFmt w:val="lowerLetter"/>
      <w:start w:val="3"/>
    </w:lvl>
  </w:abstractNum>
  <w:abstractNum w:abstractNumId="141">
    <w:nsid w:val="4C502870"/>
    <w:multiLevelType w:val="hybridMultilevel"/>
    <w:lvl w:ilvl="0">
      <w:lvlJc w:val="left"/>
      <w:lvlText w:val="%1)"/>
      <w:numFmt w:val="lowerLetter"/>
      <w:start w:val="4"/>
    </w:lvl>
  </w:abstractNum>
  <w:abstractNum w:abstractNumId="142">
    <w:nsid w:val="1DE8725A"/>
    <w:multiLevelType w:val="hybridMultilevel"/>
    <w:lvl w:ilvl="0">
      <w:lvlJc w:val="left"/>
      <w:lvlText w:val="%1)"/>
      <w:numFmt w:val="lowerLetter"/>
      <w:start w:val="5"/>
    </w:lvl>
  </w:abstractNum>
  <w:abstractNum w:abstractNumId="143">
    <w:nsid w:val="6A37288A"/>
    <w:multiLevelType w:val="hybridMultilevel"/>
    <w:lvl w:ilvl="0">
      <w:lvlJc w:val="left"/>
      <w:lvlText w:val="%1)"/>
      <w:numFmt w:val="lowerLetter"/>
      <w:start w:val="6"/>
    </w:lvl>
  </w:abstractNum>
  <w:abstractNum w:abstractNumId="144">
    <w:nsid w:val="8F8B73F"/>
    <w:multiLevelType w:val="hybridMultilevel"/>
    <w:lvl w:ilvl="0">
      <w:lvlJc w:val="left"/>
      <w:lvlText w:val="%1)"/>
      <w:numFmt w:val="lowerLetter"/>
      <w:start w:val="7"/>
    </w:lvl>
  </w:abstractNum>
  <w:abstractNum w:abstractNumId="145">
    <w:nsid w:val="CA6B462"/>
    <w:multiLevelType w:val="hybridMultilevel"/>
    <w:lvl w:ilvl="0">
      <w:lvlJc w:val="left"/>
      <w:lvlText w:val="%1)"/>
      <w:numFmt w:val="lowerLetter"/>
      <w:start w:val="8"/>
    </w:lvl>
  </w:abstractNum>
  <w:abstractNum w:abstractNumId="146">
    <w:nsid w:val="763CB680"/>
    <w:multiLevelType w:val="hybridMultilevel"/>
    <w:lvl w:ilvl="0">
      <w:lvlJc w:val="left"/>
      <w:lvlText w:val="%1)"/>
      <w:numFmt w:val="lowerRoman"/>
      <w:start w:val="1"/>
    </w:lvl>
  </w:abstractNum>
  <w:abstractNum w:abstractNumId="147">
    <w:nsid w:val="15B71329"/>
    <w:multiLevelType w:val="hybridMultilevel"/>
    <w:lvl w:ilvl="0">
      <w:lvlJc w:val="left"/>
      <w:lvlText w:val="%1)"/>
      <w:numFmt w:val="lowerLetter"/>
      <w:start w:val="10"/>
    </w:lvl>
  </w:abstractNum>
  <w:abstractNum w:abstractNumId="148">
    <w:nsid w:val="3DA97044"/>
    <w:multiLevelType w:val="hybridMultilevel"/>
    <w:lvl w:ilvl="0">
      <w:lvlJc w:val="left"/>
      <w:lvlText w:val="•"/>
      <w:numFmt w:val="bullet"/>
      <w:start w:val="1"/>
    </w:lvl>
  </w:abstractNum>
  <w:abstractNum w:abstractNumId="149">
    <w:nsid w:val="1CDCE2DE"/>
    <w:multiLevelType w:val="hybridMultilevel"/>
    <w:lvl w:ilvl="0">
      <w:lvlJc w:val="left"/>
      <w:lvlText w:val="%1)"/>
      <w:numFmt w:val="lowerLetter"/>
      <w:start w:val="11"/>
    </w:lvl>
  </w:abstractNum>
  <w:abstractNum w:abstractNumId="150">
    <w:nsid w:val="69D3947C"/>
    <w:multiLevelType w:val="hybridMultilevel"/>
    <w:lvl w:ilvl="0">
      <w:lvlJc w:val="left"/>
      <w:lvlText w:val="•"/>
      <w:numFmt w:val="bullet"/>
      <w:start w:val="1"/>
    </w:lvl>
  </w:abstractNum>
  <w:abstractNum w:abstractNumId="151">
    <w:nsid w:val="2539DFA5"/>
    <w:multiLevelType w:val="hybridMultilevel"/>
    <w:lvl w:ilvl="0">
      <w:lvlJc w:val="left"/>
      <w:lvlText w:val="%1)"/>
      <w:numFmt w:val="lowerLetter"/>
      <w:start w:val="12"/>
    </w:lvl>
  </w:abstractNum>
  <w:abstractNum w:abstractNumId="152">
    <w:nsid w:val="2DB88089"/>
    <w:multiLevelType w:val="hybridMultilevel"/>
    <w:lvl w:ilvl="0">
      <w:lvlJc w:val="left"/>
      <w:lvlText w:val="%1)"/>
      <w:numFmt w:val="lowerLetter"/>
      <w:start w:val="13"/>
    </w:lvl>
  </w:abstractNum>
  <w:abstractNum w:abstractNumId="153">
    <w:nsid w:val="706B674E"/>
    <w:multiLevelType w:val="hybridMultilevel"/>
    <w:lvl w:ilvl="0">
      <w:lvlJc w:val="left"/>
      <w:lvlText w:val="%1)"/>
      <w:numFmt w:val="lowerLetter"/>
      <w:start w:val="14"/>
    </w:lvl>
  </w:abstractNum>
  <w:abstractNum w:abstractNumId="154">
    <w:nsid w:val="2C106A57"/>
    <w:multiLevelType w:val="hybridMultilevel"/>
    <w:lvl w:ilvl="0">
      <w:lvlJc w:val="left"/>
      <w:lvlText w:val="%1)"/>
      <w:numFmt w:val="lowerLetter"/>
      <w:start w:val="15"/>
    </w:lvl>
  </w:abstractNum>
  <w:abstractNum w:abstractNumId="155">
    <w:nsid w:val="684EED59"/>
    <w:multiLevelType w:val="hybridMultilevel"/>
    <w:lvl w:ilvl="0">
      <w:lvlJc w:val="left"/>
      <w:lvlText w:val="%1)"/>
      <w:numFmt w:val="lowerLetter"/>
      <w:start w:val="16"/>
    </w:lvl>
  </w:abstractNum>
  <w:abstractNum w:abstractNumId="156">
    <w:nsid w:val="545EE5D3"/>
    <w:multiLevelType w:val="hybridMultilevel"/>
    <w:lvl w:ilvl="0">
      <w:lvlJc w:val="left"/>
      <w:lvlText w:val="•"/>
      <w:numFmt w:val="bullet"/>
      <w:start w:val="1"/>
    </w:lvl>
  </w:abstractNum>
  <w:abstractNum w:abstractNumId="157">
    <w:nsid w:val="4A66051"/>
    <w:multiLevelType w:val="hybridMultilevel"/>
    <w:lvl w:ilvl="0">
      <w:lvlJc w:val="left"/>
      <w:lvlText w:val="%1)"/>
      <w:numFmt w:val="lowerLetter"/>
      <w:start w:val="1"/>
    </w:lvl>
  </w:abstractNum>
  <w:abstractNum w:abstractNumId="158">
    <w:nsid w:val="20F4BDAD"/>
    <w:multiLevelType w:val="hybridMultilevel"/>
    <w:lvl w:ilvl="0">
      <w:lvlJc w:val="left"/>
      <w:lvlText w:val="•"/>
      <w:numFmt w:val="bullet"/>
      <w:start w:val="1"/>
    </w:lvl>
  </w:abstractNum>
  <w:abstractNum w:abstractNumId="159">
    <w:nsid w:val="639DEFAC"/>
    <w:multiLevelType w:val="hybridMultilevel"/>
    <w:lvl w:ilvl="0">
      <w:lvlJc w:val="left"/>
      <w:lvlText w:val="%1)"/>
      <w:numFmt w:val="lowerLetter"/>
      <w:start w:val="2"/>
    </w:lvl>
  </w:abstractNum>
  <w:abstractNum w:abstractNumId="160">
    <w:nsid w:val="501F9786"/>
    <w:multiLevelType w:val="hybridMultilevel"/>
    <w:lvl w:ilvl="0">
      <w:lvlJc w:val="left"/>
      <w:lvlText w:val="%1."/>
      <w:numFmt w:val="decimal"/>
      <w:start w:val="4"/>
    </w:lvl>
  </w:abstractNum>
  <w:abstractNum w:abstractNumId="161">
    <w:nsid w:val="6B057295"/>
    <w:multiLevelType w:val="hybridMultilevel"/>
    <w:lvl w:ilvl="0">
      <w:lvlJc w:val="left"/>
      <w:lvlText w:val="%1)"/>
      <w:numFmt w:val="lowerLetter"/>
      <w:start w:val="1"/>
    </w:lvl>
  </w:abstractNum>
  <w:abstractNum w:abstractNumId="162">
    <w:nsid w:val="2771AC80"/>
    <w:multiLevelType w:val="hybridMultilevel"/>
    <w:lvl w:ilvl="0">
      <w:lvlJc w:val="left"/>
      <w:lvlText w:val="%1)"/>
      <w:numFmt w:val="lowerLetter"/>
      <w:start w:val="2"/>
    </w:lvl>
  </w:abstractNum>
  <w:abstractNum w:abstractNumId="163">
    <w:nsid w:val="1C4A08EC"/>
    <w:multiLevelType w:val="hybridMultilevel"/>
    <w:lvl w:ilvl="0">
      <w:lvlJc w:val="left"/>
      <w:lvlText w:val="%1."/>
      <w:numFmt w:val="decimal"/>
      <w:start w:val="5"/>
    </w:lvl>
  </w:abstractNum>
  <w:abstractNum w:abstractNumId="164">
    <w:nsid w:val="1958BD17"/>
    <w:multiLevelType w:val="hybridMultilevel"/>
    <w:lvl w:ilvl="0">
      <w:lvlJc w:val="left"/>
      <w:lvlText w:val="1"/>
      <w:numFmt w:val="bullet"/>
      <w:start w:val="1"/>
    </w:lvl>
  </w:abstractNum>
  <w:abstractNum w:abstractNumId="165">
    <w:nsid w:val="4E647FE4"/>
    <w:multiLevelType w:val="hybridMultilevel"/>
    <w:lvl w:ilvl="0">
      <w:lvlJc w:val="left"/>
      <w:lvlText w:val="2"/>
      <w:numFmt w:val="bullet"/>
      <w:start w:val="1"/>
    </w:lvl>
  </w:abstractNum>
  <w:abstractNum w:abstractNumId="166">
    <w:nsid w:val="E0BB885"/>
    <w:multiLevelType w:val="hybridMultilevel"/>
    <w:lvl w:ilvl="0">
      <w:lvlJc w:val="left"/>
      <w:lvlText w:val="3"/>
      <w:numFmt w:val="bullet"/>
      <w:start w:val="1"/>
    </w:lvl>
  </w:abstractNum>
  <w:abstractNum w:abstractNumId="167">
    <w:nsid w:val="565976F1"/>
    <w:multiLevelType w:val="hybridMultilevel"/>
    <w:lvl w:ilvl="0">
      <w:lvlJc w:val="left"/>
      <w:lvlText w:val="%1."/>
      <w:numFmt w:val="decimal"/>
      <w:start w:val="6"/>
    </w:lvl>
  </w:abstractNum>
  <w:abstractNum w:abstractNumId="168">
    <w:nsid w:val="64212B8C"/>
    <w:multiLevelType w:val="hybridMultilevel"/>
    <w:lvl w:ilvl="0">
      <w:lvlJc w:val="left"/>
      <w:lvlText w:val="%1)"/>
      <w:numFmt w:val="lowerLetter"/>
      <w:start w:val="1"/>
    </w:lvl>
  </w:abstractNum>
  <w:abstractNum w:abstractNumId="169">
    <w:nsid w:val="5C17530C"/>
    <w:multiLevelType w:val="hybridMultilevel"/>
    <w:lvl w:ilvl="0">
      <w:lvlJc w:val="left"/>
      <w:lvlText w:val="%1."/>
      <w:numFmt w:val="decimal"/>
      <w:start w:val="12"/>
    </w:lvl>
  </w:abstractNum>
  <w:abstractNum w:abstractNumId="170">
    <w:nsid w:val="19A52566"/>
    <w:multiLevelType w:val="hybridMultilevel"/>
    <w:lvl w:ilvl="0">
      <w:lvlJc w:val="left"/>
      <w:lvlText w:val="%1."/>
      <w:numFmt w:val="decimal"/>
      <w:start w:val="13"/>
    </w:lvl>
  </w:abstractNum>
  <w:abstractNum w:abstractNumId="171">
    <w:nsid w:val="335A1DF1"/>
    <w:multiLevelType w:val="hybridMultilevel"/>
    <w:lvl w:ilvl="0">
      <w:lvlJc w:val="left"/>
      <w:lvlText w:val="%1."/>
      <w:numFmt w:val="decimal"/>
      <w:start w:val="16"/>
    </w:lvl>
  </w:abstractNum>
  <w:abstractNum w:abstractNumId="172">
    <w:nsid w:val="28677B7C"/>
    <w:multiLevelType w:val="hybridMultilevel"/>
    <w:lvl w:ilvl="0">
      <w:lvlJc w:val="left"/>
      <w:lvlText w:val="%1."/>
      <w:numFmt w:val="decimal"/>
      <w:start w:val="18"/>
    </w:lvl>
  </w:abstractNum>
  <w:abstractNum w:abstractNumId="173">
    <w:nsid w:val="378D97C0"/>
    <w:multiLevelType w:val="hybridMultilevel"/>
    <w:lvl w:ilvl="0">
      <w:lvlJc w:val="left"/>
      <w:lvlText w:val="%1."/>
      <w:numFmt w:val="decimal"/>
      <w:start w:val="21"/>
    </w:lvl>
  </w:abstractNum>
  <w:abstractNum w:abstractNumId="174">
    <w:nsid w:val="1D91467C"/>
    <w:multiLevelType w:val="hybridMultilevel"/>
    <w:lvl w:ilvl="0">
      <w:lvlJc w:val="left"/>
      <w:lvlText w:val="%1."/>
      <w:numFmt w:val="decimal"/>
      <w:start w:val="23"/>
    </w:lvl>
  </w:abstractNum>
  <w:abstractNum w:abstractNumId="175">
    <w:nsid w:val="316032BB"/>
    <w:multiLevelType w:val="hybridMultilevel"/>
    <w:lvl w:ilvl="0">
      <w:lvlJc w:val="left"/>
      <w:lvlText w:val="%1."/>
      <w:numFmt w:val="decimal"/>
      <w:start w:val="24"/>
    </w:lvl>
  </w:abstractNum>
  <w:abstractNum w:abstractNumId="176">
    <w:nsid w:val="44344C22"/>
    <w:multiLevelType w:val="hybridMultilevel"/>
    <w:lvl w:ilvl="0">
      <w:lvlJc w:val="left"/>
      <w:lvlText w:val="%1)"/>
      <w:numFmt w:val="lowerLetter"/>
      <w:start w:val="1"/>
    </w:lvl>
  </w:abstractNum>
  <w:abstractNum w:abstractNumId="177">
    <w:nsid w:val="13CDFCFC"/>
    <w:multiLevelType w:val="hybridMultilevel"/>
    <w:lvl w:ilvl="0">
      <w:lvlJc w:val="left"/>
      <w:lvlText w:val="•"/>
      <w:numFmt w:val="bullet"/>
      <w:start w:val="1"/>
    </w:lvl>
  </w:abstractNum>
  <w:abstractNum w:abstractNumId="178">
    <w:nsid w:val="471745E4"/>
    <w:multiLevelType w:val="hybridMultilevel"/>
    <w:lvl w:ilvl="0">
      <w:lvlJc w:val="left"/>
      <w:lvlText w:val="%1)"/>
      <w:numFmt w:val="lowerLetter"/>
      <w:start w:val="2"/>
    </w:lvl>
  </w:abstractNum>
  <w:abstractNum w:abstractNumId="179">
    <w:nsid w:val="1DDBC66"/>
    <w:multiLevelType w:val="hybridMultilevel"/>
    <w:lvl w:ilvl="0">
      <w:lvlJc w:val="left"/>
      <w:lvlText w:val="%1)"/>
      <w:numFmt w:val="lowerLetter"/>
      <w:start w:val="3"/>
    </w:lvl>
  </w:abstractNum>
  <w:abstractNum w:abstractNumId="180">
    <w:nsid w:val="30AADFDA"/>
    <w:multiLevelType w:val="hybridMultilevel"/>
    <w:lvl w:ilvl="0">
      <w:lvlJc w:val="left"/>
      <w:lvlText w:val="%1."/>
      <w:numFmt w:val="decimal"/>
      <w:start w:val="25"/>
    </w:lvl>
  </w:abstractNum>
  <w:abstractNum w:abstractNumId="181">
    <w:nsid w:val="30EADA61"/>
    <w:multiLevelType w:val="hybridMultilevel"/>
    <w:lvl w:ilvl="0">
      <w:lvlJc w:val="left"/>
      <w:lvlText w:val="%1."/>
      <w:numFmt w:val="decimal"/>
      <w:start w:val="26"/>
    </w:lvl>
  </w:abstractNum>
  <w:abstractNum w:abstractNumId="182">
    <w:nsid w:val="27179C0B"/>
    <w:multiLevelType w:val="hybridMultilevel"/>
    <w:lvl w:ilvl="0">
      <w:lvlJc w:val="left"/>
      <w:lvlText w:val="%1."/>
      <w:numFmt w:val="decimal"/>
      <w:start w:val="26"/>
    </w:lvl>
    <w:lvl w:ilvl="1">
      <w:lvlJc w:val="left"/>
      <w:lvlText w:val="•"/>
      <w:numFmt w:val="bullet"/>
      <w:start w:val="1"/>
    </w:lvl>
  </w:abstractNum>
  <w:abstractNum w:abstractNumId="183">
    <w:nsid w:val="5E636063"/>
    <w:multiLevelType w:val="hybridMultilevel"/>
    <w:lvl w:ilvl="0">
      <w:lvlJc w:val="left"/>
      <w:lvlText w:val="%1."/>
      <w:numFmt w:val="decimal"/>
      <w:start w:val="29"/>
    </w:lvl>
  </w:abstractNum>
  <w:abstractNum w:abstractNumId="184">
    <w:nsid w:val="215641AF"/>
    <w:multiLevelType w:val="hybridMultilevel"/>
    <w:lvl w:ilvl="0">
      <w:lvlJc w:val="left"/>
      <w:lvlText w:val="%1."/>
      <w:numFmt w:val="decimal"/>
      <w:start w:val="32"/>
    </w:lvl>
  </w:abstractNum>
  <w:abstractNum w:abstractNumId="185">
    <w:nsid w:val="53280662"/>
    <w:multiLevelType w:val="hybridMultilevel"/>
    <w:lvl w:ilvl="0">
      <w:lvlJc w:val="left"/>
      <w:lvlText w:val="%1."/>
      <w:numFmt w:val="decimal"/>
      <w:start w:val="33"/>
    </w:lvl>
  </w:abstractNum>
  <w:abstractNum w:abstractNumId="186">
    <w:nsid w:val="46B24DBC"/>
    <w:multiLevelType w:val="hybridMultilevel"/>
    <w:lvl w:ilvl="0">
      <w:lvlJc w:val="left"/>
      <w:lvlText w:val="%1)"/>
      <w:numFmt w:val="lowerLetter"/>
      <w:start w:val="1"/>
    </w:lvl>
  </w:abstractNum>
  <w:abstractNum w:abstractNumId="187">
    <w:nsid w:val="75B52783"/>
    <w:multiLevelType w:val="hybridMultilevel"/>
    <w:lvl w:ilvl="0">
      <w:lvlJc w:val="left"/>
      <w:lvlText w:val="•"/>
      <w:numFmt w:val="bullet"/>
      <w:start w:val="1"/>
    </w:lvl>
  </w:abstractNum>
  <w:abstractNum w:abstractNumId="188">
    <w:nsid w:val="57CE66B4"/>
    <w:multiLevelType w:val="hybridMultilevel"/>
    <w:lvl w:ilvl="0">
      <w:lvlJc w:val="left"/>
      <w:lvlText w:val="%1)"/>
      <w:numFmt w:val="lowerLetter"/>
      <w:start w:val="2"/>
    </w:lvl>
  </w:abstractNum>
  <w:abstractNum w:abstractNumId="189">
    <w:nsid w:val="67A70B69"/>
    <w:multiLevelType w:val="hybridMultilevel"/>
    <w:lvl w:ilvl="0">
      <w:lvlJc w:val="left"/>
      <w:lvlText w:val="•"/>
      <w:numFmt w:val="bullet"/>
      <w:start w:val="1"/>
    </w:lvl>
  </w:abstractNum>
  <w:abstractNum w:abstractNumId="190">
    <w:nsid w:val="5953172F"/>
    <w:multiLevelType w:val="hybridMultilevel"/>
    <w:lvl w:ilvl="0">
      <w:lvlJc w:val="left"/>
      <w:lvlText w:val="%1)"/>
      <w:numFmt w:val="lowerLetter"/>
      <w:start w:val="3"/>
    </w:lvl>
  </w:abstractNum>
  <w:abstractNum w:abstractNumId="191">
    <w:nsid w:val="27EDFE3A"/>
    <w:multiLevelType w:val="hybridMultilevel"/>
    <w:lvl w:ilvl="0">
      <w:lvlJc w:val="left"/>
      <w:lvlText w:val="%1."/>
      <w:numFmt w:val="decimal"/>
      <w:start w:val="34"/>
    </w:lvl>
  </w:abstractNum>
  <w:abstractNum w:abstractNumId="192">
    <w:nsid w:val="52AC7DFF"/>
    <w:multiLevelType w:val="hybridMultilevel"/>
    <w:lvl w:ilvl="0">
      <w:lvlJc w:val="left"/>
      <w:lvlText w:val="%1)"/>
      <w:numFmt w:val="lowerLetter"/>
      <w:start w:val="2"/>
    </w:lvl>
  </w:abstractNum>
  <w:abstractNum w:abstractNumId="193">
    <w:nsid w:val="C4C3AF"/>
    <w:multiLevelType w:val="hybridMultilevel"/>
    <w:lvl w:ilvl="0">
      <w:lvlJc w:val="left"/>
      <w:lvlText w:val="•"/>
      <w:numFmt w:val="bullet"/>
      <w:start w:val="1"/>
    </w:lvl>
  </w:abstractNum>
  <w:abstractNum w:abstractNumId="194">
    <w:nsid w:val="44380727"/>
    <w:multiLevelType w:val="hybridMultilevel"/>
    <w:lvl w:ilvl="0">
      <w:lvlJc w:val="left"/>
      <w:lvlText w:val="•"/>
      <w:numFmt w:val="bullet"/>
      <w:start w:val="1"/>
    </w:lvl>
  </w:abstractNum>
  <w:abstractNum w:abstractNumId="195">
    <w:nsid w:val="6C053B16"/>
    <w:multiLevelType w:val="hybridMultilevel"/>
    <w:lvl w:ilvl="0">
      <w:lvlJc w:val="left"/>
      <w:lvlText w:val="(%1)"/>
      <w:numFmt w:val="lowerRoman"/>
      <w:start w:val="1"/>
    </w:lvl>
  </w:abstractNum>
  <w:abstractNum w:abstractNumId="196">
    <w:nsid w:val="4F294393"/>
    <w:multiLevelType w:val="hybridMultilevel"/>
    <w:lvl w:ilvl="0">
      <w:lvlJc w:val="left"/>
      <w:lvlText w:val="(%1)"/>
      <w:numFmt w:val="lowerRoman"/>
      <w:start w:val="2"/>
    </w:lvl>
  </w:abstractNum>
  <w:abstractNum w:abstractNumId="197">
    <w:nsid w:val="5243BFAC"/>
    <w:multiLevelType w:val="hybridMultilevel"/>
    <w:lvl w:ilvl="0">
      <w:lvlJc w:val="left"/>
      <w:lvlText w:val="(%1)"/>
      <w:numFmt w:val="lowerRoman"/>
      <w:start w:val="3"/>
    </w:lvl>
  </w:abstractNum>
  <w:abstractNum w:abstractNumId="198">
    <w:nsid w:val="425EB207"/>
    <w:multiLevelType w:val="hybridMultilevel"/>
    <w:lvl w:ilvl="0">
      <w:lvlJc w:val="left"/>
      <w:lvlText w:val="(%1)"/>
      <w:numFmt w:val="lowerRoman"/>
      <w:start w:val="1"/>
    </w:lvl>
  </w:abstractNum>
  <w:abstractNum w:abstractNumId="199">
    <w:nsid w:val="334A6F1F"/>
    <w:multiLevelType w:val="hybridMultilevel"/>
    <w:lvl w:ilvl="0">
      <w:lvlJc w:val="left"/>
      <w:lvlText w:val="(%1)"/>
      <w:numFmt w:val="lowerRoman"/>
      <w:start w:val="2"/>
    </w:lvl>
  </w:abstractNum>
  <w:abstractNum w:abstractNumId="200">
    <w:nsid w:val="2E5B12B8"/>
    <w:multiLevelType w:val="hybridMultilevel"/>
    <w:lvl w:ilvl="0">
      <w:lvlJc w:val="left"/>
      <w:lvlText w:val="%1."/>
      <w:numFmt w:val="decimal"/>
      <w:start w:val="35"/>
    </w:lvl>
  </w:abstractNum>
  <w:abstractNum w:abstractNumId="201">
    <w:nsid w:val="5C03D76D"/>
    <w:multiLevelType w:val="hybridMultilevel"/>
    <w:lvl w:ilvl="0">
      <w:lvlJc w:val="left"/>
      <w:lvlText w:val="%1)"/>
      <w:numFmt w:val="lowerLetter"/>
      <w:start w:val="1"/>
    </w:lvl>
  </w:abstractNum>
  <w:abstractNum w:abstractNumId="202">
    <w:nsid w:val="66A48D11"/>
    <w:multiLevelType w:val="hybridMultilevel"/>
    <w:lvl w:ilvl="0">
      <w:lvlJc w:val="left"/>
      <w:lvlText w:val="%1)"/>
      <w:numFmt w:val="lowerLetter"/>
      <w:start w:val="2"/>
    </w:lvl>
  </w:abstractNum>
  <w:abstractNum w:abstractNumId="203">
    <w:nsid w:val="56C28E34"/>
    <w:multiLevelType w:val="hybridMultilevel"/>
    <w:lvl w:ilvl="0">
      <w:lvlJc w:val="left"/>
      <w:lvlText w:val="%1."/>
      <w:numFmt w:val="decimal"/>
      <w:start w:val="36"/>
    </w:lvl>
  </w:abstractNum>
  <w:abstractNum w:abstractNumId="204">
    <w:nsid w:val="13916F2D"/>
    <w:multiLevelType w:val="hybridMultilevel"/>
    <w:lvl w:ilvl="0">
      <w:lvlJc w:val="left"/>
      <w:lvlText w:val="•"/>
      <w:numFmt w:val="bullet"/>
      <w:start w:val="1"/>
    </w:lvl>
  </w:abstractNum>
  <w:abstractNum w:abstractNumId="205">
    <w:nsid w:val="435D38D"/>
    <w:multiLevelType w:val="hybridMultilevel"/>
    <w:lvl w:ilvl="0">
      <w:lvlJc w:val="left"/>
      <w:lvlText w:val="•"/>
      <w:numFmt w:val="bullet"/>
      <w:start w:val="1"/>
    </w:lvl>
  </w:abstractNum>
  <w:abstractNum w:abstractNumId="206">
    <w:nsid w:val="822C0EF"/>
    <w:multiLevelType w:val="hybridMultilevel"/>
    <w:lvl w:ilvl="0">
      <w:lvlJc w:val="left"/>
      <w:lvlText w:val="%1."/>
      <w:numFmt w:val="decimal"/>
      <w:start w:val="37"/>
    </w:lvl>
  </w:abstractNum>
  <w:abstractNum w:abstractNumId="207">
    <w:nsid w:val="57C5BB4F"/>
    <w:multiLevelType w:val="hybridMultilevel"/>
    <w:lvl w:ilvl="0">
      <w:lvlJc w:val="left"/>
      <w:lvlText w:val="•"/>
      <w:numFmt w:val="bullet"/>
      <w:start w:val="1"/>
    </w:lvl>
  </w:abstractNum>
  <w:abstractNum w:abstractNumId="208">
    <w:nsid w:val="1803D089"/>
    <w:multiLevelType w:val="hybridMultilevel"/>
    <w:lvl w:ilvl="0">
      <w:lvlJc w:val="left"/>
      <w:lvlText w:val="•"/>
      <w:numFmt w:val="bullet"/>
      <w:start w:val="1"/>
    </w:lvl>
  </w:abstractNum>
  <w:abstractNum w:abstractNumId="209">
    <w:nsid w:val="4F3A06D4"/>
    <w:multiLevelType w:val="hybridMultilevel"/>
    <w:lvl w:ilvl="0">
      <w:lvlJc w:val="left"/>
      <w:lvlText w:val="(%1)"/>
      <w:numFmt w:val="decimal"/>
      <w:start w:val="2"/>
    </w:lvl>
  </w:abstractNum>
  <w:abstractNum w:abstractNumId="210">
    <w:nsid w:val="59A377B6"/>
    <w:multiLevelType w:val="hybridMultilevel"/>
    <w:lvl w:ilvl="0">
      <w:lvlJc w:val="left"/>
      <w:lvlText w:val="%1"/>
      <w:numFmt w:val="lowerLetter"/>
      <w:start w:val="1"/>
    </w:lvl>
    <w:lvl w:ilvl="1">
      <w:lvlJc w:val="left"/>
      <w:lvlText w:val="(%2)"/>
      <w:numFmt w:val="decimal"/>
      <w:start w:val="1"/>
    </w:lvl>
  </w:abstractNum>
  <w:abstractNum w:abstractNumId="211">
    <w:nsid w:val="48AEB063"/>
    <w:multiLevelType w:val="hybridMultilevel"/>
    <w:lvl w:ilvl="0">
      <w:lvlJc w:val="left"/>
      <w:lvlText w:val="(%1)"/>
      <w:numFmt w:val="lowerLetter"/>
      <w:start w:val="1"/>
    </w:lvl>
    <w:lvl w:ilvl="1">
      <w:lvlJc w:val="left"/>
      <w:lvlText w:val="%2"/>
      <w:numFmt w:val="decimal"/>
      <w:start w:val="1"/>
    </w:lvl>
  </w:abstractNum>
  <w:abstractNum w:abstractNumId="212">
    <w:nsid w:val="24E135"/>
    <w:multiLevelType w:val="hybridMultilevel"/>
    <w:lvl w:ilvl="0">
      <w:lvlJc w:val="left"/>
      <w:lvlText w:val="(%1)"/>
      <w:numFmt w:val="lowerLetter"/>
      <w:start w:val="1"/>
    </w:lvl>
  </w:abstractNum>
  <w:abstractNum w:abstractNumId="213">
    <w:nsid w:val="BB13C1"/>
    <w:multiLevelType w:val="hybridMultilevel"/>
    <w:lvl w:ilvl="0">
      <w:lvlJc w:val="left"/>
      <w:lvlText w:val="(%1)"/>
      <w:numFmt w:val="lowerLetter"/>
      <w:start w:val="35"/>
    </w:lvl>
    <w:lvl w:ilvl="1">
      <w:lvlJc w:val="left"/>
      <w:lvlText w:val="(%2)"/>
      <w:numFmt w:val="lowerLetter"/>
      <w:start w:val="3"/>
    </w:lvl>
  </w:abstractNum>
  <w:abstractNum w:abstractNumId="214">
    <w:nsid w:val="271210C7"/>
    <w:multiLevelType w:val="hybridMultilevel"/>
    <w:lvl w:ilvl="0">
      <w:lvlJc w:val="left"/>
      <w:lvlText w:val="(%1)"/>
      <w:numFmt w:val="lowerRoman"/>
      <w:start w:val="1"/>
    </w:lvl>
  </w:abstractNum>
  <w:abstractNum w:abstractNumId="215">
    <w:nsid w:val="217B22E4"/>
    <w:multiLevelType w:val="hybridMultilevel"/>
    <w:lvl w:ilvl="0">
      <w:lvlJc w:val="left"/>
      <w:lvlText w:val="(%1)"/>
      <w:numFmt w:val="lowerRoman"/>
      <w:start w:val="1"/>
    </w:lvl>
  </w:abstractNum>
  <w:abstractNum w:abstractNumId="216">
    <w:nsid w:val="53E31A24"/>
    <w:multiLevelType w:val="hybridMultilevel"/>
    <w:lvl w:ilvl="0">
      <w:lvlJc w:val="left"/>
      <w:lvlText w:val="(%1)"/>
      <w:numFmt w:val="lowerRoman"/>
      <w:start w:val="3"/>
    </w:lvl>
  </w:abstractNum>
  <w:abstractNum w:abstractNumId="217">
    <w:nsid w:val="6DC45E83"/>
    <w:multiLevelType w:val="hybridMultilevel"/>
    <w:lvl w:ilvl="0">
      <w:lvlJc w:val="left"/>
      <w:lvlText w:val="(%1)"/>
      <w:numFmt w:val="lowerRoman"/>
      <w:start w:val="2"/>
    </w:lvl>
  </w:abstractNum>
  <w:abstractNum w:abstractNumId="218">
    <w:nsid w:val="17304A67"/>
    <w:multiLevelType w:val="hybridMultilevel"/>
    <w:lvl w:ilvl="0">
      <w:lvlJc w:val="left"/>
      <w:lvlText w:val="(%1)"/>
      <w:numFmt w:val="lowerLetter"/>
      <w:start w:val="1"/>
    </w:lvl>
  </w:abstractNum>
  <w:abstractNum w:abstractNumId="219">
    <w:nsid w:val="2BB180D8"/>
    <w:multiLevelType w:val="hybridMultilevel"/>
    <w:lvl w:ilvl="0">
      <w:lvlJc w:val="left"/>
      <w:lvlText w:val="(%1)"/>
      <w:numFmt w:val="lowerLetter"/>
      <w:start w:val="1"/>
    </w:lvl>
  </w:abstractNum>
  <w:abstractNum w:abstractNumId="220">
    <w:nsid w:val="556B69ED"/>
    <w:multiLevelType w:val="hybridMultilevel"/>
    <w:lvl w:ilvl="0">
      <w:lvlJc w:val="left"/>
      <w:lvlText w:val="(%1)"/>
      <w:numFmt w:val="lowerLetter"/>
      <w:start w:val="5"/>
    </w:lvl>
  </w:abstractNum>
  <w:abstractNum w:abstractNumId="221">
    <w:nsid w:val="70836196"/>
    <w:multiLevelType w:val="hybridMultilevel"/>
    <w:lvl w:ilvl="0">
      <w:lvlJc w:val="left"/>
      <w:lvlText w:val="%1"/>
      <w:numFmt w:val="lowerLetter"/>
      <w:start w:val="1"/>
    </w:lvl>
    <w:lvl w:ilvl="1">
      <w:lvlJc w:val="left"/>
      <w:lvlText w:val="(%2)"/>
      <w:numFmt w:val="lowerLetter"/>
      <w:start w:val="1"/>
    </w:lvl>
  </w:abstractNum>
  <w:abstractNum w:abstractNumId="222">
    <w:nsid w:val="539F7F12"/>
    <w:multiLevelType w:val="hybridMultilevel"/>
    <w:lvl w:ilvl="0">
      <w:lvlJc w:val="left"/>
      <w:lvlText w:val="(%1)"/>
      <w:numFmt w:val="lowerLetter"/>
      <w:start w:val="1"/>
    </w:lvl>
    <w:lvl w:ilvl="1">
      <w:lvlJc w:val="left"/>
      <w:lvlText w:val="(%2)"/>
      <w:numFmt w:val="lowerLetter"/>
      <w:start w:val="4"/>
    </w:lvl>
  </w:abstractNum>
  <w:abstractNum w:abstractNumId="223">
    <w:nsid w:val="2817E7EC"/>
    <w:multiLevelType w:val="hybridMultilevel"/>
    <w:lvl w:ilvl="0">
      <w:lvlJc w:val="left"/>
      <w:lvlText w:val="%1"/>
      <w:numFmt w:val="lowerLetter"/>
      <w:start w:val="1"/>
    </w:lvl>
    <w:lvl w:ilvl="1">
      <w:lvlJc w:val="left"/>
      <w:lvlText w:val="(%2)"/>
      <w:numFmt w:val="lowerLetter"/>
      <w:start w:val="1"/>
    </w:lvl>
  </w:abstractNum>
  <w:abstractNum w:abstractNumId="224">
    <w:nsid w:val="71482545"/>
    <w:multiLevelType w:val="hybridMultilevel"/>
    <w:lvl w:ilvl="0">
      <w:lvlJc w:val="left"/>
      <w:lvlText w:val="(%1)"/>
      <w:numFmt w:val="lowerLetter"/>
      <w:start w:val="61"/>
    </w:lvl>
    <w:lvl w:ilvl="1">
      <w:lvlJc w:val="left"/>
      <w:lvlText w:val="(%2)"/>
      <w:numFmt w:val="lowerLetter"/>
      <w:start w:val="3"/>
    </w:lvl>
  </w:abstractNum>
  <w:abstractNum w:abstractNumId="225">
    <w:nsid w:val="17D78639"/>
    <w:multiLevelType w:val="hybridMultilevel"/>
    <w:lvl w:ilvl="0">
      <w:lvlJc w:val="left"/>
      <w:lvlText w:val="(%1)"/>
      <w:numFmt w:val="lowerLetter"/>
      <w:start w:val="4"/>
    </w:lvl>
  </w:abstractNum>
  <w:abstractNum w:abstractNumId="226">
    <w:nsid w:val="141D2302"/>
    <w:multiLevelType w:val="hybridMultilevel"/>
    <w:lvl w:ilvl="0">
      <w:lvlJc w:val="left"/>
      <w:lvlText w:val="(%1)"/>
      <w:numFmt w:val="lowerRoman"/>
      <w:start w:val="1"/>
    </w:lvl>
  </w:abstractNum>
  <w:abstractNum w:abstractNumId="227">
    <w:nsid w:val="407168D8"/>
    <w:multiLevelType w:val="hybridMultilevel"/>
    <w:lvl w:ilvl="0">
      <w:lvlJc w:val="left"/>
      <w:lvlText w:val="(%1)"/>
      <w:numFmt w:val="lowerRoman"/>
      <w:start w:val="1"/>
    </w:lvl>
  </w:abstractNum>
  <w:abstractNum w:abstractNumId="228">
    <w:nsid w:val="6A1B45E5"/>
    <w:multiLevelType w:val="hybridMultilevel"/>
    <w:lvl w:ilvl="0">
      <w:lvlJc w:val="left"/>
      <w:lvlText w:val="(%1)"/>
      <w:numFmt w:val="lowerLetter"/>
      <w:start w:val="1"/>
    </w:lvl>
  </w:abstractNum>
  <w:abstractNum w:abstractNumId="229">
    <w:nsid w:val="567BD50A"/>
    <w:multiLevelType w:val="hybridMultilevel"/>
    <w:lvl w:ilvl="0">
      <w:lvlJc w:val="left"/>
      <w:lvlText w:val="(%1)"/>
      <w:numFmt w:val="lowerLetter"/>
      <w:start w:val="4"/>
    </w:lvl>
  </w:abstractNum>
  <w:abstractNum w:abstractNumId="230">
    <w:nsid w:val="73BBD7F8"/>
    <w:multiLevelType w:val="hybridMultilevel"/>
    <w:lvl w:ilvl="0">
      <w:lvlJc w:val="left"/>
      <w:lvlText w:val="%1."/>
      <w:numFmt w:val="decimal"/>
      <w:start w:val="1"/>
    </w:lvl>
  </w:abstractNum>
  <w:abstractNum w:abstractNumId="231">
    <w:nsid w:val="1876589D"/>
    <w:multiLevelType w:val="hybridMultilevel"/>
    <w:lvl w:ilvl="0">
      <w:lvlJc w:val="left"/>
      <w:lvlText w:val="%1."/>
      <w:numFmt w:val="decimal"/>
      <w:start w:val="2"/>
    </w:lvl>
  </w:abstractNum>
  <w:abstractNum w:abstractNumId="232">
    <w:nsid w:val="327FAC77"/>
    <w:multiLevelType w:val="hybridMultilevel"/>
    <w:lvl w:ilvl="0">
      <w:lvlJc w:val="left"/>
      <w:lvlText w:val="%1."/>
      <w:numFmt w:val="decimal"/>
      <w:start w:val="3"/>
    </w:lvl>
  </w:abstractNum>
  <w:abstractNum w:abstractNumId="233">
    <w:nsid w:val="5A606509"/>
    <w:multiLevelType w:val="hybridMultilevel"/>
    <w:lvl w:ilvl="0">
      <w:lvlJc w:val="left"/>
      <w:lvlText w:val="(%1)"/>
      <w:numFmt w:val="lowerRoman"/>
      <w:start w:val="2"/>
    </w:lvl>
  </w:abstractNum>
  <w:abstractNum w:abstractNumId="234">
    <w:nsid w:val="6F38E6D1"/>
    <w:multiLevelType w:val="hybridMultilevel"/>
    <w:lvl w:ilvl="0">
      <w:lvlJc w:val="left"/>
      <w:lvlText w:val="(%1)"/>
      <w:numFmt w:val="lowerRoman"/>
      <w:start w:val="2"/>
    </w:lvl>
  </w:abstractNum>
  <w:abstractNum w:abstractNumId="235">
    <w:nsid w:val="46111BA5"/>
    <w:multiLevelType w:val="hybridMultilevel"/>
    <w:lvl w:ilvl="0">
      <w:lvlJc w:val="left"/>
      <w:lvlText w:val="%1."/>
      <w:numFmt w:val="decimal"/>
      <w:start w:val="4"/>
    </w:lvl>
  </w:abstractNum>
  <w:abstractNum w:abstractNumId="236">
    <w:nsid w:val="5E963896"/>
    <w:multiLevelType w:val="hybridMultilevel"/>
    <w:lvl w:ilvl="0">
      <w:lvlJc w:val="left"/>
      <w:lvlText w:val="%1."/>
      <w:numFmt w:val="decimal"/>
      <w:start w:val="5"/>
    </w:lvl>
  </w:abstractNum>
  <w:abstractNum w:abstractNumId="237">
    <w:nsid w:val="775BA7C1"/>
    <w:multiLevelType w:val="hybridMultilevel"/>
    <w:lvl w:ilvl="0">
      <w:lvlJc w:val="left"/>
      <w:lvlText w:val="%1."/>
      <w:numFmt w:val="decimal"/>
      <w:start w:val="6"/>
    </w:lvl>
  </w:abstractNum>
  <w:abstractNum w:abstractNumId="238">
    <w:nsid w:val="1DD6D6F4"/>
    <w:multiLevelType w:val="hybridMultilevel"/>
    <w:lvl w:ilvl="0">
      <w:lvlJc w:val="left"/>
      <w:lvlText w:val="%1."/>
      <w:numFmt w:val="decimal"/>
      <w:start w:val="7"/>
    </w:lvl>
  </w:abstractNum>
  <w:abstractNum w:abstractNumId="239">
    <w:nsid w:val="769A091F"/>
    <w:multiLevelType w:val="hybridMultilevel"/>
    <w:lvl w:ilvl="0">
      <w:lvlJc w:val="left"/>
      <w:lvlText w:val="(%1)"/>
      <w:numFmt w:val="decimal"/>
      <w:start w:val="5"/>
    </w:lvl>
  </w:abstractNum>
  <w:abstractNum w:abstractNumId="240">
    <w:nsid w:val="4695AE95"/>
    <w:multiLevelType w:val="hybridMultilevel"/>
    <w:lvl w:ilvl="0">
      <w:lvlJc w:val="left"/>
      <w:lvlText w:val="%1."/>
      <w:numFmt w:val="decimal"/>
      <w:start w:val="8"/>
    </w:lvl>
  </w:abstractNum>
  <w:abstractNum w:abstractNumId="241">
    <w:nsid w:val="777A4EAA"/>
    <w:multiLevelType w:val="hybridMultilevel"/>
    <w:lvl w:ilvl="0">
      <w:lvlJc w:val="left"/>
      <w:lvlText w:val="%1."/>
      <w:numFmt w:val="decimal"/>
      <w:start w:val="9"/>
    </w:lvl>
  </w:abstractNum>
  <w:abstractNum w:abstractNumId="242">
    <w:nsid w:val="3F48B982"/>
    <w:multiLevelType w:val="hybridMultilevel"/>
    <w:lvl w:ilvl="0">
      <w:lvlJc w:val="left"/>
      <w:lvlText w:val="%1."/>
      <w:numFmt w:val="decimal"/>
      <w:start w:val="10"/>
    </w:lvl>
  </w:abstractNum>
  <w:abstractNum w:abstractNumId="243">
    <w:nsid w:val="46BA8FCA"/>
    <w:multiLevelType w:val="hybridMultilevel"/>
    <w:lvl w:ilvl="0">
      <w:lvlJc w:val="left"/>
      <w:lvlText w:val="%1."/>
      <w:numFmt w:val="decimal"/>
      <w:start w:val="11"/>
    </w:lvl>
  </w:abstractNum>
  <w:abstractNum w:abstractNumId="244">
    <w:nsid w:val="7835626C"/>
    <w:multiLevelType w:val="hybridMultilevel"/>
    <w:lvl w:ilvl="0">
      <w:lvlJc w:val="left"/>
      <w:lvlText w:val="%1."/>
      <w:numFmt w:val="decimal"/>
      <w:start w:val="12"/>
    </w:lvl>
  </w:abstractNum>
  <w:abstractNum w:abstractNumId="245">
    <w:nsid w:val="665ACA49"/>
    <w:multiLevelType w:val="hybridMultilevel"/>
    <w:lvl w:ilvl="0">
      <w:lvlJc w:val="left"/>
      <w:lvlText w:val="%1."/>
      <w:numFmt w:val="decimal"/>
      <w:start w:val="13"/>
    </w:lvl>
    <w:lvl w:ilvl="1">
      <w:lvlJc w:val="left"/>
      <w:lvlText w:val="(%2)"/>
      <w:numFmt w:val="lowerLetter"/>
      <w:start w:val="1"/>
    </w:lvl>
  </w:abstractNum>
  <w:abstractNum w:abstractNumId="246">
    <w:nsid w:val="6835B2AE"/>
    <w:multiLevelType w:val="hybridMultilevel"/>
    <w:lvl w:ilvl="0">
      <w:lvlJc w:val="left"/>
      <w:lvlText w:val="%1"/>
      <w:numFmt w:val="decimal"/>
      <w:start w:val="1"/>
    </w:lvl>
    <w:lvl w:ilvl="1">
      <w:lvlJc w:val="left"/>
      <w:lvlText w:val="(%2)"/>
      <w:numFmt w:val="lowerLetter"/>
      <w:start w:val="3"/>
    </w:lvl>
  </w:abstractNum>
  <w:abstractNum w:abstractNumId="247">
    <w:nsid w:val="4C187C90"/>
    <w:multiLevelType w:val="hybridMultilevel"/>
    <w:lvl w:ilvl="0">
      <w:lvlJc w:val="left"/>
      <w:lvlText w:val="%1."/>
      <w:numFmt w:val="decimal"/>
      <w:start w:val="14"/>
    </w:lvl>
    <w:lvl w:ilvl="1">
      <w:lvlJc w:val="left"/>
      <w:lvlText w:val="%2"/>
      <w:numFmt w:val="lowerLetter"/>
      <w:start w:val="1"/>
    </w:lvl>
  </w:abstractNum>
  <w:abstractNum w:abstractNumId="248">
    <w:nsid w:val="541F28CD"/>
    <w:multiLevelType w:val="hybridMultilevel"/>
    <w:lvl w:ilvl="0">
      <w:lvlJc w:val="left"/>
      <w:lvlText w:val="%1."/>
      <w:numFmt w:val="decimal"/>
      <w:start w:val="15"/>
    </w:lvl>
  </w:abstractNum>
  <w:abstractNum w:abstractNumId="249">
    <w:nsid w:val="7F65FD16"/>
    <w:multiLevelType w:val="hybridMultilevel"/>
    <w:lvl w:ilvl="0">
      <w:lvlJc w:val="left"/>
      <w:lvlText w:val="%1."/>
      <w:numFmt w:val="decimal"/>
      <w:start w:val="16"/>
    </w:lvl>
    <w:lvl w:ilvl="1">
      <w:lvlJc w:val="left"/>
      <w:lvlText w:val="(%2)"/>
      <w:numFmt w:val="lowerLetter"/>
      <w:start w:val="1"/>
    </w:lvl>
  </w:abstractNum>
  <w:abstractNum w:abstractNumId="250">
    <w:nsid w:val="77C9FD68"/>
    <w:multiLevelType w:val="hybridMultilevel"/>
    <w:lvl w:ilvl="0">
      <w:lvlJc w:val="left"/>
      <w:lvlText w:val="%1"/>
      <w:numFmt w:val="lowerLetter"/>
      <w:start w:val="1"/>
    </w:lvl>
    <w:lvl w:ilvl="1">
      <w:lvlJc w:val="left"/>
      <w:lvlText w:val="(%2)"/>
      <w:numFmt w:val="lowerLetter"/>
      <w:start w:val="2"/>
    </w:lvl>
  </w:abstractNum>
  <w:abstractNum w:abstractNumId="251">
    <w:nsid w:val="298A92BA"/>
    <w:multiLevelType w:val="hybridMultilevel"/>
    <w:lvl w:ilvl="0">
      <w:lvlJc w:val="left"/>
      <w:lvlText w:val="(%1)"/>
      <w:numFmt w:val="lowerLetter"/>
      <w:start w:val="3"/>
    </w:lvl>
    <w:lvl w:ilvl="1">
      <w:lvlJc w:val="left"/>
      <w:lvlText w:val="%2"/>
      <w:numFmt w:val="lowerLetter"/>
      <w:start w:val="1"/>
    </w:lvl>
  </w:abstractNum>
  <w:abstractNum w:abstractNumId="252">
    <w:nsid w:val="6FE95EAC"/>
    <w:multiLevelType w:val="hybridMultilevel"/>
    <w:lvl w:ilvl="0">
      <w:lvlJc w:val="left"/>
      <w:lvlText w:val="%1"/>
      <w:numFmt w:val="decimal"/>
      <w:start w:val="1"/>
    </w:lvl>
    <w:lvl w:ilvl="1">
      <w:lvlJc w:val="left"/>
      <w:lvlText w:val="(%2)"/>
      <w:numFmt w:val="lowerLetter"/>
      <w:start w:val="4"/>
    </w:lvl>
  </w:abstractNum>
  <w:abstractNum w:abstractNumId="253">
    <w:nsid w:val="4B697C7A"/>
    <w:multiLevelType w:val="hybridMultilevel"/>
    <w:lvl w:ilvl="0">
      <w:lvlJc w:val="left"/>
      <w:lvlText w:val="%1."/>
      <w:numFmt w:val="decimal"/>
      <w:start w:val="17"/>
    </w:lvl>
    <w:lvl w:ilvl="1">
      <w:lvlJc w:val="left"/>
      <w:lvlText w:val="(%2)"/>
      <w:numFmt w:val="lowerLetter"/>
      <w:start w:val="1"/>
    </w:lvl>
  </w:abstractNum>
  <w:abstractNum w:abstractNumId="254">
    <w:nsid w:val="51A27AA6"/>
    <w:multiLevelType w:val="hybridMultilevel"/>
    <w:lvl w:ilvl="0">
      <w:lvlJc w:val="left"/>
      <w:lvlText w:val="(%1)"/>
      <w:numFmt w:val="lowerLetter"/>
      <w:start w:val="3"/>
    </w:lvl>
  </w:abstractNum>
  <w:abstractNum w:abstractNumId="255">
    <w:nsid w:val="613183F2"/>
    <w:multiLevelType w:val="hybridMultilevel"/>
    <w:lvl w:ilvl="0">
      <w:lvlJc w:val="left"/>
      <w:lvlText w:val="%1"/>
      <w:numFmt w:val="decimal"/>
      <w:start w:val="1"/>
    </w:lvl>
    <w:lvl w:ilvl="1">
      <w:lvlJc w:val="left"/>
      <w:lvlText w:val="(%2)"/>
      <w:numFmt w:val="lowerLetter"/>
      <w:start w:val="5"/>
    </w:lvl>
  </w:abstractNum>
  <w:abstractNum w:abstractNumId="256">
    <w:nsid w:val="634102B4"/>
    <w:multiLevelType w:val="hybridMultilevel"/>
    <w:lvl w:ilvl="0">
      <w:lvlJc w:val="left"/>
      <w:lvlText w:val="%1."/>
      <w:numFmt w:val="decimal"/>
      <w:start w:val="18"/>
    </w:lvl>
    <w:lvl w:ilvl="1">
      <w:lvlJc w:val="left"/>
      <w:lvlText w:val="%2"/>
      <w:numFmt w:val="lowerLetter"/>
      <w:start w:val="1"/>
    </w:lvl>
  </w:abstractNum>
  <w:abstractNum w:abstractNumId="257">
    <w:nsid w:val="65BF9DA8"/>
    <w:multiLevelType w:val="hybridMultilevel"/>
    <w:lvl w:ilvl="0">
      <w:lvlJc w:val="left"/>
      <w:lvlText w:val="(%1)"/>
      <w:numFmt w:val="lowerRoman"/>
      <w:start w:val="1"/>
    </w:lvl>
  </w:abstractNum>
  <w:abstractNum w:abstractNumId="258">
    <w:nsid w:val="21A2ECCA"/>
    <w:multiLevelType w:val="hybridMultilevel"/>
    <w:lvl w:ilvl="0">
      <w:lvlJc w:val="left"/>
      <w:lvlText w:val="%1."/>
      <w:numFmt w:val="decimal"/>
      <w:start w:val="19"/>
    </w:lvl>
  </w:abstractNum>
  <w:abstractNum w:abstractNumId="259">
    <w:nsid w:val="4D5C4899"/>
    <w:multiLevelType w:val="hybridMultilevel"/>
    <w:lvl w:ilvl="0">
      <w:lvlJc w:val="left"/>
      <w:lvlText w:val="%1."/>
      <w:numFmt w:val="decimal"/>
      <w:start w:val="20"/>
    </w:lvl>
  </w:abstractNum>
  <w:abstractNum w:abstractNumId="260">
    <w:nsid w:val="3C3B72B2"/>
    <w:multiLevelType w:val="hybridMultilevel"/>
    <w:lvl w:ilvl="0">
      <w:lvlJc w:val="left"/>
      <w:lvlText w:val="%1."/>
      <w:numFmt w:val="decimal"/>
      <w:start w:val="21"/>
    </w:lvl>
    <w:lvl w:ilvl="1">
      <w:lvlJc w:val="left"/>
      <w:lvlText w:val="(%2)"/>
      <w:numFmt w:val="lowerLetter"/>
      <w:start w:val="1"/>
    </w:lvl>
  </w:abstractNum>
  <w:abstractNum w:abstractNumId="261">
    <w:nsid w:val="155EC4C2"/>
    <w:multiLevelType w:val="hybridMultilevel"/>
    <w:lvl w:ilvl="0">
      <w:lvlJc w:val="left"/>
      <w:lvlText w:val="(%1)"/>
      <w:numFmt w:val="lowerLetter"/>
      <w:start w:val="2"/>
    </w:lvl>
  </w:abstractNum>
  <w:abstractNum w:abstractNumId="262">
    <w:nsid w:val="65D2A137"/>
    <w:multiLevelType w:val="hybridMultilevel"/>
    <w:lvl w:ilvl="0">
      <w:lvlJc w:val="left"/>
      <w:lvlText w:val="%1."/>
      <w:numFmt w:val="decimal"/>
      <w:start w:val="22"/>
    </w:lvl>
    <w:lvl w:ilvl="1">
      <w:lvlJc w:val="left"/>
      <w:lvlText w:val="(%2)"/>
      <w:numFmt w:val="lowerLetter"/>
      <w:start w:val="1"/>
    </w:lvl>
  </w:abstractNum>
  <w:abstractNum w:abstractNumId="263">
    <w:nsid w:val="6EBB1F2A"/>
    <w:multiLevelType w:val="hybridMultilevel"/>
    <w:lvl w:ilvl="0">
      <w:lvlJc w:val="left"/>
      <w:lvlText w:val="%1."/>
      <w:numFmt w:val="decimal"/>
      <w:start w:val="1"/>
    </w:lvl>
    <w:lvl w:ilvl="1">
      <w:lvlJc w:val="left"/>
      <w:lvlText w:val="\endash "/>
      <w:numFmt w:val="bullet"/>
      <w:start w:val="1"/>
    </w:lvl>
  </w:abstractNum>
  <w:abstractNum w:abstractNumId="264">
    <w:nsid w:val="6FBF29CB"/>
    <w:multiLevelType w:val="hybridMultilevel"/>
    <w:lvl w:ilvl="0">
      <w:lvlJc w:val="left"/>
      <w:lvlText w:val="%1."/>
      <w:numFmt w:val="decimal"/>
      <w:start w:val="1"/>
    </w:lvl>
  </w:abstractNum>
  <w:abstractNum w:abstractNumId="265">
    <w:nsid w:val="550B8808"/>
    <w:multiLevelType w:val="hybridMultilevel"/>
    <w:lvl w:ilvl="0">
      <w:lvlJc w:val="left"/>
      <w:lvlText w:val="%1."/>
      <w:numFmt w:val="decimal"/>
      <w:start w:val="2"/>
    </w:lvl>
  </w:abstractNum>
  <w:abstractNum w:abstractNumId="266">
    <w:nsid w:val="34CC3ACF"/>
    <w:multiLevelType w:val="hybridMultilevel"/>
    <w:lvl w:ilvl="0">
      <w:lvlJc w:val="left"/>
      <w:lvlText w:val="%1."/>
      <w:numFmt w:val="decimal"/>
      <w:start w:val="3"/>
    </w:lvl>
    <w:lvl w:ilvl="1">
      <w:lvlJc w:val="left"/>
      <w:lvlText w:val="(%2)"/>
      <w:numFmt w:val="decimal"/>
      <w:start w:val="2"/>
    </w:lvl>
  </w:abstractNum>
  <w:abstractNum w:abstractNumId="267">
    <w:nsid w:val="4E556261"/>
    <w:multiLevelType w:val="hybridMultilevel"/>
    <w:lvl w:ilvl="0">
      <w:lvlJc w:val="left"/>
      <w:lvlText w:val="(%1)"/>
      <w:numFmt w:val="decimal"/>
      <w:start w:val="5"/>
    </w:lvl>
  </w:abstractNum>
  <w:abstractNum w:abstractNumId="268">
    <w:nsid w:val="4C672F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9">
    <w:nsid w:val="52A311C3"/>
    <w:multiLevelType w:val="hybridMultilevel"/>
    <w:lvl w:ilvl="0">
      <w:lvlJc w:val="left"/>
      <w:lvlText w:val="(%1)"/>
      <w:numFmt w:val="lowerLetter"/>
      <w:start w:val="1"/>
    </w:lvl>
  </w:abstractNum>
  <w:abstractNum w:abstractNumId="270">
    <w:nsid w:val="44EF6B80"/>
    <w:multiLevelType w:val="hybridMultilevel"/>
    <w:lvl w:ilvl="0">
      <w:lvlJc w:val="left"/>
      <w:lvlText w:val="(%1)"/>
      <w:numFmt w:val="lowerLetter"/>
      <w:start w:val="2"/>
    </w:lvl>
  </w:abstractNum>
  <w:abstractNum w:abstractNumId="271">
    <w:nsid w:val="12FCDE5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354" Type="http://schemas.openxmlformats.org/officeDocument/2006/relationships/hyperlink" Target="http://www.sec.gov/Archives/edgar/data/1850453/000119312521301967/d165359dex31.htm" TargetMode="External"/><Relationship Id="rId355" Type="http://schemas.openxmlformats.org/officeDocument/2006/relationships/hyperlink" Target="http://www.sec.gov/Archives/edgar/data/1850453/000119312521313560/d165359dex32.htm" TargetMode="External"/><Relationship Id="rId356" Type="http://schemas.openxmlformats.org/officeDocument/2006/relationships/hyperlink" Target="http://www.sec.gov/Archives/edgar/data/1850453/000119312521313560/d165359dex33.htm" TargetMode="External"/><Relationship Id="rId357" Type="http://schemas.openxmlformats.org/officeDocument/2006/relationships/hyperlink" Target="http://www.sec.gov/Archives/edgar/data/1850453/000119312521301967/d165359dex101.htm" TargetMode="External"/><Relationship Id="rId358" Type="http://schemas.openxmlformats.org/officeDocument/2006/relationships/hyperlink" Target="http://www.sec.gov/Archives/edgar/data/1850453/000119312521301967/d165359dex102.htm" TargetMode="External"/><Relationship Id="rId359" Type="http://schemas.openxmlformats.org/officeDocument/2006/relationships/hyperlink" Target="http://www.sec.gov/Archives/edgar/data/1850453/000119312521301967/d165359dex103.htm" TargetMode="External"/><Relationship Id="rId360" Type="http://schemas.openxmlformats.org/officeDocument/2006/relationships/hyperlink" Target="http://www.sec.gov/Archives/edgar/data/1850453/000119312521301967/d165359dex104.htm" TargetMode="External"/><Relationship Id="rId361" Type="http://schemas.openxmlformats.org/officeDocument/2006/relationships/hyperlink" Target="http://www.sec.gov/Archives/edgar/data/1850453/000119312521301967/d1653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2021-11-03T05:30:44Z</dcterms:created>
  <dcterms:modified xsi:type="dcterms:W3CDTF">2021-11-03T05:30:44Z</dcterms:modified>
</cp:coreProperties>
</file>