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248285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20-F/A</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393" w:lineRule="exact"/>
        <w:rPr>
          <w:sz w:val="24"/>
          <w:szCs w:val="24"/>
          <w:color w:val="auto"/>
        </w:rPr>
      </w:pPr>
    </w:p>
    <w:p>
      <w:pPr>
        <w:ind w:left="4260" w:right="3560" w:hanging="4144"/>
        <w:spacing w:after="0" w:line="402" w:lineRule="auto"/>
        <w:tabs>
          <w:tab w:leader="none" w:pos="54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123"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4312920</wp:posOffset>
            </wp:positionH>
            <wp:positionV relativeFrom="paragraph">
              <wp:posOffset>-1270</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76"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-1270</wp:posOffset>
            </wp:positionV>
            <wp:extent cx="1035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No.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MYNARIC AG</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1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Federal Republic of Germany</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1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Dornierstraße 19</w:t>
      </w:r>
    </w:p>
    <w:p>
      <w:pPr>
        <w:jc w:val="center"/>
        <w:ind w:right="-99"/>
        <w:spacing w:after="0" w:line="226" w:lineRule="auto"/>
        <w:rPr>
          <w:sz w:val="20"/>
          <w:szCs w:val="20"/>
          <w:color w:val="auto"/>
        </w:rPr>
      </w:pPr>
      <w:r>
        <w:rPr>
          <w:rFonts w:ascii="Arial" w:cs="Arial" w:eastAsia="Arial" w:hAnsi="Arial"/>
          <w:sz w:val="14"/>
          <w:szCs w:val="14"/>
          <w:b w:val="1"/>
          <w:bCs w:val="1"/>
          <w:color w:val="auto"/>
        </w:rPr>
        <w:t>82205 Gilching, Germany</w:t>
      </w:r>
    </w:p>
    <w:p>
      <w:pPr>
        <w:jc w:val="center"/>
        <w:ind w:right="-99"/>
        <w:spacing w:after="0" w:line="225" w:lineRule="auto"/>
        <w:rPr>
          <w:sz w:val="20"/>
          <w:szCs w:val="20"/>
          <w:color w:val="auto"/>
        </w:rPr>
      </w:pPr>
      <w:r>
        <w:rPr>
          <w:rFonts w:ascii="Arial" w:cs="Arial" w:eastAsia="Arial" w:hAnsi="Arial"/>
          <w:sz w:val="14"/>
          <w:szCs w:val="14"/>
          <w:b w:val="1"/>
          <w:bCs w:val="1"/>
          <w:color w:val="auto"/>
        </w:rPr>
        <w:t>+49 (0) 8105 79990</w:t>
      </w:r>
    </w:p>
    <w:p>
      <w:pPr>
        <w:jc w:val="center"/>
        <w:ind w:right="-9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0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Stefan Berndt-von Bülow</w:t>
      </w:r>
    </w:p>
    <w:p>
      <w:pPr>
        <w:ind w:left="5120"/>
        <w:spacing w:after="0" w:line="226" w:lineRule="auto"/>
        <w:rPr>
          <w:sz w:val="20"/>
          <w:szCs w:val="20"/>
          <w:color w:val="auto"/>
        </w:rPr>
      </w:pPr>
      <w:r>
        <w:rPr>
          <w:rFonts w:ascii="Arial" w:cs="Arial" w:eastAsia="Arial" w:hAnsi="Arial"/>
          <w:sz w:val="14"/>
          <w:szCs w:val="14"/>
          <w:b w:val="1"/>
          <w:bCs w:val="1"/>
          <w:color w:val="auto"/>
        </w:rPr>
        <w:t>c/o Mynaric AG</w:t>
      </w:r>
    </w:p>
    <w:p>
      <w:pPr>
        <w:ind w:left="5100"/>
        <w:spacing w:after="0" w:line="221" w:lineRule="auto"/>
        <w:rPr>
          <w:sz w:val="20"/>
          <w:szCs w:val="20"/>
          <w:color w:val="auto"/>
        </w:rPr>
      </w:pPr>
      <w:r>
        <w:rPr>
          <w:rFonts w:ascii="Arial" w:cs="Arial" w:eastAsia="Arial" w:hAnsi="Arial"/>
          <w:sz w:val="14"/>
          <w:szCs w:val="14"/>
          <w:b w:val="1"/>
          <w:bCs w:val="1"/>
          <w:color w:val="auto"/>
        </w:rPr>
        <w:t>Dornierstraße 19</w:t>
      </w:r>
    </w:p>
    <w:p>
      <w:pPr>
        <w:jc w:val="center"/>
        <w:ind w:right="-99"/>
        <w:spacing w:after="0" w:line="222" w:lineRule="auto"/>
        <w:rPr>
          <w:sz w:val="20"/>
          <w:szCs w:val="20"/>
          <w:color w:val="auto"/>
        </w:rPr>
      </w:pPr>
      <w:r>
        <w:rPr>
          <w:rFonts w:ascii="Arial" w:cs="Arial" w:eastAsia="Arial" w:hAnsi="Arial"/>
          <w:sz w:val="14"/>
          <w:szCs w:val="14"/>
          <w:b w:val="1"/>
          <w:bCs w:val="1"/>
          <w:color w:val="auto"/>
        </w:rPr>
        <w:t>82205 Gilching, Germany</w:t>
      </w:r>
    </w:p>
    <w:p>
      <w:pPr>
        <w:jc w:val="center"/>
        <w:ind w:right="-99"/>
        <w:spacing w:after="0" w:line="221" w:lineRule="auto"/>
        <w:rPr>
          <w:sz w:val="20"/>
          <w:szCs w:val="20"/>
          <w:color w:val="auto"/>
        </w:rPr>
      </w:pPr>
      <w:r>
        <w:rPr>
          <w:rFonts w:ascii="Arial" w:cs="Arial" w:eastAsia="Arial" w:hAnsi="Arial"/>
          <w:sz w:val="14"/>
          <w:szCs w:val="14"/>
          <w:b w:val="1"/>
          <w:bCs w:val="1"/>
          <w:color w:val="auto"/>
        </w:rPr>
        <w:t>+49 (0) 8105 79990</w:t>
      </w:r>
    </w:p>
    <w:p>
      <w:pPr>
        <w:jc w:val="center"/>
        <w:ind w:right="-99"/>
        <w:spacing w:after="0" w:line="225" w:lineRule="auto"/>
        <w:rPr>
          <w:sz w:val="20"/>
          <w:szCs w:val="20"/>
          <w:color w:val="auto"/>
        </w:rPr>
      </w:pPr>
      <w:r>
        <w:rPr>
          <w:rFonts w:ascii="Arial" w:cs="Arial" w:eastAsia="Arial" w:hAnsi="Arial"/>
          <w:sz w:val="14"/>
          <w:szCs w:val="14"/>
          <w:b w:val="1"/>
          <w:bCs w:val="1"/>
          <w:color w:val="auto"/>
        </w:rPr>
        <w:t>stefan.berndtvonbuelow@mynaric.com</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120" w:type="dxa"/>
        <w:tblCellMar>
          <w:top w:w="0" w:type="dxa"/>
          <w:left w:w="0" w:type="dxa"/>
          <w:bottom w:w="0" w:type="dxa"/>
          <w:right w:w="0" w:type="dxa"/>
        </w:tblCellMar>
      </w:tblPr>
      <w:tr>
        <w:trPr>
          <w:trHeight w:val="164"/>
        </w:trPr>
        <w:tc>
          <w:tcPr>
            <w:tcW w:w="2760" w:type="dxa"/>
            <w:vAlign w:val="bottom"/>
          </w:tcPr>
          <w:p>
            <w:pPr>
              <w:ind w:left="1380"/>
              <w:spacing w:after="0"/>
              <w:rPr>
                <w:sz w:val="20"/>
                <w:szCs w:val="20"/>
                <w:color w:val="auto"/>
              </w:rPr>
            </w:pPr>
            <w:r>
              <w:rPr>
                <w:rFonts w:ascii="Arial" w:cs="Arial" w:eastAsia="Arial" w:hAnsi="Arial"/>
                <w:sz w:val="13"/>
                <w:szCs w:val="13"/>
                <w:b w:val="1"/>
                <w:bCs w:val="1"/>
                <w:color w:val="auto"/>
              </w:rPr>
              <w:t>Title of each class: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87"/>
              </w:rPr>
              <w:t>Trading Symbol(s)</w:t>
            </w:r>
          </w:p>
        </w:tc>
        <w:tc>
          <w:tcPr>
            <w:tcW w:w="3080" w:type="dxa"/>
            <w:vAlign w:val="bottom"/>
          </w:tcPr>
          <w:p>
            <w:pPr>
              <w:jc w:val="center"/>
              <w:ind w:right="391"/>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22"/>
        </w:trPr>
        <w:tc>
          <w:tcPr>
            <w:tcW w:w="2760" w:type="dxa"/>
            <w:vAlign w:val="bottom"/>
            <w:tcBorders>
              <w:top w:val="single" w:sz="8" w:color="auto"/>
            </w:tcBorders>
          </w:tcPr>
          <w:p>
            <w:pPr>
              <w:ind w:left="140"/>
              <w:spacing w:after="0" w:line="122" w:lineRule="exact"/>
              <w:rPr>
                <w:sz w:val="20"/>
                <w:szCs w:val="20"/>
                <w:color w:val="auto"/>
              </w:rPr>
            </w:pPr>
            <w:r>
              <w:rPr>
                <w:rFonts w:ascii="Arial" w:cs="Arial" w:eastAsia="Arial" w:hAnsi="Arial"/>
                <w:sz w:val="14"/>
                <w:szCs w:val="14"/>
                <w:b w:val="1"/>
                <w:bCs w:val="1"/>
                <w:color w:val="auto"/>
              </w:rPr>
              <w:t>American Depository Shares</w:t>
            </w: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MYNA</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80" w:type="dxa"/>
            <w:vAlign w:val="bottom"/>
            <w:tcBorders>
              <w:top w:val="single" w:sz="8" w:color="auto"/>
            </w:tcBorders>
          </w:tcPr>
          <w:p>
            <w:pPr>
              <w:jc w:val="center"/>
              <w:ind w:right="391"/>
              <w:spacing w:after="0" w:line="122" w:lineRule="exact"/>
              <w:rPr>
                <w:sz w:val="20"/>
                <w:szCs w:val="20"/>
                <w:color w:val="auto"/>
              </w:rPr>
            </w:pPr>
            <w:r>
              <w:rPr>
                <w:rFonts w:ascii="Arial" w:cs="Arial" w:eastAsia="Arial" w:hAnsi="Arial"/>
                <w:sz w:val="14"/>
                <w:szCs w:val="14"/>
                <w:b w:val="1"/>
                <w:bCs w:val="1"/>
                <w:color w:val="auto"/>
                <w:w w:val="96"/>
              </w:rPr>
              <w:t>The Nasdaq Stock Market LLC</w:t>
            </w:r>
          </w:p>
        </w:tc>
      </w:tr>
      <w:tr>
        <w:trPr>
          <w:trHeight w:val="186"/>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Ordinary Shares, no par value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w:t>
            </w:r>
          </w:p>
        </w:tc>
        <w:tc>
          <w:tcPr>
            <w:tcW w:w="3080" w:type="dxa"/>
            <w:vAlign w:val="bottom"/>
          </w:tcPr>
          <w:p>
            <w:pPr>
              <w:jc w:val="center"/>
              <w:ind w:right="391"/>
              <w:spacing w:after="0"/>
              <w:rPr>
                <w:sz w:val="20"/>
                <w:szCs w:val="20"/>
                <w:color w:val="auto"/>
              </w:rPr>
            </w:pPr>
            <w:r>
              <w:rPr>
                <w:rFonts w:ascii="Arial" w:cs="Arial" w:eastAsia="Arial" w:hAnsi="Arial"/>
                <w:sz w:val="14"/>
                <w:szCs w:val="14"/>
                <w:b w:val="1"/>
                <w:bCs w:val="1"/>
                <w:color w:val="auto"/>
                <w:w w:val="97"/>
              </w:rPr>
              <w:t>The Nasdaq Stock Market LLC</w:t>
            </w:r>
            <w:r>
              <w:rPr>
                <w:rFonts w:ascii="Arial" w:cs="Arial" w:eastAsia="Arial" w:hAnsi="Arial"/>
                <w:sz w:val="8"/>
                <w:szCs w:val="8"/>
                <w:b w:val="1"/>
                <w:bCs w:val="1"/>
                <w:color w:val="auto"/>
                <w:w w:val="97"/>
              </w:rPr>
              <w:t>(1)</w:t>
            </w:r>
          </w:p>
        </w:tc>
      </w:tr>
      <w:tr>
        <w:trPr>
          <w:trHeight w:val="219"/>
        </w:trPr>
        <w:tc>
          <w:tcPr>
            <w:tcW w:w="2760" w:type="dxa"/>
            <w:vAlign w:val="bottom"/>
          </w:tcPr>
          <w:p>
            <w:pPr>
              <w:spacing w:after="0"/>
              <w:rPr>
                <w:sz w:val="19"/>
                <w:szCs w:val="19"/>
                <w:color w:val="auto"/>
              </w:rPr>
            </w:pPr>
          </w:p>
        </w:tc>
        <w:tc>
          <w:tcPr>
            <w:tcW w:w="518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w w:val="91"/>
              </w:rPr>
              <w:t>Securities registered or to be registered pursuant to Section 12(g) of the Act:</w:t>
            </w:r>
          </w:p>
        </w:tc>
        <w:tc>
          <w:tcPr>
            <w:tcW w:w="3080" w:type="dxa"/>
            <w:vAlign w:val="bottom"/>
          </w:tcPr>
          <w:p>
            <w:pPr>
              <w:spacing w:after="0"/>
              <w:rPr>
                <w:sz w:val="19"/>
                <w:szCs w:val="19"/>
                <w:color w:val="auto"/>
              </w:rPr>
            </w:pPr>
          </w:p>
        </w:tc>
      </w:t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None</w:t>
            </w:r>
          </w:p>
        </w:tc>
        <w:tc>
          <w:tcPr>
            <w:tcW w:w="3080" w:type="dxa"/>
            <w:vAlign w:val="bottom"/>
          </w:tcPr>
          <w:p>
            <w:pPr>
              <w:spacing w:after="0"/>
              <w:rPr>
                <w:sz w:val="16"/>
                <w:szCs w:val="16"/>
                <w:color w:val="auto"/>
              </w:rPr>
            </w:pPr>
          </w:p>
        </w:tc>
      </w:tr>
    </w:tbl>
    <w:p>
      <w:pPr>
        <w:spacing w:after="0" w:line="7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96"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5,668,391 ordinary shares, no par value.</w:t>
      </w:r>
    </w:p>
    <w:p>
      <w:pPr>
        <w:spacing w:after="0" w:line="74" w:lineRule="exact"/>
        <w:rPr>
          <w:sz w:val="24"/>
          <w:szCs w:val="24"/>
          <w:color w:val="auto"/>
        </w:rPr>
      </w:pPr>
    </w:p>
    <w:p>
      <w:pPr>
        <w:ind w:left="120"/>
        <w:spacing w:after="0" w:line="161" w:lineRule="exact"/>
        <w:tabs>
          <w:tab w:leader="none" w:pos="7000" w:val="left"/>
          <w:tab w:leader="none" w:pos="756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4" w:lineRule="exact"/>
        <w:rPr>
          <w:sz w:val="24"/>
          <w:szCs w:val="24"/>
          <w:color w:val="auto"/>
        </w:rPr>
      </w:pPr>
    </w:p>
    <w:p>
      <w:pPr>
        <w:ind w:left="120" w:right="1260"/>
        <w:spacing w:after="0" w:line="184"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left="120" w:right="36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left="120" w:right="3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w:t>
      </w:r>
    </w:p>
    <w:p>
      <w:pPr>
        <w:sectPr>
          <w:pgSz w:w="11900" w:h="16838" w:orient="portrait"/>
          <w:cols w:equalWidth="0" w:num="1">
            <w:col w:w="11140"/>
          </w:cols>
          <w:pgMar w:left="320" w:top="230" w:right="439" w:bottom="0" w:gutter="0" w:footer="0" w:header="0"/>
        </w:sectPr>
      </w:pPr>
    </w:p>
    <w:p>
      <w:pPr>
        <w:spacing w:after="0" w:line="123" w:lineRule="exact"/>
        <w:rPr>
          <w:sz w:val="24"/>
          <w:szCs w:val="24"/>
          <w:color w:val="auto"/>
        </w:rPr>
      </w:pPr>
    </w:p>
    <w:p>
      <w:pPr>
        <w:ind w:left="1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5" w:lineRule="exact"/>
        <w:rPr>
          <w:sz w:val="24"/>
          <w:szCs w:val="24"/>
          <w:color w:val="auto"/>
        </w:rPr>
      </w:pPr>
    </w:p>
    <w:p>
      <w:pPr>
        <w:sectPr>
          <w:pgSz w:w="11900" w:h="16838" w:orient="portrait"/>
          <w:cols w:equalWidth="0" w:num="8">
            <w:col w:w="1400" w:space="80"/>
            <w:col w:w="920" w:space="720"/>
            <w:col w:w="960" w:space="60"/>
            <w:col w:w="560" w:space="720"/>
            <w:col w:w="1220" w:space="80"/>
            <w:col w:w="620" w:space="720"/>
            <w:col w:w="1560" w:space="80"/>
            <w:col w:w="1440"/>
          </w:cols>
          <w:pgMar w:left="320" w:top="230" w:right="439" w:bottom="0" w:gutter="0" w:footer="0" w:header="0"/>
          <w:type w:val="continuous"/>
        </w:sectPr>
      </w:pPr>
    </w:p>
    <w:p>
      <w:pPr>
        <w:ind w:left="120" w:right="280"/>
        <w:spacing w:after="0" w:line="184" w:lineRule="exact"/>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14"/>
          <w:szCs w:val="14"/>
          <w:color w:val="auto"/>
          <w:vertAlign w:val="superscript"/>
        </w:rPr>
        <w:t>†</w:t>
      </w:r>
      <w:r>
        <w:rPr>
          <w:rFonts w:ascii="Arial" w:cs="Arial" w:eastAsia="Arial" w:hAnsi="Arial"/>
          <w:sz w:val="14"/>
          <w:szCs w:val="14"/>
          <w:color w:val="auto"/>
        </w:rPr>
        <w:t xml:space="preserve"> provided pursuant to Section 13(a) of the Exchange Act. </w:t>
      </w:r>
      <w:r>
        <w:rPr>
          <w:rFonts w:ascii="MS PGothic" w:cs="MS PGothic" w:eastAsia="MS PGothic" w:hAnsi="MS PGothic"/>
          <w:sz w:val="14"/>
          <w:szCs w:val="14"/>
          <w:color w:val="auto"/>
        </w:rPr>
        <w:t>☐</w:t>
      </w:r>
    </w:p>
    <w:p>
      <w:pPr>
        <w:spacing w:after="0" w:line="78" w:lineRule="exact"/>
        <w:rPr>
          <w:sz w:val="24"/>
          <w:szCs w:val="24"/>
          <w:color w:val="auto"/>
        </w:rPr>
      </w:pPr>
    </w:p>
    <w:p>
      <w:pPr>
        <w:ind w:left="540" w:right="80" w:hanging="424"/>
        <w:spacing w:after="0" w:line="25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66" w:lineRule="exact"/>
        <w:rPr>
          <w:sz w:val="24"/>
          <w:szCs w:val="24"/>
          <w:color w:val="auto"/>
        </w:rPr>
      </w:pPr>
    </w:p>
    <w:p>
      <w:pPr>
        <w:ind w:left="120" w:right="320"/>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60"/>
        <w:spacing w:after="0" w:line="178"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4" w:lineRule="exact"/>
        <w:rPr>
          <w:sz w:val="24"/>
          <w:szCs w:val="24"/>
          <w:color w:val="auto"/>
        </w:rPr>
      </w:pPr>
    </w:p>
    <w:p>
      <w:pPr>
        <w:ind w:left="120" w:right="80"/>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140"/>
          </w:cols>
          <w:pgMar w:left="320" w:top="230" w:right="439" w:bottom="0"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189"/>
        </w:trPr>
        <w:tc>
          <w:tcPr>
            <w:tcW w:w="190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7080" w:type="dxa"/>
            <w:vAlign w:val="bottom"/>
          </w:tcPr>
          <w:p>
            <w:pPr>
              <w:ind w:left="1020"/>
              <w:spacing w:after="0"/>
              <w:rPr>
                <w:sz w:val="20"/>
                <w:szCs w:val="20"/>
                <w:color w:val="auto"/>
              </w:rPr>
            </w:pPr>
            <w:r>
              <w:rPr>
                <w:rFonts w:ascii="Arial" w:cs="Arial" w:eastAsia="Arial" w:hAnsi="Arial"/>
                <w:sz w:val="14"/>
                <w:szCs w:val="14"/>
                <w:color w:val="auto"/>
              </w:rPr>
              <w:t>International Financial Reporting Standards as issued</w:t>
            </w:r>
          </w:p>
        </w:tc>
        <w:tc>
          <w:tcPr>
            <w:tcW w:w="2020" w:type="dxa"/>
            <w:vAlign w:val="bottom"/>
          </w:tcPr>
          <w:p>
            <w:pPr>
              <w:ind w:left="1500"/>
              <w:spacing w:after="0" w:line="161" w:lineRule="exact"/>
              <w:rPr>
                <w:sz w:val="20"/>
                <w:szCs w:val="20"/>
                <w:color w:val="auto"/>
              </w:rPr>
            </w:pPr>
            <w:r>
              <w:rPr>
                <w:rFonts w:ascii="Arial" w:cs="Arial" w:eastAsia="Arial" w:hAnsi="Arial"/>
                <w:sz w:val="14"/>
                <w:szCs w:val="14"/>
                <w:color w:val="auto"/>
                <w:w w:val="94"/>
              </w:rPr>
              <w:t xml:space="preserve">Other </w:t>
            </w:r>
            <w:r>
              <w:rPr>
                <w:rFonts w:ascii="MS PGothic" w:cs="MS PGothic" w:eastAsia="MS PGothic" w:hAnsi="MS PGothic"/>
                <w:sz w:val="14"/>
                <w:szCs w:val="14"/>
                <w:color w:val="auto"/>
                <w:w w:val="94"/>
              </w:rPr>
              <w:t>☐</w:t>
            </w:r>
          </w:p>
        </w:tc>
      </w:tr>
      <w:tr>
        <w:trPr>
          <w:trHeight w:val="242"/>
        </w:trPr>
        <w:tc>
          <w:tcPr>
            <w:tcW w:w="1900" w:type="dxa"/>
            <w:vAlign w:val="bottom"/>
          </w:tcPr>
          <w:p>
            <w:pPr>
              <w:spacing w:after="0"/>
              <w:rPr>
                <w:sz w:val="21"/>
                <w:szCs w:val="21"/>
                <w:color w:val="auto"/>
              </w:rPr>
            </w:pPr>
          </w:p>
        </w:tc>
        <w:tc>
          <w:tcPr>
            <w:tcW w:w="7080" w:type="dxa"/>
            <w:vAlign w:val="bottom"/>
          </w:tcPr>
          <w:p>
            <w:pPr>
              <w:ind w:left="1020"/>
              <w:spacing w:after="0" w:line="161" w:lineRule="exact"/>
              <w:rPr>
                <w:sz w:val="20"/>
                <w:szCs w:val="20"/>
                <w:color w:val="auto"/>
              </w:rPr>
            </w:pPr>
            <w:r>
              <w:rPr>
                <w:rFonts w:ascii="Arial" w:cs="Arial" w:eastAsia="Arial" w:hAnsi="Arial"/>
                <w:sz w:val="14"/>
                <w:szCs w:val="14"/>
                <w:color w:val="auto"/>
              </w:rPr>
              <w:t xml:space="preserve">by the International Accounting Standards Board </w:t>
            </w:r>
            <w:r>
              <w:rPr>
                <w:rFonts w:ascii="MS PGothic" w:cs="MS PGothic" w:eastAsia="MS PGothic" w:hAnsi="MS PGothic"/>
                <w:sz w:val="14"/>
                <w:szCs w:val="14"/>
                <w:color w:val="auto"/>
              </w:rPr>
              <w:t>☒</w:t>
            </w:r>
          </w:p>
        </w:tc>
        <w:tc>
          <w:tcPr>
            <w:tcW w:w="2020" w:type="dxa"/>
            <w:vAlign w:val="bottom"/>
          </w:tcPr>
          <w:p>
            <w:pPr>
              <w:spacing w:after="0"/>
              <w:rPr>
                <w:sz w:val="21"/>
                <w:szCs w:val="21"/>
                <w:color w:val="auto"/>
              </w:rPr>
            </w:pPr>
          </w:p>
        </w:tc>
      </w:tr>
      <w:tr>
        <w:trPr>
          <w:trHeight w:val="270"/>
        </w:trPr>
        <w:tc>
          <w:tcPr>
            <w:tcW w:w="8980" w:type="dxa"/>
            <w:vAlign w:val="bottom"/>
            <w:gridSpan w:val="2"/>
          </w:tcPr>
          <w:p>
            <w:pPr>
              <w:spacing w:after="0"/>
              <w:rPr>
                <w:sz w:val="20"/>
                <w:szCs w:val="20"/>
                <w:color w:val="auto"/>
              </w:rPr>
            </w:pPr>
            <w:r>
              <w:rPr>
                <w:rFonts w:ascii="Arial" w:cs="Arial" w:eastAsia="Arial" w:hAnsi="Arial"/>
                <w:sz w:val="14"/>
                <w:szCs w:val="14"/>
                <w:color w:val="auto"/>
                <w:w w:val="93"/>
              </w:rPr>
              <w:t>If “Other” has been checked in response to the previous question, indicate by check mark which financial statement item the registrant has elected to follow.</w:t>
            </w:r>
          </w:p>
        </w:tc>
        <w:tc>
          <w:tcPr>
            <w:tcW w:w="202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p>
        </w:tc>
      </w:tr>
      <w:tr>
        <w:trPr>
          <w:trHeight w:val="283"/>
        </w:trPr>
        <w:tc>
          <w:tcPr>
            <w:tcW w:w="898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20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5"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Not for trading, but only in connection with the listing on The Nasdaq Stock Market of American Depository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Mynaric AG (the “Company”) is filing this Amendment No. 1 (the “Amendment No. 1”) to amend its annual report on Form 20-F for the fiscal year ended December 31, 2022 as filed with the Securities and Exchange Commission on May 1, 2023 (the “Original Filing”), to address a comment from the staff of the SEC (the “Staff”) in relation to the report of the independent registered public accounting firm in the Original Filing. In the Original Filing, the report of the independent registered public accounting firm (the “Auditor Report”) inadvertently omitted the name and conformed signature of the independent auditor, KPMG AG Wirtschaftsprüfungsgesellschaft, although a signed copy of the Auditor Report had been provided by KPMG AG Wirtschaftsprüfungsgesellschaft.</w:t>
      </w:r>
    </w:p>
    <w:p>
      <w:pPr>
        <w:spacing w:after="0" w:line="192" w:lineRule="exact"/>
        <w:rPr>
          <w:sz w:val="20"/>
          <w:szCs w:val="20"/>
          <w:color w:val="auto"/>
        </w:rPr>
      </w:pPr>
    </w:p>
    <w:p>
      <w:pPr>
        <w:jc w:val="both"/>
        <w:ind w:left="4" w:firstLine="440"/>
        <w:spacing w:after="0" w:line="277" w:lineRule="auto"/>
        <w:rPr>
          <w:sz w:val="20"/>
          <w:szCs w:val="20"/>
          <w:color w:val="auto"/>
        </w:rPr>
      </w:pPr>
      <w:r>
        <w:rPr>
          <w:rFonts w:ascii="Arial" w:cs="Arial" w:eastAsia="Arial" w:hAnsi="Arial"/>
          <w:sz w:val="18"/>
          <w:szCs w:val="18"/>
          <w:color w:val="auto"/>
        </w:rPr>
        <w:t>This Amendment No. 1 is being filed solely to address the Staff’s comment as set out above and in keeping with the requirements of Rule 2-02 of Regulation S-X promulgated by the Securities and Exchange Commission and to provide the correct Auditor Report.</w:t>
      </w:r>
    </w:p>
    <w:p>
      <w:pPr>
        <w:spacing w:after="0" w:line="170"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This Amendment No. 1 speaks as of the date of the Original Filing, or May 1, 2023. Except as required to reflect the amendment in response to the Staff’s comments, this Amendment No. 1 does not amend, update or restate any of the information previously included in the Original Filing, nor does this Amendment No. 1 reflect any event that has occurred after the date of the Original Filing. Accordingly, this Amendment No. 1 should be read in conjunction with the Original Filing and the Company’s other filings with the SEC subsequent to May 1, 2023. The exhibits to this Amendment No. 1 include updated certificates in Exhibits 12.1, 12.2, 13.1, 13.2 (new certifications by the Company’s current chief executive officer and chief financial officer as required by Rule 12b- 15 under the Securities Exchange Act of 1934, as amended) and Exhibit 15.1 (consent of independent registered public accounting firm).</w:t>
      </w:r>
    </w:p>
    <w:p>
      <w:pPr>
        <w:sectPr>
          <w:pgSz w:w="11900" w:h="16838" w:orient="portrait"/>
          <w:cols w:equalWidth="0" w:num="1">
            <w:col w:w="11004"/>
          </w:cols>
          <w:pgMar w:left="436" w:top="22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20" w:type="dxa"/>
            <w:vAlign w:val="bottom"/>
            <w:gridSpan w:val="39"/>
          </w:tcPr>
          <w:p>
            <w:pPr>
              <w:spacing w:after="0"/>
              <w:rPr>
                <w:sz w:val="20"/>
                <w:szCs w:val="20"/>
                <w:color w:val="auto"/>
              </w:rPr>
            </w:pPr>
            <w:r>
              <w:rPr>
                <w:rFonts w:ascii="Arial" w:cs="Arial" w:eastAsia="Arial" w:hAnsi="Arial"/>
                <w:sz w:val="18"/>
                <w:szCs w:val="18"/>
                <w:b w:val="1"/>
                <w:bCs w:val="1"/>
                <w:color w:val="0000EE"/>
              </w:rPr>
              <w:t>Table of Contents</w:t>
            </w:r>
          </w:p>
        </w:tc>
        <w:tc>
          <w:tcPr>
            <w:tcW w:w="22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8"/>
          </w:tcPr>
          <w:p>
            <w:pPr>
              <w:jc w:val="center"/>
              <w:ind w:right="222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3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INTRODUCTION</w:t>
            </w:r>
          </w:p>
        </w:tc>
        <w:tc>
          <w:tcPr>
            <w:tcW w:w="7340" w:type="dxa"/>
            <w:vAlign w:val="bottom"/>
            <w:gridSpan w:val="33"/>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04"/>
        </w:trPr>
        <w:tc>
          <w:tcPr>
            <w:tcW w:w="120" w:type="dxa"/>
            <w:vAlign w:val="bottom"/>
          </w:tcPr>
          <w:p>
            <w:pPr>
              <w:spacing w:after="0"/>
              <w:rPr>
                <w:sz w:val="24"/>
                <w:szCs w:val="24"/>
                <w:color w:val="auto"/>
              </w:rPr>
            </w:pPr>
          </w:p>
        </w:tc>
        <w:tc>
          <w:tcPr>
            <w:tcW w:w="496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6"/>
              </w:rPr>
              <w:t>PRESENTATION OF FINANCIAL AND OTHER INFORMATION</w:t>
            </w:r>
          </w:p>
        </w:tc>
        <w:tc>
          <w:tcPr>
            <w:tcW w:w="3740" w:type="dxa"/>
            <w:vAlign w:val="bottom"/>
            <w:gridSpan w:val="7"/>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04"/>
        </w:trPr>
        <w:tc>
          <w:tcPr>
            <w:tcW w:w="120" w:type="dxa"/>
            <w:vAlign w:val="bottom"/>
          </w:tcPr>
          <w:p>
            <w:pPr>
              <w:spacing w:after="0"/>
              <w:rPr>
                <w:sz w:val="24"/>
                <w:szCs w:val="24"/>
                <w:color w:val="auto"/>
              </w:rPr>
            </w:pPr>
          </w:p>
        </w:tc>
        <w:tc>
          <w:tcPr>
            <w:tcW w:w="8700" w:type="dxa"/>
            <w:vAlign w:val="bottom"/>
            <w:gridSpan w:val="38"/>
          </w:tcPr>
          <w:p>
            <w:pPr>
              <w:spacing w:after="0"/>
              <w:rPr>
                <w:sz w:val="20"/>
                <w:szCs w:val="20"/>
                <w:color w:val="auto"/>
              </w:rPr>
            </w:pPr>
            <w:r>
              <w:rPr>
                <w:rFonts w:ascii="Arial" w:cs="Arial" w:eastAsia="Arial" w:hAnsi="Arial"/>
                <w:sz w:val="18"/>
                <w:szCs w:val="18"/>
                <w:color w:val="0000EE"/>
              </w:rPr>
              <w:t>MARKET AND INDUSTRY DATA</w:t>
            </w:r>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52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7"/>
              </w:rPr>
              <w:t>TRADEMARKS, SERVICE MARKS AND TRADE NAMES</w:t>
            </w:r>
          </w:p>
        </w:tc>
        <w:tc>
          <w:tcPr>
            <w:tcW w:w="4180" w:type="dxa"/>
            <w:vAlign w:val="bottom"/>
            <w:gridSpan w:val="8"/>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04"/>
        </w:trPr>
        <w:tc>
          <w:tcPr>
            <w:tcW w:w="120" w:type="dxa"/>
            <w:vAlign w:val="bottom"/>
          </w:tcPr>
          <w:p>
            <w:pPr>
              <w:spacing w:after="0"/>
              <w:rPr>
                <w:sz w:val="24"/>
                <w:szCs w:val="24"/>
                <w:color w:val="auto"/>
              </w:rPr>
            </w:pPr>
          </w:p>
        </w:tc>
        <w:tc>
          <w:tcPr>
            <w:tcW w:w="22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FREQUENTLY USED TERMS</w:t>
            </w:r>
          </w:p>
        </w:tc>
        <w:tc>
          <w:tcPr>
            <w:tcW w:w="6440" w:type="dxa"/>
            <w:vAlign w:val="bottom"/>
            <w:gridSpan w:val="24"/>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304"/>
        </w:trPr>
        <w:tc>
          <w:tcPr>
            <w:tcW w:w="120" w:type="dxa"/>
            <w:vAlign w:val="bottom"/>
          </w:tcPr>
          <w:p>
            <w:pPr>
              <w:spacing w:after="0"/>
              <w:rPr>
                <w:sz w:val="24"/>
                <w:szCs w:val="24"/>
                <w:color w:val="auto"/>
              </w:rPr>
            </w:pPr>
          </w:p>
        </w:tc>
        <w:tc>
          <w:tcPr>
            <w:tcW w:w="634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color w:val="0000EE"/>
                <w:w w:val="96"/>
              </w:rPr>
              <w:t>CAUTIONARY STATEMENT REGARDING FORWARD-LOOKING STATEMENTS</w:t>
            </w:r>
          </w:p>
        </w:tc>
        <w:tc>
          <w:tcPr>
            <w:tcW w:w="2360" w:type="dxa"/>
            <w:vAlign w:val="bottom"/>
            <w:gridSpan w:val="3"/>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304"/>
        </w:trPr>
        <w:tc>
          <w:tcPr>
            <w:tcW w:w="120" w:type="dxa"/>
            <w:vAlign w:val="bottom"/>
          </w:tcPr>
          <w:p>
            <w:pPr>
              <w:spacing w:after="0"/>
              <w:rPr>
                <w:sz w:val="24"/>
                <w:szCs w:val="24"/>
                <w:color w:val="auto"/>
              </w:rPr>
            </w:pPr>
          </w:p>
        </w:tc>
        <w:tc>
          <w:tcPr>
            <w:tcW w:w="8700" w:type="dxa"/>
            <w:vAlign w:val="bottom"/>
            <w:gridSpan w:val="38"/>
          </w:tcPr>
          <w:p>
            <w:pPr>
              <w:spacing w:after="0"/>
              <w:rPr>
                <w:sz w:val="20"/>
                <w:szCs w:val="20"/>
                <w:color w:val="auto"/>
              </w:rPr>
            </w:pPr>
            <w:r>
              <w:rPr>
                <w:rFonts w:ascii="Arial" w:cs="Arial" w:eastAsia="Arial" w:hAnsi="Arial"/>
                <w:sz w:val="18"/>
                <w:szCs w:val="18"/>
                <w:color w:val="0000EE"/>
              </w:rPr>
              <w:t>RISK FACTOR SUMMARY</w:t>
            </w:r>
          </w:p>
        </w:tc>
        <w:tc>
          <w:tcPr>
            <w:tcW w:w="224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304"/>
        </w:trPr>
        <w:tc>
          <w:tcPr>
            <w:tcW w:w="1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8"/>
              </w:rPr>
              <w:t>PART I.</w:t>
            </w:r>
          </w:p>
        </w:tc>
        <w:tc>
          <w:tcPr>
            <w:tcW w:w="1520" w:type="dxa"/>
            <w:vAlign w:val="bottom"/>
            <w:tcBorders>
              <w:top w:val="single" w:sz="8" w:color="0000EE"/>
            </w:tcBorders>
            <w:gridSpan w:val="9"/>
          </w:tcPr>
          <w:p>
            <w:pPr>
              <w:spacing w:after="0"/>
              <w:rPr>
                <w:sz w:val="24"/>
                <w:szCs w:val="24"/>
                <w:color w:val="auto"/>
              </w:rPr>
            </w:pPr>
          </w:p>
        </w:tc>
        <w:tc>
          <w:tcPr>
            <w:tcW w:w="6600" w:type="dxa"/>
            <w:vAlign w:val="bottom"/>
            <w:gridSpan w:val="27"/>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gridSpan w:val="37"/>
          </w:tcPr>
          <w:p>
            <w:pPr>
              <w:spacing w:after="0"/>
              <w:rPr>
                <w:sz w:val="20"/>
                <w:szCs w:val="20"/>
                <w:color w:val="auto"/>
              </w:rPr>
            </w:pPr>
            <w:r>
              <w:rPr>
                <w:rFonts w:ascii="Arial" w:cs="Arial" w:eastAsia="Arial" w:hAnsi="Arial"/>
                <w:sz w:val="18"/>
                <w:szCs w:val="18"/>
                <w:color w:val="0000EE"/>
              </w:rPr>
              <w:t>ITEM 1. IDENTITY OF DIRECTORS, SENIOR MANAGEMENT AND ADVISERS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70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18"/>
                <w:szCs w:val="18"/>
                <w:color w:val="0000EE"/>
                <w:w w:val="90"/>
              </w:rPr>
              <w:t>A. Directors and Senior Management</w:t>
            </w:r>
          </w:p>
        </w:tc>
        <w:tc>
          <w:tcPr>
            <w:tcW w:w="3200" w:type="dxa"/>
            <w:vAlign w:val="bottom"/>
            <w:tcBorders>
              <w:top w:val="single" w:sz="8" w:color="0000EE"/>
            </w:tcBorders>
            <w:gridSpan w:val="12"/>
          </w:tcPr>
          <w:p>
            <w:pPr>
              <w:spacing w:after="0"/>
              <w:rPr>
                <w:sz w:val="24"/>
                <w:szCs w:val="24"/>
                <w:color w:val="auto"/>
              </w:rPr>
            </w:pPr>
          </w:p>
        </w:tc>
        <w:tc>
          <w:tcPr>
            <w:tcW w:w="20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gridSpan w:val="37"/>
          </w:tcPr>
          <w:p>
            <w:pPr>
              <w:spacing w:after="0"/>
              <w:rPr>
                <w:sz w:val="20"/>
                <w:szCs w:val="20"/>
                <w:color w:val="auto"/>
              </w:rPr>
            </w:pPr>
            <w:r>
              <w:rPr>
                <w:rFonts w:ascii="Arial" w:cs="Arial" w:eastAsia="Arial" w:hAnsi="Arial"/>
                <w:sz w:val="18"/>
                <w:szCs w:val="18"/>
                <w:color w:val="0000EE"/>
              </w:rPr>
              <w:t>ITEM 2. OFFER STATISTICS AND EXPECTED TIMETABLE</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7"/>
              </w:rPr>
              <w:t>ITEM 3. KEY INFORMATION</w:t>
            </w:r>
          </w:p>
        </w:tc>
        <w:tc>
          <w:tcPr>
            <w:tcW w:w="2360" w:type="dxa"/>
            <w:vAlign w:val="bottom"/>
            <w:tcBorders>
              <w:top w:val="single" w:sz="8" w:color="0000EE"/>
            </w:tcBorders>
            <w:gridSpan w:val="15"/>
          </w:tcPr>
          <w:p>
            <w:pPr>
              <w:spacing w:after="0"/>
              <w:rPr>
                <w:sz w:val="24"/>
                <w:szCs w:val="24"/>
                <w:color w:val="auto"/>
              </w:rPr>
            </w:pPr>
          </w:p>
        </w:tc>
        <w:tc>
          <w:tcPr>
            <w:tcW w:w="3660" w:type="dxa"/>
            <w:vAlign w:val="bottom"/>
            <w:gridSpan w:val="6"/>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A. [Reserved]</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B. Capitalization and Indebtedness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88"/>
              </w:rPr>
              <w:t>C. Reasons for the Offer and Use of Proceeds</w:t>
            </w:r>
          </w:p>
        </w:tc>
        <w:tc>
          <w:tcPr>
            <w:tcW w:w="4700" w:type="dxa"/>
            <w:vAlign w:val="bottom"/>
            <w:gridSpan w:val="10"/>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D. Risk Factors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gridSpan w:val="37"/>
          </w:tcPr>
          <w:p>
            <w:pPr>
              <w:spacing w:after="0"/>
              <w:rPr>
                <w:sz w:val="20"/>
                <w:szCs w:val="20"/>
                <w:color w:val="auto"/>
              </w:rPr>
            </w:pPr>
            <w:r>
              <w:rPr>
                <w:rFonts w:ascii="Arial" w:cs="Arial" w:eastAsia="Arial" w:hAnsi="Arial"/>
                <w:sz w:val="18"/>
                <w:szCs w:val="18"/>
                <w:color w:val="0000EE"/>
              </w:rPr>
              <w:t>ITEM 4. INFORMATION ON THE COMPANY</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54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1"/>
              </w:rPr>
              <w:t>A. Corporate History</w:t>
            </w:r>
          </w:p>
        </w:tc>
        <w:tc>
          <w:tcPr>
            <w:tcW w:w="1620" w:type="dxa"/>
            <w:vAlign w:val="bottom"/>
            <w:tcBorders>
              <w:top w:val="single" w:sz="8" w:color="0000EE"/>
            </w:tcBorders>
            <w:gridSpan w:val="12"/>
          </w:tcPr>
          <w:p>
            <w:pPr>
              <w:spacing w:after="0"/>
              <w:rPr>
                <w:sz w:val="24"/>
                <w:szCs w:val="24"/>
                <w:color w:val="auto"/>
              </w:rPr>
            </w:pPr>
          </w:p>
        </w:tc>
        <w:tc>
          <w:tcPr>
            <w:tcW w:w="4820" w:type="dxa"/>
            <w:vAlign w:val="bottom"/>
            <w:gridSpan w:val="12"/>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B. Business Overview</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 Organizational Structure</w:t>
            </w:r>
          </w:p>
        </w:tc>
        <w:tc>
          <w:tcPr>
            <w:tcW w:w="6000" w:type="dxa"/>
            <w:vAlign w:val="bottom"/>
            <w:gridSpan w:val="20"/>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D. Property, Plant and Equipment</w:t>
            </w:r>
          </w:p>
        </w:tc>
        <w:tc>
          <w:tcPr>
            <w:tcW w:w="2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gridSpan w:val="37"/>
          </w:tcPr>
          <w:p>
            <w:pPr>
              <w:spacing w:after="0"/>
              <w:rPr>
                <w:sz w:val="20"/>
                <w:szCs w:val="20"/>
                <w:color w:val="auto"/>
              </w:rPr>
            </w:pPr>
            <w:r>
              <w:rPr>
                <w:rFonts w:ascii="Arial" w:cs="Arial" w:eastAsia="Arial" w:hAnsi="Arial"/>
                <w:sz w:val="18"/>
                <w:szCs w:val="18"/>
                <w:color w:val="0000EE"/>
              </w:rPr>
              <w:t>ITEM 4A. UNRESOLVED STAFF COMMENTS</w:t>
            </w:r>
          </w:p>
        </w:tc>
        <w:tc>
          <w:tcPr>
            <w:tcW w:w="2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gridSpan w:val="37"/>
          </w:tcPr>
          <w:p>
            <w:pPr>
              <w:spacing w:after="0"/>
              <w:rPr>
                <w:sz w:val="20"/>
                <w:szCs w:val="20"/>
                <w:color w:val="auto"/>
              </w:rPr>
            </w:pPr>
            <w:r>
              <w:rPr>
                <w:rFonts w:ascii="Arial" w:cs="Arial" w:eastAsia="Arial" w:hAnsi="Arial"/>
                <w:sz w:val="18"/>
                <w:szCs w:val="18"/>
                <w:color w:val="0000EE"/>
              </w:rPr>
              <w:t>ITEM 5. OPERATING AND FINANCIAL REVIEW AND PROSPECTS</w:t>
            </w:r>
          </w:p>
        </w:tc>
        <w:tc>
          <w:tcPr>
            <w:tcW w:w="2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5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0"/>
              </w:rPr>
              <w:t>A. Operating Results</w:t>
            </w:r>
          </w:p>
        </w:tc>
        <w:tc>
          <w:tcPr>
            <w:tcW w:w="3440" w:type="dxa"/>
            <w:vAlign w:val="bottom"/>
            <w:tcBorders>
              <w:top w:val="single" w:sz="8" w:color="0000EE"/>
            </w:tcBorders>
            <w:gridSpan w:val="21"/>
          </w:tcPr>
          <w:p>
            <w:pPr>
              <w:spacing w:after="0"/>
              <w:rPr>
                <w:sz w:val="24"/>
                <w:szCs w:val="24"/>
                <w:color w:val="auto"/>
              </w:rPr>
            </w:pPr>
          </w:p>
        </w:tc>
        <w:tc>
          <w:tcPr>
            <w:tcW w:w="3020" w:type="dxa"/>
            <w:vAlign w:val="bottom"/>
            <w:gridSpan w:val="4"/>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B. Liquidity and Capital Resources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87"/>
              </w:rPr>
              <w:t>C. Research and Development, Patents and Licenses</w:t>
            </w:r>
          </w:p>
        </w:tc>
        <w:tc>
          <w:tcPr>
            <w:tcW w:w="4200" w:type="dxa"/>
            <w:vAlign w:val="bottom"/>
            <w:gridSpan w:val="9"/>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D. Trend Information</w:t>
            </w: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E. Critical Accounting Estimates</w:t>
            </w: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gridSpan w:val="37"/>
          </w:tcPr>
          <w:p>
            <w:pPr>
              <w:spacing w:after="0"/>
              <w:rPr>
                <w:sz w:val="20"/>
                <w:szCs w:val="20"/>
                <w:color w:val="auto"/>
              </w:rPr>
            </w:pPr>
            <w:r>
              <w:rPr>
                <w:rFonts w:ascii="Arial" w:cs="Arial" w:eastAsia="Arial" w:hAnsi="Arial"/>
                <w:sz w:val="18"/>
                <w:szCs w:val="18"/>
                <w:color w:val="0000EE"/>
              </w:rPr>
              <w:t>ITEM 6. DIRECTORS, SENIOR MANAGEMENT AND EMPLOYEES</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920" w:type="dxa"/>
            <w:vAlign w:val="bottom"/>
            <w:tcBorders>
              <w:top w:val="single" w:sz="8" w:color="0000EE"/>
            </w:tcBorders>
            <w:gridSpan w:val="30"/>
          </w:tcPr>
          <w:p>
            <w:pPr>
              <w:spacing w:after="0"/>
              <w:rPr>
                <w:sz w:val="20"/>
                <w:szCs w:val="20"/>
                <w:color w:val="auto"/>
              </w:rPr>
            </w:pPr>
            <w:r>
              <w:rPr>
                <w:rFonts w:ascii="Arial" w:cs="Arial" w:eastAsia="Arial" w:hAnsi="Arial"/>
                <w:sz w:val="18"/>
                <w:szCs w:val="18"/>
                <w:color w:val="0000EE"/>
              </w:rPr>
              <w:t>A. Directors and Senior Management</w:t>
            </w:r>
          </w:p>
        </w:tc>
        <w:tc>
          <w:tcPr>
            <w:tcW w:w="3060" w:type="dxa"/>
            <w:vAlign w:val="bottom"/>
            <w:gridSpan w:val="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B. Compensation</w:t>
            </w:r>
          </w:p>
        </w:tc>
        <w:tc>
          <w:tcPr>
            <w:tcW w:w="5300" w:type="dxa"/>
            <w:vAlign w:val="bottom"/>
            <w:gridSpan w:val="14"/>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140" w:type="dxa"/>
            <w:vAlign w:val="bottom"/>
            <w:gridSpan w:val="1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7"/>
              </w:rPr>
              <w:t>C. Board Practices</w:t>
            </w:r>
          </w:p>
        </w:tc>
        <w:tc>
          <w:tcPr>
            <w:tcW w:w="6640" w:type="dxa"/>
            <w:vAlign w:val="bottom"/>
            <w:gridSpan w:val="28"/>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D. Employees</w:t>
            </w:r>
          </w:p>
        </w:tc>
        <w:tc>
          <w:tcPr>
            <w:tcW w:w="6960" w:type="dxa"/>
            <w:vAlign w:val="bottom"/>
            <w:gridSpan w:val="31"/>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E. Share Ownership</w:t>
            </w:r>
          </w:p>
        </w:tc>
        <w:tc>
          <w:tcPr>
            <w:tcW w:w="6540" w:type="dxa"/>
            <w:vAlign w:val="bottom"/>
            <w:gridSpan w:val="26"/>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4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color w:val="0000EE"/>
                <w:w w:val="95"/>
              </w:rPr>
              <w:t>ITEM 7. MAJOR SHAREHOLDERS AND RELATED PARTY TRANSACTIONS</w:t>
            </w:r>
          </w:p>
        </w:tc>
        <w:tc>
          <w:tcPr>
            <w:tcW w:w="2300" w:type="dxa"/>
            <w:vAlign w:val="bottom"/>
            <w:gridSpan w:val="2"/>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A. Major Shareholders</w:t>
            </w:r>
          </w:p>
        </w:tc>
        <w:tc>
          <w:tcPr>
            <w:tcW w:w="6340" w:type="dxa"/>
            <w:vAlign w:val="bottom"/>
            <w:gridSpan w:val="23"/>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B. Related Party Transactions</w:t>
            </w:r>
          </w:p>
        </w:tc>
        <w:tc>
          <w:tcPr>
            <w:tcW w:w="5840" w:type="dxa"/>
            <w:vAlign w:val="bottom"/>
            <w:gridSpan w:val="19"/>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80" w:type="dxa"/>
            <w:vAlign w:val="bottom"/>
            <w:gridSpan w:val="35"/>
          </w:tcPr>
          <w:p>
            <w:pPr>
              <w:spacing w:after="0"/>
              <w:rPr>
                <w:sz w:val="20"/>
                <w:szCs w:val="20"/>
                <w:color w:val="auto"/>
              </w:rPr>
            </w:pPr>
            <w:r>
              <w:rPr>
                <w:rFonts w:ascii="Arial" w:cs="Arial" w:eastAsia="Arial" w:hAnsi="Arial"/>
                <w:sz w:val="18"/>
                <w:szCs w:val="18"/>
                <w:color w:val="0000EE"/>
              </w:rPr>
              <w:t>C. Interests of Experts and Counsel</w:t>
            </w:r>
          </w:p>
        </w:tc>
        <w:tc>
          <w:tcPr>
            <w:tcW w:w="2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gridSpan w:val="6"/>
          </w:tcPr>
          <w:p>
            <w:pPr>
              <w:jc w:val="center"/>
              <w:ind w:right="2740"/>
              <w:spacing w:after="0"/>
              <w:rPr>
                <w:sz w:val="20"/>
                <w:szCs w:val="20"/>
                <w:color w:val="auto"/>
              </w:rPr>
            </w:pPr>
            <w:r>
              <w:rPr>
                <w:rFonts w:ascii="Arial" w:cs="Arial" w:eastAsia="Arial" w:hAnsi="Arial"/>
                <w:sz w:val="18"/>
                <w:szCs w:val="18"/>
                <w:color w:val="auto"/>
                <w:w w:val="98"/>
              </w:rPr>
              <w:t>i</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7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88"/>
              </w:rPr>
              <w:t>Table of Contents</w:t>
            </w:r>
          </w:p>
        </w:tc>
        <w:tc>
          <w:tcPr>
            <w:tcW w:w="8580" w:type="dxa"/>
            <w:vAlign w:val="bottom"/>
            <w:gridSpan w:val="35"/>
          </w:tcPr>
          <w:p>
            <w:pPr>
              <w:spacing w:after="0"/>
              <w:rPr>
                <w:sz w:val="17"/>
                <w:szCs w:val="17"/>
                <w:color w:val="auto"/>
              </w:rPr>
            </w:pPr>
          </w:p>
        </w:tc>
        <w:tc>
          <w:tcPr>
            <w:tcW w:w="1140" w:type="dxa"/>
            <w:vAlign w:val="bottom"/>
          </w:tcPr>
          <w:p>
            <w:pPr>
              <w:spacing w:after="0"/>
              <w:rPr>
                <w:sz w:val="17"/>
                <w:szCs w:val="17"/>
                <w:color w:val="auto"/>
              </w:rPr>
            </w:pPr>
          </w:p>
        </w:tc>
      </w:tr>
      <w:tr>
        <w:trPr>
          <w:trHeight w:val="60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8"/>
              </w:rPr>
              <w:t>ITEM 8. FINANCIAL INFORMATION.</w:t>
            </w:r>
          </w:p>
        </w:tc>
        <w:tc>
          <w:tcPr>
            <w:tcW w:w="6500" w:type="dxa"/>
            <w:vAlign w:val="bottom"/>
            <w:gridSpan w:val="1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36"/>
          </w:tcPr>
          <w:p>
            <w:pPr>
              <w:spacing w:after="0"/>
              <w:rPr>
                <w:sz w:val="20"/>
                <w:szCs w:val="20"/>
                <w:color w:val="auto"/>
              </w:rPr>
            </w:pPr>
            <w:r>
              <w:rPr>
                <w:rFonts w:ascii="Arial" w:cs="Arial" w:eastAsia="Arial" w:hAnsi="Arial"/>
                <w:sz w:val="18"/>
                <w:szCs w:val="18"/>
                <w:color w:val="0000EE"/>
              </w:rPr>
              <w:t>A. Consolidated Statements and Other Financial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1"/>
              </w:rPr>
              <w:t>B. Significant Changes</w:t>
            </w:r>
          </w:p>
        </w:tc>
        <w:tc>
          <w:tcPr>
            <w:tcW w:w="2740" w:type="dxa"/>
            <w:vAlign w:val="bottom"/>
            <w:tcBorders>
              <w:top w:val="single" w:sz="8" w:color="0000EE"/>
            </w:tcBorders>
            <w:gridSpan w:val="16"/>
          </w:tcPr>
          <w:p>
            <w:pPr>
              <w:spacing w:after="0"/>
              <w:rPr>
                <w:sz w:val="24"/>
                <w:szCs w:val="24"/>
                <w:color w:val="auto"/>
              </w:rPr>
            </w:pPr>
          </w:p>
        </w:tc>
        <w:tc>
          <w:tcPr>
            <w:tcW w:w="4680" w:type="dxa"/>
            <w:vAlign w:val="bottom"/>
            <w:gridSpan w:val="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6"/>
              </w:rPr>
              <w:t>ITEM 9. THE OFFER AND LISTING</w:t>
            </w:r>
          </w:p>
        </w:tc>
        <w:tc>
          <w:tcPr>
            <w:tcW w:w="6660" w:type="dxa"/>
            <w:vAlign w:val="bottom"/>
            <w:gridSpan w:val="1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3"/>
              </w:rPr>
              <w:t>A. Offer and Listing Details</w:t>
            </w:r>
          </w:p>
        </w:tc>
        <w:tc>
          <w:tcPr>
            <w:tcW w:w="7080" w:type="dxa"/>
            <w:vAlign w:val="bottom"/>
            <w:gridSpan w:val="1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3"/>
              </w:rPr>
              <w:t>B. Plan of Distribution</w:t>
            </w:r>
          </w:p>
        </w:tc>
        <w:tc>
          <w:tcPr>
            <w:tcW w:w="7460" w:type="dxa"/>
            <w:vAlign w:val="bottom"/>
            <w:gridSpan w:val="2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C. Markets</w:t>
            </w:r>
          </w:p>
        </w:tc>
        <w:tc>
          <w:tcPr>
            <w:tcW w:w="8300" w:type="dxa"/>
            <w:vAlign w:val="bottom"/>
            <w:gridSpan w:val="3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36"/>
          </w:tcPr>
          <w:p>
            <w:pPr>
              <w:spacing w:after="0"/>
              <w:rPr>
                <w:sz w:val="20"/>
                <w:szCs w:val="20"/>
                <w:color w:val="auto"/>
              </w:rPr>
            </w:pPr>
            <w:r>
              <w:rPr>
                <w:rFonts w:ascii="Arial" w:cs="Arial" w:eastAsia="Arial" w:hAnsi="Arial"/>
                <w:sz w:val="18"/>
                <w:szCs w:val="18"/>
                <w:color w:val="0000EE"/>
              </w:rPr>
              <w:t>D. Selling Shareholders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5"/>
              </w:rPr>
              <w:t>E. Dilution</w:t>
            </w:r>
          </w:p>
        </w:tc>
        <w:tc>
          <w:tcPr>
            <w:tcW w:w="900" w:type="dxa"/>
            <w:vAlign w:val="bottom"/>
            <w:tcBorders>
              <w:top w:val="single" w:sz="8" w:color="0000EE"/>
            </w:tcBorders>
            <w:gridSpan w:val="10"/>
          </w:tcPr>
          <w:p>
            <w:pPr>
              <w:spacing w:after="0"/>
              <w:rPr>
                <w:sz w:val="24"/>
                <w:szCs w:val="24"/>
                <w:color w:val="auto"/>
              </w:rPr>
            </w:pPr>
          </w:p>
        </w:tc>
        <w:tc>
          <w:tcPr>
            <w:tcW w:w="7400" w:type="dxa"/>
            <w:vAlign w:val="bottom"/>
            <w:gridSpan w:val="2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36"/>
          </w:tcPr>
          <w:p>
            <w:pPr>
              <w:spacing w:after="0"/>
              <w:rPr>
                <w:sz w:val="20"/>
                <w:szCs w:val="20"/>
                <w:color w:val="auto"/>
              </w:rPr>
            </w:pPr>
            <w:r>
              <w:rPr>
                <w:rFonts w:ascii="Arial" w:cs="Arial" w:eastAsia="Arial" w:hAnsi="Arial"/>
                <w:sz w:val="18"/>
                <w:szCs w:val="18"/>
                <w:color w:val="0000EE"/>
              </w:rPr>
              <w:t>F. Expenses of the Issue</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ITEM 10. ADDITIONAL INFORMATION</w:t>
            </w:r>
          </w:p>
        </w:tc>
        <w:tc>
          <w:tcPr>
            <w:tcW w:w="6300" w:type="dxa"/>
            <w:vAlign w:val="bottom"/>
            <w:gridSpan w:val="1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A. Share Capital</w:t>
            </w:r>
          </w:p>
        </w:tc>
        <w:tc>
          <w:tcPr>
            <w:tcW w:w="7900" w:type="dxa"/>
            <w:vAlign w:val="bottom"/>
            <w:gridSpan w:val="3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2"/>
              </w:rPr>
              <w:t>B. Memorandum and Articles of Association</w:t>
            </w:r>
          </w:p>
        </w:tc>
        <w:tc>
          <w:tcPr>
            <w:tcW w:w="5860" w:type="dxa"/>
            <w:vAlign w:val="bottom"/>
            <w:gridSpan w:val="11"/>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 Material Contracts</w:t>
            </w:r>
          </w:p>
        </w:tc>
        <w:tc>
          <w:tcPr>
            <w:tcW w:w="7540" w:type="dxa"/>
            <w:vAlign w:val="bottom"/>
            <w:gridSpan w:val="2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36"/>
          </w:tcPr>
          <w:p>
            <w:pPr>
              <w:spacing w:after="0"/>
              <w:rPr>
                <w:sz w:val="20"/>
                <w:szCs w:val="20"/>
                <w:color w:val="auto"/>
              </w:rPr>
            </w:pPr>
            <w:r>
              <w:rPr>
                <w:rFonts w:ascii="Arial" w:cs="Arial" w:eastAsia="Arial" w:hAnsi="Arial"/>
                <w:sz w:val="18"/>
                <w:szCs w:val="18"/>
                <w:color w:val="0000EE"/>
              </w:rPr>
              <w:t>D. Exchange Controls</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E. Taxation</w:t>
            </w:r>
          </w:p>
        </w:tc>
        <w:tc>
          <w:tcPr>
            <w:tcW w:w="7520" w:type="dxa"/>
            <w:vAlign w:val="bottom"/>
            <w:gridSpan w:val="2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F. Dividends and Paying Agents</w:t>
            </w:r>
          </w:p>
        </w:tc>
        <w:tc>
          <w:tcPr>
            <w:tcW w:w="6780" w:type="dxa"/>
            <w:vAlign w:val="bottom"/>
            <w:gridSpan w:val="1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8"/>
              </w:rPr>
              <w:t>G. Statement by Experts</w:t>
            </w:r>
          </w:p>
        </w:tc>
        <w:tc>
          <w:tcPr>
            <w:tcW w:w="7340" w:type="dxa"/>
            <w:vAlign w:val="bottom"/>
            <w:gridSpan w:val="2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36"/>
          </w:tcPr>
          <w:p>
            <w:pPr>
              <w:spacing w:after="0"/>
              <w:rPr>
                <w:sz w:val="20"/>
                <w:szCs w:val="20"/>
                <w:color w:val="auto"/>
              </w:rPr>
            </w:pPr>
            <w:r>
              <w:rPr>
                <w:rFonts w:ascii="Arial" w:cs="Arial" w:eastAsia="Arial" w:hAnsi="Arial"/>
                <w:sz w:val="18"/>
                <w:szCs w:val="18"/>
                <w:color w:val="0000EE"/>
              </w:rPr>
              <w:t>H. Documents on Display</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36"/>
          </w:tcPr>
          <w:p>
            <w:pPr>
              <w:spacing w:after="0"/>
              <w:rPr>
                <w:sz w:val="20"/>
                <w:szCs w:val="20"/>
                <w:color w:val="auto"/>
              </w:rPr>
            </w:pPr>
            <w:r>
              <w:rPr>
                <w:rFonts w:ascii="Arial" w:cs="Arial" w:eastAsia="Arial" w:hAnsi="Arial"/>
                <w:sz w:val="18"/>
                <w:szCs w:val="18"/>
                <w:color w:val="0000EE"/>
              </w:rPr>
              <w:t>I. Subsidiary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EE"/>
              </w:rPr>
              <w:t>ITEM 11. QUANTITATIVE AND QUALITATIVE DISCLOSURES ABOUT MARKET RISK</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tcBorders>
              <w:top w:val="single" w:sz="8" w:color="0000EE"/>
            </w:tcBorders>
            <w:gridSpan w:val="34"/>
          </w:tcPr>
          <w:p>
            <w:pPr>
              <w:spacing w:after="0"/>
              <w:rPr>
                <w:sz w:val="20"/>
                <w:szCs w:val="20"/>
                <w:color w:val="auto"/>
              </w:rPr>
            </w:pPr>
            <w:r>
              <w:rPr>
                <w:rFonts w:ascii="Arial" w:cs="Arial" w:eastAsia="Arial" w:hAnsi="Arial"/>
                <w:sz w:val="18"/>
                <w:szCs w:val="18"/>
                <w:color w:val="0000EE"/>
              </w:rPr>
              <w:t>ITEM 12. DESCRIPTION OF SECURITIES OTHER THAN EQUITY SECURITIES</w:t>
            </w:r>
          </w:p>
        </w:tc>
        <w:tc>
          <w:tcPr>
            <w:tcW w:w="258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60" w:type="dxa"/>
            <w:vAlign w:val="bottom"/>
            <w:tcBorders>
              <w:top w:val="single" w:sz="8" w:color="0000EE"/>
            </w:tcBorders>
            <w:gridSpan w:val="31"/>
          </w:tcPr>
          <w:p>
            <w:pPr>
              <w:spacing w:after="0"/>
              <w:rPr>
                <w:sz w:val="20"/>
                <w:szCs w:val="20"/>
                <w:color w:val="auto"/>
              </w:rPr>
            </w:pPr>
            <w:r>
              <w:rPr>
                <w:rFonts w:ascii="Arial" w:cs="Arial" w:eastAsia="Arial" w:hAnsi="Arial"/>
                <w:sz w:val="18"/>
                <w:szCs w:val="18"/>
                <w:color w:val="0000EE"/>
              </w:rPr>
              <w:t>A. Debt Securities.</w:t>
            </w:r>
          </w:p>
        </w:tc>
        <w:tc>
          <w:tcPr>
            <w:tcW w:w="324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B. Warrants and rights.</w:t>
            </w:r>
          </w:p>
        </w:tc>
        <w:tc>
          <w:tcPr>
            <w:tcW w:w="7440" w:type="dxa"/>
            <w:vAlign w:val="bottom"/>
            <w:gridSpan w:val="2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C. Other Securities.</w:t>
            </w:r>
          </w:p>
        </w:tc>
        <w:tc>
          <w:tcPr>
            <w:tcW w:w="7680" w:type="dxa"/>
            <w:vAlign w:val="bottom"/>
            <w:gridSpan w:val="3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gridSpan w:val="36"/>
          </w:tcPr>
          <w:p>
            <w:pPr>
              <w:spacing w:after="0"/>
              <w:rPr>
                <w:sz w:val="20"/>
                <w:szCs w:val="20"/>
                <w:color w:val="auto"/>
              </w:rPr>
            </w:pPr>
            <w:r>
              <w:rPr>
                <w:rFonts w:ascii="Arial" w:cs="Arial" w:eastAsia="Arial" w:hAnsi="Arial"/>
                <w:sz w:val="18"/>
                <w:szCs w:val="18"/>
                <w:color w:val="0000EE"/>
              </w:rPr>
              <w:t>D. American Depositary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1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PART II.</w:t>
            </w:r>
          </w:p>
        </w:tc>
        <w:tc>
          <w:tcPr>
            <w:tcW w:w="80" w:type="dxa"/>
            <w:vAlign w:val="bottom"/>
          </w:tcPr>
          <w:p>
            <w:pPr>
              <w:spacing w:after="0"/>
              <w:rPr>
                <w:sz w:val="24"/>
                <w:szCs w:val="24"/>
                <w:color w:val="auto"/>
              </w:rPr>
            </w:pPr>
          </w:p>
        </w:tc>
        <w:tc>
          <w:tcPr>
            <w:tcW w:w="2280" w:type="dxa"/>
            <w:vAlign w:val="bottom"/>
            <w:tcBorders>
              <w:top w:val="single" w:sz="8" w:color="0000EE"/>
            </w:tcBorders>
            <w:gridSpan w:val="18"/>
          </w:tcPr>
          <w:p>
            <w:pPr>
              <w:spacing w:after="0"/>
              <w:rPr>
                <w:sz w:val="24"/>
                <w:szCs w:val="24"/>
                <w:color w:val="auto"/>
              </w:rPr>
            </w:pPr>
          </w:p>
        </w:tc>
        <w:tc>
          <w:tcPr>
            <w:tcW w:w="6820" w:type="dxa"/>
            <w:vAlign w:val="bottom"/>
            <w:gridSpan w:val="1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EE"/>
              </w:rPr>
              <w:t>ITEM 13. DEFAULTS, DIVIDEND ARREARAGES AND DELINQUENCIES</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gridSpan w:val="18"/>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EE"/>
              </w:rPr>
              <w:t>ITEM 14. MATERIAL MODIFICATIONS TO THE RIGHTS OF SECURITY HOLDERS AND USE OF PROCEEDS</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26"/>
          </w:tcPr>
          <w:p>
            <w:pPr>
              <w:spacing w:after="0"/>
              <w:rPr>
                <w:sz w:val="20"/>
                <w:szCs w:val="20"/>
                <w:color w:val="auto"/>
              </w:rPr>
            </w:pPr>
            <w:r>
              <w:rPr>
                <w:rFonts w:ascii="Arial" w:cs="Arial" w:eastAsia="Arial" w:hAnsi="Arial"/>
                <w:sz w:val="18"/>
                <w:szCs w:val="18"/>
                <w:color w:val="0000EE"/>
                <w:w w:val="94"/>
              </w:rPr>
              <w:t>ITEM 15. CONTROLS AND PROCEDURES</w:t>
            </w:r>
          </w:p>
        </w:tc>
        <w:tc>
          <w:tcPr>
            <w:tcW w:w="5240" w:type="dxa"/>
            <w:vAlign w:val="bottom"/>
            <w:tcBorders>
              <w:top w:val="single" w:sz="8" w:color="0000EE"/>
            </w:tcBorders>
            <w:gridSpan w:val="11"/>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EE"/>
              </w:rPr>
              <w:t>ITEM 16A. AUDIT COMMITTEE FINANCIAL EXPERT</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8"/>
                <w:szCs w:val="18"/>
                <w:color w:val="0000EE"/>
                <w:w w:val="94"/>
              </w:rPr>
              <w:t>ITEM 16B. CODE OF ETHICS</w:t>
            </w:r>
          </w:p>
        </w:tc>
        <w:tc>
          <w:tcPr>
            <w:tcW w:w="1960" w:type="dxa"/>
            <w:vAlign w:val="bottom"/>
            <w:tcBorders>
              <w:top w:val="single" w:sz="8" w:color="0000EE"/>
            </w:tcBorders>
            <w:gridSpan w:val="10"/>
          </w:tcPr>
          <w:p>
            <w:pPr>
              <w:spacing w:after="0"/>
              <w:rPr>
                <w:sz w:val="24"/>
                <w:szCs w:val="24"/>
                <w:color w:val="auto"/>
              </w:rPr>
            </w:pPr>
          </w:p>
        </w:tc>
        <w:tc>
          <w:tcPr>
            <w:tcW w:w="518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4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5"/>
              </w:rPr>
              <w:t>ITEM 16C. PRINCIPAL ACCOUNTANT FEES AND SERVICES</w:t>
            </w:r>
          </w:p>
        </w:tc>
        <w:tc>
          <w:tcPr>
            <w:tcW w:w="4620" w:type="dxa"/>
            <w:vAlign w:val="bottom"/>
            <w:gridSpan w:val="8"/>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color w:val="0000EE"/>
                <w:w w:val="96"/>
              </w:rPr>
              <w:t>ITEM 16D. EXEMPTIONS FROM THE LISTING STANDARDS FOR AUDIT COMMITTEES</w:t>
            </w:r>
          </w:p>
        </w:tc>
        <w:tc>
          <w:tcPr>
            <w:tcW w:w="242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tcBorders>
              <w:bottom w:val="single" w:sz="8" w:color="0000EE"/>
            </w:tcBorders>
            <w:gridSpan w:val="36"/>
          </w:tcPr>
          <w:p>
            <w:pPr>
              <w:spacing w:after="0"/>
              <w:rPr>
                <w:sz w:val="20"/>
                <w:szCs w:val="20"/>
                <w:color w:val="auto"/>
              </w:rPr>
            </w:pPr>
            <w:r>
              <w:rPr>
                <w:rFonts w:ascii="Arial" w:cs="Arial" w:eastAsia="Arial" w:hAnsi="Arial"/>
                <w:sz w:val="18"/>
                <w:szCs w:val="18"/>
                <w:color w:val="0000EE"/>
                <w:w w:val="95"/>
              </w:rPr>
              <w:t>ITEM 16E. PURCHASES OF EQUITY SECURITIES BY THE ISSUER AND AFFILIATED PURCHASERS</w:t>
            </w:r>
          </w:p>
        </w:tc>
        <w:tc>
          <w:tcPr>
            <w:tcW w:w="144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6"/>
              </w:rPr>
              <w:t>ITEM 16F. CHANGE IN REGISTRANT’S CERTIFYING ACCOUNTANT</w:t>
            </w:r>
          </w:p>
        </w:tc>
        <w:tc>
          <w:tcPr>
            <w:tcW w:w="394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4"/>
              </w:rPr>
              <w:t>ITEM 16G. CORPORATE GOVERNANCE</w:t>
            </w:r>
          </w:p>
        </w:tc>
        <w:tc>
          <w:tcPr>
            <w:tcW w:w="6240" w:type="dxa"/>
            <w:vAlign w:val="bottom"/>
            <w:gridSpan w:val="1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38"/>
          </w:tcPr>
          <w:p>
            <w:pPr>
              <w:spacing w:after="0"/>
              <w:rPr>
                <w:sz w:val="20"/>
                <w:szCs w:val="20"/>
                <w:color w:val="auto"/>
              </w:rPr>
            </w:pPr>
            <w:r>
              <w:rPr>
                <w:rFonts w:ascii="Arial" w:cs="Arial" w:eastAsia="Arial" w:hAnsi="Arial"/>
                <w:sz w:val="18"/>
                <w:szCs w:val="18"/>
                <w:color w:val="0000EE"/>
              </w:rPr>
              <w:t>ITEM 16H. MINE SAFETY DISCLOSURE</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gridSpan w:val="8"/>
          </w:tcPr>
          <w:p>
            <w:pPr>
              <w:ind w:left="260"/>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88"/>
              </w:rPr>
              <w:t>Table of Contents</w:t>
            </w:r>
          </w:p>
        </w:tc>
        <w:tc>
          <w:tcPr>
            <w:tcW w:w="8180" w:type="dxa"/>
            <w:vAlign w:val="bottom"/>
            <w:gridSpan w:val="5"/>
          </w:tcPr>
          <w:p>
            <w:pPr>
              <w:spacing w:after="0"/>
              <w:rPr>
                <w:sz w:val="17"/>
                <w:szCs w:val="17"/>
                <w:color w:val="auto"/>
              </w:rPr>
            </w:pPr>
          </w:p>
        </w:tc>
        <w:tc>
          <w:tcPr>
            <w:tcW w:w="1540" w:type="dxa"/>
            <w:vAlign w:val="bottom"/>
          </w:tcPr>
          <w:p>
            <w:pPr>
              <w:spacing w:after="0"/>
              <w:rPr>
                <w:sz w:val="17"/>
                <w:szCs w:val="17"/>
                <w:color w:val="auto"/>
              </w:rPr>
            </w:pPr>
          </w:p>
        </w:tc>
      </w:tr>
      <w:tr>
        <w:trPr>
          <w:trHeight w:val="60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gridSpan w:val="7"/>
          </w:tcPr>
          <w:p>
            <w:pPr>
              <w:spacing w:after="0"/>
              <w:rPr>
                <w:sz w:val="20"/>
                <w:szCs w:val="20"/>
                <w:color w:val="auto"/>
              </w:rPr>
            </w:pPr>
            <w:r>
              <w:rPr>
                <w:rFonts w:ascii="Arial" w:cs="Arial" w:eastAsia="Arial" w:hAnsi="Arial"/>
                <w:sz w:val="18"/>
                <w:szCs w:val="18"/>
                <w:color w:val="0000EE"/>
              </w:rPr>
              <w:t>ITEM 16I. DISCLOSURE REGARDING FOREIGN JURISDICTIONS THAT PREVENT INSPECTIONS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PART III.</w:t>
            </w:r>
          </w:p>
        </w:tc>
        <w:tc>
          <w:tcPr>
            <w:tcW w:w="8720" w:type="dxa"/>
            <w:vAlign w:val="bottom"/>
            <w:gridSpan w:val="6"/>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ITEM 17. FINANCIAL STATEMENTS</w:t>
            </w:r>
          </w:p>
        </w:tc>
        <w:tc>
          <w:tcPr>
            <w:tcW w:w="614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gridSpan w:val="7"/>
          </w:tcPr>
          <w:p>
            <w:pPr>
              <w:spacing w:after="0"/>
              <w:rPr>
                <w:sz w:val="20"/>
                <w:szCs w:val="20"/>
                <w:color w:val="auto"/>
              </w:rPr>
            </w:pPr>
            <w:r>
              <w:rPr>
                <w:rFonts w:ascii="Arial" w:cs="Arial" w:eastAsia="Arial" w:hAnsi="Arial"/>
                <w:sz w:val="18"/>
                <w:szCs w:val="18"/>
                <w:color w:val="0000EE"/>
              </w:rPr>
              <w:t>ITEM 18. FINANCIAL STATEMENTS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ITEM 19. EXHIBITS.</w:t>
            </w:r>
          </w:p>
        </w:tc>
        <w:tc>
          <w:tcPr>
            <w:tcW w:w="6160" w:type="dxa"/>
            <w:vAlign w:val="bottom"/>
            <w:gridSpan w:val="3"/>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2"/>
          </w:tcPr>
          <w:p>
            <w:pPr>
              <w:ind w:left="2140"/>
              <w:spacing w:after="0"/>
              <w:rPr>
                <w:sz w:val="20"/>
                <w:szCs w:val="20"/>
                <w:color w:val="auto"/>
              </w:rPr>
            </w:pPr>
            <w:r>
              <w:rPr>
                <w:rFonts w:ascii="Arial" w:cs="Arial" w:eastAsia="Arial" w:hAnsi="Arial"/>
                <w:sz w:val="18"/>
                <w:szCs w:val="18"/>
                <w:color w:val="auto"/>
              </w:rPr>
              <w:t>iii</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conduct our business through Mynaric AG,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Unless otherwise indicated or the context otherwise requires or where otherwise indicated, the terms “Mynaric,” the “Company,” “we,” “our,” “ours,” “ourselves,” “us” or similar terms refer to Mynaric AG together with its subsidiaries.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report under International Financial Reporting Standards (“IFRS”) as issued by the International Accounting Standards Board (“IASB”), which differ in certain significant aspects from U.S. generally accepted accounting principles (“U.S. GAAP”). Accordingly, our results of operations and financial condition as reflected by our IFRS financial statements that are included in this Annual Report on Form 20-F (“Annual Report”)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w:t>
      </w:r>
    </w:p>
    <w:p>
      <w:pPr>
        <w:spacing w:after="0" w:line="16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Our consolidated financial statements are reported in euros, which are denoted “euros,” “EUR” or “€” throughout this Annual Report and refer to the currency introduced at the start of the third stage of European economic and monetary union pursuant to the treaty establishing the European Community, as amended. Also, throughout this Annual Report, the terms “dollar,” “USD” or “$” refer to U.S. dollars. For the convenience of the reader, we have translated some financial information into U.S. dollars. Unless otherwise indicated, these translations were made based on the Euro/U.S. dollar exchange rate published by the European Central Bank on December 30, 2022, which was €1.00 to $1.0666.</w:t>
      </w:r>
    </w:p>
    <w:p>
      <w:pPr>
        <w:spacing w:after="0" w:line="17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Financial information in thousands or millions, and percentage figures have been rounded. Rounded total and sub-total figures in tables in this Annual Report may differ marginally from unrounded figures indicated elsewhere in this Annual Report or in the financial statements. Moreover, rounded individual figures and percentages may not produce the exact arithmetic totals and sub-totals indicated elsewhere in this Annual Report.</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obtained the industry, market and competitive position data in this Annual Report from our own internal estimates, surveys, and research as well as from publicly available information, industry and general publications and research, surveys and studies conducted by third parties, including, but not limited to, Air Force Magazine, ArkInvest, Aviation Week Network, Breaking Defense, C4ISRNet, Congressional Research Service, German Aerospace Center, Grand View Research, MarketsandMarkets, Morgan Stanley (Space Economy), National Defense Magazine, ResearchandMarkets, Space Capital, Space News, UCS Satellite Database, The National Interest, the U.S. Air Force, Via Satellite, and the Stockholm International Peace Research Institute.</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Annual Report. These forecasts and forward-looking information are subject to uncertainty and risk due to a variety of factors, including those described under “Item. 3 Key Information—D.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8"/>
          <w:szCs w:val="18"/>
          <w:color w:val="auto"/>
        </w:rPr>
        <w:t xml:space="preserve">We have proprietary rights to trademarks used in this Annual Report that are important to our business, many of which are registered under applicable intellectual property laws. Solely for convenience, the trademarks, service marks, logos and trade names referred to in this Annual Report are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such</w:t>
      </w: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references are not intended to indicate, in any way, that we will not assert, to the fullest extent under applicable law, our rights or the rights of the applicable licensors to these trademarks, service marks and trade names.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Annual Report: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CJADC2</w:t>
      </w:r>
      <w:r>
        <w:rPr>
          <w:rFonts w:ascii="Arial" w:cs="Arial" w:eastAsia="Arial" w:hAnsi="Arial"/>
          <w:sz w:val="18"/>
          <w:szCs w:val="18"/>
          <w:color w:val="auto"/>
        </w:rPr>
        <w:t>” refers to Combined Joint All Domain Command and Control architecture.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Coarse pointing assembly</w:t>
      </w:r>
      <w:r>
        <w:rPr>
          <w:rFonts w:ascii="Arial" w:cs="Arial" w:eastAsia="Arial" w:hAnsi="Arial"/>
          <w:sz w:val="18"/>
          <w:szCs w:val="18"/>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DARPA</w:t>
      </w:r>
      <w:r>
        <w:rPr>
          <w:rFonts w:ascii="Arial" w:cs="Arial" w:eastAsia="Arial" w:hAnsi="Arial"/>
          <w:sz w:val="18"/>
          <w:szCs w:val="18"/>
          <w:color w:val="auto"/>
        </w:rPr>
        <w:t>” refers to the U.S. Defense Advanced Research Projects Agency.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DLR</w:t>
      </w:r>
      <w:r>
        <w:rPr>
          <w:rFonts w:ascii="Arial" w:cs="Arial" w:eastAsia="Arial" w:hAnsi="Arial"/>
          <w:sz w:val="18"/>
          <w:szCs w:val="18"/>
          <w:color w:val="auto"/>
        </w:rPr>
        <w:t>” refers to the German Aerospace Center (</w:t>
      </w:r>
      <w:r>
        <w:rPr>
          <w:rFonts w:ascii="Arial" w:cs="Arial" w:eastAsia="Arial" w:hAnsi="Arial"/>
          <w:sz w:val="18"/>
          <w:szCs w:val="18"/>
          <w:i w:val="1"/>
          <w:iCs w:val="1"/>
          <w:color w:val="auto"/>
        </w:rPr>
        <w:t>Deutsches Zentrum für Luft- und Raumfahrt e.V</w:t>
      </w:r>
      <w:r>
        <w:rPr>
          <w:rFonts w:ascii="Arial" w:cs="Arial" w:eastAsia="Arial" w:hAnsi="Arial"/>
          <w:sz w:val="18"/>
          <w:szCs w:val="18"/>
          <w:color w:val="auto"/>
        </w:rPr>
        <w:t>.).</w:t>
      </w:r>
    </w:p>
    <w:p>
      <w:pPr>
        <w:spacing w:after="0" w:line="22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Free space optic communication</w:t>
      </w:r>
      <w:r>
        <w:rPr>
          <w:rFonts w:ascii="Arial" w:cs="Arial" w:eastAsia="Arial" w:hAnsi="Arial"/>
          <w:sz w:val="18"/>
          <w:szCs w:val="18"/>
          <w:color w:val="auto"/>
        </w:rPr>
        <w:t>” is the wireless transmission of data via a modulated optical beam directed through free space, without fiber optics or other optical systems guiding the light.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Inter-plane</w:t>
      </w:r>
      <w:r>
        <w:rPr>
          <w:rFonts w:ascii="Arial" w:cs="Arial" w:eastAsia="Arial" w:hAnsi="Arial"/>
          <w:sz w:val="17"/>
          <w:szCs w:val="17"/>
          <w:color w:val="auto"/>
        </w:rPr>
        <w:t>” refers to the communication between satellites in different orbital planes occurring through inter-plane inter-satellite lines.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Intra-plane</w:t>
      </w:r>
      <w:r>
        <w:rPr>
          <w:rFonts w:ascii="Arial" w:cs="Arial" w:eastAsia="Arial" w:hAnsi="Arial"/>
          <w:sz w:val="17"/>
          <w:szCs w:val="17"/>
          <w:color w:val="auto"/>
        </w:rPr>
        <w:t>” refers to the communication between satellites in the same orbital plane occurring through intra-plane inter-satellite lines.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LEO</w:t>
      </w:r>
      <w:r>
        <w:rPr>
          <w:rFonts w:ascii="Arial" w:cs="Arial" w:eastAsia="Arial" w:hAnsi="Arial"/>
          <w:sz w:val="17"/>
          <w:szCs w:val="17"/>
          <w:color w:val="auto"/>
        </w:rPr>
        <w:t>” refers to low Earth orbit, which is an orbit around Earth with an altitude above Earth’s surface from 160 kilometers to 2,000 kilometers.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MEO</w:t>
      </w:r>
      <w:r>
        <w:rPr>
          <w:rFonts w:ascii="Arial" w:cs="Arial" w:eastAsia="Arial" w:hAnsi="Arial"/>
          <w:sz w:val="18"/>
          <w:szCs w:val="18"/>
          <w:color w:val="auto"/>
        </w:rPr>
        <w:t>” refers to medium Earth orbit, which is an orbit around Earth with a distance of 2,000 kilometers to 35,786 kilometers.</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Mesh Network</w:t>
      </w:r>
      <w:r>
        <w:rPr>
          <w:rFonts w:ascii="Arial" w:cs="Arial" w:eastAsia="Arial" w:hAnsi="Arial"/>
          <w:sz w:val="17"/>
          <w:szCs w:val="17"/>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OISLs</w:t>
      </w:r>
      <w:r>
        <w:rPr>
          <w:rFonts w:ascii="Arial" w:cs="Arial" w:eastAsia="Arial" w:hAnsi="Arial"/>
          <w:sz w:val="18"/>
          <w:szCs w:val="18"/>
          <w:color w:val="auto"/>
        </w:rPr>
        <w:t>” refers to optical-intersatellite links, which are wireless communication links using optical signals to interconnect satellites.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PWSA</w:t>
      </w:r>
      <w:r>
        <w:rPr>
          <w:rFonts w:ascii="Arial" w:cs="Arial" w:eastAsia="Arial" w:hAnsi="Arial"/>
          <w:sz w:val="18"/>
          <w:szCs w:val="18"/>
          <w:color w:val="auto"/>
        </w:rPr>
        <w:t>” refers to the SDA’s Proliferated Warfighter Space Architecture.</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Quantum key distribution</w:t>
      </w:r>
      <w:r>
        <w:rPr>
          <w:rFonts w:ascii="Arial" w:cs="Arial" w:eastAsia="Arial" w:hAnsi="Arial"/>
          <w:sz w:val="18"/>
          <w:szCs w:val="18"/>
          <w:color w:val="auto"/>
        </w:rPr>
        <w:t>” refers to a technique that enables secure communications between devices using a cryptographic protocol that is partly based on quantum mechanics.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RF</w:t>
      </w:r>
      <w:r>
        <w:rPr>
          <w:rFonts w:ascii="Arial" w:cs="Arial" w:eastAsia="Arial" w:hAnsi="Arial"/>
          <w:sz w:val="18"/>
          <w:szCs w:val="18"/>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SDA</w:t>
      </w:r>
      <w:r>
        <w:rPr>
          <w:rFonts w:ascii="Arial" w:cs="Arial" w:eastAsia="Arial" w:hAnsi="Arial"/>
          <w:sz w:val="18"/>
          <w:szCs w:val="18"/>
          <w:color w:val="auto"/>
        </w:rPr>
        <w:t>” refers to the U.S. Space Development Agency.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UAVs</w:t>
      </w:r>
      <w:r>
        <w:rPr>
          <w:rFonts w:ascii="Arial" w:cs="Arial" w:eastAsia="Arial" w:hAnsi="Arial"/>
          <w:sz w:val="18"/>
          <w:szCs w:val="18"/>
          <w:color w:val="auto"/>
        </w:rPr>
        <w:t>” refers to unmanned aerial vehicles.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86"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This Annual Report contains forward-looking statements that relate to our current expectations and views of future events. These statements relate to events that involve known and unknown risks, uncertainties and other factors, including those listed under “Item 3 Key Information—D. Risk Factors,” which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Annual Report include, but are not limited to, statements about:</w:t>
      </w:r>
    </w:p>
    <w:p>
      <w:pPr>
        <w:spacing w:after="0" w:line="92" w:lineRule="exact"/>
        <w:rPr>
          <w:sz w:val="20"/>
          <w:szCs w:val="20"/>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business and financial performance, including our revenue, operating expenses and our ability to achieve profitability and maintain our future business and operating results;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strategies, plans, objectives and goals, including, for example, the planned completion of the development of our products and the intended expansion of our product portfolio or geographic reach;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start of serial production of our products and terminal production output;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planned monetization of our technology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the development of our industry, market size and the competitive environment in which we operate.</w:t>
      </w:r>
    </w:p>
    <w:p>
      <w:pPr>
        <w:spacing w:after="0" w:line="23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“Item 3. Key Information—D. Risk Factors,” the following:</w:t>
      </w:r>
    </w:p>
    <w:p>
      <w:pPr>
        <w:spacing w:after="0" w:line="86" w:lineRule="exact"/>
        <w:rPr>
          <w:sz w:val="20"/>
          <w:szCs w:val="20"/>
          <w:color w:val="auto"/>
        </w:rPr>
      </w:pPr>
    </w:p>
    <w:p>
      <w:pPr>
        <w:jc w:val="both"/>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generate revenue or reach profitability;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and future growth are dependent upon our potential customers’ investments in the development of a market for wireless laser communication networks;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prospects and operations may be adversely affected by changes in government spending and general economic conditions, which may negatively affect demand for laser communication solutions;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customer base for the use of our products is limited;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affected by the implementation of industry standards guaranteeing interoperability between laser communication products of different vendors, which could be unsuccessful;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manage our future growth effectively, which could make it difficult to execute our business strategy;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competition and endanger our market position;</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consolidation may give our competitors advantages over us, which could result in a loss of customers and/or a reduction of our revenue;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use innovative technologies and solutions in our products, which may not be fully functional, and the initial deployment of our products by customers could prove unsuccessful;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or performance problems in our products could result in a loss of customers, reputational damage, lawsuits and decreased revenue, and we may face warranty, indemnity and product liability claims arising from defective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sales cycle can be long and sophisticated as well as requiring considerable time and expense;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included in our optical communications terminal backlog may not result in actual revenue and are an uncertain indicator of our future earnings;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experience with order processing and are subject to internal order processing risks that could materially impact our ability to process orders;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sufficient financing for our operations and ongoing growth of our business;</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covenants under our credit agreement 2023 impose operating and financial restrictions on us that could significantly impact our ability to operate our business and a breach of which could result in a default under the terms of this agreement, which could accelerate our repayment of funds;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change of control could result in substantial repayment obligations under our credit agreement 2023;</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exposed to foreign currency exchange risk and our financial position and results of operations may be negatively affected by the fluctuation of different currencies;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computer system failures, cyber-attacks or deficiencies in our cyber-security;</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supplier for government programs, which subjects us to risks including early termination, audits, investigations, sanctions and penalties;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or those of our suppliers and other business partners, could be adversely affected as a result of disasters or unpredictable events;</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business operations and our financial condition;</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regulatory risks, in particular related to sanctions laws and governmental export controls, that could limit our customer base and result in higher compliance costs;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maintain required security clearances from, and comply with our security agreements with, the U.S. government, we may not be able to enter into future contracts with the U.S. government;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and could become subject to a wide variety of extensive and evolving government laws and regulations; any failure to comply could have a material adverse effect on our business;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political interest and influence impacting our business;</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related to conflict minerals and other supply chain regulations such as the German Supply Chain Act may cause us to incur additional expenses and could limit the supply and increase the costs of certain metals and other materials used in the manufacturing of our products;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adequately protect our intellectual property and proprietary rights and prevent others from making unauthorized use of our products and technology;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involved in legal proceedings based on the alleged violation of intellectual property rights, which may be time-consuming and incur substantial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40"/>
          </w:cols>
          <w:pgMar w:left="320" w:top="486"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been and may become involved in litigation, administrative and regulatory proceedings, which require significant attention and could result in significant expense to us and disruptions to our business;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claims that our employees, consultants or advisers have wrongfully used or disclosed alleged trade secrets of their former employers;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become exposed to unforeseen tax consequences as a result of our international operations;</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results or prevent fraud;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risk management and internal control procedures may not prevent or detect violations of law.</w:t>
      </w:r>
    </w:p>
    <w:p>
      <w:pPr>
        <w:spacing w:after="0" w:line="22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including the uncertainties and factors discussed under “Item 3. Key Information—D. Risk Factors” and the documents that we have filed as exhibits to the registration statement, of which this Annual Report is a part, completely and with the understanding that our actual future results or performance may be materially different from what we expect. All forward-looking statements made in this Annual Report are qualified by these cautionary statements.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Comparison of results between current and prior periods are not intended to express any future trends, or indications of future performance, unless expressed as such, and should only be viewed as historical data.</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following is a summary of the principal risks that could significantly and negatively affect our business, prospects, financial conditions, or operating results. For a more complete discussion of the material risks facing our business, see “Item 3. Key Information—D. Risk Factors”:</w:t>
      </w:r>
    </w:p>
    <w:p>
      <w:pPr>
        <w:spacing w:after="0" w:line="52" w:lineRule="exact"/>
        <w:rPr>
          <w:sz w:val="20"/>
          <w:szCs w:val="20"/>
          <w:color w:val="auto"/>
        </w:rPr>
      </w:pPr>
    </w:p>
    <w:p>
      <w:pPr>
        <w:jc w:val="both"/>
        <w:ind w:left="10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generate revenue or reach profitability;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and future growth are dependent upon our potential customers’ investments in the development of a market for wireless laser communication networks;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prospects and operations may be adversely affected by changes in government spending and general economic conditions, which may negatively affect demand for laser communication solutions;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customer base for the use of our products is limited;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is affected by the implementation of industry standards guaranteeing interoperability between laser communication products of different vendors, which could be unsuccessful;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manage our future growth effectively, which could make it difficult to execute our business strategy;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competition and endanger our market position;</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consolidation may give our competitors advantages over us, which could result in a loss of customers and/or a reduction of our revenue;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innovative technologies and solutions in our products, which may not be fully functional, and the initial deployment of our products by customers could prove unsuccessful;</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40"/>
          </w:cols>
          <w:pgMar w:left="320" w:top="486"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defects or performance problems in our products could result in a loss of customers, reputational damage, lawsuits and decreased revenue, and we may face warranty, indemnity and product liability claims arising from defective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sales cycle can be long and sophisticated as well as requiring considerable time and expense;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orders included in our optical communications terminal backlog may not result in actual revenue and are an uncertain indicator of our future earnings;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limited experience with order processing and are subject to internal order processing risks that could materially impact our ability to process orders;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sufficient financing for the operations and ongoing growth of our business;</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covenants under our credit agreement 2023 impose operating and financial restrictions on us that could significantly impact our ability to operate our business and a breach of which could result in a default under the terms of this agreement, which could accelerate our repayment of funds;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of control could result in substantial repayment obligations under our credit agreement 2023;</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exposed to foreign currency exchange risk and our financial position and results of operations may be negatively affected by the fluctuation of different currencies;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and operations would suffer in the event of computer system failures, cyber-attacks or deficiencies in our cyber-security;</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supplier for government programs, which subjects us to risks including early termination, audits, investigations, sanctions and penalties;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operations, or those of our suppliers and other business partners, could be adversely affected as a result of disasters or unpredictable events;</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business operations and our financial condition;</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regulatory risks, in particular related to sanctions laws and governmental export controls, that could limit our customer base and result in higher compliance costs;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do not maintain required security clearances from, and comply with our security agreements with, the U.S. government, we may not be able to enter into future contracts with the U.S. government;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and could become subject to a wide variety of extensive and evolving government laws and regulations; any failure to comply could have a material adverse effect on our business;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positive market developments in the area of wireless laser communication could lead to increasingly intense political interest and influence impacting our business;</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related to conflict minerals and other supply chain regulations such as the German Supply Chain Act may cause us to incur additional expenses and could limit the supply and increase the costs of certain metals and other materials used in the manufacturing of our products;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adequately protect our intellectual property and proprietary rights and prevent others from making unauthorized use of our products and technology;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involved in legal proceedings based on the alleged violation of intellectual property rights, which may be time-consuming and incur substantial costs;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been and may become involved in litigation, administrative and regulatory proceedings, which require significant attention and could result in significant expense to us and disruptions to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40"/>
          </w:cols>
          <w:pgMar w:left="320" w:top="486"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claims that our employees, consultants or advisers have wrongfully used or disclosed alleged trade secrets of their former employers;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become exposed to unforeseen tax consequences as a result of our international operations;</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risk management and internal control procedures may not prevent or detect violations of law.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20"/>
          </w:cols>
          <w:pgMar w:left="320" w:top="486"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333" w:lineRule="exact"/>
        <w:rPr>
          <w:rFonts w:ascii="Arial" w:cs="Arial" w:eastAsia="Arial" w:hAnsi="Arial"/>
          <w:sz w:val="18"/>
          <w:szCs w:val="18"/>
          <w:b w:val="1"/>
          <w:bCs w:val="1"/>
          <w:color w:val="auto"/>
        </w:rPr>
      </w:pPr>
    </w:p>
    <w:p>
      <w:pPr>
        <w:ind w:left="560" w:right="8340" w:hanging="444"/>
        <w:spacing w:after="0" w:line="488" w:lineRule="auto"/>
        <w:tabs>
          <w:tab w:leader="none" w:pos="33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spacing w:after="0" w:line="115" w:lineRule="exact"/>
        <w:rPr>
          <w:rFonts w:ascii="Arial" w:cs="Arial" w:eastAsia="Arial" w:hAnsi="Arial"/>
          <w:sz w:val="16"/>
          <w:szCs w:val="16"/>
          <w:b w:val="1"/>
          <w:bCs w:val="1"/>
          <w:color w:val="auto"/>
        </w:rPr>
      </w:pPr>
    </w:p>
    <w:p>
      <w:pPr>
        <w:ind w:left="560" w:right="7560" w:hanging="444"/>
        <w:spacing w:after="0" w:line="407"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61" w:lineRule="exact"/>
        <w:rPr>
          <w:rFonts w:ascii="Arial" w:cs="Arial" w:eastAsia="Arial" w:hAnsi="Arial"/>
          <w:sz w:val="18"/>
          <w:szCs w:val="18"/>
          <w:b w:val="1"/>
          <w:bCs w:val="1"/>
          <w:color w:val="auto"/>
        </w:rPr>
      </w:pPr>
    </w:p>
    <w:p>
      <w:pPr>
        <w:ind w:left="340" w:hanging="22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The following risks may have material adverse effects on our business, financial condition and results of operations. Additional risks and uncertainties of which we are not presently aware or that we currently deem immaterial could also materially affect our business operations and financial condition.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 Related to Our Business Activities and Our Markets</w:t>
      </w:r>
    </w:p>
    <w:p>
      <w:pPr>
        <w:spacing w:after="0" w:line="121"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b w:val="1"/>
          <w:bCs w:val="1"/>
          <w:i w:val="1"/>
          <w:iCs w:val="1"/>
          <w:color w:val="auto"/>
        </w:rPr>
        <w:t>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generate revenue or reach profitability.</w:t>
      </w:r>
    </w:p>
    <w:p>
      <w:pPr>
        <w:spacing w:after="0" w:line="5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have a history of net losses and negative net cash used in operating activities since our inception and we expect losses and negative net cash used in operating activities to continue for the foreseeable future. For the years 2022, 2021 and 2020, we incurred consolidated net losses of €73.8 million, €45.5 million and €19.8 million, respectively. As of December 31, 2022, 2021 and 2020, we had an accumulated deficit of €166.5 million, €92.8 million and €47.3 million, respectively. For the years ended December 31, 2022, 2021 and 2020, we had negative net cash used in operating activities of €50.2 million, €39.4 million and €16.9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proceeds from recent debt and equity financings to cover our ongoing and future expenses.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Based on our liquidity position as of the date of this Annual Report and our management’s forecast of sources and uses of cash and cash equivalents, we believe that we have sufficient liquidity to finance our operations over at least the next twelve months from the date of this Annual Report. However, there can be no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assurance that revenue and cash-in from customer contracts will be generated in the amount as expected or at the time needed. A shortfall of revenues and of the corresponding cash-in from customer contracts compared to the budget could require additional external financing to meet our current operational planning. In such a situation, if we should be unable to obtain such additional financing or take other timely actions in response to such circumstances, for example significantly curtailing our current operational budget in 2024, we may be unable to continue as a going concern. As a result, these events and conditions indicate that a material uncertainty exists that may cast significant doubt on our ability to continue as a going concern and, therefore, we may be unable to realize our assets and discharge our liabilities in the normal course of business.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operate on a profitable basis. Even if we reach profitability, we may not be able to sustain it. If we are unable to reach or sustain profitability, we may need to reduce the scale of our operations, which may impact the growth of our business, or we may not be able to continue as a going concern and investors may lose some or even all of their investment.</w:t>
      </w:r>
    </w:p>
    <w:p>
      <w:pPr>
        <w:spacing w:after="0" w:line="300"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Our success and future growth are dependent upon our potential customers’ investments in the development of a market for wireless laser communication, in particular for aerospace-based communication networks.</w:t>
      </w:r>
    </w:p>
    <w:p>
      <w:pPr>
        <w:spacing w:after="0" w:line="6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We develop and manufacture laser communication products for aerospace-based communication networks. Laser communication is designed to serve as a backbone technology, a key connectivity component of telecommunication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aerospace-based communication networks.</w:t>
      </w:r>
    </w:p>
    <w:p>
      <w:pPr>
        <w:spacing w:after="0" w:line="17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Aerospace-based communication networks may comprise various platforms, including drones, airplanes and satellites, and may be located in the troposphere (</w:t>
      </w:r>
      <w:r>
        <w:rPr>
          <w:rFonts w:ascii="Arial" w:cs="Arial" w:eastAsia="Arial" w:hAnsi="Arial"/>
          <w:sz w:val="16"/>
          <w:szCs w:val="16"/>
          <w:i w:val="1"/>
          <w:iCs w:val="1"/>
          <w:color w:val="auto"/>
        </w:rPr>
        <w:t>i.e.</w:t>
      </w:r>
      <w:r>
        <w:rPr>
          <w:rFonts w:ascii="Arial" w:cs="Arial" w:eastAsia="Arial" w:hAnsi="Arial"/>
          <w:sz w:val="16"/>
          <w:szCs w:val="16"/>
          <w:color w:val="auto"/>
        </w:rPr>
        <w:t xml:space="preserve">, at the height of commercial aviation), the stratosphere (i.e., at a height of 20 to 30 kilometers above ground), or in outer space. Aerospace-based communication networks consisting of a large volume of satellite or aircraft platforms are referred to as constellations. Each individual node within the network, </w:t>
      </w:r>
      <w:r>
        <w:rPr>
          <w:rFonts w:ascii="Arial" w:cs="Arial" w:eastAsia="Arial" w:hAnsi="Arial"/>
          <w:sz w:val="16"/>
          <w:szCs w:val="16"/>
          <w:i w:val="1"/>
          <w:iCs w:val="1"/>
          <w:color w:val="auto"/>
        </w:rPr>
        <w:t>i.e.</w:t>
      </w:r>
      <w:r>
        <w:rPr>
          <w:rFonts w:ascii="Arial" w:cs="Arial" w:eastAsia="Arial" w:hAnsi="Arial"/>
          <w:sz w:val="16"/>
          <w:szCs w:val="16"/>
          <w:color w:val="auto"/>
        </w:rPr>
        <w:t>, each aircraft or satellite, typically contains multiple laser communication units ranging from two to four units. Our ability to successfully develop and commercialize our laser communication products (e.g., flight terminals) depends on potential customers’ willingness to invest, on a global scale, in the development of such constellations. If such constellations are not developed on a global scale, there would be limited applications available for our ground and flight terminals, such as the connection of individual airplanes, drones or satellites with the ground.</w:t>
      </w:r>
    </w:p>
    <w:p>
      <w:pPr>
        <w:spacing w:after="0" w:line="166"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Constellations in general, and the market for laser communication systems specifically, are still in early stages of deployment and development. To our knowledge, there are only two commercial constellations currently operational, one of which partly utilizes an internally built laser communication solution for linking its satellites. Other commercial constellations utilizing laser communication are planned but not yet deployed operationally. The future implementation of constellations by potential customers remains subject to significant technological, operational and financing risks. For example, many of the constellations currently being planned by potential customers that envisage worldwide internet and network coverage have not yet issued orders for laser communication equipment. To our knowledge, establishing such extensive coverage through multiple laser communication units has had only limited testing and usage in practice and could entail substantial technical difficulties. At the same time, the development of commercial constellations with such coverage requires investment of potentially billions of dollars, including the costs associated with satellite development and launch capacity, and accordingly depends on the ability to obtain related financing.</w:t>
      </w:r>
    </w:p>
    <w:p>
      <w:pPr>
        <w:spacing w:after="0" w:line="18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If laser communication remains a niche market, demand for our products would be significantly lower than we currently anticipate as a result of which we may not be able to sell our technology or products. Our approach of developing standardized and modularized products for large-scale deployment could prove unsuccessful if certain customers demand widely varying product specifications and units in significantly lower quantities. This would require project-specific production (as typically being carried out by traditional key suppliers to the air and space (defense) industries) instead of serial production, meaning that our anticipated economies of scale could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fail to materialize. If the wireless laser communication market does not develop as we anticipate, we may not be able to implement our business strategy and/or generate any revenues as a result of which we may need to curtail our operations or seek additional financing earlier than anticipated.</w:t>
      </w:r>
    </w:p>
    <w:p>
      <w:pPr>
        <w:spacing w:after="0" w:line="23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prospects and operations may be adversely affected by changes in government spending and general economic conditions, which may negatively affect demand for laser communication solutions.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Current demand for laser communication is predominantly driven by government needs, with the United States government spearheading the adoption of laser communication technology. U.S. allies and other governments are also evaluating new technologies as part of their national objectives to modernize their space capabilities. Accordingly, governments around the world have invested significantly in research and development as well as deployment of laser communication and other technologies. In fact, defense-related spending in the U.S. and Europe increased following geopolitical tensions. For example, the U.S. Department of Defense’s (the “DoD”) budget for the fiscal year 2023 includes $26.3 billion for the U.S. Space Force and the U.S. Space Development Agency (“SDA”), which is $1.7 billion more than the DoD requested. However, spending authorizations for defense-related and other programs by the U.S. and other governments have fluctuated in the past, and future levels of expenditures and authorizations for these programs may not remain at current levels and could possibly decrease, including due to shifts to programs in areas where we do not provide services. To the extent the U.S. government and its agencies or other governments reduce spending on such services, as a result of the need to reduce overall spending during periods of fiscal restraint, to reduce budget deficits or otherwise, demand for our services could decrease which could adversely affect our anticipated revenue and business prospects.</w:t>
      </w:r>
    </w:p>
    <w:p>
      <w:pPr>
        <w:spacing w:after="0" w:line="18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While government funding is currently driving laser communication demand, we expect additional demand for commercial applications to drive growth in the overall market in the near to medium-term. Although commercial market demand may be negatively affected in the short to medium term by prevailing economic conditions, with high inflation, rising interest rates and fears of recession relative to demand from government-funded programs. The global economy has in the past, and will in the future, experience recessionary periods and periods of economic instability. During such periods, our commercial and, to a lesser extent, our governmental customers may choose not to pursue high-risk, capital-intensive infrastructure projects such as satellite constellations or other systems including laser communication capabilities. To the extent any of the risks to the commercial market for laser communication materializes, demand for our products may be lower than we currently anticipate, which could have a negative impact on our revenue and overall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potential customer base for the use of our products is limited.</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Given the technological challenges and the high capital expenditures required for the development and deployment of our products, our potential customer base is limited. There are a small number of potential customers deploying our laser communication equipment. Successful customer acquisition and retention of capable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 like our strategic agreement with Northrop Grumman International Trading, Inc. (“NG”) and our strategic cooperation framework with an affiliate of L3Harris. Due to our limited potential customer base, we anticipate that sales to initial customers will be, individually, material to our future revenues, results of operations and cash flows. Accordingly, any change in the relationship with any existing customer, the strength of any customer’s business or their demand for our products could materially adversely affect our results of operations and net cash used in operating activities. Similarly, any failure to acquire and maintain relationships with other key customers, as well as the loss of any potential customer, would have a highly adverse impact on the sale of our products and, as a result, on our results of operations.</w:t>
      </w:r>
    </w:p>
    <w:p>
      <w:pPr>
        <w:spacing w:after="0" w:line="30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business is affected by the implementation of industry standards guaranteeing interoperability between laser communication products of different vendors, which could be unsuccessful.</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believe that the establishment of a large-scale market for laser communication depends on the successful development and implementation of industry standards guaranteeing interoperability between laser communication products of different vendors. As of today, the optical communications terminal standard issued by the SDA is the leading industrial standard adapted by multiple companies involved in U.S. government programs. So far, we and others have successfully conducted demonstrations of the implementation of the SDA standard in various test scenarios. We cannot assure you that efforts to ensure cross-vendor interoperability will ultimately be successful.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Furthermore, commercial constellations of sufficient size and scale may decide to create and implement their own standard to optimize their network. As a consequence, multiple competing industry standards may emerge in parallel, which could cause a fragmentation of the market, potentially hindering sustained growth of the laser communication market. The U.S. Defense Advanced Research Projects Agency’s (“DARPA”) Space Based Adaptive Communications Node (“Space-BACN”) program aims to establish a flexible optical communications terminal that can adapt to multiple future industry standards. In December 2021 and August 2022 we were selected to contribute to phase 0 and phase 1, respectively, of the program. We cannot, however, assure you that efforts to ensure a terminal agnostic to a large variety of industry standards will ultimately be successful.</w:t>
      </w:r>
    </w:p>
    <w:p>
      <w:pPr>
        <w:spacing w:after="0" w:line="16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If a potential customer decides to purchase laser communication products from one of our competitors, our products can currently only be sold to that customer and integrated into its existing laser communication system with significant operational and technical outlays or only if the competitor’s product is compliant with interoperability standards. Hence, any failure to implement cross-vendor interoperability or respective industry standards for laser communication vendors could have an adverse effect on the usability of and the demand for our products and ultimately on our revenue potential and business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If our operations continue to grow as planned, we will need to expand our sales and marketing, research and development, customer and commercial strategy, products and services, supply, manufacturing and accounting and administrative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Competition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Positive market developments in the area of wireless laser communication could lead to increasingly intense competition and endanger our market position.</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While we believe that there are currently only a few enterprises offering viable products to utilize laser communication technology for aerospace-based communication networks, we are subject to significant and intensifying competition within the satellite industry and from other providers of communication capacity, including large multinational enterprises. For example, in September 2020, SpaceX announced its first successful test of its Starlink satellite “space lasers” in orbit. On September 13, 2021, SpaceX launched its first whole batch of 51 laser-equipped Starlink satellites with the goal to enable future Starlink satellites to transmit information to one another while in orbit using the optical “space lasers.” In August 2022, Capella Space announced the next-generation of its satellites called Acadia, which will offer higher resolution and be equipped with our optical communications terminals. Public announcements of successful test missions and future functionality availability such as these have drawn significant public attention to the laser communication market.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and sales potential would be harmed.</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Many of our current and potential competitors are larger than us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(such as SpaceX or Amazon) may develop or advance their in-house laser communication capabilities and as a result compete with us or not require laser communication equipment from third parties, such as 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Competitors may also establish cooperative or strategic relationships among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88"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In the aerospace sector, our competitors include TESAT Spacecom (an Airbus subsidiary), Thales Alenia Space, SA Photonics (a subsidiary of CACI International Inc), Ball Aerospace, General Atomics Electromagnetic Systems, Honeywell International, Skyloom Global Corp., and Space Micro, as well as a handful of other entities that possess the necessary technical know-how and resources to compete with us. Furthermore, large information technology enterprises such as Cisco, Huawei, CommScope, Infinera and Corning already have experience in wired laser communication for ground-based fiber networks and may potentially enter the market. In addition, aviation enterprises such as Boeing and large military equipment suppliers may enter the market. For example, QinetiQ and Hensoldt are both actively promoting laser communication capabilities even though little public information is available regarding the maturity of their systems. These companies may employ aggressive strategies like subsidy-enabled dumping and lobbying of customers, partners, investors and the media in an attempt to force us out of the market (e.g.,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6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business is also subject to competition from ground-based forms of communication technology. A number of companies are increasing their ability to transmit signals on existing terrestrial infrastructures, such as fiber optic cable and terrestrial wireless transmitters, often with funding and other incentives provided by governments. The ability of terrestrial companies to significantly increase the capacity, capability and/or the reach of their conventional or other competing networks or significantly lower prices for such networks could result in a decrease in the demand for laser-enabled aerospace-based communication networks and consequently for laser communication products, thereby having a material adverse impact on our earnings and business prospects. In addition, new technologies could render laser communication-based services less competitive by satisfying connectivity demand in other ways.</w:t>
      </w:r>
    </w:p>
    <w:p>
      <w:pPr>
        <w:spacing w:after="0" w:line="19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If competition in the market for wireless laser communication intensifies, the resulting increase in supply could lead to lower sales or could cause prices to fall, thus narrowing our margins, which in turn would materially adversely impact our future revenues or results of operations.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Industry consolidation may give our competitors advantages over us, which could result in a loss of customers and/or a reduction of our revenue.</w:t>
      </w:r>
    </w:p>
    <w:p>
      <w:pPr>
        <w:spacing w:after="0" w:line="15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Some of our customers, suppliers or competitors have made or may make acquisitions or enter into partnerships or other strategic relationships in order to offer more comprehensive services or achieve greater economies of scale. For example, in November 2021, Viasat and Inmarsat entered into an agreement for Viasat to acquire Inmarsat and, in December 2021, our competitor SA Photonics was acquired by CACI International Inc. Most recently, in November 2022, Eutelsat and OneWeb entered into a combination agreement and, in December 2022, Maxar Technologies entered into a definitive agreement to be acquired by Advent International. As of today, the OneWeb and Eutelsat merger, the Maxar Technologies acquisition and the Inmarsat acquisition are still pending. The effects of these recent consolidations on us and our industry in general are still to be determined, but they may create unforeseeable dynamics giving advantages to our competitors. In addition, new entrants not currently considered competitors may enter our market through acquisitions, partnerships or strategic relationships.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technology or services functionality. Continuing industry consolidation may give our competitors advantages over us which may result in decreased demand for our products or increased pressure to lower the prices for our products, each of which would negatively impact our revenue and consequently harm our results of operations and business prospects.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Products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use innovative technologies and solutions in our products, which may not be fully functional, and the initial deployment of our products by customers could prove unsuccessful.</w:t>
      </w:r>
    </w:p>
    <w:p>
      <w:pPr>
        <w:spacing w:after="0" w:line="6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functionality, usability and availability of our technology and products in daily use and at scale is, as of today, unproven. We cannot assure you that our technology or products will perform as expected under daily operating conditions or that we will be able to detect and fix weaknesses or flaws in our technology or products prior to commencing serial production. For example, we have designed and built the metal telescope that we use in our CONDOR terminal ourselves and this design has never been built at scale. Any of the technologies we intend to use or solutions we expect to offer may not be available or fully functional at the time of the first delivery of our products or at all, and this could have an adverse effect on our ability to grow our business. In addition, we may be required to develop new or to adapt our existing technologies and products in light of changing customer requirements. The development of new or adaptation of existing technologies and products may significantly impact our costs or our ability to retain or improve our competitive position.</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a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materially adverse impact on our anticipated revenue and future prospects.</w:t>
      </w:r>
    </w:p>
    <w:p>
      <w:pPr>
        <w:spacing w:after="0" w:line="300"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w:t>
      </w:r>
    </w:p>
    <w:p>
      <w:pPr>
        <w:spacing w:after="0" w:line="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many components are “off-the-shelf” and available commercially.</w:t>
      </w:r>
    </w:p>
    <w:p>
      <w:pPr>
        <w:spacing w:after="0" w:line="18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We typically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w:t>
      </w:r>
    </w:p>
    <w:p>
      <w:pPr>
        <w:spacing w:after="0" w:line="165"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In addition, 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 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16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Furthermore, any disruptions to our supply chain, significant increase in component costs, or shortages of critical components could adversely affect our business and result in increased costs or missed deliveries to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customers. Such a disruption could occur as a result of any number of events, including, but not limited to, an extended closure of or any slowdown at any of our suppliers’ plants or shipping delays due to efforts to limit the spread of COVID-19 or implementation of post-COVID-19 policies or practices, war and economic sanctions against third parties, including those arising from the ongoing war between Russia and Ukraine, the implementation of tariffs, export controls or other actions by or against foreign nations (including China) and general market shortages due to surge in demand for any particular part or component. Any such disruption or shortage may be further driven by increases in prices or impact of inflation, labor stoppages, transportation delays or failures affecting the supply chain and shipment of materials and finished goods, the unavailability of raw materials, geopolitical developments, terrorism and disruptions in utilities, trade embargos and other services. For example, COVID-19 related lockdowns implemented in Asia in 2022 further exacerbated the global (semiconductor) chip shortage, and significant recent increases in energy prices, especially for natural gas, may further negatively impact worldwide supply chains and general economic conditions. In addition, certain countries have imposed or may impose in the future export restrictions with respect to certain electronic components, which may include components that we use in our manufacturing process.</w:t>
      </w:r>
    </w:p>
    <w:p>
      <w:pPr>
        <w:spacing w:after="0" w:line="18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2022 we were faced with supply chain problems that resulted in lower production volumes for a product version of our HAWK terminal than initially planned. Since then we have redesigned our HAWK product to avoid further supply chain constraints. Nevertheless, supply chain constraints may reemerge delaying production or the development of upcoming HAWK and CONDOR product versions. The high inflation environment could put pressure on our unit costs in the future and increased upfront payments to our suppliers and earlier phasing of those payments may put pressure on our non-recurring costs in future periods.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production capacities and thus delay the shipment of our products as well as adversely affect market acceptance for our products.</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Defects or performance problems in our products could result in a loss of customers, reputational damage, lawsuits and decreased revenue, and we may face warranty, indemnity and product liability claims arising from defective products.</w:t>
      </w:r>
    </w:p>
    <w:p>
      <w:pPr>
        <w:spacing w:after="0" w:line="6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date, we have only delivered pre-serial and individual prototype versions of our products.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18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have a severe negative impact on our financial condition.</w:t>
      </w:r>
    </w:p>
    <w:p>
      <w:pPr>
        <w:spacing w:after="0" w:line="16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Sale of Our Products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 can be long and sophisticated as well as requiring considerable time and expense.</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timing of our sales is difficult to predict because of the length of our sales cycle, particularly with respect to sales of our products in the government market.</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typical sales cycle for our products in the government market includes a pre-sale process to define a potential customer’s needs and budget. Certain customers may choose, or be required, to conduct a request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order placement, achievement of other milestones and product delivery.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sometimes either sign a memorandum of understanding (“MoU”) or a term sheet or directly negotiate long-form agreements but even then there is no guarantee that we will enter into final agreements. Accordingly, relationships and anticipated opportunities, in some of which we may invest considerable time and resources, might not come to fruition.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7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There are many other factors specific to clients that contribute to the timing of their purchases, including budgetary constraints, funding authorization, changes in technical requirements and changes in their personnel. In addition, the significance and timing of our product enhancements, and the introduction of new products by our competitors, may also affect our customer’s purchases. As a result, even final purchase orders or definitive agreements relating to the development and delivery of laser communication products may be subject to change or cancelation. For all of these reasons, it is difficult to predict whether a sale will be completed or changed,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w:t>
      </w:r>
    </w:p>
    <w:p>
      <w:pPr>
        <w:spacing w:after="0" w:line="165"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have entered into and may in the future enter into strategic partnership agreements with key customers, which may include exclusivity arrangements and provisions that allow either party to terminate the relationship under certain specified circumstances. For example, on October 31, 2021, we entered into a strategic agreement (the “Strategic Agreement”) with NG pursuant to which we agreed to serve as a strategic supplier to NG and to exclusively develop and sell to NG customized laser communication solutions for use in or relating to space where the ultimate customer is a U.S. government customer. Under the Strategic Agreement, we may also collaborate on the development of laser communications for aerospace-based and defense applications outside the space sector. In return, NG has agreed to provide us with an annual minimum awards opportunity to sell and provide to NG customized products or off-the-shelf products and/or related services. Although NG was selected by the U.S. government to provide 42 satellites for the Tranche 1 Transport Layer program, making us the sole supplier of optical communication terminals, there is no guarantee that NG will present us with further opportunities in the anticipated annual amount. Even if they do, there is no guarantee that NG will be awarded the contracts. Furthermore, during the term of the Strategic Agreement, we will not be able to develop and sell customized products to any third party in the space sector where the ultimate customer is a U.S. government customer. Our failure to comply with this exclusivity obligation under the Strategic Agreement could result in NG terminating the Strategic Agreement. 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approximately €11.2 million by means of a capital increase from authorized capital in exchange for 409,294 new ordinary shares. While we intend to build on our existing collaboration with L3Harris in the airborne domain and widen the scope to cover all domains including space, air, maritime and ground, there is no guarantee that we will receive any purchase orders from L3Harris.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our sales cycle lengthens or our substantial upfront sales and implementation investments do not result in sufficient sales to justify our investments, our revenue could be lower than expected and it could have a material adverse effect on our financial condition.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Orders included in our optical communications terminal backlog may not result in actual revenue and are an uncertain indicator of our future earnings.</w:t>
      </w:r>
    </w:p>
    <w:p>
      <w:pPr>
        <w:spacing w:after="0" w:line="62" w:lineRule="exact"/>
        <w:rPr>
          <w:sz w:val="20"/>
          <w:szCs w:val="20"/>
          <w:color w:val="auto"/>
        </w:rPr>
      </w:pPr>
    </w:p>
    <w:p>
      <w:pPr>
        <w:jc w:val="both"/>
        <w:ind w:left="120" w:right="20" w:firstLine="440"/>
        <w:spacing w:after="0" w:line="284" w:lineRule="auto"/>
        <w:rPr>
          <w:sz w:val="20"/>
          <w:szCs w:val="20"/>
          <w:color w:val="auto"/>
        </w:rPr>
      </w:pPr>
      <w:r>
        <w:rPr>
          <w:rFonts w:ascii="Arial" w:cs="Arial" w:eastAsia="Arial" w:hAnsi="Arial"/>
          <w:sz w:val="16"/>
          <w:szCs w:val="16"/>
          <w:color w:val="auto"/>
        </w:rPr>
        <w:t>Our optical communications terminal backlog grew significantly year-over-year from three terminal deliverables in backlog as of December 31, 2020 to 10 terminal deliverables in backlog as of December 31, 2021 and to 256 units as of December 31, 2022 (in each case, not taking into account the terminal deliverables under our contract with SpaceLink; see further information below).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The optical communications terminal backlog includes (i) optical communications terminal deliverables related to customer purchase orders; and</w:t>
      </w:r>
    </w:p>
    <w:p>
      <w:pPr>
        <w:spacing w:after="0" w:line="4" w:lineRule="exact"/>
        <w:rPr>
          <w:sz w:val="20"/>
          <w:szCs w:val="20"/>
          <w:color w:val="auto"/>
        </w:rPr>
      </w:pPr>
    </w:p>
    <w:p>
      <w:pPr>
        <w:jc w:val="both"/>
        <w:ind w:left="120" w:right="20" w:hanging="4"/>
        <w:spacing w:after="0" w:line="295" w:lineRule="auto"/>
        <w:tabs>
          <w:tab w:leader="none" w:pos="391"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optical communications terminal deliverables in the context of other signed agreements.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w:t>
      </w:r>
    </w:p>
    <w:p>
      <w:pPr>
        <w:spacing w:after="0" w:line="16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Our optical communications terminal backlog is comprised of executed purchase orders from leading customers in the defense industries, customers with which we have had long-standing relationships and governmental agencies. We believe that the disclosure of backlog aids in the analysis of the demand for our products, as well as our ability to meet that demand. However, because revenue will not be recognized until we have fulfilled our obligations to a customer, there may be a significant amount of time between executing a contract with a customer and delivery of the product to the customer and revenue recognition. Any changes in government spending, the 2022 slowdown in economic activity, the ongoing supply chain disruptions (in particular, the global chip shortage) and/or any decreases and/or instability in commodity prices, generally increase the risk of backlog orders being delayed, suspended or canceled. Any such delays, suspensions or cancelations, or any scope changes could materially reduce or eliminate profits that we would otherwise realize from orders in optical communications terminal backlog. For example, in September / October 2022, Electro Optic Systems Holdings Ltd., the parent company of SpaceLink, announced that it will end its investment in U.S.-based satellite optical data-relay constellation startup SpaceLink due to the lack of an investment partner, thereby preparing SpaceLink for liquidation. SpaceLink, a former customer, is a commercial constellation builder seeking to develop a medium Earth orbit-based constellation that deploys optical-intersatellite links (“OISLs”) to relay data for space systems in low Earth orbit. While SpaceLink made several milestone payments throughout 2021 and 2022, it defaulted on its obligations in October 2022 as a result of which we decided to terminate our contract with SpaceLink with immediate effect in November 2022. Given the termination of the contract, we decided to no longer show any terminal deliverables under our SpaceLink contract in our backlog for the relevant periods.</w:t>
      </w:r>
    </w:p>
    <w:p>
      <w:pPr>
        <w:spacing w:after="0" w:line="17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Finally, poor contract performance could also result in cancelations and reduce or eliminate profits realized from orders in backlog. Such developments could have a material adverse effect on our business and our profits. In addition, our customers may order products from multiple sources to ensure timely delivery and may cancel or defer orders subject to penalties. Should any cancelations or deferrals occur, our optical communications terminal backlog and anticipated revenue would be reduced unless we were able to replace the canceled order. As a result, optical communications terminal backlog is not necessarily indicative of our revenues to be recognized in a specified future period and we cannot assure you that we will recognize revenue with respect to each order included in our backlog.</w:t>
      </w:r>
    </w:p>
    <w:p>
      <w:pPr>
        <w:spacing w:after="0" w:line="30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order processing and are subject to internal order processing risks that could materially impact our ability to process orders.</w:t>
      </w:r>
    </w:p>
    <w:p>
      <w:pPr>
        <w:spacing w:after="0" w:line="6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We develop, manufacture and assemble our laser communication products in-house. As part of our order processing management, we must implement adequate internal logistical and technical production processes to minimize project-based risks. Once a customer orders our products, we are required to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respect to component assembly, or inability to handle customer orders due to a lack of appropriate processes, structures or other factors, could materially impact our ability to process orders. This could lead to customer dissatisfaction, reputational harm and loss of customer orders. Issues related to order processing could also render the sourcing of future orders more difficult, thereby having an adverse effect on our business and our reputation as a reliable partner.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financing for our operations and ongoing growth of our business.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implementation of our business strategy requires significant capital outlays. The nature of our business also requires us to make capital expenditure decisions in anticipation of customer demand. To date, we have primarily raised capital and funded our operations with proceeds from the sale of our ordinary shares as well as debt financing. For example, in July 2022, L3Harris invested approximately €11.2 million by means of a capital increase from authorized capital in exchange for 409,294 new ordinary shares, which corresponded to 7.2% of our share capital at the time. On April 25, 2023, the Company, as guarantor, Mynaric USA Inc. (“Mynaric USA”), as the borrower, two funds affiliated with a U.S.-based global investment management firm, as lenders (the “Lenders”), and Alter Domus (US) LLC, as administrative agent, entered into a five-year, secured term loan credit agreement in an aggregate principal amount of $75 million (the “Credit Agreement 2023”). In addition to the loan, two affiliates of the Lenders agreed to subscribe for and acquire an aggregate of 565,224 new ordinary shares of the Company. The placement price for the new shares is €22.019 per ordinary share, resulting in aggregate proceeds raised of €12.4 million.</w:t>
      </w:r>
    </w:p>
    <w:p>
      <w:pPr>
        <w:spacing w:after="0" w:line="18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anticipate that our future cash requirements will continue to be significant and that we will need to obtain additional financing to implement our business plan. The availability and cost of external financing depend on a number of factors, including our financial performance, general market conditions and, in the case of any debt financing, potentially our credit rating. This financing may not be available on acceptable terms, or at all, and our failure to raise capital when needed could harm our business.</w:t>
      </w:r>
    </w:p>
    <w:p>
      <w:pPr>
        <w:spacing w:after="0" w:line="18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Our ability to raise equity financing depends on our ability to convince investors to fund our operations and future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Our ability to raise further debt financing, should we need or choose to do so, will largely depend on past financial results. Given that we and the industry in which we operate are still at a very early maturity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6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6"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The covenants under our Credit Agreement 2023 impose operating and financial restrictions on us that could significantly impact our ability to operate our business and a breach of which could result in a default under the terms of such agreement, which could accelerate the repayment of funds that we have borrowed.</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terms of the Credit Agreement 2023 impose, and future financial obligations may impose, operating and financial restrictions on us. These restrictions may prohibit or otherwise limit our ability to fund our operations or capital needs or to undertake certain other business activities or transactions without the consent of the Lenders, which in turn may adversely affect our financial condition. The Credit Agreement 2023 requires us to maintain a specified consolidated leverage ratio and a minimum amount of liquidity, which may require us to take action to reduce our debt, reserve cash amounts or to otherwise act in a manner contrary to our business objectives. The Credit Agreement 2023 also restricts our ability to, among other things, incur additional debt and guarantee indebtedness; pay dividends on or make distributions in respect of, or repurchase or redeem, our capital stock, or make other restricted payments; make loans or certain investments; sell certain assets; create liens on certain assets; consolidate, merge, sell, or otherwise dispose of all or substantially all of our assets; enter into certain transactions with our affiliates; alter the businesses we conduct; and enter into agreements restricting our subsidiaries’ ability to pay dividends. We could incur substantial indebtedness in the future, and the agreements governing any such indebtedness may provide further restrictions on our business.</w:t>
      </w:r>
    </w:p>
    <w:p>
      <w:pPr>
        <w:spacing w:after="0" w:line="185"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As a result of these covenants, we are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 In addition, the Credit Agreement 2023 requires Mynaric USA to pay an exit fee to the Lenders at the time the loans are repaid, prepaid or accelerated. The exit fee is calculated as 200% of “invested capital” less the cumulative amount of principal repayments and cash interest payments on the loans received prior to the exit date, with “invested capital” defined to mean $74,250,000 plus the aggregate amount by which the principal amount of the loans is increased as a result of the payment of interest in kind. The exit fee percentage would be reduced to 185% if the exit fee is triggered prior to the fourth anniversary of the drawdown date and 180% if triggered prior to the third anniversary of the drawdown date. In addition, certain partial mandatory prepayments require the payment of a portion of the exit fee prior to the full repayment of the facility. In the event of an acceleration or mandatory prepayment, we may not have or be able to obtain sufficient funds to refinance our indebtedness or to make any accelerated payments or mandatory prepayment.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change of control could result in us facing substantial repayment obligations under the Credit Agreement 2023.</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Certain events relating to a change of control of the Company and our subsidiaries would constitute an event of default under the Credit Agreement 2023. As a result, upon a change of control event, we may be required to immediately repay the outstanding principal, any accrued interest on and any other amounts owed by us under the Credit Agreement 2023. The source of funds for these repayments would be our available cash or cash generated from other sources and there can be no assurance that we would have, or be able to obtain, sufficient funds to repay such indebtedness and other payment obligations in full.</w:t>
      </w:r>
    </w:p>
    <w:p>
      <w:pPr>
        <w:spacing w:after="0" w:line="188"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In addition, our obligations under the Credit Agreement 2023 are secured by a security interest in substantially all of the assets of the borrower and each of the guarantors. Future subsidiaries of the Company are also required to become guarantors of the loans and to grant a security interest in their assets as security for the loans. If we are unable to repay our indebtedness under the Credit Agreement 2023 or obtain waivers of such defaults, then the Lenders under the Credit Agreement 2023 would have the right to foreclose on those assets, which would have a material adverse effect on us.</w:t>
      </w:r>
    </w:p>
    <w:p>
      <w:pPr>
        <w:spacing w:after="0" w:line="2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6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may apply for German and foreign federal and state grants, loans and tax incentives under various government programs designed to stimulate the economy of the relevant jurisdiction or to support the development of aerospace-based related technologies. We anticipate that there may be new opportunities for us to apply for grants, loans and other incentives from the German federal or state government(s), the European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6"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financial condition could be materially adversely affected and we may need to shift capital originally planned to be used in other parts of our business, which may harm the overall development of our business and the implementation of our growth strategy.</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are exposed to foreign currency exchange risk and our financial position and results of operations may be negatively affected by the fluctuation of different currencies.</w:t>
      </w:r>
    </w:p>
    <w:p>
      <w:pPr>
        <w:spacing w:after="0" w:line="6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partially used to finance the Company’s U.S. subsidiary. As of December 31, 2022, we had U.S. dollar receivables and cash at banks of $8.1 million. Any changes in foreign currency exchange rates may severely impact our net cash used in operating activities and our result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Risks Related to Our Operations</w:t>
      </w:r>
    </w:p>
    <w:p>
      <w:pPr>
        <w:spacing w:after="0" w:line="121"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3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management team, for any reason, including resignation or retirement, could adversely affect our competitiveness and the implementation of our growth strategy.</w:t>
      </w:r>
    </w:p>
    <w:p>
      <w:pPr>
        <w:spacing w:after="0" w:line="176"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 Any deficiency in our ability to hire additional employees may harm the roll-out of our serial production.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deficiencies in our cyber-security.</w:t>
      </w:r>
    </w:p>
    <w:p>
      <w:pPr>
        <w:spacing w:after="0" w:line="129"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damage our reputation by adversely affecting our customers’ perception of the security of their information.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a supplier for government programs, which subjects us to risks including early termination, audits, investigations, sanctions and penalties.</w:t>
      </w:r>
    </w:p>
    <w:p>
      <w:pPr>
        <w:spacing w:after="0" w:line="152"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Within the value chain for the government aerospace-based communication industry, we are a sub-system supplier for system primes such as aircraft and satellite manufacturers. We have entered into contracts as a sub-system supplier with counterparties that are prime contractors for the U.S. government who have development contracts directly with the U.S. government and may also do so with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government contracts may contain additional requirements that may increase our costs of doing business, reduce our profits, and expose us to liability for failure to comply with these terms and conditions. These requirements include, for example:</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specialized disclosure and accounting requirements unique to government contracts;</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disclosures of certain contract and company information;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requirements, non-discrimination and affirmative action programs and environmental compliance requirements.</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If we fail to comply with government contracting laws, regulations and contract requirements, our government contracts may be subject to termination, and we may become subject to financial and/or other liability under our contracts or criminal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operations, or those of our suppliers and other business partners, could be adversely affected as a result of disasters or unpredictable events.</w:t>
      </w:r>
    </w:p>
    <w:p>
      <w:pPr>
        <w:spacing w:after="0" w:line="15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Our operations, or those of our suppliers and other business partners, could be disrupted by natural disasters such as earthquakes, fires or explosions, pandemics and epidemics, power outages, terrorist attacks, cyberattacks, war or other critical events. Some of our existing or future production sites, or those of our suppliers and other business partners, may be in regions that could be affected by natural disasters such as flooding or earthquakes. Disruptions may also result from possible regulatory or legislative changes in the relevant jurisdictions of our, our suppliers’ or our business partners’ operations. For example, due to efforts of several governments to limit the spread of COVID-19 or implementation of post-COVID-19 protection measures, global supply chains experienced severe disruptions, which have impacted, and continue to impact, semiconductor supply chains.</w:t>
      </w:r>
    </w:p>
    <w:p>
      <w:pPr>
        <w:spacing w:after="0" w:line="19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Furthermore, the United States and global markets have experienced, and continue to experience, volatility and disruption following the escalation of geopolitical tensions such as the invasion of Ukraine by Russia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February 2022. In response to this invasion, the North Atlantic Treaty Organization (NATO) deployed additional military forces to Eastern Europe, and the United States, the United Kingdom, the European Union and other countries have announced and implemented sanctions and restrictive actions against Russia and related individuals and entities. The invasion of Ukraine by Russia and the resulting measures that have been taken, and could be taken in the future, have created global security concerns that could have a lasting impact on regional and global economies. Although the length and impact of the ongoing military conflict in Ukraine is highly unpredictable, the conflict could lead to market disruptions, including significant volatility in commodity prices, credit and capital markets, and could further drive supply chain interruptions. Additionally, Russian military actions and the resulting sanctions could adversely affect the global economy and financial markets and lead to instability and lack of liquidity in capital markets, which, in the end, may make it more difficult for us to obtain equity or debt financing and negatively impact demand for our products.</w:t>
      </w:r>
    </w:p>
    <w:p>
      <w:pPr>
        <w:spacing w:after="0" w:line="273"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Since that time, there have been reports of instability at other U.S. banks, including First Republic Bank. At December 31, 2022, we held approximately $2.8 million of our cash in non-interest bearing bank accounts at First Republic Bank. Although we are not a borrower or party to any such instruments with SVB, Signature or any other financial institution currently in receivership, if any of our lenders or counterparties to any financial instruments (such as letters of credit)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7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government securities with interest rates below current market interest rates,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6"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In addition, a critical supplier or business partner could be adversely affected by any of the liquidity or other risks that are described above as factors, which in turn, could have a material adverse effect on our current and/or projected business operations and results of operations and financial condition. Any business partner or supplier bankruptcy or insolvency, or any breach or default by a business partner, or supplier, or the loss of any significant supplier relationships, could result in material adverse impacts on our current and/or projected business operations and financial condition.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Risks</w:t>
      </w:r>
    </w:p>
    <w:p>
      <w:pPr>
        <w:spacing w:after="0" w:line="121"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7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European Union regulations, in July 2020, the German government issued a so-called single intervention (</w:t>
      </w:r>
      <w:r>
        <w:rPr>
          <w:rFonts w:ascii="Arial" w:cs="Arial" w:eastAsia="Arial" w:hAnsi="Arial"/>
          <w:sz w:val="16"/>
          <w:szCs w:val="16"/>
          <w:i w:val="1"/>
          <w:iCs w:val="1"/>
          <w:color w:val="auto"/>
        </w:rPr>
        <w:t>Einzeleingriff</w:t>
      </w:r>
      <w:r>
        <w:rPr>
          <w:rFonts w:ascii="Arial" w:cs="Arial" w:eastAsia="Arial" w:hAnsi="Arial"/>
          <w:sz w:val="16"/>
          <w:szCs w:val="16"/>
          <w:color w:val="auto"/>
        </w:rPr>
        <w:t>)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6"/>
          <w:szCs w:val="16"/>
          <w:i w:val="1"/>
          <w:iCs w:val="1"/>
          <w:color w:val="auto"/>
        </w:rPr>
        <w:t>Ausfuhrliste</w:t>
      </w:r>
      <w:r>
        <w:rPr>
          <w:rFonts w:ascii="Arial" w:cs="Arial" w:eastAsia="Arial" w:hAnsi="Arial"/>
          <w:sz w:val="16"/>
          <w:szCs w:val="16"/>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European Union’s Council Regulation (EC) No 428/2009 of 5 May 2009, as most recently amended by Commission Delegated Regulation (EU) 2021/1528 of 8 June 2021, which established a community regime for the control of exports and the transfer, brokering and transit of Dual-Use Items (the “Dual-Use Regulation”), which supersedes the national dual-use regulations of the European Union member states. Although the export of our CONDOR laser communication terminals is covered by the European Union’s general export authorization (</w:t>
      </w:r>
      <w:r>
        <w:rPr>
          <w:rFonts w:ascii="Arial" w:cs="Arial" w:eastAsia="Arial" w:hAnsi="Arial"/>
          <w:sz w:val="16"/>
          <w:szCs w:val="16"/>
          <w:i w:val="1"/>
          <w:iCs w:val="1"/>
          <w:color w:val="auto"/>
        </w:rPr>
        <w:t>EU-Allgemeingenehmigung</w:t>
      </w:r>
      <w:r>
        <w:rPr>
          <w:rFonts w:ascii="Arial" w:cs="Arial" w:eastAsia="Arial" w:hAnsi="Arial"/>
          <w:sz w:val="16"/>
          <w:szCs w:val="16"/>
          <w:color w:val="auto"/>
        </w:rPr>
        <w:t>), we nevertheless will be required to obtain an (individual) export authorization if we export dual-use products to countries that are not covered by the European Union’s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76"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Currently, our largest potential customer base is located in the United States and Canada.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28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we do not maintain required security clearances from, and comply with our security agreements with, the U.S. government, we may not be able to enter into future contracts with the U.S. government requiring such clearance.</w:t>
      </w:r>
    </w:p>
    <w:p>
      <w:pPr>
        <w:spacing w:after="0" w:line="62"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To participate in certain U.S. government programs, we expect to seek and obtain security clearances from the DoD, including by establishing a U.S. entity cleared for access to classified information. For example, certain contracts with the U.S. government may require us to be issued facility security clearances under the National Industrial Security Program. The National Industrial Security Program requires that a corporation maintaining a facility security clearance be effectively insulated from foreign ownership, control or influence (“FOCI”). In anticipation of potential future U.S. government contracts, in April 2022, we established a new U.S. subsidiary, Mynaric Government Solutions, Inc., and have commenced the process of insulating this entity from FOCI. This process includes recruiting directors and employees dedicated to that entity and any U.S. governmental agency projects to be serviced by the entity. So far, we have not recruited any directors or employees. Failure to obtain and maintain a required FOCI mitigation agreement with the DoD and to comply with such agreement and applicable U.S. government industrial security regulations could result in invalidation or termination of the facility security clearances, which in turn would mean that we would not be able to enter into future contracts with the U.S. government requiring facility security clearances.</w:t>
      </w:r>
    </w:p>
    <w:p>
      <w:pPr>
        <w:spacing w:after="0" w:line="18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we or our employees are unable to obtain or retain any necessary security clearances, we may not be able to win new business, bid on new contracts or effectively rebid on expiring contracts. As a result, our business could be materially adversely affected. Further, if we violate the terms of any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27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6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Changes in law or the imposition of new or additional regulations that apply to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28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Positive market developments in the area of wireless laser communication could lead to increasingly intense political interest and influence impacting our business.</w:t>
      </w:r>
    </w:p>
    <w:p>
      <w:pPr>
        <w:spacing w:after="0" w:line="6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reliable provision and expansion of critical infrastructure such as communication networks is at the core of national interests. Constellations (</w:t>
      </w:r>
      <w:r>
        <w:rPr>
          <w:rFonts w:ascii="Arial" w:cs="Arial" w:eastAsia="Arial" w:hAnsi="Arial"/>
          <w:sz w:val="17"/>
          <w:szCs w:val="17"/>
          <w:i w:val="1"/>
          <w:iCs w:val="1"/>
          <w:color w:val="auto"/>
        </w:rPr>
        <w:t>i.e.</w:t>
      </w:r>
      <w:r>
        <w:rPr>
          <w:rFonts w:ascii="Arial" w:cs="Arial" w:eastAsia="Arial" w:hAnsi="Arial"/>
          <w:sz w:val="17"/>
          <w:szCs w:val="17"/>
          <w:color w:val="auto"/>
        </w:rPr>
        <w:t>, communication networks consisting of a large volume of satellite or aircraft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“Item 4. Information on the Company—B.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In addition, due to the significant increase in both government and commercial space activities in recent years, in particular the number of constellations that are expected to be deployed, industry experts are increasingly concerned that there is a potential for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statutory limit on the number of constellations that can actually be deployed, which would in turn significantly increase competition.</w:t>
      </w:r>
    </w:p>
    <w:p>
      <w:pPr>
        <w:spacing w:after="0" w:line="274"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Regulations related to conflict minerals and other supply chain regulations such as the German Supply Chain Act may cause us to incur additional expenses and could limit the supply and increase the costs of certain metals and other materials used in the manufacturing of our products.</w:t>
      </w:r>
    </w:p>
    <w:p>
      <w:pPr>
        <w:spacing w:after="0" w:line="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We may be required under the Dodd-Frank Wall Street Reform and Consumer Protection Act of 2010 (Dodd-Frank Act) to determine, disclose and report whether our products contain “conflict minerals” (tin, tungsten, tantalum and gold).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(European Union Conflict Minerals Regulation).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Even though our production is not dependent on such minerals and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7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addition, in June 2021, the German legislature passed the Supply Chain Act (</w:t>
      </w:r>
      <w:r>
        <w:rPr>
          <w:rFonts w:ascii="Arial" w:cs="Arial" w:eastAsia="Arial" w:hAnsi="Arial"/>
          <w:sz w:val="18"/>
          <w:szCs w:val="18"/>
          <w:i w:val="1"/>
          <w:iCs w:val="1"/>
          <w:color w:val="auto"/>
        </w:rPr>
        <w:t>Lieferkettensorgfaltspflichtengesetz</w:t>
      </w:r>
      <w:r>
        <w:rPr>
          <w:rFonts w:ascii="Arial" w:cs="Arial" w:eastAsia="Arial" w:hAnsi="Arial"/>
          <w:sz w:val="18"/>
          <w:szCs w:val="18"/>
          <w:color w:val="auto"/>
        </w:rPr>
        <w:t>), which came into force on January 1, 2023. The Supply Chain Act imposes significant obligations on companies that source their products and services through supply chains from developing and emerging countries and sell them in Germany to comply with human rights and environmental standards, and exposes them to potentially serious liability in the event of violations. The Supply Chain Act currently does not apply to us because we have less than 1,000 employees in Germany.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Tax Risks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our intellectual property and proprietary rights and prevent others from making unauthorized use of our products and technology.</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18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competitive position may be harmed.</w:t>
      </w:r>
    </w:p>
    <w:p>
      <w:pPr>
        <w:spacing w:after="0" w:line="303"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65"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As the number of competitors in the market for laser communication grows, the possibility of infringement claims against us increases. Established market players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8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financial condition, results of operations, prospects and reputation could be harmed.</w:t>
      </w:r>
    </w:p>
    <w:p>
      <w:pPr>
        <w:spacing w:after="0" w:line="16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76"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6"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70"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American Depositary Shares (“ADSs”). If securities analysts or investors perceive these results to be negative, it could have a material adverse effect on the price of the ADSs.</w:t>
      </w:r>
    </w:p>
    <w:p>
      <w:pPr>
        <w:spacing w:after="0" w:line="2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have been and may become involved in lawsuits and administrative and regulatory proceedings relating to our business, such as commercial contract claims, labor disputes with our employees, proceedings initiated by public authorities or other examinations and investigations. For example, in 2020 the German Federal Financial Supervisory Authority (</w:t>
      </w:r>
      <w:r>
        <w:rPr>
          <w:rFonts w:ascii="Arial" w:cs="Arial" w:eastAsia="Arial" w:hAnsi="Arial"/>
          <w:sz w:val="16"/>
          <w:szCs w:val="16"/>
          <w:i w:val="1"/>
          <w:iCs w:val="1"/>
          <w:color w:val="auto"/>
        </w:rPr>
        <w:t>Bundesanstalt für Finanzdienstleistungsaufsicht</w:t>
      </w:r>
      <w:r>
        <w:rPr>
          <w:rFonts w:ascii="Arial" w:cs="Arial" w:eastAsia="Arial" w:hAnsi="Arial"/>
          <w:sz w:val="16"/>
          <w:szCs w:val="16"/>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On March 20, 2023, BaFin imposed an administrative fine amounting to €150,000 in this matter. The administrative fine order is final and binding. In 2021, we received two additional notifications from BaFin relating to the alleged delay of an ad hoc disclosure under the ad hoc disclosure obligation of Article 17 para. 1 MAR both of which were dropped. See “Item 4. Information on the Company—B. Business Overview—Legal Proceedings.”</w:t>
      </w:r>
    </w:p>
    <w:p>
      <w:pPr>
        <w:spacing w:after="0" w:line="16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Furthermore, we are currently subject to a German wage tax audit (</w:t>
      </w:r>
      <w:r>
        <w:rPr>
          <w:rFonts w:ascii="Arial" w:cs="Arial" w:eastAsia="Arial" w:hAnsi="Arial"/>
          <w:sz w:val="18"/>
          <w:szCs w:val="18"/>
          <w:i w:val="1"/>
          <w:iCs w:val="1"/>
          <w:color w:val="auto"/>
        </w:rPr>
        <w:t>Lohnsteuerprüfung</w:t>
      </w:r>
      <w:r>
        <w:rPr>
          <w:rFonts w:ascii="Arial" w:cs="Arial" w:eastAsia="Arial" w:hAnsi="Arial"/>
          <w:sz w:val="18"/>
          <w:szCs w:val="18"/>
          <w:color w:val="auto"/>
        </w:rPr>
        <w:t>) for the years 2017 to August 2021, in particular with respect to the compensation of a former member of our management board. We believe that the ultimate outcome of this audit will not have a material adverse effect on our financial position, cash flows or overall trends in results of operations. The maximum potential total tax liability related to these matters is estimated to be approximately €240 thousand, plus interest and penalties.</w:t>
      </w:r>
    </w:p>
    <w:p>
      <w:pPr>
        <w:spacing w:after="0" w:line="18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2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advisers have wrongfully used or disclosed alleged trade secrets of their former employers.</w:t>
      </w:r>
    </w:p>
    <w:p>
      <w:pPr>
        <w:spacing w:after="0" w:line="6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We try to ensure that these individuals do not use the proprietary information or know-how of others in their work for us. However,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Even if we are successful in defending against such claims, litigation could result in substantial costs and be a distraction to our management. If we fail in defending any such claims, we may lose valuable intellectual property rights or personnel, in addition to possibly paying monetary damages or being enjoined from conducting our business as contemplated.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6"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become exposed to unforeseen tax consequences as a result of operating across borders and in multiple jurisdictions.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such as Germany and the United States, the complexity and adverse consequences of such tax laws, and potentially adverse tax consequences due to changes in such tax laws. Any changes in applicable tax laws and tax rates in the jurisdictions we are operating in, in particular Germany and the United States, would have a material adverse effect on our results of operations and harm our profitability.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Risks</w:t>
      </w:r>
    </w:p>
    <w:p>
      <w:pPr>
        <w:spacing w:after="0" w:line="121"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w:t>
      </w:r>
    </w:p>
    <w:p>
      <w:pPr>
        <w:spacing w:after="0" w:line="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connection with our listing on The Nasdaq Stock Market LLC (“Nasdaq”), we are subject to Section 404 of the Sarbanes-Oxley Act, which requires the management of U.S. public companies to develop and implement internal control over financial reporting and to evaluate their effectiveness.</w:t>
      </w:r>
    </w:p>
    <w:p>
      <w:pPr>
        <w:spacing w:after="0" w:line="18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management assessed the effectiveness of our internal control over financial reporting based on the criteria established in the SEC guidance on conducting such assessments as of December 31, 2022. Our management conducted the assessment based on certain criteria established in the Internal Control Integrated Framework issued by the Committee of Sponsoring Organizations (COSO) of the Treadway Commission in 2013. Based on such evaluation, our co-chief executive officers and chief financial officer have concluded that as of December 31, 2022, our internal controls over financial reporting were not effective.</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have remediated a previously reported material weakness in our internal controls relating to a lack of effective communication and information flows which allows the accounting department to be aware of details of relevant material transactions/agreements. However, the following material weaknesses in our internal controls existed as of December 31, 2022: (i) a lack of sufficient resources with an appropriate level of technical accounting and SEC reporting experience and clearly defined roles within the finance and accounting functions, (ii) insufficient risk assessment procedures necessary to ensure the completeness of processes and identification of required internal controls over financial reporting, (iii) a lack of design and operating effectiveness of controls in accounting process which can prevent material misstatements in a timely manner, (iv) a lack of controls related to inventory valuation, (v) a lack of design and operating effectiveness of general information technology controls (GITC) for information systems that are relevant to the preparation of the consolidated financial statements and (vi) a failure to implement sufficient monitoring controls ensuring that corrective action is taken when implemented controls do not operate as designed.</w:t>
      </w:r>
    </w:p>
    <w:p>
      <w:pPr>
        <w:spacing w:after="0" w:line="18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While we have developed a remediation plan to address our material weaknesses, this remediation plan or any additional plan we plan to implement may be insufficient to address our material weaknesses and additional material weaknesses may be discovered in the future. As part of this plan, we engaged and continue to engage in the following remediation efforts:</w:t>
      </w:r>
    </w:p>
    <w:p>
      <w:pPr>
        <w:spacing w:after="0" w:line="89" w:lineRule="exact"/>
        <w:rPr>
          <w:sz w:val="20"/>
          <w:szCs w:val="20"/>
          <w:color w:val="auto"/>
        </w:rPr>
      </w:pPr>
    </w:p>
    <w:p>
      <w:pPr>
        <w:jc w:val="both"/>
        <w:ind w:left="1080" w:right="20" w:hanging="424"/>
        <w:spacing w:after="0" w:line="255"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hired additional resources to support our accounting and financial reporting functions in Germany and the United States (US), including a Head of Accounting Principles, a SOX Manager and a Head of Accounting in the US, who each have the requisite background and knowledge in the application of IFRS. We will continue to hire additional staff, accountants and controller with the IFRS knowledge and additional resources with an appropriate level of SEC reporting experience in 2023. In 2022, we hired external consultants dedicated to managing complex accounting topics with experience in IFRS who will continue to support our accounting and financial reporting functions in 2023.</w:t>
      </w:r>
    </w:p>
    <w:p>
      <w:pPr>
        <w:spacing w:after="0" w:line="97" w:lineRule="exact"/>
        <w:rPr>
          <w:rFonts w:ascii="Arial" w:cs="Arial" w:eastAsia="Arial" w:hAnsi="Arial"/>
          <w:sz w:val="18"/>
          <w:szCs w:val="18"/>
          <w:color w:val="auto"/>
        </w:rPr>
      </w:pPr>
    </w:p>
    <w:p>
      <w:pPr>
        <w:jc w:val="both"/>
        <w:ind w:left="1080" w:right="20" w:hanging="424"/>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key components of our remediation plans in fiscal 2023 are as follows: (i) enhance the execution of our risk assessment activities by evaluating whether the design of our internal controls appropriately addresses the risks in our business processes and changes in the business (including changes to people, processes and systems) that could impact our system of internal controls; (ii) review our current processes, procedures and systems to identify opportunities to enhance the design of each process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54" w:lineRule="auto"/>
        <w:rPr>
          <w:sz w:val="20"/>
          <w:szCs w:val="20"/>
          <w:color w:val="auto"/>
        </w:rPr>
      </w:pPr>
      <w:r>
        <w:rPr>
          <w:rFonts w:ascii="Arial" w:cs="Arial" w:eastAsia="Arial" w:hAnsi="Arial"/>
          <w:sz w:val="18"/>
          <w:szCs w:val="18"/>
          <w:color w:val="auto"/>
        </w:rPr>
        <w:t>to design and implement additional control activities that can prevent material misstatements; (iii) develop and roll-out a process to manage the valuation of inventory in combination with quarterly meetings with all stakeholders to agree on production and forecasts. Design and implement controls that address the valuation of inventory, including control activities associated with the review of data used and the appropriateness of the assumptions and methodology used to determine the net realizable value; (iv) create greater awareness and continuously improve the system of internal control over financial reporting by: (x) investments in state-of-the-art tools to support internal controls over financial reporting on the software / IT side and financial statement closing and reporting, (y) establishing an “Internal Controls Manual” (including communication and training) and continuous monitoring of defined controls, and (z) implementation of a global “Ethics Hotline.”</w:t>
      </w:r>
    </w:p>
    <w:p>
      <w:pPr>
        <w:spacing w:after="0" w:line="97" w:lineRule="exact"/>
        <w:rPr>
          <w:sz w:val="20"/>
          <w:szCs w:val="20"/>
          <w:color w:val="auto"/>
        </w:rPr>
      </w:pPr>
    </w:p>
    <w:p>
      <w:pPr>
        <w:jc w:val="both"/>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finalized the implementation of SAP ERP S4/HANA for the German and U.S. based group companies in April 2022 and initiated a project to formalize policies and procedures and finalize the design and implementation of internal controls relating to GITCs for our IT systems.</w:t>
      </w:r>
    </w:p>
    <w:p>
      <w:pPr>
        <w:spacing w:after="0" w:line="184"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 We will not be able to fully remediate these material weaknesses until these steps have been completed and have been operating effectively.</w:t>
      </w:r>
    </w:p>
    <w:p>
      <w:pPr>
        <w:spacing w:after="0" w:line="16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While we are required to disclose material changes in, and are now required to conduct an annual assessment of, our internal control over financial reporting, our independent registered public accounting firm has not been, and will not be, required to attest to the effectiveness of our internal control over financial reporting for as long as we are an “emerging growth company” under the Jumpstart Our Business Startups Act (JOBS Act). We could be an “emerging growth company” until December 31, 2026 (the last day of our financial year following the fifth anniversary of our initial public offering in November 2021).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 We could be also subject to sanctions or investigations by Nasdaq, the SEC or other regulatory authorities.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risk management and internal control procedures may not prevent or detect violations of law.</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16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have procedures in place designed to ensure compliance with sanctions and other trade controls and we monitor our product developments closely regarding any further regulatory implications. However,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(i.e., products that may have both civil and military applications) may require us to obtain new governmental approvals or licenses, which we have not anticipated, for the export of our products to countries which are not covered by the European Union’s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ADSs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market price of the ADSs has fluctuated significantly in the past and may continue to do so in the future and any such fluctuations could result in substantial losses for holders of the ADSs.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market price of the ADSs is affected by the supply and demand for the ADSs, which may be influenced by numerous factors, many of which are beyond our control, including:</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 in actual or projected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projected earnings or failure to meet securities analysts’ earnings expectations;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analyst coverage;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analyst recommendations;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trading volumes in the ADSs (including by the sale of shares or ADSs granted to our employees under employee participation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large-volume or targeted transactions by short-sellers;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shareholder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macroeconomic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activities of competitors and sellers;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market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finalize development of, market and commercialize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recruitment or departure of key management or scientific personnel or other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lawsuits, including patent, shareholder or customer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investor and analyst perception with respect to our business or the industry in general;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statutory framework applicable to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result, the market price of the ADSs may be subject to substantial fluctuation.</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addition, general market conditions and fluctuation of share prices and trading volumes could lead to pressure on the market price of the ADSs, even if there may not be a reason for this based on our business performance or earnings outlook. The stock market in general and the market for smaller technology companies in particular have experienced extreme volatility that has often been unrelated to the operating performance of particular companies. In addition, prices for companies with a limited operating history may be more volatile compared to share prices for established companies or companies from other industries.</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the market price of the ADSs declines as a result of the realization of any of these risks, investors could lose part or all of their investment in the ADSs.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9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cross-sectoral examination in Section 55 et seq. of the German Foreign Trade and Payments Ordinance (</w:t>
      </w:r>
      <w:r>
        <w:rPr>
          <w:rFonts w:ascii="Arial" w:cs="Arial" w:eastAsia="Arial" w:hAnsi="Arial"/>
          <w:sz w:val="18"/>
          <w:szCs w:val="18"/>
          <w:i w:val="1"/>
          <w:iCs w:val="1"/>
          <w:color w:val="auto"/>
        </w:rPr>
        <w:t>Außenwirtschaftsverordnung</w:t>
      </w:r>
      <w:r>
        <w:rPr>
          <w:rFonts w:ascii="Arial" w:cs="Arial" w:eastAsia="Arial" w:hAnsi="Arial"/>
          <w:sz w:val="18"/>
          <w:szCs w:val="18"/>
          <w:color w:val="auto"/>
        </w:rPr>
        <w:t>, “AWV”), the German Federal Ministry for Economic Affairs and</w:t>
      </w:r>
    </w:p>
    <w:p>
      <w:pPr>
        <w:sectPr>
          <w:pgSz w:w="11900" w:h="16838" w:orient="portrait"/>
          <w:cols w:equalWidth="0" w:num="1">
            <w:col w:w="11140"/>
          </w:cols>
          <w:pgMar w:left="320" w:top="486" w:right="43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40"/>
          </w:cols>
          <w:pgMar w:left="320" w:top="486"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Energy (</w:t>
      </w:r>
      <w:r>
        <w:rPr>
          <w:rFonts w:ascii="Arial" w:cs="Arial" w:eastAsia="Arial" w:hAnsi="Arial"/>
          <w:sz w:val="17"/>
          <w:szCs w:val="17"/>
          <w:i w:val="1"/>
          <w:iCs w:val="1"/>
          <w:color w:val="auto"/>
        </w:rPr>
        <w:t>Bundesministerium für Wirtschaft und Energie</w:t>
      </w:r>
      <w:r>
        <w:rPr>
          <w:rFonts w:ascii="Arial" w:cs="Arial" w:eastAsia="Arial" w:hAnsi="Arial"/>
          <w:sz w:val="17"/>
          <w:szCs w:val="17"/>
          <w:color w:val="auto"/>
        </w:rPr>
        <w:t>, “BMWi”) may prohibit or restrict the acquisition of our shares or ADSs by a foreign acquirer (</w:t>
      </w:r>
      <w:r>
        <w:rPr>
          <w:rFonts w:ascii="Arial" w:cs="Arial" w:eastAsia="Arial" w:hAnsi="Arial"/>
          <w:sz w:val="17"/>
          <w:szCs w:val="17"/>
          <w:i w:val="1"/>
          <w:iCs w:val="1"/>
          <w:color w:val="auto"/>
        </w:rPr>
        <w:t>i.e.</w:t>
      </w:r>
      <w:r>
        <w:rPr>
          <w:rFonts w:ascii="Arial" w:cs="Arial" w:eastAsia="Arial" w:hAnsi="Arial"/>
          <w:sz w:val="17"/>
          <w:szCs w:val="17"/>
          <w:color w:val="auto"/>
        </w:rPr>
        <w:t>, an investor that is resident or based outside the European Union (</w:t>
      </w:r>
      <w:r>
        <w:rPr>
          <w:rFonts w:ascii="Arial" w:cs="Arial" w:eastAsia="Arial" w:hAnsi="Arial"/>
          <w:sz w:val="17"/>
          <w:szCs w:val="17"/>
          <w:i w:val="1"/>
          <w:iCs w:val="1"/>
          <w:color w:val="auto"/>
        </w:rPr>
        <w:t>Unionsfremder</w:t>
      </w:r>
      <w:r>
        <w:rPr>
          <w:rFonts w:ascii="Arial" w:cs="Arial" w:eastAsia="Arial" w:hAnsi="Arial"/>
          <w:sz w:val="17"/>
          <w:szCs w:val="17"/>
          <w:color w:val="auto"/>
        </w:rPr>
        <w:t xml:space="preserve">)) if it endangers the public order or the security of Germany. According to an amendment to the AWV, which came into force on May 1, 2021, statutory notification requirements apply, </w:t>
      </w:r>
      <w:r>
        <w:rPr>
          <w:rFonts w:ascii="Arial" w:cs="Arial" w:eastAsia="Arial" w:hAnsi="Arial"/>
          <w:sz w:val="17"/>
          <w:szCs w:val="17"/>
          <w:i w:val="1"/>
          <w:iCs w:val="1"/>
          <w:color w:val="auto"/>
        </w:rPr>
        <w:t>inter alia</w:t>
      </w:r>
      <w:r>
        <w:rPr>
          <w:rFonts w:ascii="Arial" w:cs="Arial" w:eastAsia="Arial" w:hAnsi="Arial"/>
          <w:sz w:val="17"/>
          <w:szCs w:val="17"/>
          <w:color w:val="auto"/>
        </w:rPr>
        <w:t>, to any acquisition by a foreign acquirer of 20% or more of the voting rights of a company that develops or manufactures, among other things, goods intended for use in space or for use in space infrastructure systems as well as goods specifically required for the operation of laser communication networks, including the Company. If grounds for an objection exist, the BMWi may prohibit the direct acquirer of the ADSs from making such an acquisition within two months of the receipt of the approval request in writing or issue instructions in order to ensure the public order or security in Germany. See “Item 4. Information on the Company—B. Business Overview—Regulatory Environment—German Foreign Investment Regime.” As a result, any such requirement to obtain governmental approval or the issuance of an objection by the BMWi may restrict certain investments in the ADSs, limit demand for the ADSs, and have negative impact on the stock exchange price of the ADSs.</w:t>
      </w:r>
    </w:p>
    <w:p>
      <w:pPr>
        <w:spacing w:after="0" w:line="29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6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8"/>
          <w:szCs w:val="18"/>
          <w:i w:val="1"/>
          <w:iCs w:val="1"/>
          <w:color w:val="auto"/>
        </w:rPr>
        <w:t>e.g.</w:t>
      </w:r>
      <w:r>
        <w:rPr>
          <w:rFonts w:ascii="Arial" w:cs="Arial" w:eastAsia="Arial" w:hAnsi="Arial"/>
          <w:sz w:val="18"/>
          <w:szCs w:val="18"/>
          <w:color w:val="auto"/>
        </w:rPr>
        <w:t>,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7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 which may have a negative effect on any dividend payments.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sales by major shareholders, or the perception of future sales, could materially adversely affect the market price of the ADSs.</w:t>
      </w:r>
    </w:p>
    <w:p>
      <w:pPr>
        <w:spacing w:after="0" w:line="12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Sales of a substantial number of our shares or ADSs in the public market, or the perception that such sales or issuances might occur, could depress the market price of the ADSs and could impair our ability to raise capital through the sale of additional equity securities.</w:t>
      </w:r>
    </w:p>
    <w:p>
      <w:pPr>
        <w:spacing w:after="0" w:line="2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6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 may decline. If one or more of these analysts ceases coverage of our company or fails to publish reports on us regularly, demand for the ADSs could decrease, which might cause the ADS price and trading volume to decline.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not yet paid any dividends to our shareholders and do not currently intend to pay dividends for the foreseeable future. Under German law, dividends may only be distributed from our distributable profit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86"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Bilanzgewinn</w:t>
      </w:r>
      <w:r>
        <w:rPr>
          <w:rFonts w:ascii="Arial" w:cs="Arial" w:eastAsia="Arial" w:hAnsi="Arial"/>
          <w:sz w:val="18"/>
          <w:szCs w:val="18"/>
          <w:color w:val="auto"/>
        </w:rPr>
        <w:t>) or distributable reserves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 Such accounting principles differ from IFRS as issued by the IASB in material respects.</w:t>
      </w:r>
    </w:p>
    <w:p>
      <w:pPr>
        <w:spacing w:after="0" w:line="184"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Consequently, we do not expect to pay dividends in the foreseeable future, and as a result any return on an investment in the ADSs will be solely dependent upon the appreciation of the trading price of the ADSs, which may not occur. See “Item 8. Financial Information—A. Consolidated Statements and Other Financial Information—Dividends.”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the ADSs may be subject to limitations on transfer of their ADSs.</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w:t>
      </w:r>
    </w:p>
    <w:p>
      <w:pPr>
        <w:spacing w:after="0" w:line="2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Holders of ADSs are not treated as shareholders of our company and the exercise of voting rights by holders of the ADSs is limited by the terms of the deposit agreement.</w:t>
      </w:r>
    </w:p>
    <w:p>
      <w:pPr>
        <w:spacing w:after="0" w:line="6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84"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rights of shareholders in companies subject to German corporate law differ in material respects from the rights of shareholders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corporations.</w:t>
      </w:r>
    </w:p>
    <w:p>
      <w:pPr>
        <w:spacing w:after="0" w:line="10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a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 </w:t>
      </w:r>
      <w:r>
        <w:rPr>
          <w:rFonts w:ascii="Arial" w:cs="Arial" w:eastAsia="Arial" w:hAnsi="Arial"/>
          <w:sz w:val="18"/>
          <w:szCs w:val="18"/>
          <w:i w:val="1"/>
          <w:iCs w:val="1"/>
          <w:color w:val="auto"/>
        </w:rPr>
        <w:t>AG</w:t>
      </w:r>
      <w:r>
        <w:rPr>
          <w:rFonts w:ascii="Arial" w:cs="Arial" w:eastAsia="Arial" w:hAnsi="Arial"/>
          <w:sz w:val="18"/>
          <w:szCs w:val="18"/>
          <w:color w:val="auto"/>
        </w:rPr>
        <w:t>) incorporated under German law. Our corporate affairs are governed by our articles of association and by the laws governing stock corporations incorporated in Germany. You should be aware that the rights of shareholders of a German stock corporation under German law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6"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differ in important respects from those of shareholders of a U.S. corporation. These differences include, in particular:</w:t>
      </w:r>
    </w:p>
    <w:p>
      <w:pPr>
        <w:spacing w:after="0" w:line="131" w:lineRule="exact"/>
        <w:rPr>
          <w:sz w:val="20"/>
          <w:szCs w:val="20"/>
          <w:color w:val="auto"/>
        </w:rPr>
      </w:pPr>
    </w:p>
    <w:p>
      <w:pPr>
        <w:jc w:val="both"/>
        <w:ind w:left="1080" w:hanging="424"/>
        <w:spacing w:after="0" w:line="25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German law, certain important resolutions, including, for example, capital decreases, measures under the German Transformation Act (</w:t>
      </w:r>
      <w:r>
        <w:rPr>
          <w:rFonts w:ascii="Arial" w:cs="Arial" w:eastAsia="Arial" w:hAnsi="Arial"/>
          <w:sz w:val="18"/>
          <w:szCs w:val="18"/>
          <w:i w:val="1"/>
          <w:iCs w:val="1"/>
          <w:color w:val="auto"/>
        </w:rPr>
        <w:t>Umwandlungsgesetz</w:t>
      </w:r>
      <w:r>
        <w:rPr>
          <w:rFonts w:ascii="Arial" w:cs="Arial" w:eastAsia="Arial" w:hAnsi="Arial"/>
          <w:sz w:val="18"/>
          <w:szCs w:val="18"/>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8"/>
          <w:szCs w:val="18"/>
          <w:i w:val="1"/>
          <w:iCs w:val="1"/>
          <w:color w:val="auto"/>
        </w:rPr>
        <w:t>Hauptversammlung</w:t>
      </w:r>
      <w:r>
        <w:rPr>
          <w:rFonts w:ascii="Arial" w:cs="Arial" w:eastAsia="Arial" w:hAnsi="Arial"/>
          <w:sz w:val="18"/>
          <w:szCs w:val="18"/>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100" w:lineRule="exact"/>
        <w:rPr>
          <w:rFonts w:ascii="Arial" w:cs="Arial" w:eastAsia="Arial" w:hAnsi="Arial"/>
          <w:sz w:val="18"/>
          <w:szCs w:val="18"/>
          <w:color w:val="auto"/>
        </w:rPr>
      </w:pPr>
    </w:p>
    <w:p>
      <w:pPr>
        <w:jc w:val="both"/>
        <w:ind w:left="1080" w:hanging="424"/>
        <w:spacing w:after="0" w:line="290"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general rule under German law, a shareholder has no direct recourse against the members of the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or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we have provided summaries of relevant German corporate law and of our articles of association in Exhibit 2.3 to this Annual Report.</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the responsibilities of members of our management board and supervisory board may be different from the management or directors of those corporations. In the performance of their duties, our management board and supervisory board are required by German law to consider the interests of our company, its shareholders, its employees and other stakeholders. It is possible that some of these parties will have interests that are different from, or in addition to, your interests as an ADS holder.</w:t>
      </w:r>
    </w:p>
    <w:p>
      <w:pPr>
        <w:spacing w:after="0" w:line="2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62"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 company’s perspective, there exists good and objective cause for such waiver, especially for a capital increase of up to 10% of the share capital if the issue price of the new shares is not significantly lower than their market price.</w:t>
      </w:r>
    </w:p>
    <w:p>
      <w:pPr>
        <w:spacing w:after="0" w:line="164"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86"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Investors may have difficulty enforcing civil liabilities against us, our management board members, our supervisory board members.</w:t>
      </w:r>
    </w:p>
    <w:p>
      <w:pPr>
        <w:spacing w:after="0" w:line="1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Certain members of our supervisory board and management board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28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6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303" w:lineRule="exact"/>
        <w:rPr>
          <w:sz w:val="20"/>
          <w:szCs w:val="20"/>
          <w:color w:val="auto"/>
        </w:rPr>
      </w:pPr>
    </w:p>
    <w:p>
      <w:pPr>
        <w:ind w:left="120" w:right="56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1" w:lineRule="exact"/>
        <w:rPr>
          <w:sz w:val="20"/>
          <w:szCs w:val="20"/>
          <w:color w:val="auto"/>
        </w:rPr>
      </w:pPr>
    </w:p>
    <w:p>
      <w:pPr>
        <w:jc w:val="both"/>
        <w:ind w:left="120" w:right="20" w:firstLine="440"/>
        <w:spacing w:after="0" w:line="285"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and therefore we may take advantage of certain exemptions from reporting requirements that are applicable to public companies that are not “emerging growth companies,” including, but not limited to, presenting only limited selected financial data in this Annual Report, not being required to comply with the auditor attestation requirements of Section 404 in this Annual Report or subsequent Annual Reports filed on Form 20-F and not being required to comply with any requirement that may be adopted by the Public Company Accounting Oversight Board regarding mandatory audit firm rotation or a supplement to the auditor’s report providing additional information about the audit and the financial statements. As a result, our shareholders may not have access to certain information that they may deem important. In addition, the JOBS Act provides that an emerging growth company may take advantage of an extended transition period for complying with new or revised accounting standards, which allows an emerging growth company to delay the adoption of certain accounting standards until those standards would otherwise apply to private companies. Such provisions are only applicable under U.S. GAAP. We currently prepare our financial statements in accordance with IFRS as issued by the IASB, which do not have separate provisions for publicly traded and private companies. However, in the event we convert to U.S. GAAP while we are still an “emerging growth company,” we may be able to take advantage of the benefits of this extended transition period. We could be an emerging growth company for up to five years, although circumstances could cause us to lose that status earlier, including if our total annual gross revenue exceeds $1.235 billion , if we issue more than $1.00 billion in non-convertible debt securities during any three-year period, or if we are a large accelerated filer and the market value of the ADSs held by non-affiliates exceeds $700 million as of the end of any second quarter before that time. Investors may find the ADSs less attractive because we have relied on the reporting requirement exemptions described above. If some investors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86"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find the ADSs less attractive, there may be a less active trading market for the ADSs and the price of the ADSs may become more volatile.</w:t>
      </w:r>
    </w:p>
    <w:p>
      <w:pPr>
        <w:spacing w:after="0" w:line="33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U.S. proxy rules and are subject to Exchange Act reporting obligations that, to some extent, are more lenient than those of a U.S. domestic public company.</w:t>
      </w:r>
    </w:p>
    <w:p>
      <w:pPr>
        <w:spacing w:after="0" w:line="6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As of the date of this Annual Report, we report under the Securities Exchange Act of 1934, as amended (“Exchange Act”), as a non-U.S. company with foreign private issuer status. Because we qualify as a foreign private issuer under the Exchange Act and although we are subject to German laws and regulations with regard to such matters and intend to furnish half year interim reports to the SEC,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149"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the future, we would cease to be a foreign private issuer at such time as more than 50% of our outstanding voting securities are held by U.S. residents and any of the following three circumstances applies: (i) the majority of our executive officers or directors are U.S. citizens or residents,</w:t>
      </w:r>
    </w:p>
    <w:p>
      <w:pPr>
        <w:jc w:val="both"/>
        <w:ind w:left="120" w:hanging="4"/>
        <w:spacing w:after="0" w:line="268" w:lineRule="auto"/>
        <w:tabs>
          <w:tab w:leader="none" w:pos="402"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28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1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The standards applicable to us are considerably different than the standards applied to domestic U.S. issuers. For instance, we are not required to:</w:t>
      </w:r>
    </w:p>
    <w:p>
      <w:pPr>
        <w:spacing w:after="0" w:line="71" w:lineRule="exact"/>
        <w:rPr>
          <w:sz w:val="20"/>
          <w:szCs w:val="20"/>
          <w:color w:val="auto"/>
        </w:rPr>
      </w:pPr>
    </w:p>
    <w:p>
      <w:pPr>
        <w:ind w:left="1080" w:right="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 majority of the board be independent (although all of the members of the audit committee must be independent under the Exchange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86"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have a compensation committee or a nominating or corporate governance committee consisting entirely of independent directors;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regularly scheduled executive sessions with only independent directors;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 and disclose a code of ethics for directors, officers and employees.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2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ADSs and ordinary shares are listed on two separate stock markets and investors seeking to take advantage of price differences between such markets may create unexpected volatility in the price of the ADSs.</w:t>
      </w:r>
    </w:p>
    <w:p>
      <w:pPr>
        <w:spacing w:after="0" w:line="62"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Our ordinary shares are listed and traded on the XETRA trading system of the Frankfurt Stock Exchange and our ADSs are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the ADSs and in the volumes of ADSs available for trading.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w:t>
      </w:r>
    </w:p>
    <w:p>
      <w:pPr>
        <w:spacing w:after="0" w:line="28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62"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in “E. Taxation—German Taxation of ADSs—Taxation of Non-German Resident U.S. Holders”), which is generally 15%, if the applicable taxpayer is eligible for such Treaty rate and files an application containing a specific German tax certificate with the German Federal Central Tax Office (</w:t>
      </w:r>
      <w:r>
        <w:rPr>
          <w:rFonts w:ascii="Arial" w:cs="Arial" w:eastAsia="Arial" w:hAnsi="Arial"/>
          <w:sz w:val="17"/>
          <w:szCs w:val="17"/>
          <w:i w:val="1"/>
          <w:iCs w:val="1"/>
          <w:color w:val="auto"/>
        </w:rPr>
        <w:t>Bundeszentralamt für Steuern</w:t>
      </w:r>
      <w:r>
        <w:rPr>
          <w:rFonts w:ascii="Arial" w:cs="Arial" w:eastAsia="Arial" w:hAnsi="Arial"/>
          <w:sz w:val="17"/>
          <w:szCs w:val="17"/>
          <w:color w:val="auto"/>
        </w:rPr>
        <w:t>).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7"/>
          <w:szCs w:val="17"/>
          <w:i w:val="1"/>
          <w:iCs w:val="1"/>
          <w:color w:val="auto"/>
        </w:rPr>
        <w:t>Besteuerung von American Depositary Receipts (ADR) auf</w:t>
      </w:r>
      <w:r>
        <w:rPr>
          <w:rFonts w:ascii="Arial" w:cs="Arial" w:eastAsia="Arial" w:hAnsi="Arial"/>
          <w:sz w:val="17"/>
          <w:szCs w:val="17"/>
          <w:color w:val="auto"/>
        </w:rPr>
        <w:t xml:space="preserve"> </w:t>
      </w:r>
      <w:r>
        <w:rPr>
          <w:rFonts w:ascii="Arial" w:cs="Arial" w:eastAsia="Arial" w:hAnsi="Arial"/>
          <w:sz w:val="17"/>
          <w:szCs w:val="17"/>
          <w:i w:val="1"/>
          <w:iCs w:val="1"/>
          <w:color w:val="auto"/>
        </w:rPr>
        <w:t>inländische Aktien</w:t>
      </w:r>
      <w:r>
        <w:rPr>
          <w:rFonts w:ascii="Arial" w:cs="Arial" w:eastAsia="Arial" w:hAnsi="Arial"/>
          <w:sz w:val="17"/>
          <w:szCs w:val="17"/>
          <w:color w:val="auto"/>
        </w:rPr>
        <w:t>) issued by the German Federal Ministry of Finance (</w:t>
      </w:r>
      <w:r>
        <w:rPr>
          <w:rFonts w:ascii="Arial" w:cs="Arial" w:eastAsia="Arial" w:hAnsi="Arial"/>
          <w:sz w:val="17"/>
          <w:szCs w:val="17"/>
          <w:i w:val="1"/>
          <w:iCs w:val="1"/>
          <w:color w:val="auto"/>
        </w:rPr>
        <w:t>Bundesministerium der Finanzen</w:t>
      </w:r>
      <w:r>
        <w:rPr>
          <w:rFonts w:ascii="Arial" w:cs="Arial" w:eastAsia="Arial" w:hAnsi="Arial"/>
          <w:sz w:val="17"/>
          <w:szCs w:val="17"/>
          <w:color w:val="auto"/>
        </w:rPr>
        <w:t>), dated May 24, 2013 (reference number IV C</w:t>
      </w:r>
      <w:r>
        <w:rPr>
          <w:rFonts w:ascii="Arial" w:cs="Arial" w:eastAsia="Arial" w:hAnsi="Arial"/>
          <w:sz w:val="17"/>
          <w:szCs w:val="17"/>
          <w:i w:val="1"/>
          <w:iCs w:val="1"/>
          <w:color w:val="auto"/>
        </w:rPr>
        <w:t xml:space="preserve"> </w:t>
      </w:r>
      <w:r>
        <w:rPr>
          <w:rFonts w:ascii="Arial" w:cs="Arial" w:eastAsia="Arial" w:hAnsi="Arial"/>
          <w:sz w:val="17"/>
          <w:szCs w:val="17"/>
          <w:color w:val="auto"/>
        </w:rPr>
        <w:t>1-S2204/12/10003), as amended by the circular dated December 18, 2018 (reference number IV C 1-S2204/12/10003),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6"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interpretation of the treatment of ADSs by the German tax authorities is subject to change.</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May 21, 2019, (reference number IV C 1 – S 1980-1/16/10010 :001), ADSs are not treated as capital participation (</w:t>
      </w:r>
      <w:r>
        <w:rPr>
          <w:rFonts w:ascii="Arial" w:cs="Arial" w:eastAsia="Arial" w:hAnsi="Arial"/>
          <w:sz w:val="17"/>
          <w:szCs w:val="17"/>
          <w:i w:val="1"/>
          <w:iCs w:val="1"/>
          <w:color w:val="auto"/>
        </w:rPr>
        <w:t>Kapitalbeteiligung</w:t>
      </w:r>
      <w:r>
        <w:rPr>
          <w:rFonts w:ascii="Arial" w:cs="Arial" w:eastAsia="Arial" w:hAnsi="Arial"/>
          <w:sz w:val="17"/>
          <w:szCs w:val="17"/>
          <w:color w:val="auto"/>
        </w:rPr>
        <w:t>) within the meaning of Section 2 para. 8 of the Investment Tax Code (</w:t>
      </w:r>
      <w:r>
        <w:rPr>
          <w:rFonts w:ascii="Arial" w:cs="Arial" w:eastAsia="Arial" w:hAnsi="Arial"/>
          <w:sz w:val="17"/>
          <w:szCs w:val="17"/>
          <w:i w:val="1"/>
          <w:iCs w:val="1"/>
          <w:color w:val="auto"/>
        </w:rPr>
        <w:t>Investmentsteuergesetz</w:t>
      </w:r>
      <w:r>
        <w:rPr>
          <w:rFonts w:ascii="Arial" w:cs="Arial" w:eastAsia="Arial" w:hAnsi="Arial"/>
          <w:sz w:val="17"/>
          <w:szCs w:val="17"/>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28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6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84"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6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Corporate History</w:t>
      </w:r>
    </w:p>
    <w:p>
      <w:pPr>
        <w:spacing w:after="0" w:line="12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initially conducted our business through ViaLight Communications GmbH, a limited liability company (</w:t>
      </w:r>
      <w:r>
        <w:rPr>
          <w:rFonts w:ascii="Arial" w:cs="Arial" w:eastAsia="Arial" w:hAnsi="Arial"/>
          <w:sz w:val="16"/>
          <w:szCs w:val="16"/>
          <w:i w:val="1"/>
          <w:iCs w:val="1"/>
          <w:color w:val="auto"/>
        </w:rPr>
        <w:t>Gesellschaft mit beschränkter</w:t>
      </w:r>
      <w:r>
        <w:rPr>
          <w:rFonts w:ascii="Arial" w:cs="Arial" w:eastAsia="Arial" w:hAnsi="Arial"/>
          <w:sz w:val="16"/>
          <w:szCs w:val="16"/>
          <w:color w:val="auto"/>
        </w:rPr>
        <w:t xml:space="preserve"> </w:t>
      </w:r>
      <w:r>
        <w:rPr>
          <w:rFonts w:ascii="Arial" w:cs="Arial" w:eastAsia="Arial" w:hAnsi="Arial"/>
          <w:sz w:val="16"/>
          <w:szCs w:val="16"/>
          <w:i w:val="1"/>
          <w:iCs w:val="1"/>
          <w:color w:val="auto"/>
        </w:rPr>
        <w:t>Haftung</w:t>
      </w:r>
      <w:r>
        <w:rPr>
          <w:rFonts w:ascii="Arial" w:cs="Arial" w:eastAsia="Arial" w:hAnsi="Arial"/>
          <w:sz w:val="16"/>
          <w:szCs w:val="16"/>
          <w:color w:val="auto"/>
        </w:rPr>
        <w:t>) under German law, which was incorporated on June 15, 2009. In preparation for our initial public offering on the Frankfurt Stock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shareholders of ViaLight Communications GmbH decided to incorporate a new entity in the form of a German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against the issuance of new ordinary shares in Blitz 17-625 AG. Subsequently, in August 2017, our general shareholders’ meeting resolved to change our legal name from Blitz 17-625 AG to Mynaric AG.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86"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 of Munich under docket number HRB 232763.l Our principal executive offices are located at Dornierstraße 19, 82205 Gilching, Federal Republic of Germany. Our telephone number is +49 (0) 8105 79990. Our website address is www.mynaric.com. The information contained on, or that can be accessed through, our website is not incorporated by reference into this Annual Report, and you should not consider any information contained on, or that can be accessed through, our website as part of this Annual Report or in deciding whether to purchase our ADSs.</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November 12, 2021, our ADSs commenced trading on the Nasdaq Global Select market under the symbol “MYNA.” We received approximately €58.2 million (US$66.04 million based on the spot exchange rate as of December 31, 2021 of US$1.00 = €0.88292) in net proceeds from our initial public offering in the U.S., after deducting underwriting commissions and discounts and the offering expenses payable by us. Our ordinary shares are listed on the Frankfurt Stock Exchange under the symbol “M0Y.”</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SEC maintains an internet site at http://www.sec.gov that contains reports, information statements, and other information regarding issuers that file electronically with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Business Overview</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believe we are a leading developer and manufacturer (in terms of production capacity) of advanced laser communication technology for aerospace-based communication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secure wireless backbone for connectivity to link satellites, high-altitude platforms, unmanned aerial vehicles and aircraft with potential future use on ships, mobility platforms and fixed locations on the ground.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deep technical expertise and early mover advantage, we aim to become the go-to supplier for the “internet above the clouds.”</w:t>
      </w:r>
    </w:p>
    <w:p>
      <w:pPr>
        <w:spacing w:after="0" w:line="17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81"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We were founded in 2009 by former scientists of the DLR and have invested in developing and optimizing our laser communication technology, which we are now commercializing. We have developed pre-serial product versions of our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high-power efficiency at attractive prices. 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for our CONDOR terminals by around 80% compared to previous versions. We are currently ramping up serial production targeting a per year production rate capacity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86"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of up to 2,000 units in the medium term. We expect to continue to incur significant expenses related to the ramp-up of serial production, the further development of our technology and products as well as the expansion of our sales and marketing activities.</w:t>
      </w:r>
    </w:p>
    <w:p>
      <w:pPr>
        <w:spacing w:after="0" w:line="170"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Over the past few years, our technology has gained significant traction in the space industry and we have been successful in attracting initial customers, in particular in the government sector. For example, in 2020, we were awarded contracts by Telesat and another customer for our CONDOR terminals in connection with two separate U.S. governmental programs launched by DARPA and the SDA, respectively. On October 31, 2021, we entered into a Strategic Agreement with NG under which we agreed to serve as a strategic supplier to NG and to exclusively develop and sell to NG customized laser communication solutions for use in or relating to space where the ultimate customer is a U.S. government customer. In connection with the Strategic Agreement, we entered into a definitive agreement with NG in March 2022 for the delivery of optical communication terminals for the transport layer Tranche 1 of the SDA’s PWSA satellite constellation. The agreement has an initial value of $36 million and provides for performance-based payment milestones throughout 2022, 2023 and 2024 and product deliveries mostly in 2023 and 2024. Furthermore, in October 2022, we received an additional order from NG for 42 CONDOR terminals as part of the SDA’s Tranche 1 tracking layer program. In January 2023, we entered into a definitive agreement with a new, undisclosed U.S.-based customer for the delivery of CONDOR terminals. The agreement with such undisclosed customer has a value of approximately $24 million and provides for payment milestones in the first and second half of 2023 and product deliveries in the second half of 2023.</w:t>
      </w:r>
    </w:p>
    <w:p>
      <w:pPr>
        <w:spacing w:after="0" w:line="179"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With respect to our HAWK terminals, we initially received an order for two terminals from an affiliate of L3Harris (which we previously announced as an undisclosed commercial customer) in 2020. Following delivery of the pre-serial product versions of our HAWK terminals, successful flight tests were conducted since then and further demonstrations and tests with increasing mission scope are planned going forward. Through this partnership, we believe that we are well-positioned to successfully introduce our HAWK terminal to certain customers in the U.S. government market. 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approximately €11.2 million and acquired approximately 7.2% of our share capital at the time. With this strategic cooperation framework, we and L3Harris seek to build on our existing collaboration in the airborne domain and widen the scope to cover all domains including space, air, maritime and ground. More recently,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 We see sizeable demand for laser communication capabilities by customers focusing on maritime applications and mobility platforms on the ground for which the HAWK terminal, while primarily developed for airborne applications, may function as a satisfactory demonstration system to evaluate our product’s performance and define upcoming product needs.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believe that our existing customer relationships will significantly help us win additional business in the context of current and future government and commercial programs. We also believe that the introduction of laser communication technology at commercially attractive price points has the potential to create a significant market for laser communication for years to come.</w:t>
      </w:r>
    </w:p>
    <w:p>
      <w:pPr>
        <w:spacing w:after="0" w:line="184"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are currently in the early phases of serial production and have only recently begun to monetize our technology. Our revenue amounted to €4,422 thousand for the year ended December 31, 2022 (compared to €2,355 thousand in 2021). Our operating loss amounted to €73,790 thousand for the year ended December 31, 2022 and we reported a net loss of €73,782 thousand for the same period (compared to an operating loss of €42,364 thousand and a net loss of €45,477 thousand in 2021). We manage our business based on our two operating segments, which are also our reportable segments in accordance with IFRS 8. Our two reportable segments include our Space segment, which currently comprises our CONDOR terminals, and our Air segment, which currently comprises our HAWK terminal. Our measure of segment profitability for each reportable segment is operating profit / (loss). We are headquartered in Gilching, near Munich, Germany, with additional offices in Los Angeles and the Washington D.C. area, and had more than 300 full-time equivalent employees (“FTEs”) as of December 31, 2022.</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Globally, the need for fast, secure and ubiquitous network connectivity continues to grow – a trend that has been reinforced by the COVID-19 pandemic and geopolitical conflicts such as the ongoing war in Ukraine.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86"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Existing data networks, like the internet, are largely based on terrestrial infrastructure such as fiber optic networks, which provide for excellent connectivity in urban, densely populated areas and suburban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relatively low bandwidth and high latency connectivity, as well as limited security from hacking and spoofing. Even where broadband connectivity is available, many existing network technologies are reaching their capacity limits. Over the past decade, internet traffic has grown significantly, and this growth is expected to continue, driven largely by the increase in mobile internet usage and the proliferation of internet-connected devices including the internet of things (“IoT”), which are to be supported by high speed, high bandwidth networks.</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The increased market demand for internet connectivity across the globe requires network operators to look beyond existing communication infrastructure, with a particular focus on aerospace-based communication networks. Aerospace-based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technologies, including higher bandwidth capacity, low latency, improved security, lower power requirements and license-free spectrum.</w:t>
      </w:r>
    </w:p>
    <w:p>
      <w:pPr>
        <w:spacing w:after="0" w:line="192"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Over the past decade, the laser communication market has started to develop from an experimental phase to a scale-deployment phase, driven predominantly by rapid technological developments in the space industry. While government-backed programs remain a critical driver for further expansion of global space activities, well-funded technology-focused service providers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a phase of scale deployment and commercialization. We consider these developments in the broader space economy as crucial for the market for our industrialized laser communication equipment to take shape and fully materialize.</w:t>
      </w:r>
    </w:p>
    <w:p>
      <w:pPr>
        <w:spacing w:after="0" w:line="18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Current demand for laser communication is predominantly driven by both government organizations and commercial players seeking to establish LEO satellite-based space communication networks. The U.S. government has been the strongest proponent to date of aerospace-based network capabilities and has made the development of government space architectures using large-scale LEO constellations a priority. As such, the DoD budget for the fiscal year 2023 includes $26.3 billion for the U.S. Space Force and the SDA, which is $1.7 billion more than the DoD requested and larger than the budget request for NASA. As fast and secure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(i.e., large constellations of small satellites), particularly those based in LEO, but also including laser-linked satellites in higher orbits.</w:t>
      </w:r>
    </w:p>
    <w:p>
      <w:pPr>
        <w:spacing w:after="0" w:line="18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Over the past years the number of active satellites in orbit increased significantly from around 950 in late 2010 to 2,000 satellites in late 2019 to around 5,500 satellites as of April 30, 2022. The number of communication constellation satellites increased by more than a factor of ten between late 2019 and mid-2022 driven significantly by the start of satellite deployments as part of commercial mega-constellations. Given these growth dynamics, we expect a continued rapid increase in active satellites in orbit. Going forward, Beyond Earth Institute estimates that by 2030 there could be as many as 100,000 satellites in orbit. We believe the vast majority of these satellites will be part of communication constellations with each satellite in the constellation potentially requiring at least two and often four optical communications terminals.</w:t>
      </w:r>
    </w:p>
    <w:p>
      <w:pPr>
        <w:spacing w:after="0" w:line="17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Just as the internet was initially developed as a defense communication network before evolving into a diversified, commercial application network, we believe aerospace-based communication networks will serve not only government but also industry and consumer needs over the medium-term, presenting a significant market opportunity. We believe that we are currently in the early phase of a multi-decade rollout of laser communication capabilities in aerospace-based communication networks, which will lead to more widespread use across commercial applications such as broadband satellite, data relay, Earth observation and in-orbit data processing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86"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 Proposition</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laser communication technology and products are designed to overcome the current limitations of existing communication systems in air and space. By leveraging our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value proposition to customers comprises the following:</w:t>
      </w:r>
    </w:p>
    <w:p>
      <w:pPr>
        <w:spacing w:after="0" w:line="131" w:lineRule="exact"/>
        <w:rPr>
          <w:sz w:val="20"/>
          <w:szCs w:val="20"/>
          <w:color w:val="auto"/>
        </w:rPr>
      </w:pPr>
    </w:p>
    <w:p>
      <w:pPr>
        <w:jc w:val="both"/>
        <w:ind w:left="1080" w:hanging="424"/>
        <w:spacing w:after="0" w:line="254"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Serial Production</w:t>
      </w:r>
      <w:r>
        <w:rPr>
          <w:rFonts w:ascii="Arial" w:cs="Arial" w:eastAsia="Arial" w:hAnsi="Arial"/>
          <w:sz w:val="18"/>
          <w:szCs w:val="18"/>
          <w:color w:val="auto"/>
        </w:rPr>
        <w:t>: Our dedicated serial production facility in Oberpfaffenhofen (near Munich), Germany, allows us to test and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processes and quickly scale up production. Its size, layout and processes have been set up with a specific focus on scalable production which is adaptable to the dynamic developments expected from the laser communications market and the demand across distinct market verticals. Lean manufacturing principles drove the design of the 1,600 square meters facility with component part flow, workstations, final assembly, and testing capabilities optimized for efficiency and high throughput production. It is designed to function as a sandbox (</w:t>
      </w:r>
      <w:r>
        <w:rPr>
          <w:rFonts w:ascii="Arial" w:cs="Arial" w:eastAsia="Arial" w:hAnsi="Arial"/>
          <w:sz w:val="18"/>
          <w:szCs w:val="18"/>
          <w:i w:val="1"/>
          <w:iCs w:val="1"/>
          <w:color w:val="auto"/>
        </w:rPr>
        <w:t>i.e.</w:t>
      </w:r>
      <w:r>
        <w:rPr>
          <w:rFonts w:ascii="Arial" w:cs="Arial" w:eastAsia="Arial" w:hAnsi="Arial"/>
          <w:sz w:val="18"/>
          <w:szCs w:val="18"/>
          <w:color w:val="auto"/>
        </w:rPr>
        <w:t>, a testing environment) to establish production capabilities and allow us to ramp up our production as dictated by market demand.</w:t>
      </w:r>
    </w:p>
    <w:p>
      <w:pPr>
        <w:spacing w:after="0" w:line="100" w:lineRule="exact"/>
        <w:rPr>
          <w:rFonts w:ascii="Arial" w:cs="Arial" w:eastAsia="Arial" w:hAnsi="Arial"/>
          <w:sz w:val="18"/>
          <w:szCs w:val="18"/>
          <w:color w:val="auto"/>
        </w:rPr>
      </w:pPr>
    </w:p>
    <w:p>
      <w:pPr>
        <w:jc w:val="both"/>
        <w:ind w:left="1080" w:hanging="424"/>
        <w:spacing w:after="0" w:line="28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Cost-efficiency/Affordability</w:t>
      </w:r>
      <w:r>
        <w:rPr>
          <w:rFonts w:ascii="Arial" w:cs="Arial" w:eastAsia="Arial" w:hAnsi="Arial"/>
          <w:sz w:val="16"/>
          <w:szCs w:val="16"/>
          <w:color w:val="auto"/>
        </w:rPr>
        <w:t>: We aim to industrialize laser communication by focusing on cost-efficient solutions to decrease the costs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deploying laser communication for our customers and target markets. To this end, we seek to leverage proven industrialized processes and supply chain strategies from other industries, including the use of commercial off-the-shelf components originally developed and utilized by the automotive, medical device, telecommunication and other established industries. At the same time, we have decided to insource optics production such as our metal telescope. Telescopes are a key component of optical communication terminals but those qualified for operation in space and featuring the required performance typically come at significant costs. We utilize telescopes made from metal rather than the typical but more expensive materials used for space products. We have already insourced most production steps, including diamond-turning and magnetorheological finishing and we are expanding our capabilities, further allowing us to go from raw material to finished optical telescope entirely in-house at significantly reduced cost. In addition, we have developed an extensive parts qualification program to identify and select commercial off-the-shelf electronics components suitable for operation and withstanding the radiative environment in space. By advancing on the learning curve from singular prototype production to pre-serial production levels, we have already reduced our material costs per unit for our CONDOR terminals by around 80% compared to previous versions. We expect to be able to further reduce both material costs and assembly costs in connection with the commencement of serial production.</w:t>
      </w:r>
    </w:p>
    <w:p>
      <w:pPr>
        <w:spacing w:after="0" w:line="79" w:lineRule="exact"/>
        <w:rPr>
          <w:rFonts w:ascii="Arial" w:cs="Arial" w:eastAsia="Arial" w:hAnsi="Arial"/>
          <w:sz w:val="16"/>
          <w:szCs w:val="16"/>
          <w:color w:val="auto"/>
        </w:rPr>
      </w:pPr>
    </w:p>
    <w:p>
      <w:pPr>
        <w:jc w:val="both"/>
        <w:ind w:left="1080" w:hanging="424"/>
        <w:spacing w:after="0" w:line="289"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Reliability / Simplicity</w:t>
      </w:r>
      <w:r>
        <w:rPr>
          <w:rFonts w:ascii="Arial" w:cs="Arial" w:eastAsia="Arial" w:hAnsi="Arial"/>
          <w:sz w:val="16"/>
          <w:szCs w:val="16"/>
          <w:color w:val="auto"/>
        </w:rPr>
        <w:t>: We conduct extensive testing of our products and components to eliminate faults early in the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and to make the use of our products as reliable as possible. For example, we operate vibration tables to stress-test our products’ resilience in different vibration environments and a moving hexapod test platform to emulate satellite or aircraft movements. Multiple thermal chambers are used to simulate varying temperatures typically encountered by our products when in operation and we utilize a thermal vacuum chamber to test the combined effects of varying temperatures with different pressures. In addition, we believe that the ability to simply integrate our products in target platforms is a key differentiator, which is why we continuously conduct outdoor tests and flight campaigns to optimize and gain insights into the usability of our products in typical real-world scenarios. For example, we have established a remote-controlled outdoor testbed and routinely operate terrestrial outdoor links subject to the influence of atmospheric effects. We also regularly conduct flight campaigns with different airframes such as ultra-lights and high-altitude long-endurance aircraft.</w:t>
      </w:r>
    </w:p>
    <w:p>
      <w:pPr>
        <w:spacing w:after="0" w:line="71" w:lineRule="exact"/>
        <w:rPr>
          <w:rFonts w:ascii="Arial" w:cs="Arial" w:eastAsia="Arial" w:hAnsi="Arial"/>
          <w:sz w:val="16"/>
          <w:szCs w:val="16"/>
          <w:color w:val="auto"/>
        </w:rPr>
      </w:pPr>
    </w:p>
    <w:p>
      <w:pPr>
        <w:jc w:val="both"/>
        <w:ind w:left="1080" w:right="2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Standardization</w:t>
      </w:r>
      <w:r>
        <w:rPr>
          <w:rFonts w:ascii="Arial" w:cs="Arial" w:eastAsia="Arial" w:hAnsi="Arial"/>
          <w:sz w:val="18"/>
          <w:szCs w:val="18"/>
          <w:color w:val="auto"/>
        </w:rPr>
        <w:t>: Unlike traditional key suppliers to the air and space industries, which historically focused on developing bespoke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86"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72" w:lineRule="auto"/>
        <w:rPr>
          <w:sz w:val="20"/>
          <w:szCs w:val="20"/>
          <w:color w:val="auto"/>
        </w:rPr>
      </w:pPr>
      <w:r>
        <w:rPr>
          <w:rFonts w:ascii="Arial" w:cs="Arial" w:eastAsia="Arial" w:hAnsi="Arial"/>
          <w:sz w:val="17"/>
          <w:szCs w:val="17"/>
          <w:color w:val="auto"/>
        </w:rPr>
        <w:t>long-term, we believe our technology will be extensible across applications, domains, and target platforms. We actively support cross-vendor interoperability of laser communication systems and were the first company to successfully demonstrate implementation of SDA’s OISL industry standard. Our own interoperability labs in Germany and the United States allow us to spearhead standardization efforts in the industry. These interoperability labs are equipped with link testbeds that allow data transmission testing over different (simulated) link distances while replicating various environmental effects typically encountered in air and space. Our labs allow for testing of various parameters including motion, micro-vibration, acquisition, and point-ahead and associated effects thereby creating an environment to verify interoperability and allow cross-testing with other vendors.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Investment Highlights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growth potential for laser communication in government and commercial markets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up from $33.4 billion in 2020, with total global defense spending reaching more than $2.1 trillion by 2025 from $2 trillion in 2020 (based on our assumption of a compound annual growth rate of 2%, based on historical growth rates published by the Stockholm International Peace Research Institute).</w:t>
      </w:r>
    </w:p>
    <w:p>
      <w:pPr>
        <w:spacing w:after="0" w:line="16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up from $1.7 trillion in 2020 and, according to investment manager ArkInvest, the satellite broadband market is expected to reach $50 to $100 billion in the medium term. We believe that laser communication will enable aerospace-based constellations in the commercial market to serve cellular backhaul (</w:t>
      </w:r>
      <w:r>
        <w:rPr>
          <w:rFonts w:ascii="Arial" w:cs="Arial" w:eastAsia="Arial" w:hAnsi="Arial"/>
          <w:sz w:val="16"/>
          <w:szCs w:val="16"/>
          <w:i w:val="1"/>
          <w:iCs w:val="1"/>
          <w:color w:val="auto"/>
        </w:rPr>
        <w:t>e.g.</w:t>
      </w:r>
      <w:r>
        <w:rPr>
          <w:rFonts w:ascii="Arial" w:cs="Arial" w:eastAsia="Arial" w:hAnsi="Arial"/>
          <w:sz w:val="16"/>
          <w:szCs w:val="16"/>
          <w:color w:val="auto"/>
        </w:rPr>
        <w:t>, 4G/5G/6G),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that may be too difficult or costly to connect via existing terrestrial network connections, providing hundreds of kilometers of coverage radius per network node compared to only a few kilometers provided by terrestrial cell towers.</w:t>
      </w:r>
    </w:p>
    <w:p>
      <w:pPr>
        <w:spacing w:after="0" w:line="16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terminals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9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Based on the ongoing and expected developments in the government, commercial and diversified markets and based on market data available to us, we believe, based on industry studies available to us, that the market for air and space communications equipment (including laser communication) will reach more than $25 billion by 2030 up from $16 billion in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Multi-year government programs driving near-term adoption and technology validation</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All-Domain Command and Control (“CJADC2”), the ultimate goal of which is to digitally connect all elements of the U.S. military across all five warfighting domains, consisting of air, land, sea, space and cyberspace.</w:t>
      </w:r>
    </w:p>
    <w:p>
      <w:pPr>
        <w:spacing w:after="0" w:line="15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most prominent government projects currently deploying laser communication are the SDA’s PWSA,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71" w:lineRule="exact"/>
        <w:rPr>
          <w:sz w:val="20"/>
          <w:szCs w:val="20"/>
          <w:color w:val="auto"/>
        </w:rPr>
      </w:pPr>
    </w:p>
    <w:p>
      <w:pPr>
        <w:jc w:val="both"/>
        <w:ind w:left="1080" w:hanging="424"/>
        <w:spacing w:after="0" w:line="26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SDA’s PWSA: The PWSA will be comprised of seven layers of satellite constellations each providing a unique capability. These layers will all be tied together by a so-called “transport layer,” a low-latency data and communications proliferated “mesh network” of satellites (i.e., a decentralized network comprising various wireless nodes with each node acting as a forwarding node to transfer the data) connected through OISLs. In addition to the transport layer, the PWSA will include a “tracking layer” comprised of sensor satellites to detect and track missiles, which also will use OISLs to connect to SDA’s transport layer satellites. Laser communication is one of the most critical technologies the SDA is evaluating in connection with the PWSA, as OISLs are key to making LEO communication satellites useful. The constellation will be launched in “Tranches” starting with “Tranche 0.” According to the SDA, Tranche 0 will consist of 20 transport layer satellites, and eight missile tracking layer satellites. On April 2, 2023, the SDA announced the successful initial launch of Tranche 0 of the PWSA. In August 2020, the SDA awarded Lockheed Martin and York Space Systems with contracts to build ten satellites each for the transport layer. In October 2020, the SDA awarded SpaceX and L3Harris with contracts to build four Overhead Persistent Infrared Imaging (OPIR) satellites for the tracking layer. The Tranche 0 constellation is designed to serve as the prototype for a number of subsequent tranches, with current plans to launch a new tranche every two years. In March 2022, the SDA awarded Lockheed Martin, NG and York Space Systems with contracts for a total of 126 laser-linked satellites for the transport layer “Tranche 1” of its satellite constellation. Tranche 1 is expected to launch in late 2024. In July 2022, the SDA awarded L3Harris and NG with contracts for a total of 28 satellites equipped with OISLs for the Tranche 1 tracking layer.</w:t>
      </w:r>
    </w:p>
    <w:p>
      <w:pPr>
        <w:spacing w:after="0" w:line="87" w:lineRule="exact"/>
        <w:rPr>
          <w:rFonts w:ascii="Arial" w:cs="Arial" w:eastAsia="Arial" w:hAnsi="Arial"/>
          <w:sz w:val="17"/>
          <w:szCs w:val="17"/>
          <w:color w:val="auto"/>
        </w:rPr>
      </w:pPr>
    </w:p>
    <w:p>
      <w:pPr>
        <w:jc w:val="both"/>
        <w:ind w:left="1080" w:hanging="424"/>
        <w:spacing w:after="0" w:line="293"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DARPA’s Blackjack program: Much of the technology that the SDA needs for its constellations is being co-developed under 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so-called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 New programs are regularly introduced as the importance of information supremacy in the defense context and the reliance on data for civil purposes continues to grow.</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believe that these government programs, most of which are driven by the U.S. government, are crucial for the ongoing development and implementation of aerospace-based communication networks in general, and laser communication systems specifically. In addition, most recently, we were selected for three technology development projects related to quantum communication, which are part of the second phase of the QuNET initiative funded by Germany’s Federal Ministry of Education and Research. Our technology development will be co-funded with a total amount of up to €5.6 million between 2023 and 2025.</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Deeply engaged with customers in the government market through highly attractive contract awards within initial government programs</w:t>
      </w:r>
    </w:p>
    <w:p>
      <w:pPr>
        <w:spacing w:after="0" w:line="1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While laser communication is in the early stages of development, we expect to benefit from our deep technical expertise and first mover advantage in industrializing laser communication technology, paving the way for large-scale deployment. As we are deeply engaged with pioneering customers, we believe that we are well-positioned in the government market with respect to both of our products, our CONDOR inter-satellite link terminal and HAWK airborne terminal.</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Most notably, in connection with the SDA’s PWSA, in September 2020, we were awarded the first part of a contract for the delivery of our CONDOR terminals to a customer for its work on Tranche 0. Initial delivery of equipment to this customer took place in first half of 2021. As part of our engagement in the PWSA, in May 2021, we successfully demonstrated the industry’s first over-the-air transmission using an OISL terminal communicating with an independently built testbed, both of which are compliant with the SDA’s OISL industry standard. The demonstration was composed of a set of optical and electronic tests characterizing our CONDOR optical inter-satellite link product. We believe that this demonstration marks a crucial milestone in the industrialization of laser communication and, as such, a first step in the technology’s widespread adoption within the satellite industry and beyond.</w:t>
      </w:r>
    </w:p>
    <w:p>
      <w:pPr>
        <w:spacing w:after="0" w:line="19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October 2020, we were selected by Telesat to supply multiple units of our CONDOR terminals for Telesat’s work on DARPA’s Blackjack program. We delivered the terminals to Telesat’s system integrator in the second half of 2022. As part of our engagement in the Blackjack program, we established the industry’s first laser communication interoperability laboratory in Los Angeles that simulates conditions in space to test interoperability between different vendors’ terminals.</w:t>
      </w:r>
    </w:p>
    <w:p>
      <w:pPr>
        <w:spacing w:after="0" w:line="18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In late October 2021, we entered into the Strategic Agreement with NG under which we agreed to serve as a strategic supplier to NG and to exclusively develop and sell to NG customized laser communication solutions for use in or relating to space where the ultimate customer is a U.S. government customer. We may also collaborate on the development of laser communications for aerospace-based and defense applications outside the space sector. In connection with the Strategic Agreement, we entered into a definitive agreement with NG in March 2022 for the delivery of optical communication terminals for Tranche 1 of the SDA’s PWSA satellite constellation. The agreement has an initial value of $36 million and provides for performance-based payment milestones throughout 2022, 2023 and 2024 and product deliveries mostly in 2023 and 2024. Our ability to generate additional revenue from the Strategic Agreement will depend on NG being awarded the relevant government contracts. For more information, see “Our Operations—Our Go-To-Market Strategy—Customer Awards—Strategic Agreement with Northrop Grumman.” In October 2022, we received an additional order from NG for 42 CONDOR terminals as part of the SDA’s Tranche 1 tracking layer program.</w:t>
      </w:r>
    </w:p>
    <w:p>
      <w:pPr>
        <w:spacing w:after="0" w:line="18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More recently, on January 9, 2023, we entered into a definitive agreement with a new, undisclosed U.S.-based customer for the delivery of CONDOR terminals. The agreement has a value of approximately $24 million and provides for payment milestones in the first and second half of 2023 and product deliveries in the second half of 2023.</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2021 and 2022, we were awarded additional contracts by different government agencies relating to the design, development, production and testing of initial demonstrators for end-to-end optical communication systems:</w:t>
      </w:r>
    </w:p>
    <w:p>
      <w:pPr>
        <w:spacing w:after="0" w:line="76" w:lineRule="exact"/>
        <w:rPr>
          <w:sz w:val="20"/>
          <w:szCs w:val="20"/>
          <w:color w:val="auto"/>
        </w:rPr>
      </w:pPr>
    </w:p>
    <w:p>
      <w:pPr>
        <w:jc w:val="both"/>
        <w:ind w:left="1080" w:right="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early December 2021, our co-led consortium UN:IO was selected by the European Commission for initial work on an independent European satellite network. Our initial work includes the development of a detailed technical concept for the proposed European constellation architecture.</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86"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optical intersatellite link standards allowing seamless communication among government and private-sector proprietary satellites and satellite constellations.</w:t>
      </w:r>
    </w:p>
    <w:p>
      <w:pPr>
        <w:spacing w:after="0" w:line="76" w:lineRule="exact"/>
        <w:rPr>
          <w:sz w:val="20"/>
          <w:szCs w:val="20"/>
          <w:color w:val="auto"/>
        </w:rPr>
      </w:pPr>
    </w:p>
    <w:p>
      <w:pPr>
        <w:ind w:left="1080" w:right="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February 2022, we were awarded a contract by the European Space Agency (“ESA”) to analyze, design, build and test on a laboratory model an end-to-end optical communication system that can achieve data transmission speeds of up to 1 Terabit per second (Tbps).</w:t>
      </w:r>
    </w:p>
    <w:p>
      <w:pPr>
        <w:spacing w:after="0" w:line="29" w:lineRule="exact"/>
        <w:rPr>
          <w:rFonts w:ascii="Arial" w:cs="Arial" w:eastAsia="Arial" w:hAnsi="Arial"/>
          <w:sz w:val="16"/>
          <w:szCs w:val="16"/>
          <w:color w:val="auto"/>
        </w:rPr>
      </w:pPr>
    </w:p>
    <w:p>
      <w:pPr>
        <w:jc w:val="both"/>
        <w:ind w:left="1080" w:right="20" w:hanging="424"/>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August 2022, we were selected as a key development partner to create a benchtop model of a next-generation optical communications terminal as part of Phase 1 of DARPA’s Space-BACN; DARPA’s Space-BACN program envisions a low-cost, scalable optical communications terminal that could be reconfigured to work with various optical intersatellite link standards allowing seamless communication among government and private-sector proprietary satellites.</w:t>
      </w:r>
    </w:p>
    <w:p>
      <w:pPr>
        <w:spacing w:after="0" w:line="18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With respect to our HAWK terminals, we initially received an order for two terminals from an affiliate of L3Harris (which we previously announced as an undisclosed commercial customer) in 2020. Following delivery of the pre-serial product versions of our HAWK terminals, successful flight tests were conducted since then and further demonstrations and tests with increasing mission scope are planned going forward. Through this partnership, we believe that we are well-positioned to successfully introduce our HAWK terminal to certain customers in the U.S. government market. In July 2022, we agreed with L3Harris on a strategic cooperation framework pursuant to which we will serve as preferred provider of laser communication solutions to L3Harris and L3Harris, in return, was granted certain collaboration privileges, including our already established interoperability labs and testbeds to emulate the link environment to be expected in space on the ground, as well as access to upcoming laser communication assets to be deployed by us on the International Space Station (ISS). In connection therewith, L3Harris invested approximately €11.2 million and acquired approximately 7.2% of our then share capital. With this strategic framework, we and L3Harris seek to build on our existing collaboration in the airborne domain and widen the scope to cover all domains including space, air, maritime and ground. More recently,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w:t>
      </w:r>
    </w:p>
    <w:p>
      <w:pPr>
        <w:spacing w:after="0" w:line="18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In October 2021, we and H3 HATS GmbH (“H3 HATS”) announced the successful start of a joint demonstration campaign to showcase laser communication capabilities for high-altitude long endurance aircraft using industrialized optical 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w:t>
      </w:r>
    </w:p>
    <w:p>
      <w:pPr>
        <w:spacing w:after="0" w:line="15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by our early traction with these contract awards within initial government programs in both the space and airborne markets, we will be poised to take advantage of future government initiatives in the U.S. and the other geographies in which we operate.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position in the commercial market, leveraging government track record</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While the initial development and implementation of aerospace-based communication networks in general, and laser communication systems specifically, are driven by government programs, in recent years large commercial companies have emerged seeking to build satellite mega-constellations for establishing alternative communication networks. For example, well-funded aerospace companies such as SpaceX, OneWeb, Telesat and Kuiper (Amazon) have committed substantial resources to deploying satellite mega-constellations, which are expected to be connected with each other through OISLs. SpaceX already has hundreds of Starlink satellites equipped with OISLs in orbit and aims to continue the global rollout of its Starlink satellite internet network throughout 2023. OneWeb announced in March 2021 that its second generation of satellites will use OISLs for interconnection. In July 2022, OneWeb agreed to be acquired by one of its largest shareholders, Eutelsat S.A., with a focus on launching its second generation constellation. SpaceX and OneWeb combined are responsible for over 70% of small satellites launched to orbit over the last two years creating significant momentum for satellite constellations. Canadian-based Telesat, an established satellite operator, and Kuiper (Amazon), have also announced that they are working on high-speed, low-latency broadband satellite networks in LEO.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key players in the market, whether or not they seek to rely on third-party suppliers, aiming to strengthen our network of potential industry partners. We believe that by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86"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establishing strong relationships with these market participants, we can develop significant potential for future partnerships or collaborations that will utilize our products or components.</w:t>
      </w:r>
    </w:p>
    <w:p>
      <w:pPr>
        <w:spacing w:after="0" w:line="17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As a result of our government track record and our first mover advantage, we have also been able to secure initial wins in the commercial market. For example, in August 2021, we received a purchase order from Capella Space (which we previously announced as an undisclosed commercial customer), under which we will deliver up to 20 CONDOR terminals over a period of four years. More recently, on January 24, 2023, we announced an order for a small number of CONDOR terminals by Japan-based Warpspace Inc. The terminals will be used by Warpspace Inc. to establish a commercial optical data relay network for Earth observation satellites. Product deliveries are scheduled for 2025.</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production capabilities with flexibility to scale</w:t>
      </w:r>
    </w:p>
    <w:p>
      <w:pPr>
        <w:spacing w:after="0" w:line="11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production facility in Oberpfaffenhofen, Germany, has state-of-the-art capabilities, which we believe provide an advantage versus our competitors. Our production facility is designed to function as a sandbox (i.e., a testing environment) to establish production capabilities and allow us to ramp up our production as dictated by market demand. Going forward, we expect to be able to increase production output targeting a per year production rate capacity of up to 2,000 units in the medium term.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Learning curve benefits driving continued cost reductions over time</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By realizing learning curve benefits as we have scaled from singular prototype production to pre-serial production, we have already reduced our material costs per unit for our CONDOR terminals by around 80% compared to previous versions.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Dedicated management team with relevant industry expertise</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led by a dedicated senior management team with significant industry experience, including at SpaceX, SA Photonics, Boeing, SES, Iridium, Siemens, Panasonic and, in the case of our co-founder and Chief Technology Officer, at the DLR. In addition, we have assembled a world-class team of engineers and manufacturing experts who comprise our industry leading research and development team. We believe that the technological expertise and talent of our team allows us to industrialize and commercialize our technology and products, and that this team will provide us with a sustainable competitive advantage over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Operations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laser communication technology and products are designed to provide the secure wireless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While we sourced the majority of the components for our products from third-party suppliers in the past, in 2021, we started to insource important components such as the production of the metal telescope. Although some components are manufactured to our specifications, many of our components are commercial off-the-shelf and are available from multiple sources.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 In addition to our space- and airborne products, we developed demonstration prototypes of our ARMADILLO and RHINO ground terminals in 2017 and 2018, respectively, and have recently restarted related product development activities for our ground terminals as use cases and demand are emerging. Our ARMADILLO and RHINO ground terminals are designed to offer high-speed access points for air-to-ground and space-to-ground communication scenarios, respectively.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Roadmap</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We believe that we have a strong track record of designing and manufacturing space and airborne laser communication terminals that deliver superior technological results and performance. In 2012, we developed an initial prototype of an airborne laser terminal.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CONDOR and HAWK terminals in 2021 and 2020, respectively.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Space Terminals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In our Space segment, we currently offer our CONDOR terminals which are designed to be attached to satellites in order to establish connections between satellites. Our CONDOR terminals designed for LEO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terminals include, among others, government and military secured communication, backbone connectivity for optical mesh networks for commercial satellite constellations and in-orbit optical relay links for surveillance and Earth observation satellites.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Air Terminals</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our Air segment, we currently offer our HAWK terminal for air operations, which is designed to be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intelligence, surveillance, and reconnaissance (ISR) missions of UAVs in defense theaters, the establishment of temporary or regionally limited optical mesh networks to provide broadband connectivity and general high-speed UAV connectivity for government and commercial applications.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Ground Terminals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Our ARMADILLO and RHINO ground terminals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beat our own previously established world record by successfully demonstrating the viability of our technology through a series of tests culminating in a 10 Gbps air-to-ground transmission from a moving aircraft. While we have not actively promoted or marketed our ARMADILLO and RHINO ground terminals as much as our CONDOR and HAWK products over the last few years, we have restarted related product development activities for our ground terminals as use cases and demand are emerging. As the market evolves, we believe that ground terminals will play a vital role in the further development and deployment of aerospace-based communication networks. In the future, we may, therefore, engage in further development activities with respect to our ground terminals.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Go-To-Market Strategy</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a sub-system supplier in the aerospace-based communication industry providing products to system primes, such as aircraft and satellite manufacturers, and in certain cases to system operators. We aim to influence both the system primes who build the satellite constellations and the system operators who make the ultimate decisions to deploy laser terminals.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illustrates our position as sub-system supplier in the aerospace-based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168910</wp:posOffset>
            </wp:positionV>
            <wp:extent cx="5168900" cy="8572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689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Currently, our largest market is North America, specifically the United States and Canada. We also focus on selling our products into select other countries such as Israel, Japan, South Korea, India and Western European countries. Over time, we believe that additional potential markets may develop across the globe.</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Due to the expected average lifetime of LEO and MEO satellites, we expect demand for space products to be subject to cyclical developments with significantly shorter replacement cycles for LEO and MEO satellites relative to GEO satellites. For our products in our Air segment, we are able to offer maintenance services, allowing us to generate recurring revenues from such services over the lifetime of the terminal.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Acquisition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in April 2022, we established a new U.S. subsidiary, Mynaric Government Solutions, Inc., and have recently commenced the process of insulating this entity from foreign ownership, control or influence (FOCI) to be able to receive access to U.S.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95"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well as on other markets for which the current HAWK terminal version serves as a satisfactory demonstration system of our product’s capabilities. As in the government market, we also seek to establish and advance our relationships with system primes, which focus on integrating new technologies and products into vehicles manufactured by third parties, and with system integrators, which focus on equipping existing platforms with novel capabilities.</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Cycle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typical sales cycle for our products in the government market includes a pre-sale process to define a potential customer’s needs and budget. While certain customers may choose, or be required, to conduct a RfI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RfP process, allowing several companies to openly bid for the project, we focus on developing relationships with potential customers early in their decision-making processes, positioning us to avoid RfP processes where possible. In case of government space programs, we typically engage with potential customers in the form of a customer-initiated RfI process, which may take up to six months. During this phase our business development and sales teams provide the potential customer with preliminary information about our products’ suitability in the context of the particular program. This phase is followed by an RfP campaign that includes further refinements of specific program requirements and generally results in an actual firm bid. Such bid is typically composed of, among others, unit volumes, prices, delivery times and payment milestones.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88"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If we are selected, we enter into negotiations and, if successful, typically receive a purchase order from the customer. Many purchase orders allow for or require phased delivery of products over several months or years, with payments being made following delivery or achievement of other milestones. Following acceptance of our bid, we move to the integration phase. During the integration phase our team engages closely with the customer to prepare frictionless integration of our products onto the customer’s platform along a predefined milestone plan. This stage of the engagement may take up to a year. We often ship small quantities of our products to such customer for testing and demonstration campaigns that typically occur during this phase as the insights and documentation created during these milestones are critical for the program’s success. Finally, once integration work is mostly concluded, we move to the product delivery phase that may stretch from as little as a few months to years depending on the scale of the customer program.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Government Market</w:t>
      </w:r>
    </w:p>
    <w:p>
      <w:pPr>
        <w:spacing w:after="0" w:line="117"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In connection with the SDA’s PWSA, in September 2020, we were awarded the first part of a contract for the delivery of our CONDOR terminals to a customer for its work on Tranche 0. Initial delivery of equipment to this customer took place in first half of 2021. As part of our engagement in the PWSA, in May 2021, we successfully demonstrated the industry’s first over-the-air transmission using an OISL terminal communicating with an independently built testbed, both of which are compliant with the SDA’s OISL industry standard. The demonstration was composed of a set of optical and electronic tests characterizing our CONDOR optical inter-satellite link product. We believe that this demonstration marks a crucial milestone in the industrialization of laser communication and, as such, a first step in the technology’s widespread adoption within the satellite industry and beyond.</w:t>
      </w:r>
    </w:p>
    <w:p>
      <w:pPr>
        <w:spacing w:after="0" w:line="16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Additionally, in October 2020, we were selected by Telesat to supply multiple units of our CONDOR terminals for Telesat’s work (as system operator) on DARPA’s Blackjack program. We delivered the terminals to Telesat’s system integrator in the second half of 2022. As part of our engagement in the Blackjack program, we established the industry’s first laser communication interoperability laboratory in Los Angeles that simulates conditions in space to test interoperability between different vendors’ terminals.</w:t>
      </w:r>
    </w:p>
    <w:p>
      <w:pPr>
        <w:spacing w:after="0" w:line="18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In October 2021, we entered into the Strategic Agreement with NG under which we agreed to serve as a strategic supplier to NG and to exclusively develop and sell to NG customized laser communication solutions for use in or relating to space where the ultimate customer is a U.S. government customer. We may also collaborate on the development of laser communications for aerospace-based and defense applications outside the space sector. In connection with the Strategic Agreement, we entered into a definitive agreement with NG in March 2022 for the delivery of optical communication terminals for Tranche 1 of the SDA’s PWSA satellite constellation. The Tranche 1 order has an initial value of $36 million and provides for performance-based payment milestones throughout 2022, 2023 and 2024 and product deliveries mostly in 2023 and 2024. Any milestone payments under the SDA Order will count towards the $35 million revenue opportunity under our Strategic Agreement with NG, subject to such milestone payments actually being made. Our ability to generate additional revenue from the Strategic Agreement will depend on NG being awarded the relevant government contracts. For more information,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“—Strategic Agreement with Northrop Grumman.” In October 2022, we received an additional order from NG for 42 CONDOR terminals as part of the SDA’s Tranche 1 tracking layer program.</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More recently, on January 9, 2023, we entered into a definitive agreement with a new, undisclosed U.S.-based customer for the delivery of CONDOR terminals. The agreement has a value of approximately $24 million and provides for payment milestones in the first and second half of 2023 and product deliveries in the second half of 2023.</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2021 and 2022, we were awarded additional contracts by different government agencies relating to the design, development, production and testing of initial demonstrators for end-to-end optical communication systems:</w:t>
      </w:r>
    </w:p>
    <w:p>
      <w:pPr>
        <w:spacing w:after="0" w:line="76" w:lineRule="exact"/>
        <w:rPr>
          <w:sz w:val="20"/>
          <w:szCs w:val="20"/>
          <w:color w:val="auto"/>
        </w:rPr>
      </w:pPr>
    </w:p>
    <w:p>
      <w:pPr>
        <w:jc w:val="both"/>
        <w:ind w:left="1080" w:right="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early December 2021, our co-led consortium UN:IO was selected by the European Commission for initial work on an independent European satellite network. Our initial work includes the development of a detailed technical concept for the proposed European constellation architecture.</w:t>
      </w:r>
    </w:p>
    <w:p>
      <w:pPr>
        <w:spacing w:after="0" w:line="89"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optical intersatellite link standards allowing seamless communication among government and private-sector proprietary satellites and satellite constellations.</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February 2022, we were awarded a contract by the ESA to analyze, design, build and test on a laboratory model an end-to-end optical communication system that can achieve data transmission speeds of up to 1 Terabit per second (Tbps).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2022, we were selected as a key development partner to create a benchtop model of a next-generation optical communications terminal as part of Phase 1 of DARPA’s Space-BACN.</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2023, we were selected for three technology development projects related to quantum communication, which are part of the second phase of the QuNET initiative funded by Germany’s Federal Ministry of Education and Research. Our technology development will be co-funded with a total amount of up to €5.6 million between 2023 and 2025.</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With respect to our HAWK terminals, we initially received an order for two terminals from an affiliate of L3Harris (which we previously disclosed as an undisclosed commercial customer) in 2020. Through this partnership, we believe that we are well-positioned to successfully introduce our HAWK terminal to certain customers in the U.S. government market. Following delivery of the pre-serial product versions of our HAWK terminals, successful flight tests were conducted since then and further demonstrations and tests with increasing mission scope are planned going forward. In July 2022, we agreed with L3Harris on a strategic cooperation framework pursuant to which we will serve as preferred provider of laser communication solutions to L3Harris. Under the strategic framework, L3Harris completed an equity investment corresponding to 7.2% of our then share capital. For more information, see “—Strategic Cooperation Framework with L3Harris.” More recently,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w:t>
      </w:r>
    </w:p>
    <w:p>
      <w:pPr>
        <w:spacing w:after="0" w:line="18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October 2021, we and H3 HATS announced the successful start of a joint demonstration campaign to showcase laser communication capabilities for high-altitude long endurance aircraft using industrialized optical 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Commercial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result of our government track record and our first mover advantage, we have also been able to secure initial wins in the commercial market:</w:t>
      </w:r>
    </w:p>
    <w:p>
      <w:pPr>
        <w:spacing w:after="0" w:line="154" w:lineRule="exact"/>
        <w:rPr>
          <w:sz w:val="20"/>
          <w:szCs w:val="20"/>
          <w:color w:val="auto"/>
        </w:rPr>
      </w:pPr>
    </w:p>
    <w:p>
      <w:pPr>
        <w:ind w:left="1080" w:right="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Capella Space</w:t>
      </w:r>
      <w:r>
        <w:rPr>
          <w:rFonts w:ascii="Arial" w:cs="Arial" w:eastAsia="Arial" w:hAnsi="Arial"/>
          <w:sz w:val="18"/>
          <w:szCs w:val="18"/>
          <w:color w:val="auto"/>
        </w:rPr>
        <w:t>: In August 2021, we received a purchase order from Capella Space (which we previously announced as an undisclosed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customer), under which we will deliver up to 20 CONDOR terminals over a period of four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Airbus U.S. Space &amp; Defense</w:t>
      </w:r>
      <w:r>
        <w:rPr>
          <w:rFonts w:ascii="Arial" w:cs="Arial" w:eastAsia="Arial" w:hAnsi="Arial"/>
          <w:sz w:val="18"/>
          <w:szCs w:val="18"/>
          <w:color w:val="auto"/>
        </w:rPr>
        <w:t>: In May 2022, we entered into a paid for agreement with Airbus to host our CONDOR terminal 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Space Station’s (ISS) functional testbed, Bartolomeo. We plan to operate our industrialized optical communications terminal on the ISS, with the aim of demonstrating the CONDOR terminal’s capabilities in LEO and providing our customers with an extended range of experimental mission scenarios.</w:t>
      </w:r>
    </w:p>
    <w:p>
      <w:pPr>
        <w:spacing w:after="0" w:line="92"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Undisclosed Customer</w:t>
      </w:r>
      <w:r>
        <w:rPr>
          <w:rFonts w:ascii="Arial" w:cs="Arial" w:eastAsia="Arial" w:hAnsi="Arial"/>
          <w:sz w:val="18"/>
          <w:szCs w:val="18"/>
          <w:color w:val="auto"/>
        </w:rPr>
        <w:t>: In November 2022, we delivered a set of multiple HAWK terminals for an initial test campaign 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U.S.-based energy customer. The terminals are intended to be utilized as part of disaster recovery missions where satellite or terrestrial communications infrastructure has been compromised.</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Warpspace</w:t>
      </w:r>
      <w:r>
        <w:rPr>
          <w:rFonts w:ascii="Arial" w:cs="Arial" w:eastAsia="Arial" w:hAnsi="Arial"/>
          <w:sz w:val="18"/>
          <w:szCs w:val="18"/>
          <w:color w:val="auto"/>
        </w:rPr>
        <w:t>: More recently, on January 24, 2023, we announced an order for a small number of CONDOR terminals by Japan-based</w:t>
      </w:r>
      <w:r>
        <w:rPr>
          <w:rFonts w:ascii="Arial" w:cs="Arial" w:eastAsia="Arial" w:hAnsi="Arial"/>
          <w:sz w:val="18"/>
          <w:szCs w:val="18"/>
          <w:i w:val="1"/>
          <w:iCs w:val="1"/>
          <w:color w:val="auto"/>
        </w:rPr>
        <w:t xml:space="preserve"> </w:t>
      </w:r>
      <w:r>
        <w:rPr>
          <w:rFonts w:ascii="Arial" w:cs="Arial" w:eastAsia="Arial" w:hAnsi="Arial"/>
          <w:sz w:val="18"/>
          <w:szCs w:val="18"/>
          <w:color w:val="auto"/>
        </w:rPr>
        <w:t>Warpspace Inc. The terminals will be used by Warpspace Inc to establish a commercial optical data relay network for Earth observation satellites. Product deliveries are scheduled for 2025.</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Strategic Agreement with Northrop Grumman</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On October 31, 2021, we entered into the Strategic Agreement with Northrop Grumman (NG) setting forth the terms for a strategic collaboration primarily in the space arena. We and NG signed the Strategic Agreement based upon a shared interest in accelerating the growth, development, adoption and innovation of laser communication solutions primarily for aerospace and defense applications, including air, space, ground, maritime, and undersea with a near-term emphasis on the space arena for the U.S. government’s needs and missions. Under the Strategic Agreement, we serve as a strategic supplier to NG, granting NG assured and preferred access and pricing to our products and services.</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part of the Strategic Agreement, we have agreed with NG to exclusively develop and sell to NG customized laser communication solutions for use in or relating to space where the ultimate customer is a U.S. government customer. The Strategic Agreement does not restrict our ability to develop or sell customized products in any other market segment or to sell our off-the-shelf products to any customer.</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Under the Strategic Agreement, NG has agreed to provide us with an annual minimum awards opportunity to sell and provide to NG customized products or off-the-shelf products and/or related services. Over the term of the Strategic Agreement, the cumulative annual awards opportunity will amount to at least $35 million.</w:t>
      </w:r>
    </w:p>
    <w:p>
      <w:pPr>
        <w:spacing w:after="0" w:line="18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Strategic Agreement has a term of five (5) years. We are entitled to terminate the Strategic Agreement under certain circumstances, including if NG fails to offer us the relevant minimum annual awards opportunity in a given year. NG is entitled to terminate the Strategic Agreement if we fail to perform our obligations under the Strategic Agreement subject to a cure period or if there has occurred any material adverse change to our capabilities or other attributes that would impact our reputation or ability to perform under the Strategic Agreement. We may not assign the Strategic Agreement without NG’s prior consent. In case of a change of control, NG is entitled to terminate the Strategic Agreement.</w:t>
      </w:r>
    </w:p>
    <w:p>
      <w:pPr>
        <w:spacing w:after="0" w:line="176"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connection with the Strategic Agreement, we entered into a definitive agreement with NG in March 2022 for the delivery of optical communication terminals for Tranche 1 of the SDA’s PWSA satellite constellation. The agreement has an initial value of $36 million and provides for performance-based payment milestones throughout 2022, 2023 and 2024 and product deliveries mostly in 2023 and 2024. Any milestone payments under the SDA Order will count towards the $35 million revenue opportunity under our Strategic Agreement with NG, subject to such milestone payments actually being made. In addition, in October 2022, we received another order from NG for 42 CONDOR terminals as part of the SDA’s Tranche 1 tracking layer program. We expect to deliver our CONDOR terminals to NG in 2024, with deployment expected to take place in 2025. Our ability to generate additional revenue from the Strategic Agreement will depend on NG being awarded the relevant government contracts.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Strategic Cooperation Framework with L3Harris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On July 5, 2022, we agreed with L3Harris on a strategic cooperation framework. In connection therewith, L3Harris invested approximately €11.2 million by means of a capital increase from authorized capital in exchange for 409,294 new ordinary shares. Under the cooperation framework, we agreed to serve as preferred provider of laser communication solutions to L3Harris. In return, we granted L3Harris certain collaboration privileges such as access to select test capabilities, including our already established interoperability labs and testbeds to emulate the link environment to be expected in space on the ground, as well as access to upcoming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6"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laser communication assets to be deployed by us on the International Space Station (ISS). With this strategic framework, we and L3Harris seek to build on our existing collaboration in the airborne domain and widen the scope to cover all domains including space, air, maritime and ground.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Technology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19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7"/>
          <w:szCs w:val="17"/>
          <w:i w:val="1"/>
          <w:iCs w:val="1"/>
          <w:color w:val="auto"/>
        </w:rPr>
        <w:t>i.e.</w:t>
      </w:r>
      <w:r>
        <w:rPr>
          <w:rFonts w:ascii="Arial" w:cs="Arial" w:eastAsia="Arial" w:hAnsi="Arial"/>
          <w:sz w:val="17"/>
          <w:szCs w:val="17"/>
          <w:color w:val="auto"/>
        </w:rPr>
        <w:t>, systems utilizing radio frequencies in the electromagnetic spectrum bands).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134620</wp:posOffset>
            </wp:positionV>
            <wp:extent cx="4903470" cy="20231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0347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&amp; Development and Engineering</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Research &amp; development is critical to our business strategy. We believe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 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6"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While we have already insourced most production steps for production of the metal telescope, including diamond-turning and magnetorheological finishing, we seek to expand our capabilities, further allowing us to go from raw material to finished optical telescope entirely in-house.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8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6"/>
          <w:szCs w:val="16"/>
          <w:i w:val="1"/>
          <w:iCs w:val="1"/>
          <w:color w:val="auto"/>
        </w:rPr>
        <w:t>e.g.</w:t>
      </w:r>
      <w:r>
        <w:rPr>
          <w:rFonts w:ascii="Arial" w:cs="Arial" w:eastAsia="Arial" w:hAnsi="Arial"/>
          <w:sz w:val="16"/>
          <w:szCs w:val="16"/>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have recently completed installation of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(simulated)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6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December 31, 2022, we had 173.3 FTEs dedicated to research and development.</w:t>
      </w:r>
    </w:p>
    <w:p>
      <w:pPr>
        <w:spacing w:after="0" w:line="17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made substantial investments in product and technology development since our inception. Research and development expenditure totaled €19,096 thousand in 2022 compared to €20,675 thousand in 2021 and €14,449 thousand in 2020, of which €967 thousand, €2,845 thousand and €8,248 thousand, respectively, were capitalized. For more information on the capitalization of development costs under IFRS, see “Item 5. Operating and Financial Review and Prospects—Key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and Supply Chain</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have developed highly sophisticated and proprietary manufacturing capabilities in recent years. Initially, we manufactured the prototypes and pre-serial product versions of our CONDOR and HAWK terminals in 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assembly, testing, quality assurance and warehouse space and we currently employ around 55 FTEs in the production of our laser terminals in this facility. We are currently ramping up serial production targeting a per year production rate capacity of up to 2,000 units in the medium term. Going forward, we may be required to install additional production equipment as we further scale our business.</w:t>
      </w:r>
    </w:p>
    <w:p>
      <w:pPr>
        <w:spacing w:after="0" w:line="19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work with third-party suppliers to provide components used in our products and we expect to continue to do so for future products. Although some components are manufactured to our specifications (such as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master supply agreements with certain suppliers to ensure continuous supply of critical components for our products.</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Landscape</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To our knowledge, currently only a limited number of companies focus on the development of laser communication capabilities in the aerospace industry. As the market evolves, we expect to see additional competitors such as SpaceX or potentially Amazon enter the market or attempt to develop laser communication capabilities in-house. Positive market development notwithstanding we do not expect the number of competitors to grow significantly considering the technological complexity of our underlying technology.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main direct competitors include, among others:</w:t>
      </w:r>
    </w:p>
    <w:p>
      <w:pPr>
        <w:spacing w:after="0" w:line="131" w:lineRule="exact"/>
        <w:rPr>
          <w:sz w:val="20"/>
          <w:szCs w:val="20"/>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TESAT Spacecom</w:t>
      </w:r>
      <w:r>
        <w:rPr>
          <w:rFonts w:ascii="Arial" w:cs="Arial" w:eastAsia="Arial" w:hAnsi="Arial"/>
          <w:sz w:val="18"/>
          <w:szCs w:val="18"/>
          <w:color w:val="auto"/>
        </w:rPr>
        <w:t>, an Airbus subsidiary headquartered in Germany, specializing in the production of payload equipment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satellites;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Thales Alenia Space</w:t>
      </w:r>
      <w:r>
        <w:rPr>
          <w:rFonts w:ascii="Arial" w:cs="Arial" w:eastAsia="Arial" w:hAnsi="Arial"/>
          <w:sz w:val="18"/>
          <w:szCs w:val="18"/>
          <w:color w:val="auto"/>
        </w:rPr>
        <w:t>, a joint venture between Thales and Leonardo headquartered in France, that designs, operates and delivers satellite-based systems that help customers position and connect;</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SA Photonics</w:t>
      </w:r>
      <w:r>
        <w:rPr>
          <w:rFonts w:ascii="Arial" w:cs="Arial" w:eastAsia="Arial" w:hAnsi="Arial"/>
          <w:sz w:val="18"/>
          <w:szCs w:val="18"/>
          <w:color w:val="auto"/>
        </w:rPr>
        <w:t>, a subsidiary of CACI International Inc. headquartered in California, USA, specializing in free space optical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fiber lasers and optical sensing systems;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Ball Aerospace</w:t>
      </w:r>
      <w:r>
        <w:rPr>
          <w:rFonts w:ascii="Arial" w:cs="Arial" w:eastAsia="Arial" w:hAnsi="Arial"/>
          <w:sz w:val="18"/>
          <w:szCs w:val="18"/>
          <w:color w:val="auto"/>
        </w:rPr>
        <w:t>, a Ball Corporation subsidiary headquartered in Colorado, USA, specializing in the development and testing of terrestrial-based applications for laser technology;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General Atomics Electromagnetic Systems</w:t>
      </w:r>
      <w:r>
        <w:rPr>
          <w:rFonts w:ascii="Arial" w:cs="Arial" w:eastAsia="Arial" w:hAnsi="Arial"/>
          <w:sz w:val="18"/>
          <w:szCs w:val="18"/>
          <w:color w:val="auto"/>
        </w:rPr>
        <w:t>, an affiliate of General Atomics, that designs and builds complex payloads, optical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terminals and integrated support systems;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SpaceMicro</w:t>
      </w:r>
      <w:r>
        <w:rPr>
          <w:rFonts w:ascii="Arial" w:cs="Arial" w:eastAsia="Arial" w:hAnsi="Arial"/>
          <w:sz w:val="16"/>
          <w:szCs w:val="16"/>
          <w:color w:val="auto"/>
        </w:rPr>
        <w:t>: a San Diego-based supplier of space electronics and satellite components in which Voyager Space acquired a majority stake.</w:t>
      </w:r>
    </w:p>
    <w:p>
      <w:pPr>
        <w:spacing w:after="0" w:line="24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primarily use several commercially-available software programs for our business operations along with our own proprietary software and applications in connection with operating our products. We seek to control costs and improve our ability to deliver our products by maintaining reliable systems.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Protection of our intellectual property is fundamental to the long-term success of our business. We believe that our continued success depends in large part on our proprietary technology, the skills of our employees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license agreement, we will be permitted to use such know-how and intellectual property freely without any further obligation to pay royalties.</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own six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“Item 3. Key Information—D. Risk Factors—Risks Related to Our Business—We may be unable to adequately protect our intellectual property and proprietary rights and prevent others from making unauthorized use of our products and technology.”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Coverage</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lease all of our real property and do not own any real property.</w:t>
      </w:r>
    </w:p>
    <w:p>
      <w:pPr>
        <w:spacing w:after="0" w:line="225"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Our headquarters are located at Dornierstraße 19, 82205 Gilching, Germany. We lease approximately 4,500 square meters (approximately 48,400 square feet) of office space including development and pre-production facilities. The lease has a term of ten years, expiring in 2029. We have the option to extend our lease for an additional ten years (two extension options, each for a five-year period). In 2020, we leased an additional facility in Oberpfaffenhofen, Germany, for production and warehouse space encompassing approximately 1,600 square meters (approximately 17,200 square feet). Our lease for this facility has a term of five years, expiring in 2025. We have the option to extend our lease for this facility for an additional five years. In preparation for future growth, we decided to further expand our facilities in 2023. To this end, we signed a lease agreement for a new location in Munich. Our lease for this facility has a term of ten years following handover (which is expected to begin in the second quarter of 2023 and may be completed in the third quarter of 2023). The new location offers approximately 11,000 square meters (approximately 120,000 square feet) of office space, production and development facilities. For purposes of adapting the facility to our needs, we will pay to the landlord an additional fee of €1.1 million following payment of the first month’s rent.</w:t>
      </w:r>
    </w:p>
    <w:p>
      <w:pPr>
        <w:spacing w:after="0" w:line="18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also maintain offices in California and the Washington D.C. area. Our office in California is located at 13100 Yukon Ave Unit A, Hawthorne, CA 90250. Our lease for this office covers approximately 1,800 square meters (approximately 20,000 square feet) of office space, production and development facilities (such as our interoperability laboratory) and has a term of 66 months, expiring in 2027. Our Washington D.C. area office is located at Arlington Tower, 1300 North 17th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From time to time, we may be involved in various claims and government, legal or arbitration proceedings arising out of our operations, including ordinary course litigation with former employees. As of the date of this Annual Report, we are involved in the following proceedings:</w:t>
      </w:r>
    </w:p>
    <w:p>
      <w:pPr>
        <w:spacing w:after="0" w:line="3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In July 2020, the German Federal Ministry for Economic Affairs and Energy (</w:t>
      </w:r>
      <w:r>
        <w:rPr>
          <w:rFonts w:ascii="Arial" w:cs="Arial" w:eastAsia="Arial" w:hAnsi="Arial"/>
          <w:sz w:val="17"/>
          <w:szCs w:val="17"/>
          <w:i w:val="1"/>
          <w:iCs w:val="1"/>
          <w:color w:val="auto"/>
        </w:rPr>
        <w:t>Bundesministerium für Wirtschaft und Energie</w:t>
      </w:r>
      <w:r>
        <w:rPr>
          <w:rFonts w:ascii="Arial" w:cs="Arial" w:eastAsia="Arial" w:hAnsi="Arial"/>
          <w:sz w:val="17"/>
          <w:szCs w:val="17"/>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7"/>
          <w:szCs w:val="17"/>
          <w:i w:val="1"/>
          <w:iCs w:val="1"/>
          <w:color w:val="auto"/>
        </w:rPr>
        <w:t>Außenwirtschaftsgesetz</w:t>
      </w:r>
      <w:r>
        <w:rPr>
          <w:rFonts w:ascii="Arial" w:cs="Arial" w:eastAsia="Arial" w:hAnsi="Arial"/>
          <w:sz w:val="17"/>
          <w:szCs w:val="17"/>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 fields of military reconnaissance and communication. To comply with the ban, in 2020 we terminated all business relationships with customers in China. While we currently do not intend to pursue any business opportunities in China or with Chinese customers, we have challenged the export ban with a lawsuit before the Administrative Court of Berlin with a view to seeking compensation for losses we suffered as a result of the export ban. In a court hearing on October 26, 2022, our action was dismissed.</w:t>
      </w:r>
    </w:p>
    <w:p>
      <w:pPr>
        <w:spacing w:after="0" w:line="18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On February 17, 2020, the German Federal Financial Supervisory Authority (</w:t>
      </w:r>
      <w:r>
        <w:rPr>
          <w:rFonts w:ascii="Arial" w:cs="Arial" w:eastAsia="Arial" w:hAnsi="Arial"/>
          <w:sz w:val="17"/>
          <w:szCs w:val="17"/>
          <w:i w:val="1"/>
          <w:iCs w:val="1"/>
          <w:color w:val="auto"/>
        </w:rPr>
        <w:t>Bundesanstalt für Finanzdienstleistungsaufsicht</w:t>
      </w:r>
      <w:r>
        <w:rPr>
          <w:rFonts w:ascii="Arial" w:cs="Arial" w:eastAsia="Arial" w:hAnsi="Arial"/>
          <w:sz w:val="17"/>
          <w:szCs w:val="17"/>
          <w:color w:val="auto"/>
        </w:rPr>
        <w:t>, “BaFin”) initiated an investigation against us on the grounds of the alleged omission of an ad hoc disclosure under the ad hoc disclosure obligation of Article 17 para. 1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7"/>
          <w:szCs w:val="17"/>
          <w:i w:val="1"/>
          <w:iCs w:val="1"/>
          <w:color w:val="auto"/>
        </w:rPr>
        <w:t>Ordnungswidrigkeit</w:t>
      </w:r>
      <w:r>
        <w:rPr>
          <w:rFonts w:ascii="Arial" w:cs="Arial" w:eastAsia="Arial" w:hAnsi="Arial"/>
          <w:sz w:val="17"/>
          <w:szCs w:val="17"/>
          <w:color w:val="auto"/>
        </w:rPr>
        <w:t>). On October 11, 2022, we received a further letter from BaFin, in which BaFin stated that based on its investigation and prior written responses provided by us, BaFin was of the preliminary view that we had at least objectively violated the ad hoc disclosure obligation of Article 17 para. 1 MAR. We submitted a further written response to the BaFin on November 16, 2022. On March 20, 2023, BaFin imposed an administrative fine amounting to €150,000 us in this matter. The administrative fine order is final and binding.</w:t>
      </w:r>
    </w:p>
    <w:p>
      <w:pPr>
        <w:spacing w:after="0" w:line="18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 By letter dated March 1, 2022, the BaFin informed us that it does not follow our argumentation but that it decided to refrain from pursuing the matter further for reasons of expediency.</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November 25, 2021, we received a notification of a hearing from the BaFin, which initiated an investigation against us on the grounds of the alleged delay of an ad hoc disclosure under the ad hoc disclosure obligation of Article 17 para. 1 MAR relating to the announcement of our initial public offering in the U.S., which was published in April 2021. We submitted a written response to the BaFin on January 10, 2022. By letter dated April 20, 2023, BaFin informed us that they will no longer pursue this matter.</w:t>
      </w:r>
    </w:p>
    <w:p>
      <w:pPr>
        <w:spacing w:after="0" w:line="18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were scheduled to begin in March 2022. On March 8, 2022, the competent court granted our motion for summary judgment against ABWN. On March 28, 2022, the court ordered that judgment shall be entered in our favor and dismissed ABWN’s claim with prejudice.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86"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Furthermore, we are currently subject to a German wage tax audit (</w:t>
      </w:r>
      <w:r>
        <w:rPr>
          <w:rFonts w:ascii="Arial" w:cs="Arial" w:eastAsia="Arial" w:hAnsi="Arial"/>
          <w:sz w:val="18"/>
          <w:szCs w:val="18"/>
          <w:i w:val="1"/>
          <w:iCs w:val="1"/>
          <w:color w:val="auto"/>
        </w:rPr>
        <w:t>Lohnsteuerprüfung</w:t>
      </w:r>
      <w:r>
        <w:rPr>
          <w:rFonts w:ascii="Arial" w:cs="Arial" w:eastAsia="Arial" w:hAnsi="Arial"/>
          <w:sz w:val="18"/>
          <w:szCs w:val="18"/>
          <w:color w:val="auto"/>
        </w:rPr>
        <w:t>) for the years 2017 to August 2021, in particular with respect to the compensation of a former member of our management board. We believe that the ultimate outcome of this audit will not have a material adverse effect on our financial position, cash flows or overall trends in results of operations. The maximum potential total tax liability related to these matters is estimated to be approximately €240 thousand, plus interest and penalties.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Environment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Annual Report,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“Item 3. Key Information—D. Risk Factors—Regulatory, Legal and Tax Risks.”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provides a brief overview of certain selected areas of laws and regulations applicable to our business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Laser Safety Provisions</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European Union laws and regulations on laser safety requirements. For example, Directive 2006/25/EC of the European Parliament and of the Council of 5 April 2006 (as amended)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7"/>
          <w:szCs w:val="17"/>
          <w:i w:val="1"/>
          <w:iCs w:val="1"/>
          <w:color w:val="auto"/>
        </w:rPr>
        <w:t>Verordnung zum Schutz der Beschäftigten vor</w:t>
      </w:r>
      <w:r>
        <w:rPr>
          <w:rFonts w:ascii="Arial" w:cs="Arial" w:eastAsia="Arial" w:hAnsi="Arial"/>
          <w:sz w:val="17"/>
          <w:szCs w:val="17"/>
          <w:color w:val="auto"/>
        </w:rPr>
        <w:t xml:space="preserve"> </w:t>
      </w:r>
      <w:r>
        <w:rPr>
          <w:rFonts w:ascii="Arial" w:cs="Arial" w:eastAsia="Arial" w:hAnsi="Arial"/>
          <w:sz w:val="17"/>
          <w:szCs w:val="17"/>
          <w:i w:val="1"/>
          <w:iCs w:val="1"/>
          <w:color w:val="auto"/>
        </w:rPr>
        <w:t>Gefährdungen durch künstliche optische Strahlung</w:t>
      </w:r>
      <w:r>
        <w:rPr>
          <w:rFonts w:ascii="Arial" w:cs="Arial" w:eastAsia="Arial" w:hAnsi="Arial"/>
          <w:sz w:val="17"/>
          <w:szCs w:val="17"/>
          <w:color w:val="auto"/>
        </w:rPr>
        <w:t>) and the Regulation on Preventive Occupational Medicine (</w:t>
      </w:r>
      <w:r>
        <w:rPr>
          <w:rFonts w:ascii="Arial" w:cs="Arial" w:eastAsia="Arial" w:hAnsi="Arial"/>
          <w:sz w:val="17"/>
          <w:szCs w:val="17"/>
          <w:i w:val="1"/>
          <w:iCs w:val="1"/>
          <w:color w:val="auto"/>
        </w:rPr>
        <w:t>Verordnung zur arbeitsmedizinischen Vorsorge</w:t>
      </w:r>
      <w:r>
        <w:rPr>
          <w:rFonts w:ascii="Arial" w:cs="Arial" w:eastAsia="Arial" w:hAnsi="Arial"/>
          <w:sz w:val="17"/>
          <w:szCs w:val="17"/>
          <w:color w:val="auto"/>
        </w:rPr>
        <w:t>). Among other things, these regulations provide for technical rules related to the assessment of laser radiation risks for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and calculations related to laser radiation exposure, and risk protection measures that include the appointment of a laser safety officer (</w:t>
      </w:r>
      <w:r>
        <w:rPr>
          <w:rFonts w:ascii="Arial" w:cs="Arial" w:eastAsia="Arial" w:hAnsi="Arial"/>
          <w:sz w:val="17"/>
          <w:szCs w:val="17"/>
          <w:i w:val="1"/>
          <w:iCs w:val="1"/>
          <w:color w:val="auto"/>
        </w:rPr>
        <w:t>Laserschutzbeauftragter</w:t>
      </w:r>
      <w:r>
        <w:rPr>
          <w:rFonts w:ascii="Arial" w:cs="Arial" w:eastAsia="Arial" w:hAnsi="Arial"/>
          <w:sz w:val="17"/>
          <w:szCs w:val="17"/>
          <w:color w:val="auto"/>
        </w:rPr>
        <w:t>) and the use of laser protective glasses and screens.</w:t>
      </w:r>
    </w:p>
    <w:p>
      <w:pPr>
        <w:spacing w:after="0" w:line="185"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6" w:right="4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Production Facilities and Storage Sites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Emissions</w:t>
      </w:r>
    </w:p>
    <w:p>
      <w:pPr>
        <w:spacing w:after="0" w:line="11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Regulation of Hazardous Incidents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7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Germany, the Seveso III Directive was implemented on December 7, 2016, with the Seveso III Transposition Act (</w:t>
      </w:r>
      <w:r>
        <w:rPr>
          <w:rFonts w:ascii="Arial" w:cs="Arial" w:eastAsia="Arial" w:hAnsi="Arial"/>
          <w:sz w:val="17"/>
          <w:szCs w:val="17"/>
          <w:i w:val="1"/>
          <w:iCs w:val="1"/>
          <w:color w:val="auto"/>
        </w:rPr>
        <w:t>Seveso III</w:t>
      </w:r>
      <w:r>
        <w:rPr>
          <w:rFonts w:ascii="Arial" w:cs="Arial" w:eastAsia="Arial" w:hAnsi="Arial"/>
          <w:sz w:val="17"/>
          <w:szCs w:val="17"/>
          <w:color w:val="auto"/>
        </w:rPr>
        <w:t xml:space="preserve"> </w:t>
      </w:r>
      <w:r>
        <w:rPr>
          <w:rFonts w:ascii="Arial" w:cs="Arial" w:eastAsia="Arial" w:hAnsi="Arial"/>
          <w:sz w:val="17"/>
          <w:szCs w:val="17"/>
          <w:i w:val="1"/>
          <w:iCs w:val="1"/>
          <w:color w:val="auto"/>
        </w:rPr>
        <w:t>Umsetzungsgesetz</w:t>
      </w:r>
      <w:r>
        <w:rPr>
          <w:rFonts w:ascii="Arial" w:cs="Arial" w:eastAsia="Arial" w:hAnsi="Arial"/>
          <w:sz w:val="17"/>
          <w:szCs w:val="17"/>
          <w:color w:val="auto"/>
        </w:rPr>
        <w:t>) which includes, among others, the amendment of certain provisions of the German Federal Immission Control Act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Bundesimmissionsschutzgesetz</w:t>
      </w:r>
      <w:r>
        <w:rPr>
          <w:rFonts w:ascii="Arial" w:cs="Arial" w:eastAsia="Arial" w:hAnsi="Arial"/>
          <w:sz w:val="17"/>
          <w:szCs w:val="17"/>
          <w:color w:val="auto"/>
        </w:rPr>
        <w:t>), the Environmental Impact Assessment Act (</w:t>
      </w:r>
      <w:r>
        <w:rPr>
          <w:rFonts w:ascii="Arial" w:cs="Arial" w:eastAsia="Arial" w:hAnsi="Arial"/>
          <w:sz w:val="17"/>
          <w:szCs w:val="17"/>
          <w:i w:val="1"/>
          <w:iCs w:val="1"/>
          <w:color w:val="auto"/>
        </w:rPr>
        <w:t>Umweltvertäglichkeitsprüfungsgesetz</w:t>
      </w:r>
      <w:r>
        <w:rPr>
          <w:rFonts w:ascii="Arial" w:cs="Arial" w:eastAsia="Arial" w:hAnsi="Arial"/>
          <w:sz w:val="17"/>
          <w:szCs w:val="17"/>
          <w:color w:val="auto"/>
        </w:rPr>
        <w:t>), and the Environmental Legal Remedies Act (</w:t>
      </w:r>
      <w:r>
        <w:rPr>
          <w:rFonts w:ascii="Arial" w:cs="Arial" w:eastAsia="Arial" w:hAnsi="Arial"/>
          <w:sz w:val="17"/>
          <w:szCs w:val="17"/>
          <w:i w:val="1"/>
          <w:iCs w:val="1"/>
          <w:color w:val="auto"/>
        </w:rPr>
        <w:t>Umweltrechtsbehelfgesetz</w:t>
      </w:r>
      <w:r>
        <w:rPr>
          <w:rFonts w:ascii="Arial" w:cs="Arial" w:eastAsia="Arial" w:hAnsi="Arial"/>
          <w:sz w:val="17"/>
          <w:szCs w:val="17"/>
          <w:color w:val="auto"/>
        </w:rPr>
        <w:t xml:space="preserve">). Additional legislative changes came into force on January 14, 2017 with the amendment of the twelfth ordinance under the German Federal Emissions Control Act (the so-called German Hazardous Incidents Ordinance, </w:t>
      </w:r>
      <w:r>
        <w:rPr>
          <w:rFonts w:ascii="Arial" w:cs="Arial" w:eastAsia="Arial" w:hAnsi="Arial"/>
          <w:sz w:val="17"/>
          <w:szCs w:val="17"/>
          <w:i w:val="1"/>
          <w:iCs w:val="1"/>
          <w:color w:val="auto"/>
        </w:rPr>
        <w:t>Störfall-Verordnung</w:t>
      </w:r>
      <w:r>
        <w:rPr>
          <w:rFonts w:ascii="Arial" w:cs="Arial" w:eastAsia="Arial" w:hAnsi="Arial"/>
          <w:sz w:val="17"/>
          <w:szCs w:val="17"/>
          <w:color w:val="auto"/>
        </w:rPr>
        <w: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Production, Possession, and Handling of Waste</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European Union member states to take appropriate measures in this regard. In Germany, the Waste Management Act (</w:t>
      </w:r>
      <w:r>
        <w:rPr>
          <w:rFonts w:ascii="Arial" w:cs="Arial" w:eastAsia="Arial" w:hAnsi="Arial"/>
          <w:sz w:val="17"/>
          <w:szCs w:val="17"/>
          <w:i w:val="1"/>
          <w:iCs w:val="1"/>
          <w:color w:val="auto"/>
        </w:rPr>
        <w:t>Kreislaufwirtschaftsgesetz</w:t>
      </w:r>
      <w:r>
        <w:rPr>
          <w:rFonts w:ascii="Arial" w:cs="Arial" w:eastAsia="Arial" w:hAnsi="Arial"/>
          <w:sz w:val="17"/>
          <w:szCs w:val="17"/>
          <w:color w:val="auto"/>
        </w:rPr>
        <w:t>) transports these European Union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7"/>
          <w:szCs w:val="17"/>
          <w:i w:val="1"/>
          <w:iCs w:val="1"/>
          <w:color w:val="auto"/>
        </w:rPr>
        <w:t>gefährliche Abfälle</w:t>
      </w:r>
      <w:r>
        <w:rPr>
          <w:rFonts w:ascii="Arial" w:cs="Arial" w:eastAsia="Arial" w:hAnsi="Arial"/>
          <w:sz w:val="17"/>
          <w:szCs w:val="17"/>
          <w:color w:val="auto"/>
        </w:rPr>
        <w:t>) by waste disposal (</w:t>
      </w:r>
      <w:r>
        <w:rPr>
          <w:rFonts w:ascii="Arial" w:cs="Arial" w:eastAsia="Arial" w:hAnsi="Arial"/>
          <w:sz w:val="17"/>
          <w:szCs w:val="17"/>
          <w:i w:val="1"/>
          <w:iCs w:val="1"/>
          <w:color w:val="auto"/>
        </w:rPr>
        <w:t>Entsorgungsnachweis</w:t>
      </w:r>
      <w:r>
        <w:rPr>
          <w:rFonts w:ascii="Arial" w:cs="Arial" w:eastAsia="Arial" w:hAnsi="Arial"/>
          <w:sz w:val="17"/>
          <w:szCs w:val="17"/>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Act on Environmental Liability</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If damage is caused to persons or property by one of our facilities, we may be held strictly liable under the German Environmental Liability Act (</w:t>
      </w:r>
      <w:r>
        <w:rPr>
          <w:rFonts w:ascii="Arial" w:cs="Arial" w:eastAsia="Arial" w:hAnsi="Arial"/>
          <w:sz w:val="18"/>
          <w:szCs w:val="18"/>
          <w:i w:val="1"/>
          <w:iCs w:val="1"/>
          <w:color w:val="auto"/>
        </w:rPr>
        <w:t>Umwelthaftungsgesetz</w:t>
      </w:r>
      <w:r>
        <w:rPr>
          <w:rFonts w:ascii="Arial" w:cs="Arial" w:eastAsia="Arial" w:hAnsi="Arial"/>
          <w:sz w:val="18"/>
          <w:szCs w:val="18"/>
          <w:color w:val="auto"/>
        </w:rPr>
        <w:t>). Liability under the Environmental Liability Act 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8"/>
          <w:szCs w:val="18"/>
          <w:i w:val="1"/>
          <w:iCs w:val="1"/>
          <w:color w:val="auto"/>
        </w:rPr>
        <w:t>Störfall-Verordnung</w:t>
      </w:r>
      <w:r>
        <w:rPr>
          <w:rFonts w:ascii="Arial" w:cs="Arial" w:eastAsia="Arial" w:hAnsi="Arial"/>
          <w:sz w:val="18"/>
          <w:szCs w:val="18"/>
          <w:color w:val="auto"/>
        </w:rPr>
        <w:t>) in the future, we may be required to provide financial security (</w:t>
      </w:r>
      <w:r>
        <w:rPr>
          <w:rFonts w:ascii="Arial" w:cs="Arial" w:eastAsia="Arial" w:hAnsi="Arial"/>
          <w:sz w:val="18"/>
          <w:szCs w:val="18"/>
          <w:i w:val="1"/>
          <w:iCs w:val="1"/>
          <w:color w:val="auto"/>
        </w:rPr>
        <w:t>Deckungsvorsorge</w:t>
      </w:r>
      <w:r>
        <w:rPr>
          <w:rFonts w:ascii="Arial" w:cs="Arial" w:eastAsia="Arial" w:hAnsi="Arial"/>
          <w:sz w:val="18"/>
          <w:szCs w:val="18"/>
          <w:color w:val="auto"/>
        </w:rPr>
        <w:t>) for environmental damages.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86" w:right="4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Occupational Health and Safety Requirements</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In Germany, general health and safety requirements for employees are laid down by the Working Conditions Act (</w:t>
      </w:r>
      <w:r>
        <w:rPr>
          <w:rFonts w:ascii="Arial" w:cs="Arial" w:eastAsia="Arial" w:hAnsi="Arial"/>
          <w:sz w:val="17"/>
          <w:szCs w:val="17"/>
          <w:i w:val="1"/>
          <w:iCs w:val="1"/>
          <w:color w:val="auto"/>
        </w:rPr>
        <w:t>Arbeitsschutzgesetz</w:t>
      </w:r>
      <w:r>
        <w:rPr>
          <w:rFonts w:ascii="Arial" w:cs="Arial" w:eastAsia="Arial" w:hAnsi="Arial"/>
          <w:sz w:val="17"/>
          <w:szCs w:val="17"/>
          <w:color w:val="auto"/>
        </w:rPr>
        <w:t>), the Occupational Safety Act (</w:t>
      </w:r>
      <w:r>
        <w:rPr>
          <w:rFonts w:ascii="Arial" w:cs="Arial" w:eastAsia="Arial" w:hAnsi="Arial"/>
          <w:sz w:val="17"/>
          <w:szCs w:val="17"/>
          <w:i w:val="1"/>
          <w:iCs w:val="1"/>
          <w:color w:val="auto"/>
        </w:rPr>
        <w:t>Arbeitssicherheitsgesetz</w:t>
      </w:r>
      <w:r>
        <w:rPr>
          <w:rFonts w:ascii="Arial" w:cs="Arial" w:eastAsia="Arial" w:hAnsi="Arial"/>
          <w:sz w:val="17"/>
          <w:szCs w:val="17"/>
          <w:color w:val="auto"/>
        </w:rPr>
        <w:t>) and the Ordinance on Industrial Safety (</w:t>
      </w:r>
      <w:r>
        <w:rPr>
          <w:rFonts w:ascii="Arial" w:cs="Arial" w:eastAsia="Arial" w:hAnsi="Arial"/>
          <w:sz w:val="17"/>
          <w:szCs w:val="17"/>
          <w:i w:val="1"/>
          <w:iCs w:val="1"/>
          <w:color w:val="auto"/>
        </w:rPr>
        <w:t>Betriebssicherheitsverordnung</w:t>
      </w:r>
      <w:r>
        <w:rPr>
          <w:rFonts w:ascii="Arial" w:cs="Arial" w:eastAsia="Arial" w:hAnsi="Arial"/>
          <w:sz w:val="17"/>
          <w:szCs w:val="17"/>
          <w:color w:val="auto"/>
        </w:rPr>
        <w:t>). For the provision and use of working equipment, the Product Safety Act (</w:t>
      </w:r>
      <w:r>
        <w:rPr>
          <w:rFonts w:ascii="Arial" w:cs="Arial" w:eastAsia="Arial" w:hAnsi="Arial"/>
          <w:sz w:val="17"/>
          <w:szCs w:val="17"/>
          <w:i w:val="1"/>
          <w:iCs w:val="1"/>
          <w:color w:val="auto"/>
        </w:rPr>
        <w:t>Produktsicherheitsgesetz</w:t>
      </w:r>
      <w:r>
        <w:rPr>
          <w:rFonts w:ascii="Arial" w:cs="Arial" w:eastAsia="Arial" w:hAnsi="Arial"/>
          <w:sz w:val="17"/>
          <w:szCs w:val="17"/>
          <w:color w:val="auto"/>
        </w:rPr>
        <w:t>) applies, along with the Ordinance on Health and Safety at Work (</w:t>
      </w:r>
      <w:r>
        <w:rPr>
          <w:rFonts w:ascii="Arial" w:cs="Arial" w:eastAsia="Arial" w:hAnsi="Arial"/>
          <w:sz w:val="17"/>
          <w:szCs w:val="17"/>
          <w:i w:val="1"/>
          <w:iCs w:val="1"/>
          <w:color w:val="auto"/>
        </w:rPr>
        <w:t>Arbeitsstättenverordnung</w:t>
      </w:r>
      <w:r>
        <w:rPr>
          <w:rFonts w:ascii="Arial" w:cs="Arial" w:eastAsia="Arial" w:hAnsi="Arial"/>
          <w:sz w:val="17"/>
          <w:szCs w:val="17"/>
          <w:color w:val="auto"/>
        </w:rPr>
        <w:t>). As regards exposure to hazardous substances, the Ordinance on Hazardous Substances (</w:t>
      </w:r>
      <w:r>
        <w:rPr>
          <w:rFonts w:ascii="Arial" w:cs="Arial" w:eastAsia="Arial" w:hAnsi="Arial"/>
          <w:sz w:val="17"/>
          <w:szCs w:val="17"/>
          <w:i w:val="1"/>
          <w:iCs w:val="1"/>
          <w:color w:val="auto"/>
        </w:rPr>
        <w:t>Gefahrstoffverordnung</w:t>
      </w:r>
      <w:r>
        <w:rPr>
          <w:rFonts w:ascii="Arial" w:cs="Arial" w:eastAsia="Arial" w:hAnsi="Arial"/>
          <w:sz w:val="17"/>
          <w:szCs w:val="17"/>
          <w:color w:val="auto"/>
        </w:rPr>
        <w:t>) and the Technical Rules for Hazardous Substances 900 (</w:t>
      </w:r>
      <w:r>
        <w:rPr>
          <w:rFonts w:ascii="Arial" w:cs="Arial" w:eastAsia="Arial" w:hAnsi="Arial"/>
          <w:sz w:val="17"/>
          <w:szCs w:val="17"/>
          <w:i w:val="1"/>
          <w:iCs w:val="1"/>
          <w:color w:val="auto"/>
        </w:rPr>
        <w:t>Technische Regel für Gefahrstoffe 900</w:t>
      </w:r>
      <w:r>
        <w:rPr>
          <w:rFonts w:ascii="Arial" w:cs="Arial" w:eastAsia="Arial" w:hAnsi="Arial"/>
          <w:sz w:val="17"/>
          <w:szCs w:val="17"/>
          <w:color w:val="auto"/>
        </w:rPr>
        <w:t>) set out limits for workplaces. All these requirements are further specified by German trade associations (</w:t>
      </w:r>
      <w:r>
        <w:rPr>
          <w:rFonts w:ascii="Arial" w:cs="Arial" w:eastAsia="Arial" w:hAnsi="Arial"/>
          <w:sz w:val="17"/>
          <w:szCs w:val="17"/>
          <w:i w:val="1"/>
          <w:iCs w:val="1"/>
          <w:color w:val="auto"/>
        </w:rPr>
        <w:t>Berufsgenossenschaften</w:t>
      </w:r>
      <w:r>
        <w:rPr>
          <w:rFonts w:ascii="Arial" w:cs="Arial" w:eastAsia="Arial" w:hAnsi="Arial"/>
          <w:sz w:val="17"/>
          <w:szCs w:val="17"/>
          <w:color w:val="auto"/>
        </w:rPr>
        <w:t>) in their accident prevention regulations (</w:t>
      </w:r>
      <w:r>
        <w:rPr>
          <w:rFonts w:ascii="Arial" w:cs="Arial" w:eastAsia="Arial" w:hAnsi="Arial"/>
          <w:sz w:val="17"/>
          <w:szCs w:val="17"/>
          <w:i w:val="1"/>
          <w:iCs w:val="1"/>
          <w:color w:val="auto"/>
        </w:rPr>
        <w:t>Unfallverhütungsvorschriften</w:t>
      </w:r>
      <w:r>
        <w:rPr>
          <w:rFonts w:ascii="Arial" w:cs="Arial" w:eastAsia="Arial" w:hAnsi="Arial"/>
          <w:sz w:val="17"/>
          <w:szCs w:val="17"/>
          <w:color w:val="auto"/>
        </w:rPr>
        <w:t>), which also address specific health and safety risks of our business.</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Export Control Regime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European Union,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 and German Dual-Use Export Control Regime</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the European Union, the export of Dual-Use Items from European Union member states is harmonized and mainly governed by European law, in particular by Council Regulation (EC) No 428/2009 of 5 May 2009, as most recently amended by Commission Delegated Regulation (EU) 2021/1528 of 8 June 2021,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European Union adopted Regulation (EU) 2021/821 (as amended), which amends the Dual-Use Regulation and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Dual-Use Regulation provides for four types of export authorizations: (i) European Union general export authorizations (</w:t>
      </w:r>
      <w:r>
        <w:rPr>
          <w:rFonts w:ascii="Arial" w:cs="Arial" w:eastAsia="Arial" w:hAnsi="Arial"/>
          <w:sz w:val="18"/>
          <w:szCs w:val="18"/>
          <w:i w:val="1"/>
          <w:iCs w:val="1"/>
          <w:color w:val="auto"/>
        </w:rPr>
        <w:t>EU-Allgemeingenehmigungen</w:t>
      </w:r>
      <w:r>
        <w:rPr>
          <w:rFonts w:ascii="Arial" w:cs="Arial" w:eastAsia="Arial" w:hAnsi="Arial"/>
          <w:sz w:val="18"/>
          <w:szCs w:val="18"/>
          <w:color w:val="auto"/>
        </w:rPr>
        <w:t>; “EUGEAs”), which allow exports of Dual-Use Items to certain destinations under certain conditions (see Annex II of the Regulation), (ii) national general export authorizations, which may be issued by European Union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 (iv) 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9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General export authorizations (“GEA”) have the advantage that no authorization application needs to be filed; exports and intra-European Union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86"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replacement (EU003), temporary exports for exhibitions or fairs (EU004), exports of specific telecommunication goods (EU005), and exports of specific chemicals (EU006).</w:t>
      </w:r>
    </w:p>
    <w:p>
      <w:pPr>
        <w:spacing w:after="0" w:line="170"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6"/>
          <w:szCs w:val="16"/>
          <w:i w:val="1"/>
          <w:iCs w:val="1"/>
          <w:color w:val="auto"/>
        </w:rPr>
        <w:t>Bundesamt für Wirtschaft und Ausfuhrkontrolle</w:t>
      </w:r>
      <w:r>
        <w:rPr>
          <w:rFonts w:ascii="Arial" w:cs="Arial" w:eastAsia="Arial" w:hAnsi="Arial"/>
          <w:sz w:val="16"/>
          <w:szCs w:val="16"/>
          <w:color w:val="auto"/>
        </w:rPr>
        <w:t>; “BAFA”) as the competent authority for issuing such authorization. In addition to control lists set out under the Dual-Use Regulation, European Union member states may also set out their own lists of controlled Dual-Use Items. Germany, for instance, has done so by including additional Dual-Use Items on its national export list (</w:t>
      </w:r>
      <w:r>
        <w:rPr>
          <w:rFonts w:ascii="Arial" w:cs="Arial" w:eastAsia="Arial" w:hAnsi="Arial"/>
          <w:sz w:val="16"/>
          <w:szCs w:val="16"/>
          <w:i w:val="1"/>
          <w:iCs w:val="1"/>
          <w:color w:val="auto"/>
        </w:rPr>
        <w:t>Ausfuhrliste</w:t>
      </w:r>
      <w:r>
        <w:rPr>
          <w:rFonts w:ascii="Arial" w:cs="Arial" w:eastAsia="Arial" w:hAnsi="Arial"/>
          <w:sz w:val="16"/>
          <w:szCs w:val="16"/>
          <w:color w:val="auto"/>
        </w:rPr>
        <w:t>) that are not already covered by the Dual-Use Regulation (e.g.,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European Union’s general exportation authorization.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Export Regulations</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de minimis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International Traffic in Arms Regulations (ITAR)</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 Controls (“DDTC”) interprets and enforces the ITAR. Nearly every item subject to the ITAR requires a license from DDTC for exportation, re-exportation or transfer, unless an ITAR exemption applies.</w:t>
      </w:r>
    </w:p>
    <w:p>
      <w:pPr>
        <w:spacing w:after="0" w:line="15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Sanctions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When selling and/or delivering our products to customers around the globe we must observe economic sanctions and embargoes. Such measures can be based on national legislation (like in Germany or the U.S.), but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86"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Wall Street Reform and Consumer Protection Act of 2010 (Dodd-Frank Act) and Regulation (EU) 2017/821 of the European Parliament and of the Council of 17 May 2017 as amended by Commission Delegated Regulation (EU) 2020/1588 of 25 June 2020, setting forth supply chain due diligence obligations for European Union importers of tin, tantalum and tungsten, their ores, and gold originating from conflict-affected and high-risk areas (European Union Conflict Minerals Regulation) that require us to carefully monitor our supply chain.</w:t>
      </w:r>
    </w:p>
    <w:p>
      <w:pPr>
        <w:spacing w:after="0" w:line="16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Embargoes and Trade Sanctions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6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U.S. sanctions may take the form of country- or territory-based sanctions or list-based sanctions. Currently, country-or territory-based sanctions target, inter alia, the Crimea region of Ukraine, the so-called “Donetsk People’s Republic” and “Luhansk People’s Republic,” Russia,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16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88"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6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European Union law but still violate U.S. sanctions. In case of such conflicts between European Union law and U.S. sanctions, the Council Regulation (EC) No 2271/96 of 22 November 1996 protecting against the effects of the extraterritorial application of legislation adopted by a third country, and actions based thereon or resulting therefrom (as amended) prohibits European Union companies from complying with certain listed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86"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U.S. sanctions and shields these entities from the effects of U.S. sanctions in the European Union. Such anti-boycott rules apply, for example, to the 2018 U.S. sanctions targeting Iran. European Union companies are, nonetheless, free to conduct their business as they see fit, i.e., not trade with countries sanctioned by the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Union Embargoes and Trade Sanctions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European Union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commitments in terms of sanctions and embargoes mainly (but not exclusively) derive from Council Regulation (EC) No 2580/2001 of 27 December 2001 (as amended) on specific restrictive measures directed against certain persons and entities with a view to combating terrorism. It aims to prevent and prohibit the financing of terrorist acts by prohibiting that funds, other financial assets, and economic resources are made available, directly or indirectly, to, or for the benefit of, a natural or legal person, group, or entity included in the list of restricted parties, or by prohibiting financial or other related services from being rendered for the benefit of restricted parties.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Foreign Investment Regime</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8"/>
          <w:szCs w:val="18"/>
          <w:i w:val="1"/>
          <w:iCs w:val="1"/>
          <w:color w:val="auto"/>
        </w:rPr>
        <w:t>Unionsfremder</w:t>
      </w:r>
      <w:r>
        <w:rPr>
          <w:rFonts w:ascii="Arial" w:cs="Arial" w:eastAsia="Arial" w:hAnsi="Arial"/>
          <w:sz w:val="18"/>
          <w:szCs w:val="18"/>
          <w:color w:val="auto"/>
        </w:rPr>
        <w:t>) if it endangers the public order or the security of Germany.</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 xml:space="preserve">Additionally, statutory notification requirements apply, </w:t>
      </w:r>
      <w:r>
        <w:rPr>
          <w:rFonts w:ascii="Arial" w:cs="Arial" w:eastAsia="Arial" w:hAnsi="Arial"/>
          <w:sz w:val="18"/>
          <w:szCs w:val="18"/>
          <w:i w:val="1"/>
          <w:iCs w:val="1"/>
          <w:color w:val="auto"/>
        </w:rPr>
        <w:t>inter alia</w:t>
      </w:r>
      <w:r>
        <w:rPr>
          <w:rFonts w:ascii="Arial" w:cs="Arial" w:eastAsia="Arial" w:hAnsi="Arial"/>
          <w:sz w:val="18"/>
          <w:szCs w:val="18"/>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us.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9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88"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Anti-Corruption, Antitrust and Competition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86"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comply with the rules against corruption and bribery of public officials (Sections 332, 334 of the German Criminal Code (</w:t>
      </w:r>
      <w:r>
        <w:rPr>
          <w:rFonts w:ascii="Arial" w:cs="Arial" w:eastAsia="Arial" w:hAnsi="Arial"/>
          <w:sz w:val="18"/>
          <w:szCs w:val="18"/>
          <w:i w:val="1"/>
          <w:iCs w:val="1"/>
          <w:color w:val="auto"/>
        </w:rPr>
        <w:t>Strafgesetzbuch</w:t>
      </w:r>
      <w:r>
        <w:rPr>
          <w:rFonts w:ascii="Arial" w:cs="Arial" w:eastAsia="Arial" w:hAnsi="Arial"/>
          <w:sz w:val="18"/>
          <w:szCs w:val="18"/>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95"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 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6"/>
          <w:szCs w:val="16"/>
          <w:i w:val="1"/>
          <w:iCs w:val="1"/>
          <w:color w:val="auto"/>
        </w:rPr>
        <w:t>Gesetz gegen Wettbewerbsbeschränkungen</w:t>
      </w:r>
      <w:r>
        <w:rPr>
          <w:rFonts w:ascii="Arial" w:cs="Arial" w:eastAsia="Arial" w:hAnsi="Arial"/>
          <w:sz w:val="16"/>
          <w:szCs w:val="16"/>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subsidiaries, each of which is wholly owned by Mynaric AG, are Mynaric Lasercom GmbH (a company organized under the laws of Germany), Mynaric Systems GmbH (a company organized under the laws of Germany), Mynaric USA, Inc. (a company organized under the laws of Delaware) and Mynaric Government Solutions, Inc. (a company organized under the laws of Virginia).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shows our organizational structure and our direct and indirect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194935" cy="1508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949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July 2022, Mynaric AG entered into a joint venture agreement with Isar Aerospace Technologies GmbH, REFLEX aerospace GmbH, and SES Astra Services Europe S.à r.l. and established UNIO Enterprise GmbH, with corporate seat in Munich and a share capital of €25,000. Mynaric AG currently holds 25% in UNIO Enterprise GmbH.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 Business Overview—Facilities” in this Item 4.</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4A.UNRESOLVED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5.OPERATING AND FINANCIAL REVIEW AND PROSPECTS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information included under “Item 4. Information on the Company” and “Item 18. Financial Statements”. The following discussion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86"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analysis contains forward-looking statements and involves numerous risks and uncertainties, including, but not limited to, those described in “Item 3. Key Information—D. Risk Factors.” Actual results could differ materially from those contained in any forward-looking statements.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consolidated financial statements have been prepared in accordance with IFRS as issued by the International Accounting Standards Board.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believe we are a leading developer and manufacturer (in terms of production capacity) of advanced laser communication technology for aerospace-based communication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secure wireless backbone for connectivity to link satellites, high-altitude platforms, unmanned aerial vehicles and aircraft with potential future use on ships, mobility platforms and fixed locations on the ground. For more information on our business, see “Item 4. Information on the Company—B. Business Overview.”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believe that the factors discussed below have significantly affected our results of operations, financial position and cash flow in the historical periods for which financial information is presented in this Annual Report, and that these factors will continue to have a material effect on our results of operations, financial position and cash flow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of the Laser Communication Market</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Our ability to successfully develop and commercialize our laser communication products depends on the willingness of potential customers to invest in the development of constellations in the context of aerospace-based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78"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Accordingly, governments around the world in general, and the U.S. government in particular, have invested significantly in research and development as well as deployment of laser communication and other technologies with a view to developing the critical elements for connected systems and shared networks providing for highly connected and resilient coverage from the air and/or sky (e.g., constellations of infrared missile warning and missile tracking satellites, military IoT). For more information on these government programs, see “Item 4. Information on the Company—B. Business Overview—Key Investment Highlights—Multi-year government programs driving near-term adoption and technology validation.” The escalation of geopolitical tensions (such as the invasion of Ukraine by Russia) has further fueled the need for advanced capabilities to withstand and react to new threat scenarios, driving the recent increase in defense-related spending in the U.S. and Europe.</w:t>
      </w:r>
    </w:p>
    <w:p>
      <w:pPr>
        <w:spacing w:after="0" w:line="16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While government funding is currently the driving force and catalyst for laser communication, we believe that laser communication is in the early phases of widespread use across commercial applications. In recent years, large commercial companies have emerged seeking to build satellite mega-constellations, in particular for establishing alternative communication networks. 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As such, we believe that our business is well-positioned to benefit not only from the successful demonstration and deployment of laser communication technology in the governmental sector, but also from potential future large-scale deployment in the commercial and diversified markets.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86"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Environment and Government Regulation</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6"/>
          <w:szCs w:val="16"/>
          <w:i w:val="1"/>
          <w:iCs w:val="1"/>
          <w:color w:val="auto"/>
        </w:rPr>
        <w:t>Außenwirtschaftsgesetz</w:t>
      </w:r>
      <w:r>
        <w:rPr>
          <w:rFonts w:ascii="Arial" w:cs="Arial" w:eastAsia="Arial" w:hAnsi="Arial"/>
          <w:sz w:val="16"/>
          <w:szCs w:val="16"/>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“Item 3. Key Information—D.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7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Commercialization of our Technology and Serial Production</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leased a production facility in Oberpfaffenhofen, Germany, requiring substantial installation of manufacturing equipment; a first expansion phase was completed in 2021. We also made investments in our laboratory and testing equipment, including our micro-vibration link testbed and clean room facilities. We also have incurred, and expect to continue to incur, significant costs in connection with the expansion of our facility in Los Angeles, where we recently installed the industry’s first laser communication interoperability lab. In preparation for future growth, we have decided to further expand our facilities from 2023 onwards. To this end, we signed a lease agreement for a new location in Munich which offers approximately 11,000 square meters (approximately 120,000 square feet) of office space, production and development facilities. We expect handover of the facility to take place in July 2023.</w:t>
      </w:r>
    </w:p>
    <w:p>
      <w:pPr>
        <w:spacing w:after="0" w:line="196"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In addition, we need to further improve our production processes, the manufacturability of our products, our production yield and costs and the stability of our supply chain. These factors, among others, impact our ability to produce our products at increasing quantities and are crucial to achieve our intended production targets, execute on our optical communications terminal backlog and be able to serve additional customers. To this extent, we plan to continue to expand our team with qualified production personnel and invest in our capabilities, technologies and products.</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Going forward, we will require additional capital to continue the ramp up of our serial production capabilities, targeting a per year production rate capacity of up to 2,000 units in the medium term. Until we can generate sufficient cash-flow from customer contracts, we expect to finance our operations through a combination of existing cash, possible additional public equity offerings, debt financings, collaborations, and licensing arrangements. The amount and timing of our future funding requirements will depend on many factors, including the pace and results of our further development efforts.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Demand</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aerospace-based communication industry, we are a sub-system supplier for system primes such as aircraft and satellite manufacturers that are prime contractors for the U.S. government. In 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86"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In 2020, we received an order for two HAWK terminals from L3Harris (which we previously announced as an undisclosed commercial customer) to introduce our HAWK terminal to the U.S. governmental market. To a limited extent, we also provided development and training services with respect to our HAWK terminals to L3Harris. We also sold certain components used in our CONDOR terminal to a Canadian customer and conducted a feasibility analysis for a Belgian customer in 2020. As we typically do not enter into contracts directly with the U.S. or non-U.S. governments, we consider our customers that are prime contractors for the U.S. or any other government as government customers. Accordingly, taking into account our Belgian customer for which we conducted a feasibility analysis, we had two commercial customers and one government customer in 2020.</w:t>
      </w:r>
    </w:p>
    <w:p>
      <w:pPr>
        <w:spacing w:after="0" w:line="16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2021, we delivered equipment used in our CONDOR terminal to a U.S. customer under a contract entered into in connection with Tranche 0 of the SDA’s Proliferated Warfighter Space Architecture (“PWSA”; formerly known as National Defense Space Architecture (NDSA)). Furthermore, we sold components used in our CONDOR terminal to NG (which we consider a government customer) and Capella Space (commercial customer). Accordingly, we had two government customers and one commercial customer in 2021 that we delivered terminals to.</w:t>
      </w:r>
    </w:p>
    <w:p>
      <w:pPr>
        <w:spacing w:after="0" w:line="17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2022, we delivered a small number of CONDOR terminals to Telesat for its work on the DARPA’s Blackjack program. We furthermore leased and delivered a small number of our CONDOR terminals to two U.S.-based customers for temporary use. In addition, we delivered a small number of HAWK terminals to each of a U.S.-based government customer and a new commercial U.S.-based energy customer. While we had entered into a contract with SpaceLink Corporation (“SpaceLink”), a (former) commercial customer, we never delivered any terminals to SpaceLink. SpaceLink made several milestone payments throughout 2021 and 2022 but defaulted on its payment obligations in October 2022, as a result of which we decided to terminate our contract with SpaceLink with immediate effect in November 2022. We recognized SpaceLink’s milestone payments in 2022 as revenue in 2022. Other than SpaceLink, we had two government customers and one commercial customer in 2022 that we delivered terminals to.</w:t>
      </w:r>
    </w:p>
    <w:p>
      <w:pPr>
        <w:spacing w:after="0" w:line="16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Besides these initial customer deliveries, in March 2022, we received an order from NG relating to Tranche 1 of the SDA’s PWSA satellite constellation. NG’s order has an initial value of $36 million and provides for performance-based payment milestones throughout 2022, 2023 and 2024 and product deliveries mostly in 2023 and 2024. The order follows the strategic supplier agreement (the “Strategic Agreement”) that we had entered into with NG in October 2021, under which we agreed to serve as a strategic supplier to NG and to exclusively develop and sell customized laser communication solutions for use in or relating to space to NG where the ultimate customer is a U.S. government customer. For more information on the Strategic Agreement and the March 2022 agreement, see “Item 4 Information on the Company—B. Business Overview—Our Operations—Our Go-To-Market Strategy—Strategic Agreement with Northrop Grumman.” In October 2022, we received an additional order from NG for 42 CONDOR terminals as part of the SDA’s Tranche 1 tracking layer program.</w:t>
      </w:r>
    </w:p>
    <w:p>
      <w:pPr>
        <w:spacing w:after="0" w:line="17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approximately €11.2 million by means of a capital increase from authorized capital in exchange for 409,294 new ordinary shares. With this strategic cooperation framework, we and L3Harris seek to build on our existing collaboration in the airborne domain and widen the scope to cover all domains including space, air, maritime and ground.</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2021 and 2022, we were awarded additional contracts by different government agencies relating to the design, development, production and testing of initial demonstrators for end-to-end optical communication systems. For more information on these additional contracts, see “Item 4 Information on the Company—B. Business Overview—Key Investment Highlights—Deeply engaged with customers in the government market through highly attractive contract awards within initial government programs.”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a result of our government track record and our first mover advantage, we have also been able to secure initial wins in the commercial market. For example, in August 2021, we received a purchase order from Capella Space (which we previously announced as an undisclosed commercial customer), under which we will deliver up to 20 CONDOR terminals over a period of four years.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Driven by these initial customer wins, our optical communications terminal backlog grew significantly year-over-year from three terminal deliverables in backlog as of December 31, 2020 to 40 terminal deliverables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86"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backlog as of December 31, 2021 (taking into account 30 terminal deliverables under our contract with SpaceLink that we terminated in November 2022) and to 256 units as of December 31, 2022.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each. The optical communications terminal backlog includes (i) optical communications terminal deliverables related to customer purchase orders; and (ii) optical communications terminal deliverables in the context of other signed agreements.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 We believe that optical communications terminal backlog will continue to increase significantly in 2023 and have already achieved an increase resulting in an optical communications terminal backlog of 348 terminal deliverables as of April 27, 2023.</w:t>
      </w:r>
    </w:p>
    <w:p>
      <w:pPr>
        <w:spacing w:after="0" w:line="18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light of the increase in optical communications terminal backlog, cash-in from customer contracts increased from €1.9 million in 2020 to €3.9 million in 2021 to €18.3 million in 2022. Cash-in from customer contracts includes payments from customers under purchase orders and other signed agreements, including payments received based on payment milestones under customer programs. We often accrue meaningful payment milestones during the integration phase that precede customer deliveries. For the four months period ended April 30, 2023, cash-in from customer contracts amounted to €18.8 million. Based on our current optical communications terminal backlog, expected shipments to customers and our sales pipeline, we expect cash-in from customer contracts to increase significantly in 2023.</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an overview of cash-in from customer contracts and optical communications terminal backlog for the periods presented: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5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4"/>
                <w:szCs w:val="14"/>
                <w:b w:val="1"/>
                <w:bCs w:val="1"/>
                <w:color w:val="auto"/>
              </w:rPr>
              <w:t>As of and for the 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420" w:type="dxa"/>
            <w:vAlign w:val="bottom"/>
            <w:tcBorders>
              <w:bottom w:val="single" w:sz="8" w:color="auto"/>
            </w:tcBorders>
          </w:tcPr>
          <w:p>
            <w:pPr>
              <w:jc w:val="right"/>
              <w:ind w:right="800"/>
              <w:spacing w:after="0" w:line="142" w:lineRule="exact"/>
              <w:rPr>
                <w:sz w:val="20"/>
                <w:szCs w:val="20"/>
                <w:color w:val="auto"/>
              </w:rPr>
            </w:pPr>
            <w:r>
              <w:rPr>
                <w:rFonts w:ascii="Arial" w:cs="Arial" w:eastAsia="Arial" w:hAnsi="Arial"/>
                <w:sz w:val="14"/>
                <w:szCs w:val="14"/>
                <w:b w:val="1"/>
                <w:bCs w:val="1"/>
                <w:color w:val="auto"/>
              </w:rPr>
              <w:t>2022</w:t>
            </w:r>
          </w:p>
        </w:tc>
        <w:tc>
          <w:tcPr>
            <w:tcW w:w="2100" w:type="dxa"/>
            <w:vAlign w:val="bottom"/>
            <w:tcBorders>
              <w:bottom w:val="single" w:sz="8" w:color="auto"/>
            </w:tcBorders>
          </w:tcPr>
          <w:p>
            <w:pPr>
              <w:jc w:val="right"/>
              <w:ind w:right="1085"/>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00" w:type="dxa"/>
            <w:vAlign w:val="bottom"/>
          </w:tcPr>
          <w:p>
            <w:pPr>
              <w:jc w:val="right"/>
              <w:ind w:right="1005"/>
              <w:spacing w:after="0" w:line="142"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Cash-in from customer contracts (in € thousand)</w:t>
            </w:r>
          </w:p>
        </w:tc>
        <w:tc>
          <w:tcPr>
            <w:tcW w:w="1420" w:type="dxa"/>
            <w:vAlign w:val="bottom"/>
            <w:shd w:val="clear" w:color="auto" w:fill="CCEEFF"/>
          </w:tcPr>
          <w:p>
            <w:pPr>
              <w:jc w:val="right"/>
              <w:ind w:right="240"/>
              <w:spacing w:after="0" w:line="216" w:lineRule="exact"/>
              <w:rPr>
                <w:sz w:val="20"/>
                <w:szCs w:val="20"/>
                <w:color w:val="auto"/>
              </w:rPr>
            </w:pPr>
            <w:r>
              <w:rPr>
                <w:rFonts w:ascii="Arial" w:cs="Arial" w:eastAsia="Arial" w:hAnsi="Arial"/>
                <w:sz w:val="17"/>
                <w:szCs w:val="17"/>
                <w:color w:val="auto"/>
              </w:rPr>
              <w:t>18,307</w:t>
            </w:r>
            <w:r>
              <w:rPr>
                <w:rFonts w:ascii="Arial" w:cs="Arial" w:eastAsia="Arial" w:hAnsi="Arial"/>
                <w:sz w:val="25"/>
                <w:szCs w:val="25"/>
                <w:color w:val="auto"/>
                <w:vertAlign w:val="superscript"/>
              </w:rPr>
              <w:t>(1)(2)</w:t>
            </w:r>
          </w:p>
        </w:tc>
        <w:tc>
          <w:tcPr>
            <w:tcW w:w="2100" w:type="dxa"/>
            <w:vAlign w:val="bottom"/>
            <w:shd w:val="clear" w:color="auto" w:fill="CCEEFF"/>
          </w:tcPr>
          <w:p>
            <w:pPr>
              <w:jc w:val="right"/>
              <w:ind w:right="745"/>
              <w:spacing w:after="0" w:line="216" w:lineRule="exact"/>
              <w:rPr>
                <w:sz w:val="20"/>
                <w:szCs w:val="20"/>
                <w:color w:val="auto"/>
              </w:rPr>
            </w:pPr>
            <w:r>
              <w:rPr>
                <w:rFonts w:ascii="Arial" w:cs="Arial" w:eastAsia="Arial" w:hAnsi="Arial"/>
                <w:sz w:val="17"/>
                <w:szCs w:val="17"/>
                <w:color w:val="auto"/>
              </w:rPr>
              <w:t>3,887</w:t>
            </w:r>
            <w:r>
              <w:rPr>
                <w:rFonts w:ascii="Arial" w:cs="Arial" w:eastAsia="Arial" w:hAnsi="Arial"/>
                <w:sz w:val="25"/>
                <w:szCs w:val="25"/>
                <w:color w:val="auto"/>
                <w:vertAlign w:val="superscript"/>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8"/>
                <w:szCs w:val="18"/>
                <w:color w:val="auto"/>
              </w:rPr>
            </w:pPr>
          </w:p>
        </w:tc>
      </w:tr>
      <w:tr>
        <w:trPr>
          <w:trHeight w:val="420"/>
        </w:trPr>
        <w:tc>
          <w:tcPr>
            <w:tcW w:w="5040" w:type="dxa"/>
            <w:vAlign w:val="bottom"/>
          </w:tcPr>
          <w:p>
            <w:pPr>
              <w:spacing w:after="0"/>
              <w:rPr>
                <w:sz w:val="20"/>
                <w:szCs w:val="20"/>
                <w:color w:val="auto"/>
              </w:rPr>
            </w:pPr>
            <w:r>
              <w:rPr>
                <w:rFonts w:ascii="Arial" w:cs="Arial" w:eastAsia="Arial" w:hAnsi="Arial"/>
                <w:sz w:val="18"/>
                <w:szCs w:val="18"/>
                <w:color w:val="auto"/>
              </w:rPr>
              <w:t>Optical communications terminal backlog (in units)</w:t>
            </w:r>
          </w:p>
        </w:tc>
        <w:tc>
          <w:tcPr>
            <w:tcW w:w="1420" w:type="dxa"/>
            <w:vAlign w:val="bottom"/>
          </w:tcPr>
          <w:p>
            <w:pPr>
              <w:jc w:val="right"/>
              <w:ind w:right="540"/>
              <w:spacing w:after="0"/>
              <w:rPr>
                <w:sz w:val="20"/>
                <w:szCs w:val="20"/>
                <w:color w:val="auto"/>
              </w:rPr>
            </w:pPr>
            <w:r>
              <w:rPr>
                <w:rFonts w:ascii="Arial" w:cs="Arial" w:eastAsia="Arial" w:hAnsi="Arial"/>
                <w:sz w:val="18"/>
                <w:szCs w:val="18"/>
                <w:color w:val="auto"/>
              </w:rPr>
              <w:t>256</w:t>
            </w:r>
          </w:p>
        </w:tc>
        <w:tc>
          <w:tcPr>
            <w:tcW w:w="2100" w:type="dxa"/>
            <w:vAlign w:val="bottom"/>
          </w:tcPr>
          <w:p>
            <w:pPr>
              <w:jc w:val="right"/>
              <w:ind w:right="745"/>
              <w:spacing w:after="0"/>
              <w:rPr>
                <w:sz w:val="20"/>
                <w:szCs w:val="20"/>
                <w:color w:val="auto"/>
              </w:rPr>
            </w:pPr>
            <w:r>
              <w:rPr>
                <w:rFonts w:ascii="Arial" w:cs="Arial" w:eastAsia="Arial" w:hAnsi="Arial"/>
                <w:sz w:val="35"/>
                <w:szCs w:val="35"/>
                <w:color w:val="auto"/>
                <w:vertAlign w:val="subscript"/>
              </w:rPr>
              <w:t>40</w:t>
            </w:r>
            <w:r>
              <w:rPr>
                <w:rFonts w:ascii="Arial" w:cs="Arial" w:eastAsia="Arial" w:hAnsi="Arial"/>
                <w:sz w:val="13"/>
                <w:szCs w:val="13"/>
                <w:color w:val="auto"/>
              </w:rPr>
              <w:t>(3)</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Does not include approximately €11 million invoiced in December 2022 and paid by our customers in early 2023.</w:t>
      </w:r>
    </w:p>
    <w:p>
      <w:pPr>
        <w:spacing w:after="0" w:line="7" w:lineRule="exact"/>
        <w:rPr>
          <w:rFonts w:ascii="Arial" w:cs="Arial" w:eastAsia="Arial" w:hAnsi="Arial"/>
          <w:sz w:val="18"/>
          <w:szCs w:val="18"/>
          <w:color w:val="auto"/>
        </w:rPr>
      </w:pPr>
    </w:p>
    <w:p>
      <w:pPr>
        <w:jc w:val="both"/>
        <w:ind w:left="54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September / October 2022, Electro Optic Systems Holdings Ltd., the parent company of SpaceLink, announced that it would end its investment in U.S.-based satellite optical data-relay constellation startup SpaceLink due to the lack of an investment partner, thereby preparing SpaceLink for liquidation. While SpaceLink made several milestone payments throughout 2021 and 2022, it defaulted on its obligations in October 2022 as a result of which we decided to terminate our contract with SpaceLink with immediate effect in November 2022. The milestone payments made by SpaceLink, which are included in cash-in from customer contracts for the relevant periods, amounted to €549 thousand in the year ended December 31, 2022 and €1,813 thousand in the year ended December 31, 2021.</w:t>
      </w:r>
    </w:p>
    <w:p>
      <w:pPr>
        <w:jc w:val="both"/>
        <w:ind w:left="540" w:right="20" w:hanging="424"/>
        <w:spacing w:after="0" w:line="255"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we only terminated our contract with SpaceLink in November 2022, backlog as of December 31, 2021 included 30 terminal deliverables under our contract with SpaceLink. Without the SpaceLink terminal deliverables, backlog as of December 31, 2021 would have amounted to ten terminal deliverables.</w:t>
      </w:r>
    </w:p>
    <w:p>
      <w:pPr>
        <w:spacing w:after="0" w:line="19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Research and development activities are central to our business. In 2020, we started pre-serial production of both our CONDOR and HAWK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86"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Under IFRS (as with U.S. GAAP), research costs are expensed. However, unlike U.S. GAAP, IFRS has broad-based guidance that requires companies to capitalize development costs, including internal costs, when certain criteria are met. In particular, under IFRS internally developed intangible assets (</w:t>
      </w:r>
      <w:r>
        <w:rPr>
          <w:rFonts w:ascii="Arial" w:cs="Arial" w:eastAsia="Arial" w:hAnsi="Arial"/>
          <w:sz w:val="18"/>
          <w:szCs w:val="18"/>
          <w:i w:val="1"/>
          <w:iCs w:val="1"/>
          <w:color w:val="auto"/>
        </w:rPr>
        <w:t>e.g.</w:t>
      </w:r>
      <w:r>
        <w:rPr>
          <w:rFonts w:ascii="Arial" w:cs="Arial" w:eastAsia="Arial" w:hAnsi="Arial"/>
          <w:sz w:val="18"/>
          <w:szCs w:val="18"/>
          <w:color w:val="auto"/>
        </w:rPr>
        <w:t>, development expenses related to a prototype) are required to be capitalized and amortized if certain criteria are met, rather than expensed as incurred as they would be under U.S. GAAP. This difference requires companies that prepare their financial statements in accordance with IFRS, like us, to distinguish development activities from research activities, and to analyze whether and when the criteria for capitalizing development costs are met.</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Under our accounting policies, we generally capitalize costs for the development of a technology until the time that development of such technology is completed. For our development projects “AIR technology” (the technological foundation for our HAWK terminal) and “SPACE technology” (the technological foundation for our CONDOR terminal), we defined such a point in time as the time of final development of a technology, followed by delivery of products based on such final technology to customers. All subsequent expenses incurred to maintain the value of the relevant technology are then expensed. Any expenses relating to the further development and/or adaption of our AIR or SPACE technology (such as the adaption of our SPACE technology for MEO-based constellations) or any new technology will only be capitalized if the requirements for capitalization under IFRS are fulfilled.</w:t>
      </w:r>
    </w:p>
    <w:p>
      <w:pPr>
        <w:spacing w:after="0" w:line="19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With respect to the development of our SPACE and AIR technologies, development costs included costs for the development of certain components for use in our CONDOR and HAWK terminals, respectively. Since we completed the development of the technology for our HAWK terminal in mid-2020, all subsequent expenses incurred in connection with our AIR technology have been recognized as expenses. For our SPACE technology, we reached this milestone in March 2021. Since then, we have only capitalized expenses relating to the adaptation of our SPACE technology for MEO-based constellations.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7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Research and development expenditure totaled €19,096 thousand in 2022 compared to €20,675 thousand in 2021 and €14,449 thousand in 2020, of which €967 thousand, €2,845 thousand and €8,248 thousand, respectively, were capitalized. In the year ended December 31, 2022, an impairment in the amount of €1,531 thousand (2021: €0, 2020: €0) was recognized for the capitalized development costs regarding our adapted SPACE technology for MEO-based constellations. We expect that our research and development expenses will continue to increase over the next several years as we continue to modify our existing technology for use in related products and to develop other laser communication-related technologies.</w:t>
      </w:r>
    </w:p>
    <w:p>
      <w:pPr>
        <w:spacing w:after="0" w:line="16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“Item 3. Key Information—D. Risk Factors— Regulatory, Legal and Tax Risks—We may be unable to adequately protect our intellectual property and proprietary rights and prevent others from making unauthorized use of our products and technology.”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Costs</w:t>
      </w:r>
    </w:p>
    <w:p>
      <w:pPr>
        <w:spacing w:after="0" w:line="117"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Personnel costs, which include salaries and wages as well as pensions and other social security contributions, account for a significant share of our costs. As we grow our business, we expect these costs to increase. We believe that our success depends, in a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 things, on our ability to provide competitive compensation. This may require us to increase compensation for current and new employees over time. See “Item 3. Key Information—D.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86"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would have a negative impact on results derived from sales made in U.S. dollars. Conversely, a strengthening of the U.S. dollar against the Euro, such as has occurred,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“Item 3. Key Information—D. Risk Factors—Risks Related to Our Business—We are exposed to foreign currency exchange risk and our financial position and results of operations may be negatively affected by the fluctuation of different currencies.”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consolidated statement of profit or loss and other comprehensive income or loss presents costs using the “nature of expense” method, which results in an (unnetted) gross presentation (</w:t>
      </w:r>
      <w:r>
        <w:rPr>
          <w:rFonts w:ascii="Arial" w:cs="Arial" w:eastAsia="Arial" w:hAnsi="Arial"/>
          <w:sz w:val="18"/>
          <w:szCs w:val="18"/>
          <w:i w:val="1"/>
          <w:iCs w:val="1"/>
          <w:color w:val="auto"/>
        </w:rPr>
        <w:t>i.e.</w:t>
      </w:r>
      <w:r>
        <w:rPr>
          <w:rFonts w:ascii="Arial" w:cs="Arial" w:eastAsia="Arial" w:hAnsi="Arial"/>
          <w:sz w:val="18"/>
          <w:szCs w:val="18"/>
          <w:color w:val="auto"/>
        </w:rPr>
        <w:t>, before the deduction of any amounts capitalized) of the costs incurred broken down by type or nature of expenditure including cost of materials, personnel costs, depreciation, amortization and impairments, and other operating costs. All capitalized amounts relate to the development of intangible assets or the construction of property, plant and equipment, and are presented within the line item “Own work capitalized.”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results of operations include the following:</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generate revenue from contracts with customers for the delivery of goods or the provision of services. Our goods primarily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CONDOR and HAWK terminals and the services rendered by us mainly consist of the provision of development and training services for our terminals.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Other operating income: </w:t>
      </w:r>
      <w:r>
        <w:rPr>
          <w:rFonts w:ascii="Arial" w:cs="Arial" w:eastAsia="Arial" w:hAnsi="Arial"/>
          <w:sz w:val="18"/>
          <w:szCs w:val="18"/>
          <w:color w:val="auto"/>
        </w:rPr>
        <w:t>Other operating income comprises income from government grants and miscellaneous operating income.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Cost of materials: </w:t>
      </w:r>
      <w:r>
        <w:rPr>
          <w:rFonts w:ascii="Arial" w:cs="Arial" w:eastAsia="Arial" w:hAnsi="Arial"/>
          <w:sz w:val="17"/>
          <w:szCs w:val="17"/>
          <w:color w:val="auto"/>
        </w:rPr>
        <w:t>Our cost of materials includes costs for raw materials and consumables used as well as costs for services purchased.</w:t>
      </w:r>
    </w:p>
    <w:p>
      <w:pPr>
        <w:spacing w:after="0" w:line="23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Personnel costs: </w:t>
      </w:r>
      <w:r>
        <w:rPr>
          <w:rFonts w:ascii="Arial" w:cs="Arial" w:eastAsia="Arial" w:hAnsi="Arial"/>
          <w:sz w:val="17"/>
          <w:szCs w:val="17"/>
          <w:color w:val="auto"/>
        </w:rPr>
        <w:t>Our personnel costs consist of wages and salaries as well as share based payments, social security contributions, pensions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employee benefits. Personnel expenses corresponds to personnel costs excluding own work capitalized.</w:t>
      </w:r>
    </w:p>
    <w:p>
      <w:pPr>
        <w:spacing w:after="0" w:line="146"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b w:val="1"/>
          <w:bCs w:val="1"/>
          <w:i w:val="1"/>
          <w:iCs w:val="1"/>
          <w:color w:val="auto"/>
        </w:rPr>
        <w:t>Depreciation, amortization and impairments</w:t>
      </w:r>
      <w:r>
        <w:rPr>
          <w:rFonts w:ascii="Arial" w:cs="Arial" w:eastAsia="Arial" w:hAnsi="Arial"/>
          <w:sz w:val="18"/>
          <w:szCs w:val="18"/>
          <w:color w:val="auto"/>
        </w:rPr>
        <w:t>: Depreciation, amortization and impairments include amortization of intangible assets,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property, plant and equipment and right-of-use-assets.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Other operating costs: </w:t>
      </w:r>
      <w:r>
        <w:rPr>
          <w:rFonts w:ascii="Arial" w:cs="Arial" w:eastAsia="Arial" w:hAnsi="Arial"/>
          <w:sz w:val="17"/>
          <w:szCs w:val="17"/>
          <w:color w:val="auto"/>
        </w:rPr>
        <w:t>Our other operating costs primarily consist of legal and consulting fees, office and IT costs, selling and travel costs, 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maintenance, other office supplies, costs for preparation and audit of financial statements and accounting expenses, other staff costs as well as administrative offense proceedings. Other operating expenses corresponds to other operating costs excluding own work capitalized.</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Change in inventories of finished goods and work in progress: </w:t>
      </w:r>
      <w:r>
        <w:rPr>
          <w:rFonts w:ascii="Arial" w:cs="Arial" w:eastAsia="Arial" w:hAnsi="Arial"/>
          <w:sz w:val="18"/>
          <w:szCs w:val="18"/>
          <w:color w:val="auto"/>
        </w:rPr>
        <w:t>Change in inventories of finished goods and work in progress relates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production and write downs of finished and unfinished goods of space and air terminals.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Own work capitalized: </w:t>
      </w:r>
      <w:r>
        <w:rPr>
          <w:rFonts w:ascii="Arial" w:cs="Arial" w:eastAsia="Arial" w:hAnsi="Arial"/>
          <w:sz w:val="18"/>
          <w:szCs w:val="18"/>
          <w:color w:val="auto"/>
        </w:rPr>
        <w:t>Own work capitalized consists primarily of capitalized development costs shown under internally generated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In addition, other own work capitalized includes own work for the construction of property, plant and equipment.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Operating Results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following tables present the selected consolidated financial information for our company. The financial data as of and for the years ended December 31, 2022, 2021 and 2020 has been derived from our audited consolidated financial statements and the related notes thereto, which are included elsewhere in this Annual Report and which have been prepared in accordance with IFRS as issued by the IASB.</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86"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financial data presented below is not necessarily indicative of the financial results expected for any future periods. The financial data below does not contain all the information included in our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Profit or Loss and Other Comprehensive Income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the year ended December 31,</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2022</w:t>
            </w:r>
          </w:p>
        </w:tc>
        <w:tc>
          <w:tcPr>
            <w:tcW w:w="56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58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66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Air</w:t>
            </w:r>
          </w:p>
        </w:tc>
        <w:tc>
          <w:tcPr>
            <w:tcW w:w="7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Space</w:t>
            </w: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Group</w:t>
            </w: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Air</w:t>
            </w: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Space</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Group</w:t>
            </w: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Air</w:t>
            </w: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Space</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Group</w:t>
            </w:r>
          </w:p>
        </w:tc>
        <w:tc>
          <w:tcPr>
            <w:tcW w:w="26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19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(in € thousands)</w:t>
            </w:r>
          </w:p>
        </w:tc>
        <w:tc>
          <w:tcPr>
            <w:tcW w:w="260" w:type="dxa"/>
            <w:vAlign w:val="bottom"/>
          </w:tcPr>
          <w:p>
            <w:pPr>
              <w:spacing w:after="0"/>
              <w:rPr>
                <w:sz w:val="12"/>
                <w:szCs w:val="12"/>
                <w:color w:val="auto"/>
              </w:rPr>
            </w:pP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1,384</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3,038</w:t>
            </w: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4,422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2,355</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2,355</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679</w:t>
            </w: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Other operating income</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673</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1,703</w:t>
            </w: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2,376</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72</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363</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435</w:t>
            </w:r>
          </w:p>
        </w:tc>
        <w:tc>
          <w:tcPr>
            <w:tcW w:w="4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295</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Cost of materials</w:t>
            </w:r>
            <w:r>
              <w:rPr>
                <w:rFonts w:ascii="Arial" w:cs="Arial" w:eastAsia="Arial" w:hAnsi="Arial"/>
                <w:sz w:val="23"/>
                <w:szCs w:val="23"/>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(10,185)</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(15,434)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(7,778)</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(10,624)</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(2,290)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(6,221)</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6"/>
                <w:szCs w:val="16"/>
                <w:color w:val="auto"/>
              </w:rPr>
              <w:t>Personnel costs</w:t>
            </w:r>
            <w:r>
              <w:rPr>
                <w:rFonts w:ascii="Arial" w:cs="Arial" w:eastAsia="Arial" w:hAnsi="Arial"/>
                <w:sz w:val="23"/>
                <w:szCs w:val="23"/>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(11,486)</w:t>
            </w:r>
          </w:p>
        </w:tc>
        <w:tc>
          <w:tcPr>
            <w:tcW w:w="700" w:type="dxa"/>
            <w:vAlign w:val="bottom"/>
          </w:tcPr>
          <w:p>
            <w:pPr>
              <w:jc w:val="right"/>
              <w:spacing w:after="0"/>
              <w:rPr>
                <w:sz w:val="20"/>
                <w:szCs w:val="20"/>
                <w:color w:val="auto"/>
              </w:rPr>
            </w:pPr>
            <w:r>
              <w:rPr>
                <w:rFonts w:ascii="Arial" w:cs="Arial" w:eastAsia="Arial" w:hAnsi="Arial"/>
                <w:sz w:val="16"/>
                <w:szCs w:val="16"/>
                <w:color w:val="auto"/>
              </w:rPr>
              <w:t>(25,924)</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(37,410)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(6,120)</w:t>
            </w:r>
          </w:p>
        </w:tc>
        <w:tc>
          <w:tcPr>
            <w:tcW w:w="680" w:type="dxa"/>
            <w:vAlign w:val="bottom"/>
          </w:tcPr>
          <w:p>
            <w:pPr>
              <w:jc w:val="right"/>
              <w:spacing w:after="0"/>
              <w:rPr>
                <w:sz w:val="20"/>
                <w:szCs w:val="20"/>
                <w:color w:val="auto"/>
              </w:rPr>
            </w:pPr>
            <w:r>
              <w:rPr>
                <w:rFonts w:ascii="Arial" w:cs="Arial" w:eastAsia="Arial" w:hAnsi="Arial"/>
                <w:sz w:val="16"/>
                <w:szCs w:val="16"/>
                <w:color w:val="auto"/>
              </w:rPr>
              <w:t>(17,245)</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(23,365)</w:t>
            </w: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(4,923)</w:t>
            </w:r>
          </w:p>
        </w:tc>
        <w:tc>
          <w:tcPr>
            <w:tcW w:w="680" w:type="dxa"/>
            <w:vAlign w:val="bottom"/>
          </w:tcPr>
          <w:p>
            <w:pPr>
              <w:jc w:val="right"/>
              <w:spacing w:after="0"/>
              <w:rPr>
                <w:sz w:val="20"/>
                <w:szCs w:val="20"/>
                <w:color w:val="auto"/>
              </w:rPr>
            </w:pPr>
            <w:r>
              <w:rPr>
                <w:rFonts w:ascii="Arial" w:cs="Arial" w:eastAsia="Arial" w:hAnsi="Arial"/>
                <w:sz w:val="16"/>
                <w:szCs w:val="16"/>
                <w:color w:val="auto"/>
              </w:rPr>
              <w:t>(11,911)</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(16,834)</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Depreciation, amortization and impairments</w:t>
            </w:r>
            <w:r>
              <w:rPr>
                <w:rFonts w:ascii="Arial" w:cs="Arial" w:eastAsia="Arial" w:hAnsi="Arial"/>
                <w:sz w:val="23"/>
                <w:szCs w:val="23"/>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(6,041)</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(4,518)</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(1,843)</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6"/>
                <w:szCs w:val="16"/>
                <w:color w:val="auto"/>
              </w:rPr>
              <w:t>Other operating costs</w:t>
            </w:r>
            <w:r>
              <w:rPr>
                <w:rFonts w:ascii="Arial" w:cs="Arial" w:eastAsia="Arial" w:hAnsi="Arial"/>
                <w:sz w:val="23"/>
                <w:szCs w:val="23"/>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(4,830)</w:t>
            </w:r>
          </w:p>
        </w:tc>
        <w:tc>
          <w:tcPr>
            <w:tcW w:w="700" w:type="dxa"/>
            <w:vAlign w:val="bottom"/>
          </w:tcPr>
          <w:p>
            <w:pPr>
              <w:jc w:val="right"/>
              <w:spacing w:after="0"/>
              <w:rPr>
                <w:sz w:val="20"/>
                <w:szCs w:val="20"/>
                <w:color w:val="auto"/>
              </w:rPr>
            </w:pPr>
            <w:r>
              <w:rPr>
                <w:rFonts w:ascii="Arial" w:cs="Arial" w:eastAsia="Arial" w:hAnsi="Arial"/>
                <w:sz w:val="16"/>
                <w:szCs w:val="16"/>
                <w:color w:val="auto"/>
              </w:rPr>
              <w:t>(11,164)</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(22,082)</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(1,923)</w:t>
            </w:r>
          </w:p>
        </w:tc>
        <w:tc>
          <w:tcPr>
            <w:tcW w:w="680" w:type="dxa"/>
            <w:vAlign w:val="bottom"/>
          </w:tcPr>
          <w:p>
            <w:pPr>
              <w:jc w:val="right"/>
              <w:spacing w:after="0"/>
              <w:rPr>
                <w:sz w:val="20"/>
                <w:szCs w:val="20"/>
                <w:color w:val="auto"/>
              </w:rPr>
            </w:pPr>
            <w:r>
              <w:rPr>
                <w:rFonts w:ascii="Arial" w:cs="Arial" w:eastAsia="Arial" w:hAnsi="Arial"/>
                <w:sz w:val="16"/>
                <w:szCs w:val="16"/>
                <w:color w:val="auto"/>
              </w:rPr>
              <w:t>(8,418)</w:t>
            </w:r>
          </w:p>
        </w:tc>
        <w:tc>
          <w:tcPr>
            <w:tcW w:w="840" w:type="dxa"/>
            <w:vAlign w:val="bottom"/>
            <w:tcBorders>
              <w:right w:val="single" w:sz="8" w:color="auto"/>
            </w:tcBorders>
            <w:gridSpan w:val="2"/>
          </w:tcPr>
          <w:p>
            <w:pPr>
              <w:jc w:val="right"/>
              <w:ind w:right="60"/>
              <w:spacing w:after="0" w:line="202" w:lineRule="exact"/>
              <w:rPr>
                <w:sz w:val="20"/>
                <w:szCs w:val="20"/>
                <w:color w:val="auto"/>
              </w:rPr>
            </w:pPr>
            <w:r>
              <w:rPr>
                <w:rFonts w:ascii="Arial" w:cs="Arial" w:eastAsia="Arial" w:hAnsi="Arial"/>
                <w:sz w:val="16"/>
                <w:szCs w:val="16"/>
                <w:color w:val="auto"/>
                <w:w w:val="96"/>
              </w:rPr>
              <w:t>(11,830)</w:t>
            </w:r>
            <w:r>
              <w:rPr>
                <w:rFonts w:ascii="Arial" w:cs="Arial" w:eastAsia="Arial" w:hAnsi="Arial"/>
                <w:sz w:val="23"/>
                <w:szCs w:val="23"/>
                <w:b w:val="1"/>
                <w:bCs w:val="1"/>
                <w:color w:val="auto"/>
                <w:w w:val="96"/>
                <w:vertAlign w:val="superscript"/>
              </w:rPr>
              <w:t>(3)</w:t>
            </w: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(1,320)</w:t>
            </w:r>
          </w:p>
        </w:tc>
        <w:tc>
          <w:tcPr>
            <w:tcW w:w="680" w:type="dxa"/>
            <w:vAlign w:val="bottom"/>
          </w:tcPr>
          <w:p>
            <w:pPr>
              <w:jc w:val="right"/>
              <w:spacing w:after="0"/>
              <w:rPr>
                <w:sz w:val="20"/>
                <w:szCs w:val="20"/>
                <w:color w:val="auto"/>
              </w:rPr>
            </w:pPr>
            <w:r>
              <w:rPr>
                <w:rFonts w:ascii="Arial" w:cs="Arial" w:eastAsia="Arial" w:hAnsi="Arial"/>
                <w:sz w:val="16"/>
                <w:szCs w:val="16"/>
                <w:color w:val="auto"/>
              </w:rPr>
              <w:t>(3,581)</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6"/>
                <w:szCs w:val="16"/>
                <w:color w:val="auto"/>
              </w:rPr>
              <w:t>(5,344)</w:t>
            </w:r>
            <w:r>
              <w:rPr>
                <w:rFonts w:ascii="Arial" w:cs="Arial" w:eastAsia="Arial" w:hAnsi="Arial"/>
                <w:sz w:val="23"/>
                <w:szCs w:val="23"/>
                <w:color w:val="auto"/>
                <w:vertAlign w:val="superscript"/>
              </w:rPr>
              <w:t>(4)</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Change in inventories of finished goods and work in progress</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517</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w:t>
            </w: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760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568</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637</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6"/>
                <w:szCs w:val="16"/>
                <w:color w:val="auto"/>
              </w:rPr>
              <w:t>Own work capitalized</w:t>
            </w:r>
            <w:r>
              <w:rPr>
                <w:rFonts w:ascii="Arial" w:cs="Arial" w:eastAsia="Arial" w:hAnsi="Arial"/>
                <w:sz w:val="23"/>
                <w:szCs w:val="23"/>
                <w:color w:val="auto"/>
                <w:vertAlign w:val="superscript"/>
              </w:rPr>
              <w:t>(1)</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1,556</w:t>
            </w: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1,567</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619</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3,996</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4,615</w:t>
            </w:r>
          </w:p>
        </w:tc>
        <w:tc>
          <w:tcPr>
            <w:tcW w:w="4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2,102</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7,273</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9,375</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(20,929)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(46,773)</w:t>
            </w:r>
          </w:p>
        </w:tc>
        <w:tc>
          <w:tcPr>
            <w:tcW w:w="820" w:type="dxa"/>
            <w:vAlign w:val="bottom"/>
            <w:tcBorders>
              <w:right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b w:val="1"/>
                <w:bCs w:val="1"/>
                <w:color w:val="auto"/>
                <w:w w:val="94"/>
              </w:rPr>
              <w:t>(73,790)</w:t>
            </w:r>
            <w:r>
              <w:rPr>
                <w:rFonts w:ascii="Arial" w:cs="Arial" w:eastAsia="Arial" w:hAnsi="Arial"/>
                <w:sz w:val="23"/>
                <w:szCs w:val="23"/>
                <w:b w:val="1"/>
                <w:bCs w:val="1"/>
                <w:color w:val="auto"/>
                <w:w w:val="94"/>
                <w:vertAlign w:val="superscript"/>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(10,793)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(30,082)</w:t>
            </w:r>
          </w:p>
        </w:tc>
        <w:tc>
          <w:tcPr>
            <w:tcW w:w="840" w:type="dxa"/>
            <w:vAlign w:val="bottom"/>
            <w:tcBorders>
              <w:right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b w:val="1"/>
                <w:bCs w:val="1"/>
                <w:color w:val="auto"/>
                <w:w w:val="96"/>
              </w:rPr>
              <w:t>(42,364)</w:t>
            </w:r>
            <w:r>
              <w:rPr>
                <w:rFonts w:ascii="Arial" w:cs="Arial" w:eastAsia="Arial" w:hAnsi="Arial"/>
                <w:sz w:val="23"/>
                <w:szCs w:val="23"/>
                <w:b w:val="1"/>
                <w:bCs w:val="1"/>
                <w:color w:val="auto"/>
                <w:w w:val="96"/>
                <w:vertAlign w:val="superscript"/>
              </w:rPr>
              <w:t>(3)</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(6,423)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(12,391)</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b w:val="1"/>
                <w:bCs w:val="1"/>
                <w:color w:val="auto"/>
                <w:w w:val="94"/>
              </w:rPr>
              <w:t>(19,257)</w:t>
            </w:r>
            <w:r>
              <w:rPr>
                <w:rFonts w:ascii="Arial" w:cs="Arial" w:eastAsia="Arial" w:hAnsi="Arial"/>
                <w:sz w:val="23"/>
                <w:szCs w:val="23"/>
                <w:b w:val="1"/>
                <w:bCs w:val="1"/>
                <w:color w:val="auto"/>
                <w:w w:val="94"/>
                <w:vertAlign w:val="superscript"/>
              </w:rPr>
              <w:t>(4)</w:t>
            </w: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Interest and similar income</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18</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Interest and similar expenses</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(2,545)</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(2,148)</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w:t>
            </w: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Net foreign currency gain / (loss)</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2,574</w:t>
            </w:r>
          </w:p>
        </w:tc>
        <w:tc>
          <w:tcPr>
            <w:tcW w:w="4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826</w:t>
            </w:r>
          </w:p>
        </w:tc>
        <w:tc>
          <w:tcPr>
            <w:tcW w:w="4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(531)</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finance income / costs</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29</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(1,322)</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(513)</w:t>
            </w: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Share of profit of equity-accounted investees, net of tax</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tax</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(73,806)</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(43,686)</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(19,770)</w:t>
            </w:r>
          </w:p>
        </w:tc>
      </w:tr>
      <w:tr>
        <w:trPr>
          <w:trHeight w:val="203"/>
        </w:trPr>
        <w:tc>
          <w:tcPr>
            <w:tcW w:w="4500" w:type="dxa"/>
            <w:vAlign w:val="bottom"/>
          </w:tcPr>
          <w:p>
            <w:pPr>
              <w:spacing w:after="0"/>
              <w:rPr>
                <w:sz w:val="20"/>
                <w:szCs w:val="20"/>
                <w:color w:val="auto"/>
              </w:rPr>
            </w:pPr>
            <w:r>
              <w:rPr>
                <w:rFonts w:ascii="Arial" w:cs="Arial" w:eastAsia="Arial" w:hAnsi="Arial"/>
                <w:sz w:val="16"/>
                <w:szCs w:val="16"/>
                <w:color w:val="auto"/>
              </w:rPr>
              <w:t>Income tax expense</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(1,791)</w:t>
            </w:r>
          </w:p>
        </w:tc>
        <w:tc>
          <w:tcPr>
            <w:tcW w:w="4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net loss</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(73,782)</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(45,477)</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(19,770)</w:t>
            </w:r>
          </w:p>
        </w:tc>
      </w:tr>
      <w:tr>
        <w:trPr>
          <w:trHeight w:val="203"/>
        </w:trPr>
        <w:tc>
          <w:tcPr>
            <w:tcW w:w="4500" w:type="dxa"/>
            <w:vAlign w:val="bottom"/>
          </w:tcPr>
          <w:p>
            <w:pPr>
              <w:spacing w:after="0"/>
              <w:rPr>
                <w:sz w:val="20"/>
                <w:szCs w:val="20"/>
                <w:color w:val="auto"/>
              </w:rPr>
            </w:pPr>
            <w:r>
              <w:rPr>
                <w:rFonts w:ascii="Arial" w:cs="Arial" w:eastAsia="Arial" w:hAnsi="Arial"/>
                <w:sz w:val="16"/>
                <w:szCs w:val="16"/>
                <w:b w:val="1"/>
                <w:bCs w:val="1"/>
                <w:color w:val="auto"/>
              </w:rPr>
              <w:t>Other comprehensive income / loss</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Items which may be subsequently reclassified to profit and loss</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(411)</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(498)</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367</w:t>
            </w:r>
          </w:p>
        </w:tc>
      </w:tr>
      <w:tr>
        <w:trPr>
          <w:trHeight w:val="203"/>
        </w:trPr>
        <w:tc>
          <w:tcPr>
            <w:tcW w:w="4500" w:type="dxa"/>
            <w:vAlign w:val="bottom"/>
          </w:tcPr>
          <w:p>
            <w:pPr>
              <w:spacing w:after="0"/>
              <w:rPr>
                <w:sz w:val="20"/>
                <w:szCs w:val="20"/>
                <w:color w:val="auto"/>
              </w:rPr>
            </w:pPr>
            <w:r>
              <w:rPr>
                <w:rFonts w:ascii="Arial" w:cs="Arial" w:eastAsia="Arial" w:hAnsi="Arial"/>
                <w:sz w:val="16"/>
                <w:szCs w:val="16"/>
                <w:b w:val="1"/>
                <w:bCs w:val="1"/>
                <w:color w:val="auto"/>
              </w:rPr>
              <w:t>Other comprehensive income / loss after tax</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(411)</w:t>
            </w:r>
          </w:p>
        </w:tc>
        <w:tc>
          <w:tcPr>
            <w:tcW w:w="4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(498)</w:t>
            </w:r>
          </w:p>
        </w:tc>
        <w:tc>
          <w:tcPr>
            <w:tcW w:w="40" w:type="dxa"/>
            <w:vAlign w:val="bottom"/>
          </w:tcPr>
          <w:p>
            <w:pPr>
              <w:spacing w:after="0"/>
              <w:rPr>
                <w:sz w:val="17"/>
                <w:szCs w:val="17"/>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b w:val="1"/>
                <w:bCs w:val="1"/>
                <w:color w:val="auto"/>
              </w:rPr>
              <w:t>n/a</w:t>
            </w:r>
          </w:p>
        </w:tc>
        <w:tc>
          <w:tcPr>
            <w:tcW w:w="680" w:type="dxa"/>
            <w:vAlign w:val="bottom"/>
          </w:tcPr>
          <w:p>
            <w:pPr>
              <w:jc w:val="right"/>
              <w:ind w:right="40"/>
              <w:spacing w:after="0"/>
              <w:rPr>
                <w:sz w:val="20"/>
                <w:szCs w:val="20"/>
                <w:color w:val="auto"/>
              </w:rPr>
            </w:pPr>
            <w:r>
              <w:rPr>
                <w:rFonts w:ascii="Arial" w:cs="Arial" w:eastAsia="Arial" w:hAnsi="Arial"/>
                <w:sz w:val="16"/>
                <w:szCs w:val="16"/>
                <w:b w:val="1"/>
                <w:bCs w:val="1"/>
                <w:color w:val="auto"/>
              </w:rPr>
              <w:t>n/a</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367</w:t>
            </w:r>
          </w:p>
        </w:tc>
      </w:tr>
      <w:tr>
        <w:trPr>
          <w:trHeight w:val="203"/>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loss for the period</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(74,193)</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(45,975)</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n/a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516"/>
              <w:spacing w:after="0"/>
              <w:rPr>
                <w:sz w:val="20"/>
                <w:szCs w:val="20"/>
                <w:color w:val="auto"/>
              </w:rPr>
            </w:pPr>
            <w:r>
              <w:rPr>
                <w:rFonts w:ascii="Arial" w:cs="Arial" w:eastAsia="Arial" w:hAnsi="Arial"/>
                <w:sz w:val="14"/>
                <w:szCs w:val="14"/>
                <w:b w:val="1"/>
                <w:bCs w:val="1"/>
                <w:color w:val="auto"/>
              </w:rPr>
              <w:t>For the year ended December 31,</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3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Air</w:t>
            </w: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Space</w:t>
            </w: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0"/>
              </w:rPr>
              <w:t>Group</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Air</w:t>
            </w: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Space</w:t>
            </w:r>
          </w:p>
        </w:tc>
        <w:tc>
          <w:tcPr>
            <w:tcW w:w="5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Group</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Air</w:t>
            </w:r>
          </w:p>
        </w:tc>
        <w:tc>
          <w:tcPr>
            <w:tcW w:w="8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7"/>
              </w:rPr>
              <w:t>Space</w:t>
            </w:r>
          </w:p>
        </w:tc>
        <w:tc>
          <w:tcPr>
            <w:tcW w:w="4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Group</w:t>
            </w:r>
          </w:p>
        </w:tc>
        <w:tc>
          <w:tcPr>
            <w:tcW w:w="1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40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(in € thousands)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rPr>
              <w:t>(in € thousands)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left="396"/>
              <w:spacing w:after="0" w:line="142" w:lineRule="exact"/>
              <w:rPr>
                <w:sz w:val="20"/>
                <w:szCs w:val="20"/>
                <w:color w:val="auto"/>
              </w:rPr>
            </w:pPr>
            <w:r>
              <w:rPr>
                <w:rFonts w:ascii="Arial" w:cs="Arial" w:eastAsia="Arial" w:hAnsi="Arial"/>
                <w:sz w:val="14"/>
                <w:szCs w:val="14"/>
                <w:b w:val="1"/>
                <w:bCs w:val="1"/>
                <w:color w:val="auto"/>
                <w:w w:val="92"/>
              </w:rPr>
              <w:t>(in €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5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8"/>
              </w:rPr>
              <w:t>(1,263)</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(2,810)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(4,073)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Personnel costs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(660)</w:t>
            </w:r>
          </w:p>
        </w:tc>
        <w:tc>
          <w:tcPr>
            <w:tcW w:w="5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(95)</w:t>
            </w:r>
          </w:p>
        </w:tc>
        <w:tc>
          <w:tcPr>
            <w:tcW w:w="720" w:type="dxa"/>
            <w:vAlign w:val="bottom"/>
          </w:tcPr>
          <w:p>
            <w:pPr>
              <w:jc w:val="right"/>
              <w:spacing w:after="0"/>
              <w:rPr>
                <w:sz w:val="20"/>
                <w:szCs w:val="20"/>
                <w:color w:val="auto"/>
              </w:rPr>
            </w:pPr>
            <w:r>
              <w:rPr>
                <w:rFonts w:ascii="Arial" w:cs="Arial" w:eastAsia="Arial" w:hAnsi="Arial"/>
                <w:sz w:val="18"/>
                <w:szCs w:val="18"/>
                <w:color w:val="auto"/>
              </w:rPr>
              <w:t>(1,811)</w:t>
            </w:r>
          </w:p>
        </w:tc>
        <w:tc>
          <w:tcPr>
            <w:tcW w:w="6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(1,906)</w:t>
            </w:r>
          </w:p>
        </w:tc>
        <w:tc>
          <w:tcPr>
            <w:tcW w:w="20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(621)</w:t>
            </w:r>
          </w:p>
        </w:tc>
        <w:tc>
          <w:tcPr>
            <w:tcW w:w="840" w:type="dxa"/>
            <w:vAlign w:val="bottom"/>
          </w:tcPr>
          <w:p>
            <w:pPr>
              <w:jc w:val="right"/>
              <w:ind w:right="116"/>
              <w:spacing w:after="0"/>
              <w:rPr>
                <w:sz w:val="20"/>
                <w:szCs w:val="20"/>
                <w:color w:val="auto"/>
              </w:rPr>
            </w:pPr>
            <w:r>
              <w:rPr>
                <w:rFonts w:ascii="Arial" w:cs="Arial" w:eastAsia="Arial" w:hAnsi="Arial"/>
                <w:sz w:val="18"/>
                <w:szCs w:val="18"/>
                <w:color w:val="auto"/>
              </w:rPr>
              <w:t>(3,300)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(3,921)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(676)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operating costs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720" w:type="dxa"/>
            <w:vAlign w:val="bottom"/>
          </w:tcPr>
          <w:p>
            <w:pPr>
              <w:jc w:val="right"/>
              <w:spacing w:after="0"/>
              <w:rPr>
                <w:sz w:val="20"/>
                <w:szCs w:val="20"/>
                <w:color w:val="auto"/>
              </w:rPr>
            </w:pPr>
            <w:r>
              <w:rPr>
                <w:rFonts w:ascii="Arial" w:cs="Arial" w:eastAsia="Arial" w:hAnsi="Arial"/>
                <w:sz w:val="18"/>
                <w:szCs w:val="18"/>
                <w:color w:val="auto"/>
              </w:rPr>
              <w:t>(406)</w:t>
            </w:r>
          </w:p>
        </w:tc>
        <w:tc>
          <w:tcPr>
            <w:tcW w:w="6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(92)</w:t>
            </w:r>
          </w:p>
        </w:tc>
        <w:tc>
          <w:tcPr>
            <w:tcW w:w="840" w:type="dxa"/>
            <w:vAlign w:val="bottom"/>
          </w:tcPr>
          <w:p>
            <w:pPr>
              <w:jc w:val="right"/>
              <w:ind w:right="116"/>
              <w:spacing w:after="0"/>
              <w:rPr>
                <w:sz w:val="20"/>
                <w:szCs w:val="20"/>
                <w:color w:val="auto"/>
              </w:rPr>
            </w:pPr>
            <w:r>
              <w:rPr>
                <w:rFonts w:ascii="Arial" w:cs="Arial" w:eastAsia="Arial" w:hAnsi="Arial"/>
                <w:sz w:val="18"/>
                <w:szCs w:val="18"/>
                <w:color w:val="auto"/>
              </w:rPr>
              <w:t>(487)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€6,087 thousand relating to the audit of our financial statements, the remuneration for the members of our supervisory board as well as insurance costs related to our IPO in the United States.</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€1,489 thousand relating to the audit of our financial statements, the remuneration for the members of our supervisory board as well as other IPO-related advisory costs.</w:t>
      </w:r>
    </w:p>
    <w:p>
      <w:pPr>
        <w:ind w:left="540" w:right="2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non-segment specific expenses in the amount of €443 thousand relating to the preparation and audit of our financial statements as well as remuneration for the members of our supervisory board.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86"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Revenue increased from €2,355 thousand in 2021 to €4,422 thousand in 2022. This increase is mainly the result of several milestone payments in the amount of €2,589 thousand made by SpaceLink being recognized as revenue since we terminated our agreement with SpaceLink in late 2022 for default. The increase was further driven by the increase in deliveries of our CONDOR and HAWK terminals to initial customers in 2022.</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On a regional level, revenue in our Space segment in 2022 consisted exclusively of revenue generated from three customers (including SpaceLink) in the United States. Revenue in our Air segment in 2022 consisted exclusively of revenue generated from two customers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increased significantly from €679 thousand in 2020 to €2,355 thousand in 2021, due to a substantial increase in revenue in our Space segment driven by sales of our CONDOR terminals and the increase in development and training services relating to our CONDOR terminals. Our Air segment generated no revenue in 2021.</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 regional level, revenue in our Space segment in 2021 consisted exclusively of revenue from sales in the United States.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Other operating income increased significantly from €435 thousand in 2021 to €2,376 thousand in 2022, primarily due to income from grants generated under the DARPA Space-BACN program and two ESA programs.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Other operating income increased by 47.5% from €295 thousand in 2020 to €435 thousand in 2021, primarily due to income from the reversal of liabilities related to the termination of a contract and income from government grants related to technology development programs.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Materials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our cost of materials for the periods presented:</w:t>
      </w:r>
    </w:p>
    <w:p>
      <w:pPr>
        <w:spacing w:after="0" w:line="244"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16376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ind w:left="7720"/>
        <w:spacing w:after="0"/>
        <w:tabs>
          <w:tab w:leader="none" w:pos="8720" w:val="left"/>
          <w:tab w:leader="none" w:pos="96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-3175</wp:posOffset>
            </wp:positionV>
            <wp:extent cx="1637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7665" cy="8255"/>
                    </a:xfrm>
                    <a:prstGeom prst="rect">
                      <a:avLst/>
                    </a:prstGeom>
                    <a:noFill/>
                  </pic:spPr>
                </pic:pic>
              </a:graphicData>
            </a:graphic>
          </wp:anchor>
        </w:drawing>
      </w:r>
    </w:p>
    <w:p>
      <w:pPr>
        <w:ind w:left="8340"/>
        <w:spacing w:after="0" w:line="232" w:lineRule="auto"/>
        <w:rPr>
          <w:sz w:val="20"/>
          <w:szCs w:val="20"/>
          <w:color w:val="auto"/>
        </w:rPr>
      </w:pPr>
      <w:r>
        <w:rPr>
          <w:rFonts w:ascii="Arial" w:cs="Arial" w:eastAsia="Arial" w:hAnsi="Arial"/>
          <w:sz w:val="14"/>
          <w:szCs w:val="14"/>
          <w:b w:val="1"/>
          <w:bCs w:val="1"/>
          <w:color w:val="auto"/>
        </w:rPr>
        <w:t>(in € thousands)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(15,434)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(10,624)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(6,221)</w:t>
            </w: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i w:val="1"/>
                <w:iCs w:val="1"/>
                <w:color w:val="auto"/>
              </w:rPr>
              <w:t>Of which own work capitalized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689</w:t>
            </w:r>
          </w:p>
        </w:tc>
        <w:tc>
          <w:tcPr>
            <w:tcW w:w="3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1,995</w:t>
            </w:r>
          </w:p>
        </w:tc>
        <w:tc>
          <w:tcPr>
            <w:tcW w:w="3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4,073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materials excluding own work capitalized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(14,745)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(8,629)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(2,148)</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Cost of materials increased by 45.3% from €10,624 thousand in 2021 to €15,434 thousand in 2022, primarily due to a substantial increase of raw materials and consumables used in connection with the production of our CONDOR terminals. The increase was further driven by slightly higher costs for services purchased, which included costs for development services through external research institutes and costs for external processing of certain components used in the production process. Cost of materials in 2022 also included write-downs for raw materials and consumables in the amount of €5,601 thousand (2021: €2,039 thousand) mainly relating to the first and second product versions of our CONDOR terminals.</w:t>
      </w:r>
    </w:p>
    <w:p>
      <w:pPr>
        <w:spacing w:after="0" w:line="16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portion of own work capitalized included in cost of materials decreased by 65.5% from €1,995 thousand in 2021 to €689 thousand in 2022, primarily due to the completion of the development of our SPACE technology in March 2021. Cost of materials excluding own work capitalized increased by 70.9% from €8,629 thousand in 2021 to €14,745 thousand in 2022, primarily due to a substantial increase of raw materials and consumables used in connection with the production of our CONDOR terminals and higher costs for services purchased.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Cost of materials increased by 70.8% from €6,221 thousand in 2020 to €10,624 thousand in 2021, primarily due to a substantial increase of raw materials and consumables used driven by our requirements for increased quantity of materials in connection with the production of our CONDOR terminals. The increase was further driven by higher costs for services purchased, which included costs for development services through external research institutes and costs for external processing of certain components used in the production process. In addition, cost of materials in 2021 included write-downs for raw materials and consumables for the first and second product versions of our CONDOR terminals in the amount of €2,039 thousand (2020: €0 thousand).</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portion of own work capitalized included in cost of materials decreased by 51.0% from €4,073 thousand in 2020 to €1,995 thousand in 2021, primarily due to the completion of the development of our AIR technology in June 2020 and our SPACE technology in March 2021. Cost of materials excluding own work capitalized increased significantly from €2,148 thousand in 2020 to €8,629 thousand in 2021, primarily reflecting the substantial increase of raw materials and consumables used driven by the increased production of our CONDOR terminals.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our personnel costs for the periods presented:</w:t>
      </w:r>
    </w:p>
    <w:p>
      <w:pPr>
        <w:spacing w:after="0" w:line="244"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6350</wp:posOffset>
            </wp:positionV>
            <wp:extent cx="1697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ind w:left="7620"/>
        <w:spacing w:after="0"/>
        <w:tabs>
          <w:tab w:leader="none" w:pos="8620" w:val="left"/>
          <w:tab w:leader="none" w:pos="96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-3175</wp:posOffset>
            </wp:positionV>
            <wp:extent cx="16973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ind w:left="8300"/>
        <w:spacing w:after="0" w:line="232" w:lineRule="auto"/>
        <w:rPr>
          <w:sz w:val="20"/>
          <w:szCs w:val="20"/>
          <w:color w:val="auto"/>
        </w:rPr>
      </w:pPr>
      <w:r>
        <w:rPr>
          <w:rFonts w:ascii="Arial" w:cs="Arial" w:eastAsia="Arial" w:hAnsi="Arial"/>
          <w:sz w:val="14"/>
          <w:szCs w:val="14"/>
          <w:b w:val="1"/>
          <w:bCs w:val="1"/>
          <w:color w:val="auto"/>
        </w:rPr>
        <w:t>(in € thousands)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(37,410)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(23,365)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(16,834)</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i w:val="1"/>
                <w:iCs w:val="1"/>
                <w:color w:val="auto"/>
              </w:rPr>
              <w:t>Of which own work capitalized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665</w:t>
            </w:r>
          </w:p>
        </w:tc>
        <w:tc>
          <w:tcPr>
            <w:tcW w:w="3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1,906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3,921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Personnel expenses (i.e., personnel costs excluding own work capitalized)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8"/>
              </w:rPr>
              <w:t>(36,745)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(21,459)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(12,913)</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Personnel costs increased by 60.1% from €23,365 thousand in 2021 to €37,410 thousand in 2022, primarily due to the significant increase in our headcount from 248.9 FTEs (as of December 31, 2021) to 328.8 FTEs (as of December 31, 2022) to support the ramp-up of our serial production for our CONDOR and HAWK products, to increase resources in administrative functions and to support our growing research and development as well as marketing and sales activities. Included in personnel costs are share-based payments amounting to €6,133 thousand in 2022, the majority of which related to the grants made under the restricted stock units program (the “RSU Program”) implemented in 2021 and the other stock option programs.</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portion of own work capitalized included in personnel costs decreased by 65.1% from €1,906 thousand in 2021 to €665 thousand in 2022, primarily due to the completion of the development of our SPACE technology in March 2021. Personnel expenses (</w:t>
      </w:r>
      <w:r>
        <w:rPr>
          <w:rFonts w:ascii="Arial" w:cs="Arial" w:eastAsia="Arial" w:hAnsi="Arial"/>
          <w:sz w:val="18"/>
          <w:szCs w:val="18"/>
          <w:i w:val="1"/>
          <w:iCs w:val="1"/>
          <w:color w:val="auto"/>
        </w:rPr>
        <w:t>i.e.</w:t>
      </w:r>
      <w:r>
        <w:rPr>
          <w:rFonts w:ascii="Arial" w:cs="Arial" w:eastAsia="Arial" w:hAnsi="Arial"/>
          <w:sz w:val="18"/>
          <w:szCs w:val="18"/>
          <w:color w:val="auto"/>
        </w:rPr>
        <w:t>, personnel costs excluding own work capitalized) increased by 71.2% from €21,459 thousand in 2021 to €36,745 thousand in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Personnel costs increased by 38.8% from €16,834 thousand in 2020 to €23,365 thousand in 2021, primarily due to the significant increase in our headcount to support the ramp-up of our serial production for our CONDOR and HAWK products and to support the increase in our research and development as well as marketing and sales activities. Wages and salaries increased from €13,585 thousand in 2020 to €18,185 thousand in 2021, primarily due to the significant increase in our headcount from 186.6 FTEs (as of December 31, 2020) to 248.9 FTEs (as of December 31, 2021). Included in personnel costs are share-based payments amounting to €1,942 thousand in 2021, the majority of which related to the grants made under the RSU Program implemented by the Company in 2021. In 2020, share-based payments amounted to €1,125 thousand, mainly relating to stock options granted under stock option program 2020 as well as the accelerated vesting of stock options due to the resignation of two (former) members of our management board.</w:t>
      </w:r>
    </w:p>
    <w:p>
      <w:pPr>
        <w:spacing w:after="0" w:line="192"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portion of own work capitalized included in personnel costs decreased by 51.4% from €3,921 thousand in 2020 to €1,906 thousand in 2021, primarily due to the completion of the development of our AIR technology in June 2020 and our SPACE technology in March 2021. Personnel expenses (</w:t>
      </w:r>
      <w:r>
        <w:rPr>
          <w:rFonts w:ascii="Arial" w:cs="Arial" w:eastAsia="Arial" w:hAnsi="Arial"/>
          <w:sz w:val="16"/>
          <w:szCs w:val="16"/>
          <w:i w:val="1"/>
          <w:iCs w:val="1"/>
          <w:color w:val="auto"/>
        </w:rPr>
        <w:t>i.e.</w:t>
      </w:r>
      <w:r>
        <w:rPr>
          <w:rFonts w:ascii="Arial" w:cs="Arial" w:eastAsia="Arial" w:hAnsi="Arial"/>
          <w:sz w:val="16"/>
          <w:szCs w:val="16"/>
          <w:color w:val="auto"/>
        </w:rPr>
        <w:t>, personnel costs excluding own work capitalized) increased by 66.2% from €12,913 thousand in 2020 to €21,459 thousand in 2021.</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86"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Amortization and Impairments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our depreciation, amortization and impairments for the periods presented:</w:t>
      </w:r>
    </w:p>
    <w:p>
      <w:pPr>
        <w:spacing w:after="0" w:line="24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6350</wp:posOffset>
            </wp:positionV>
            <wp:extent cx="17316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ind w:left="7620"/>
        <w:spacing w:after="0"/>
        <w:tabs>
          <w:tab w:leader="none" w:pos="8600" w:val="left"/>
          <w:tab w:leader="none" w:pos="96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wp:posOffset>
            </wp:positionV>
            <wp:extent cx="17316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ind w:left="8280"/>
        <w:spacing w:after="0" w:line="232" w:lineRule="auto"/>
        <w:rPr>
          <w:sz w:val="20"/>
          <w:szCs w:val="20"/>
          <w:color w:val="auto"/>
        </w:rPr>
      </w:pPr>
      <w:r>
        <w:rPr>
          <w:rFonts w:ascii="Arial" w:cs="Arial" w:eastAsia="Arial" w:hAnsi="Arial"/>
          <w:sz w:val="14"/>
          <w:szCs w:val="14"/>
          <w:b w:val="1"/>
          <w:bCs w:val="1"/>
          <w:color w:val="auto"/>
        </w:rPr>
        <w:t>(in € thousands)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(7,989)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(1,843)</w:t>
            </w: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i w:val="1"/>
                <w:iCs w:val="1"/>
                <w:color w:val="auto"/>
              </w:rPr>
              <w:t>Of which own work capitalized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112</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287</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802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Depreciation, amortization and impairments excluding own work capitalized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(7,877)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(4,231)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(1,041)</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Depreciation, amortization and impairments increased by 76.8% from €4,518 thousand in 2021 to €7,989 thousand in 2022, primarily due to the impairment of our adapted SPACE technology for MEO-based constellations, which accounted for a total impairment loss of €1,531 thousand, and the ongoing amortization of our SPACE technology and AIR technology, which accounted for €1,075 thousand and €284 thousand, respectively, of amortization in 2022. The increase was further driven by higher investments in the expansion of our development and production infrastructure, which includes investments in our customized production facility in Oberpfaffenhofen and in additional production equipment in the United States. In addition, the increase in depreciation of right-of-use assets further contributed to the increase due to the additional office space being leased in Washington D.C. and Los Angeles.</w:t>
      </w:r>
    </w:p>
    <w:p>
      <w:pPr>
        <w:spacing w:after="0" w:line="195"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portion of own work capitalized included in depreciation, amortization and impairments decreased by 61.0% from €287 thousand in 2021 to €112 thousand in 2022, due to the completion of the development of our SPACE technology in March 2021. Depreciation, amortization and impairments excluding own work capitalized increased significantly from €4,231 thousand in 2021 to €7,877 thousand in 2022, primarily due to driven by higher investments in the expansion of our development and production infrastructure and the increase in depreciation of right-of-use assets.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Depreciation, amortization and impairments increased by 145.1% from €1,843 thousand in 2020 to €4,518 thousand in 2021, primarily due to higher investments in the expansion of our development and production infrastructure, which includes our customized production facility in Oberpfaffenhofen and additional production equipment. The increase was further driven by the initial amortization of our SPACE technology and the ongoing amortization of our AIR technology, which accounted for €1,174 thousand of amortization in 2021. In addition, the increase in depreciation of right-of-use assets further contributed to the increase due to the additional office space being leased in Washington D.C. and Los Angeles.</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portion of own work capitalized included in depreciation, amortization and impairments decreased by 64.2% from €802 thousand in 2020 to €287 thousand in 2021, due to the completion of the development of our AIR technology in June 2020 and our SPACE technology in March 2021. Depreciation, amortization and impairments excluding own work capitalized increased significantly from €1,041 thousand in 2020 to €4,231 thousand in 2021, primarily due to higher investments in the expansion of our development and production infrastructure.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our other operating costs for the periods presented: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(in €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 operating costs</w:t>
            </w:r>
            <w:r>
              <w:rPr>
                <w:rFonts w:ascii="Arial" w:cs="Arial" w:eastAsia="Arial" w:hAnsi="Arial"/>
                <w:sz w:val="25"/>
                <w:szCs w:val="25"/>
                <w:color w:val="auto"/>
                <w:vertAlign w:val="superscript"/>
              </w:rPr>
              <w:t>(1)</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8"/>
              </w:rPr>
              <w:t>(22,082)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(11,830)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i w:val="1"/>
                <w:iCs w:val="1"/>
                <w:color w:val="auto"/>
              </w:rPr>
              <w:t>Of which own work capitalized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101</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427</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shd w:val="clear" w:color="auto" w:fill="CCEEFF"/>
              </w:rPr>
              <w:t>Other operating expenses (i.e., other operating costs excluding own work capitalized)</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8"/>
                <w:shd w:val="clear" w:color="auto" w:fill="CCEEFF"/>
              </w:rPr>
              <w:t>(21,981)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shd w:val="clear" w:color="auto" w:fill="CCEEFF"/>
              </w:rPr>
              <w:t>(11,403)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shd w:val="clear" w:color="auto" w:fill="CCEEFF"/>
              </w:rPr>
              <w:t>(4,765)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2011"/>
              <w:spacing w:after="0"/>
              <w:rPr>
                <w:sz w:val="20"/>
                <w:szCs w:val="20"/>
                <w:color w:val="auto"/>
              </w:rPr>
            </w:pPr>
            <w:r>
              <w:rPr>
                <w:rFonts w:ascii="Arial" w:cs="Arial" w:eastAsia="Arial" w:hAnsi="Arial"/>
                <w:sz w:val="18"/>
                <w:szCs w:val="18"/>
                <w:color w:val="auto"/>
              </w:rPr>
              <w:t>66</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Other operating costs increased by 86.7% from €11,830 thousand in 2021 to €22,082 thousand in 2022, primarily due to the significant increase in legal and consulting fees, selling and travel costs, increase in office and IT costs related to the our new SAP ERP system and onerous contract provision, as well as increased insurance costs relating to directors’ and officers’ (“D&amp;O”) insurance purchased in connection with our initial public offering in the U.S. in late 2021.</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portion of own work capitalized included in other operating costs decreased by 76.3% from €427 thousand in 2021 to €101 thousand in 2022, primarily due to the completion of the development of our SPACE technology in March 2021. Other operating expenses (</w:t>
      </w:r>
      <w:r>
        <w:rPr>
          <w:rFonts w:ascii="Arial" w:cs="Arial" w:eastAsia="Arial" w:hAnsi="Arial"/>
          <w:sz w:val="18"/>
          <w:szCs w:val="18"/>
          <w:i w:val="1"/>
          <w:iCs w:val="1"/>
          <w:color w:val="auto"/>
        </w:rPr>
        <w:t>i.e.</w:t>
      </w:r>
      <w:r>
        <w:rPr>
          <w:rFonts w:ascii="Arial" w:cs="Arial" w:eastAsia="Arial" w:hAnsi="Arial"/>
          <w:sz w:val="18"/>
          <w:szCs w:val="18"/>
          <w:color w:val="auto"/>
        </w:rPr>
        <w:t>, other operating costs excluding own work capitalized) increased significantly from €11,403 thousand in 2021 to €21,981 thousand in 2021, primarily due to legal and consulting fees, selling and travel costs, increase in office and IT costs related to the our new SAP ERP system and onerous contract provision, as well as increased D&amp;O insurance costs.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Other operating costs increased by 121.4% from €5,344 thousand in 2020 to €11,830 thousand in 2021, primarily due to the increase in office and IT costs related to the implementation of a new SAP ERP system, which we completed in early 2022. We also incurred higher costs relating to selling and travel, other business supplies, equipment and services, as well as costs relating to IPO insurance required for our initial public offering in the U.S. in late 2021.</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portion of own work capitalized included in other operating costs decreased by 26.3% from €579 thousand in 2020 to €427 thousand in 2021, primarily due to the completion of the development of our AIR technology in June 2020 and our SPACE technology in March 2021. Other operating expenses (</w:t>
      </w:r>
      <w:r>
        <w:rPr>
          <w:rFonts w:ascii="Arial" w:cs="Arial" w:eastAsia="Arial" w:hAnsi="Arial"/>
          <w:sz w:val="17"/>
          <w:szCs w:val="17"/>
          <w:i w:val="1"/>
          <w:iCs w:val="1"/>
          <w:color w:val="auto"/>
        </w:rPr>
        <w:t>i.e.</w:t>
      </w:r>
      <w:r>
        <w:rPr>
          <w:rFonts w:ascii="Arial" w:cs="Arial" w:eastAsia="Arial" w:hAnsi="Arial"/>
          <w:sz w:val="17"/>
          <w:szCs w:val="17"/>
          <w:color w:val="auto"/>
        </w:rPr>
        <w:t>, other operating costs excluding own work capitalized) increased by 139.3% from €4,765 thousand in 2020 to €11,403 thousand in 2021, primarily due to the increase in ongoing IT costs related to the implementation of a new SAP ERP system.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Inventories of Finished Goods and Work in Progress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in inventories of finished goods and work in progress for the periods presented is comprised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7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6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 of work in progress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Increase in inventories finished goods</w:t>
            </w:r>
          </w:p>
        </w:tc>
        <w:tc>
          <w:tcPr>
            <w:tcW w:w="70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4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Write-downs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Total changes in inventories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12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Changes in inventories of finished goods and work in progress increased from €568 thousand in 2021 to €760 thousand in 2022, primarily due to the ongoing preparations for serial production driving the significant increase in inventories of work in progress. This increase was partially offset by write downs of finished goods and work in progress, which primarily related to the second product version of our CONDOR terminals that were written down to their recoverable amount. This is based on the decision to discontinue production and marketing of the first product version of our CONDOR terminal and to reduce production and marketing of the second product version of our CONDOR terminal in order to meet the increased demand for our advanced third generation CONDOR terminal.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Change in inventories of finished goods and work in progress decreased from €637 thousand in 2020 to €568 thousand in 2021, primarily driven by higher write-downs in the amount of €462 thousand with respect to the first and second product versions of our CONDOR terminals.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86" w:right="4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 Work Capitalized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Own work capitalized for the periods presented is comprised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7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2022</w:t>
            </w:r>
          </w:p>
        </w:tc>
        <w:tc>
          <w:tcPr>
            <w:tcW w:w="10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Personnel costs</w:t>
            </w:r>
          </w:p>
        </w:tc>
        <w:tc>
          <w:tcPr>
            <w:tcW w:w="660" w:type="dxa"/>
            <w:vAlign w:val="bottom"/>
          </w:tcPr>
          <w:p>
            <w:pPr>
              <w:jc w:val="right"/>
              <w:spacing w:after="0"/>
              <w:rPr>
                <w:sz w:val="20"/>
                <w:szCs w:val="20"/>
                <w:color w:val="auto"/>
              </w:rPr>
            </w:pPr>
            <w:r>
              <w:rPr>
                <w:rFonts w:ascii="Arial" w:cs="Arial" w:eastAsia="Arial" w:hAnsi="Arial"/>
                <w:sz w:val="18"/>
                <w:szCs w:val="18"/>
                <w:color w:val="auto"/>
              </w:rPr>
              <w:t>665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1,906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3,921</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Depreciation, amortization and impairment of other intangible assets and property,</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plant and equipment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operating costs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own work capitalized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4,615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Own work capitalized decreased by 66.0% from €4,615 thousand in 2021 to €1,567 thousand in 2022, primarily due to significantly lower development costs relating to the ongoing adaptation of our SPACE technology (the development of which was initially finalized and followed by customer deliveries in March 2021) for the MEO environment. The decrease in own work capitalized with respect to property, plant and equipment, which in 2022 included the construction of a new link testbed in the United States and the use of HAWK and CONDOR terminals for internal testing and development purposes, further contributed to the overall decrease in own work capitalized.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Own work capitalized decreased by 50.8% from €9,375 thousand in 2020 to €4,615 thousand in 2021, primarily due to the final development of our SPACE technology, followed by delivery of our products based on such final technology to customers in March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Operating loss increased by 74.2% from €42,364 thousand in 2021 to €73,790 thousand in 2022, primarily due to higher investments in our development, production and IT infrastructure and higher personnel costs resulting from headcount growth. The substantial increase in operating loss was further driven by the completion of the development of our AIR technology in mid-2020 and of our SPACE technology in March 2021, following which most expenses incurred to maintain the value of our AIR and SPACE technology have been recognized as expenses, see “—Key Factors Affecting Our Results of Operations—Research &amp; Development.” Broken down by segment, the increase in operating loss was primarily driven by our Space segment.</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our Space segment, operating loss increased by 55.5% from a loss of €30,082 thousand in 2021 to a loss of €46,773 thousand in 2022, which was mainly due to higher personnel costs, and other operating expenses. Furthermore, as we completed the development of our SPACE technology in March 2021, the majority of subsequent expenses incurred in connection with our SPACE technology have been recognized as expenses, which further contributed to the increase in operating loss in our Space segment in 2022.</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our Air segment, operating loss increased by 93.9% from a loss of €10,793 thousand in 2021 to a loss of €20,929 thousand in 2022, mainly due to significantly higher personnel costs, cost of purchased material and services and other operating expenses. The increase in operating loss was further impacted by the completion of the development of our AIR technology in mid-2020 following which all expenses incurred to maintain the value of our AIR technology have been recognized as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Operating loss increased by 120.0% from €19,257 thousand in 2020 to €42,364 thousand in 2021, primarily due to higher investments in our development and production infrastructure and higher personnel costs resulting from headcount growth. The substantial increase in operating loss was further driven by the completion of the development of our AIR technology in mid-2020 and of our SPACE technology in March 2021 following which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86"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w:t>
      </w:r>
    </w:p>
    <w:p>
      <w:pPr>
        <w:spacing w:after="0" w:line="18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our Space segment, operating loss increased by 142.8% from a loss of €12,391 thousand in 2020 to €30,082 thousand in 2021, which was mainly due to significantly higher personnel costs and cost of purchased material and services in connection with the initial development and ongoing improvements of our space products. Furthermore, as we completed the development of our SPACE technology in March 2021, all subsequent expenses incurred in connection with our SPACE technology have been recognized as expenses, which further contributed to the increase in operating loss in our Space segment in 2021.</w:t>
      </w:r>
    </w:p>
    <w:p>
      <w:pPr>
        <w:spacing w:after="0" w:line="18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In our Air segment, operating loss increased by 68.0% from a loss of €6,423 thousand in 2020 to €10,793 thousand in 2021, mainly due to the significantly higher personnel costs and cost of purchased material and services in connection with the initial development and ongoing improvements of our space products. The increase in operating loss was further impacted by the completion of the development of our AIR technology in mid-2020 following which all expenses incurred to maintain the value of our AIR technology have been recognized as expenses.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Finance Income /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Net finance income / costs decreased from negative €1,322 thousand in 2021 to a gain of €29 thousand in 2022, primarily driven by a significant net foreign exchange gain of €2,574 thousand. This development was partially offset by higher interest and similar expenses primarily relating to the credit agreement we entered into with Formue Nord Fokus A/S, Modelio Equity AB (publ) and Munkekullen 5 förvaltning AB on May 2, 2022.</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Net finance income / costs increased by 157.7% from negative €513 thousand in 2020 to negative €1,322 thousand in 2021 due to higher interest and similar expenses primarily relating to the credit agreement we entered into with Formue Nord Fokus A/S, Modelio Equity AB (publ) and Munkekullen 5 förvaltning AB on September 15, 2021. This increase was partially offset by a net foreign exchange gain of €826 thousand in 2021 compared to a net foreign exchange loss of €531 thousand in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before Tax</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2021 and December 31,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before tax increased by 68.9% from €43,686 thousand in 2021 to €73,806 thousand in 2022, due to the foregoing reasons.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2020 and December 31, 2021</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Loss before taxes increased by 121.0% from a loss of €19,770 thousand in 2020 to a loss of €43,686 thousand in 2021 due to the foregoing reasons.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Since our inception, we have not generated significant revenue from the sale of our technology or products and have incurred significant operating losses and negative cash flows from our operations. We are currently in the early phases of serial production and have only recently begun to monetize our technology. To date, we have primarily raised capital and funded our operations with proceeds from the sale of our ordinary shares as well as debt financing. We have also received limited grants from government agencies and similar bodies like the European Union for participation in specific research and development projects. For the year ended December 31, 2022, we recognized a consolidated net loss of €73.8 million. As of December 31, 2022, our net current assets amounted to €30.4 million. In September 2021, we entered into a credit agreement for a credit line of approximately €25 million (see “—Credit Agreement 2021” below), which we fully repaid with the proceeds from our U.S. initial public offering in November 2021. On May 2, 2022, we entered into another credit agreement with the same lenders as under the initial credit agreement for a credit line of €25 million, which we fully repaid with the proceeds from the Credit Agreement 2023 entered into in April 2023 (see “—Credit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86"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Agreement 2022” below). In addition, in July 2022, L3Harris invested approximately €11.2 million by means of a capital increase from authorized capital in exchange for 409,294 new ordinary shares. In connection with this equity investment, we and L3Harris agreed on a strategic cooperation framework pursuant to which we will serve as preferred provider of laser communication solutions to L3Harris and L3Harris, in return, was granted certain collaboration privileges. Subsequently, in April 2023, we entered into the Credit Agreement 2023, a secured loan agreement entered into with , two funds affiliated with a U.S.-based global investment management firm (the “Lenders”), in an amount of $75 million. Concurrently with the entry into the Credit Agreement 2023, two affiliates of the Lenders invested approximately €12.4 million by means of a capital increase from authorized capital in exchange for an aggregate of 565,224 new ordinary shares, which will correspond to an aggregate of 9.1% of our share capital following registration of the capital increase that is currently pending (see “—Debt/Equity Financing with Funds Affiliated with a U.S.-based Global Investment Management Firm” below). As of the date of this Annual Report, we had €51.8 million in available liquidity primarily consisting of cash and cash equivalents.</w:t>
      </w:r>
    </w:p>
    <w:p>
      <w:pPr>
        <w:spacing w:after="0" w:line="194"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have planned for significant increases in revenue and cash inflows in 2023 and 2024 as we ramp up the commercial production of our CONDOR and HAWK terminals. While a significant portion of the revenue planned for 2023 is contractually committed, significant amounts of the revenue planned for 2024 are not contractually committed and are based on our expectations regarding the outcome of major public project tenders and negotiations with potential or existing customers. We are actively pursuing multiple commercial opportunities to sell our CONDOR and HAWK terminals to a strongly expanding customer base. To realize these planned increases in revenue, we will need to make additional investments in property, plant and equipment and development and refinement of our products, which will require additional sources of liquidity and financing.</w:t>
      </w:r>
    </w:p>
    <w:p>
      <w:pPr>
        <w:spacing w:after="0" w:line="16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Based on our liquidity position as of the date of this Annual Report and our management’s forecast of sources and uses of cash and cash equivalents, we believe that we have sufficient liquidity to finance our operations over at least the next twelve months from the date of this Annual Report. However, there can be no assurance that revenue and the corresponding customer payments will be generated in the amount as expected or at the time needed. A shortfall of revenues and of the corresponding customer payments compared to the budget could require additional external financing to meet our current operational planning. In such a situation, if we should be unable to obtain such additional financing or take other timely actions in response to such circumstances, for example significantly curtailing its current operational budget in 2024, we may be unable to continue as a going concern. As a result, these events and conditions indicate that a material uncertainty exists that may cast significant doubt on our ability to continue as a going concern and, therefore, we may be unable to realize our assets and discharge our liabilities in the normal course of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 2021</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On September 15, 2021, we entered into a credit agreement with Formue Nord Fokus A/S, Modelio Equity AB (publ) and Munkekullen 5 förvaltning AB as lenders for a credit line of approximately €25 million. Any loans under the credit agreement were subject to a drawdown fee of 1% of the utilized amount (minimum amount of €5 million) and an interest rate of 1% per beginning 30 days. Under the credit agreement, we were also required to pay a commitment fee totaling 6% of the aggregate commitment of approximately €25 million. The loan agreement had a maturity date of March 31, 2022 subject to an option for a one-time extension for three months. Following the closing of our initial public offering in the United States, on December 3, 2021, we repaid the outstanding loan amount (plus outstanding interest) under the credit agreement with the proceeds from our initial public offering.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 2022</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On May 2, 2022, we entered into a credit agreement with Formue Nord Fokus A/S, Modelio Equity AB (publ) and Munkekullen 5 förvaltning AB as lenders for a credit line of €25 million until June 30, 2023. A loan in a nominal amount of €10 million was disbursed thereunder shortly after the date of the credit agreement. In November 2022, we have drawn down an additional amount of approximately €3.1 million. Outstanding loans under the credit agreement were subject to interest rates of 1% per beginning 30-day period commencing in 2022 and 1.25% on any outstanding loan amount per beginning 30-day period commencing in 2023. The credit agreement also required us to pay a commitment fee totaling 6% of the aggregate commitments of €25 million. The commitment fee and interest on the drawn amount were due and payable together with the repayment of the loan amount(s). Following the closing of the Credit Agreement 2023 on April 25, 2023, we repaid the outstanding loan amount (plus outstanding interest) under the 2022 credit agreement with the proceeds from the Credit Agreement 2023.</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86"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480"/>
        <w:spacing w:after="0" w:line="375" w:lineRule="auto"/>
        <w:rPr>
          <w:sz w:val="20"/>
          <w:szCs w:val="20"/>
          <w:color w:val="auto"/>
        </w:rPr>
      </w:pPr>
      <w:r>
        <w:rPr>
          <w:rFonts w:ascii="Arial" w:cs="Arial" w:eastAsia="Arial" w:hAnsi="Arial"/>
          <w:sz w:val="18"/>
          <w:szCs w:val="18"/>
          <w:b w:val="1"/>
          <w:bCs w:val="1"/>
          <w:i w:val="1"/>
          <w:iCs w:val="1"/>
          <w:color w:val="auto"/>
        </w:rPr>
        <w:t xml:space="preserve">Debt/Equity Financing with Funds Affiliated with a U.S.-based Global Investment Management Firm </w:t>
      </w:r>
      <w:r>
        <w:rPr>
          <w:rFonts w:ascii="Arial" w:cs="Arial" w:eastAsia="Arial" w:hAnsi="Arial"/>
          <w:sz w:val="18"/>
          <w:szCs w:val="18"/>
          <w:i w:val="1"/>
          <w:iCs w:val="1"/>
          <w:color w:val="auto"/>
        </w:rPr>
        <w:t>Credit Agreement 2023</w:t>
      </w:r>
    </w:p>
    <w:p>
      <w:pPr>
        <w:spacing w:after="0" w:line="1"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On April 25, 2023, our subsidiary, Mynaric USA, entered into a new five-year term loan credit agreement with two funds affiliated with a U.S.-based global investment management firm (the Lenders), and Alter Domus (US) LLC, as administrative agent (the Credit Agreement 2023). Pursuant to the Credit Agreement 2023, the Lenders agreed to provide Mynaric USA with a secured term loan facility in an aggregate principal amount of $75 million. Mynaric USA drew the full amount of the facility (subject to a 1% original issue discount) on the day of the execution of the agreement. In connection with the Credit Agreement 2023, two affiliates of the Lenders agreed to subscribe for and purchase an aggregate of 565,224 new ordinary shares of the Company, which will correspond to an aggregate of 9.1% of our share capital following registration of the capital increase (which is currently pending). For more information on our business, see “—Equity Investment.”</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loans under the Credit Agreement 2023 are guaranteed by Mynaric AG and each of its subsidiaries, and are secured by a security interest in substantially all of the assets of the borrower and each of the guarantors. Future subsidiaries of the Company are also required to become guarantors of the loans and to grant a security interest in their assets as security for the loans.</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 portion of the proceeds of the loans were used to repay in full the Company’s existing indebtedness under the credit agreement entered into in 2022 and for fees and expenses associated with entering into the Credit Agreement 2023, and the balance will be used for general corporate purposes. The loans under the Credit Agreement 2023 bear interest at a rate equal to Term SOFR for a 3-month tenor (subject to a 2% floor), plus a margin of 10%, and for the first two years, interest in an amount equal to 3% can be paid in kind by increasing the principal amount of the loans. The agreement also required Mynaric USA to pay a 1% commitment fee at the time of the drawdown of the loans, and requires Mynaric USA to pay an exit fee to the Lenders at the time the loans are repaid, prepaid or accelerated. The exit fee is calculated as 200% of “invested capital” less the cumulative amount of principal repayments and cash interest payments on the loans received prior to the exit date, with “invested capital” defined to mean $74,250,000 plus the aggregate amount by which the principal amount of the loans is increased as a result of the payment of interest in kind. The exit fee percentage would be reduced to 185% if the exit fee is triggered prior to the fourth anniversary of the drawdown date and 180% if triggered prior to the third anniversary of the drawdown date. In addition, certain partial mandatory prepayments require the payment of a portion of the exit fee prior to the full repayment of the facility.</w:t>
      </w:r>
    </w:p>
    <w:p>
      <w:pPr>
        <w:spacing w:after="0" w:line="182"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Credit Agreement 2023 contains customary events of default, as well as customary affirmative and negative covenants, including covenants that limit the ability of the borrower and the guarantors to incur indebtedness or liens, make investments, sell assets, pay dividends or engage in mergers or other corporate transactions. Each such covenant is subject to customary exceptions and qualifications. In addition, the Credit Agreement 2023 contains financial maintenance covenants, including a covenant requiring the Company not to exceed a specified consolidated leverage ratio (as calculated in accordance with the agreement) as of the end of any quarter commencing with the quarter ending March 31, 2025 and a covenant requiring the Company to maintain minimum average weekly liquidity of $10 million during each quarter, commencing with the quarter ending June 30, 2023.</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Investment</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In connection with the Credit Agreement 2023, on April 25, 2023, the Company and two affiliates of the Lenders (the “Subscribers”) entered into a subscription agreement, pursuant to which the Subscribers subscribed for 401,309 and 163,915 (ie., a total of 565,224) new ordinary registered shares, respectively. The placement price for the new shares was €22.019 per ordinary share, resulting in aggregate proceeds raised of €12.4 million. On the same day, the management board of the Company resolved, with the approval of the supervisory board, to increase the Company’s share capital from €5,668,391.00 to €6,233,615.00 by issuing 565,224 new ordinary registered shares by partially utilizing the Authorized Capital 2022/I and with the exclusion of the shareholders’ subscription rights. We applied to the commercial register for the registration of the capital increase on April 27, 2023. Upon effectiveness of the capital increase, the Subscribers will own approximately 6.4% and 2.6%, respectively, of Mynaric’s total share capital following the capital increase.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86"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shows selected information taken from our consolidated statement of cash flows for the years ended December 31, 2022, 2021 and 2020:</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67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6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(in €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(50,215)</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(39,426)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(16,935)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(11,699)</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(10,958)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(14,927)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21,968</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54,802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66,257</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(39,946)</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4,418</w:t>
            </w:r>
          </w:p>
        </w:tc>
        <w:tc>
          <w:tcPr>
            <w:tcW w:w="640" w:type="dxa"/>
            <w:vAlign w:val="bottom"/>
          </w:tcPr>
          <w:p>
            <w:pPr>
              <w:jc w:val="right"/>
              <w:spacing w:after="0"/>
              <w:rPr>
                <w:sz w:val="20"/>
                <w:szCs w:val="20"/>
                <w:color w:val="auto"/>
              </w:rPr>
            </w:pPr>
            <w:r>
              <w:rPr>
                <w:rFonts w:ascii="Arial" w:cs="Arial" w:eastAsia="Arial" w:hAnsi="Arial"/>
                <w:sz w:val="18"/>
                <w:szCs w:val="18"/>
                <w:color w:val="auto"/>
              </w:rPr>
              <w:t>34,395</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48,143</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43,198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20" w:type="dxa"/>
            <w:vAlign w:val="bottom"/>
            <w:shd w:val="clear" w:color="auto" w:fill="CCEEFF"/>
          </w:tcPr>
          <w:p>
            <w:pPr>
              <w:spacing w:after="0"/>
              <w:rPr>
                <w:sz w:val="18"/>
                <w:szCs w:val="18"/>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tcPr>
          <w:p>
            <w:pPr>
              <w:jc w:val="right"/>
              <w:spacing w:after="0"/>
              <w:rPr>
                <w:sz w:val="20"/>
                <w:szCs w:val="20"/>
                <w:color w:val="auto"/>
              </w:rPr>
            </w:pPr>
            <w:r>
              <w:rPr>
                <w:rFonts w:ascii="Arial" w:cs="Arial" w:eastAsia="Arial" w:hAnsi="Arial"/>
                <w:sz w:val="18"/>
                <w:szCs w:val="18"/>
                <w:color w:val="auto"/>
              </w:rPr>
              <w:t>10,238</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48,143</w:t>
            </w:r>
          </w:p>
        </w:tc>
        <w:tc>
          <w:tcPr>
            <w:tcW w:w="640" w:type="dxa"/>
            <w:vAlign w:val="bottom"/>
          </w:tcPr>
          <w:p>
            <w:pPr>
              <w:jc w:val="right"/>
              <w:spacing w:after="0"/>
              <w:rPr>
                <w:sz w:val="20"/>
                <w:szCs w:val="20"/>
                <w:color w:val="auto"/>
              </w:rPr>
            </w:pPr>
            <w:r>
              <w:rPr>
                <w:rFonts w:ascii="Arial" w:cs="Arial" w:eastAsia="Arial" w:hAnsi="Arial"/>
                <w:sz w:val="18"/>
                <w:szCs w:val="18"/>
                <w:color w:val="auto"/>
              </w:rPr>
              <w:t>43,198</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Years ended December 31, 2021 and December 31, 2022</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Net cash used in operating activities increased from a cash outflow of €39.4 million in 2021 to a cash outflow of €50.2 million in 2022, mainly driven by the increase in net loss for 2022. Changes in working capital only had a limited impact on the higher cash outflow as the increase in inventories, which was driven by ongoing preparations for serial production, was almost offset by the increase in contract liabilities and other non-financial liabilities reflecting cash-in from customer contracts.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Years ended December 31, 2020 and December 31, 2021</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Net cash used in operating activities increased from a cash outflow of €16.9 million in 2020 to a cash outflow of €39.4 million in 2021, mainly driven by an increase in net loss for 2021. Changes in working capital further contributed to the higher cash outflow as inventories increased due to ongoing preparations for serial production. Adjustments for non-cash items, however, had a positive effect as they increased substantially in 2021 compared to 2020, mainly due to an increase in depreciation, amortization and impairments driven by the completion of the development of our AIR technology in mid-2020 and of our SPACE technology in March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Years ended December 31, 2021 and December 31, 2022</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Net cash used in investing activities increased from a cash outflow of €11.0 million in 2021 to a cash outflow of €11.7 million in 2022, which was partially due to the final development of our SPACE technologies which resulted in a lower cash outflow of acquisition of intangible assets and significantly higher cash outflow relating to acquisition of property, plant and equipment. Cash outflow relating to acquisition of property, plant and equipment amounted to €10.1 million in 2022, compared to €7.6 million in 2021, primarily due to the expansion of our development and production capacity at our production facilities.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Years ended December 31, 2020 and December 31, 2021</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Net cash used in investing activities improved from a cash outflow of €15.0 million in 2020 to a cash outflow of €11.0 million in 2021. This decrease was partially due to the final development of our AIR and SPACE technologies which resulted in a lower cash outflow of acquisition of intangible assets. Cash outflow relating to acquisition of property, plant and equipment increased from €6.7 million in 2020 to €7.6 million in 2021, primarily driven by the expansion of our development and production capacity at our production facilities.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Years ended December 31, 2021 and December 31, 2022</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Net cash from financing activities decreased from a cash inflow of €54.8 million in 2021 to a cash inflow of €22.0 million in 2022. While cash inflow in 2021 mainly comprised the proceeds from our initial public offering in the U.S., cash inflow in 2022 primarily included proceeds from L3Harris’ equity investment in July 2022 in the amount of €10.9 million and additional proceeds of €13.1 million received under our credit agreement entered into with Formue Nord Fokus A/S, Modelio Equity AB (publ) and Munkekullen 5förvaltning AB in May 2022.</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86"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Comparison of the Years ended December 31, 2020 and December 31, 2021</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Net cash from financing activities decreased from a cash inflow of €66.3 million in 2020 to a cash inflow of €54.8 million in 2021. While cash inflow overall decreased compared to 2020, the cash inflow of €54.8 million in 2021 was primarily driven by the proceeds from our initial public offering in the U.S. as well as the proceeds from the loan under the credit agreement entered into in September 2021, which we repaid in December 2021, resulting in a cash outflow in the same amount.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the maturity profile of our financial liabilities based on contractual undiscounted payments as of December 31, 2022:</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left="438"/>
              <w:spacing w:after="0"/>
              <w:rPr>
                <w:sz w:val="20"/>
                <w:szCs w:val="20"/>
                <w:color w:val="auto"/>
              </w:rPr>
            </w:pPr>
            <w:r>
              <w:rPr>
                <w:rFonts w:ascii="Arial" w:cs="Arial" w:eastAsia="Arial" w:hAnsi="Arial"/>
                <w:sz w:val="14"/>
                <w:szCs w:val="14"/>
                <w:b w:val="1"/>
                <w:bCs w:val="1"/>
                <w:color w:val="auto"/>
                <w:w w:val="92"/>
              </w:rPr>
              <w:t>As of December 31, 2022</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Carrying</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Less than</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to 3</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3 to 5</w:t>
            </w: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More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than</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years</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5 years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(audited)</w:t>
            </w: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 thousand)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 liabilities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8,942</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1,901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1,905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3,405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2,372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32,959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25,767</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3,585</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2,372</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the maturity profile of our financial liabilities based on contractual undiscounted payments as of December 31, 2021:</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left="438"/>
              <w:spacing w:after="0"/>
              <w:rPr>
                <w:sz w:val="20"/>
                <w:szCs w:val="20"/>
                <w:color w:val="auto"/>
              </w:rPr>
            </w:pPr>
            <w:r>
              <w:rPr>
                <w:rFonts w:ascii="Arial" w:cs="Arial" w:eastAsia="Arial" w:hAnsi="Arial"/>
                <w:sz w:val="14"/>
                <w:szCs w:val="14"/>
                <w:b w:val="1"/>
                <w:bCs w:val="1"/>
                <w:color w:val="auto"/>
                <w:w w:val="92"/>
              </w:rPr>
              <w:t>As of December 31, 2021</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Carrying</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Less than</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to 3</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3 to 5</w:t>
            </w: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More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than 5</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years</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(audited)</w:t>
            </w: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 thousand)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 liabilities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9,027</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1,640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3,148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3,328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10,073</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3,328</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See “Item 4.B. Business Overview—Our Operations—Research &amp; Development and Engineering” and “—Key Factors Affecting Our Results of Operations—Research &amp; Development” in this Item 5.</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For a discussion of trends, see “—Key Factors Affecting Our Results of Operations,” “A. Operating Results” and “—B. Liquidity and Capital Resources” in this Item 5. and “Item 4. Information on the Company—B. Business Overview.”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Critical Accounting Estimates</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material judgments, estimates and assumptions on historical experience and various other factors that we believe to be reasonable under the circumstances. Actual results could differ materially from these estimates under different assumptions or conditions. We regularly re-evaluate our material judgments, estimates and assumptions. Our material judgments, estimates and assumptions are described in note 4 to our consolidated financial statements included elsewhere in this Annual Report.</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86"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5460"/>
        <w:spacing w:after="0" w:line="442" w:lineRule="auto"/>
        <w:rPr>
          <w:sz w:val="20"/>
          <w:szCs w:val="20"/>
          <w:color w:val="auto"/>
        </w:rPr>
      </w:pPr>
      <w:r>
        <w:rPr>
          <w:rFonts w:ascii="Arial" w:cs="Arial" w:eastAsia="Arial" w:hAnsi="Arial"/>
          <w:sz w:val="18"/>
          <w:szCs w:val="18"/>
          <w:b w:val="1"/>
          <w:bCs w:val="1"/>
          <w:color w:val="auto"/>
        </w:rPr>
        <w:t>ITEM 6. DIRECTORS, SENIOR MANAGEMENT AND EMPLOYEES A. Directors and Senior Management Board Structure</w:t>
      </w:r>
    </w:p>
    <w:p>
      <w:pPr>
        <w:spacing w:after="0" w:line="21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are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 </w:t>
      </w:r>
      <w:r>
        <w:rPr>
          <w:rFonts w:ascii="Arial" w:cs="Arial" w:eastAsia="Arial" w:hAnsi="Arial"/>
          <w:sz w:val="18"/>
          <w:szCs w:val="18"/>
          <w:i w:val="1"/>
          <w:iCs w:val="1"/>
          <w:color w:val="auto"/>
        </w:rPr>
        <w:t>AG</w:t>
      </w:r>
      <w:r>
        <w:rPr>
          <w:rFonts w:ascii="Arial" w:cs="Arial" w:eastAsia="Arial" w:hAnsi="Arial"/>
          <w:sz w:val="18"/>
          <w:szCs w:val="18"/>
          <w:color w:val="auto"/>
        </w:rPr>
        <w:t>) with our registered seat in Germany. We are subject to German legislation on stock corporations, most importantly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In accordance with the German Stock Corporation Act, our corporate bodies are the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and the shareholders’ meeting (</w:t>
      </w:r>
      <w:r>
        <w:rPr>
          <w:rFonts w:ascii="Arial" w:cs="Arial" w:eastAsia="Arial" w:hAnsi="Arial"/>
          <w:sz w:val="18"/>
          <w:szCs w:val="18"/>
          <w:i w:val="1"/>
          <w:iCs w:val="1"/>
          <w:color w:val="auto"/>
        </w:rPr>
        <w:t>Hauptversammlung</w:t>
      </w:r>
      <w:r>
        <w:rPr>
          <w:rFonts w:ascii="Arial" w:cs="Arial" w:eastAsia="Arial" w:hAnsi="Arial"/>
          <w:sz w:val="18"/>
          <w:szCs w:val="18"/>
          <w:color w:val="auto"/>
        </w:rPr>
        <w:t>). Our management board and supervisory board are entirely separate and, as a rule, no individual may simultaneously be a member of both the management board and the supervisory board.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Our management board is responsible for the day-to-day management of our business in accordance with applicable laws,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and the management board’s internal rules of procedure (</w:t>
      </w:r>
      <w:r>
        <w:rPr>
          <w:rFonts w:ascii="Arial" w:cs="Arial" w:eastAsia="Arial" w:hAnsi="Arial"/>
          <w:sz w:val="17"/>
          <w:szCs w:val="17"/>
          <w:i w:val="1"/>
          <w:iCs w:val="1"/>
          <w:color w:val="auto"/>
        </w:rPr>
        <w:t>Geschäftsordnung</w:t>
      </w:r>
      <w:r>
        <w:rPr>
          <w:rFonts w:ascii="Arial" w:cs="Arial" w:eastAsia="Arial" w:hAnsi="Arial"/>
          <w:sz w:val="17"/>
          <w:szCs w:val="17"/>
          <w:color w:val="auto"/>
        </w:rPr>
        <w:t>). Our management board represents us in our dealings with third parties and is responsible for implementing an internal monitoring system for risk management purposes.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Under German law, the management board and the supervisory board are solely responsible for and manage their own areas of competency (</w:t>
      </w:r>
      <w:r>
        <w:rPr>
          <w:rFonts w:ascii="Arial" w:cs="Arial" w:eastAsia="Arial" w:hAnsi="Arial"/>
          <w:sz w:val="16"/>
          <w:szCs w:val="16"/>
          <w:i w:val="1"/>
          <w:iCs w:val="1"/>
          <w:color w:val="auto"/>
        </w:rPr>
        <w:t>Kompetenztrennung</w:t>
      </w:r>
      <w:r>
        <w:rPr>
          <w:rFonts w:ascii="Arial" w:cs="Arial" w:eastAsia="Arial" w:hAnsi="Arial"/>
          <w:sz w:val="16"/>
          <w:szCs w:val="16"/>
          <w:color w:val="auto"/>
        </w:rPr>
        <w:t>); therefore, neither board may make decisions that, pursuant to applicable law, our articles of association or our internal rules of procedure, are the responsibility of the other board. Members of both boards owe a duty of loyalty and care to us. In carrying out their duties, management board and supervisory board members are required to exercise the standard of care of a prudent and diligent businessperson or supervisory board member, as the case may be. If they fail to observe the appropriate standard of care, they may become liable to the company.</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description, as far as it relates to our articles of association, is based on our articles of association dated August 16, 2022.</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86"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7"/>
          <w:szCs w:val="17"/>
          <w:i w:val="1"/>
          <w:iCs w:val="1"/>
          <w:color w:val="auto"/>
        </w:rPr>
        <w:t>Prokurist</w:t>
      </w:r>
      <w:r>
        <w:rPr>
          <w:rFonts w:ascii="Arial" w:cs="Arial" w:eastAsia="Arial" w:hAnsi="Arial"/>
          <w:sz w:val="17"/>
          <w:szCs w:val="17"/>
          <w:color w:val="auto"/>
        </w:rPr>
        <w:t>). Currently, the management board consists of the following four members: Emin Bulent Altan (Co-Chief Executive Officer), Mustafa Veziroglu (Co-Chief Executive Officer), Stefan Berndt-von Bülow (Chief Financial Officer), and Joachim Horwath (Chief Technology Officer).</w:t>
      </w:r>
    </w:p>
    <w:p>
      <w:pPr>
        <w:spacing w:after="0" w:line="17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9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preparing our annual financial statements;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making a proposal to be submitted to our shareholders’ meeting on how our profits (if any) should be allocated (such proposal to be submitted simultaneously to the supervisory board); and</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124"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8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8"/>
          <w:szCs w:val="18"/>
          <w:i w:val="1"/>
          <w:iCs w:val="1"/>
          <w:color w:val="auto"/>
        </w:rPr>
        <w:t>Gesamtzuständigkeit</w:t>
      </w:r>
      <w:r>
        <w:rPr>
          <w:rFonts w:ascii="Arial" w:cs="Arial" w:eastAsia="Arial" w:hAnsi="Arial"/>
          <w:sz w:val="18"/>
          <w:szCs w:val="18"/>
          <w:color w:val="auto"/>
        </w:rPr>
        <w:t>). In particular, the entire management board shall decide on, among others:</w:t>
      </w:r>
    </w:p>
    <w:p>
      <w:pPr>
        <w:spacing w:after="0" w:line="89" w:lineRule="exact"/>
        <w:rPr>
          <w:sz w:val="20"/>
          <w:szCs w:val="20"/>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strategy of Mynaric group, fundamental issues of the business policy and any other matters, especially national or international business relations, which are of special importance and scope for the Company and/or its group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and multi-year business planning for Mynaric group and in particular the related investment and financial planning;</w:t>
      </w:r>
    </w:p>
    <w:p>
      <w:pPr>
        <w:spacing w:after="0" w:line="130"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preparation of the annual financial statements and the management report, the consolidated financial statements and the group management report, as well as semi-annual and quarterly financial reports, interim announcements and other comparable reports;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convocation of the general meeting and the management board’s proposals for resolutions to be passed by the general meeting;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periodic reporting to the supervisory board;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measures and legal transactions requiring the approval of the supervisory board or of the general meeting pursuant to relevant laws, the articles of association or these rules of procedure;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fundamental issues relating to personnel matters;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setting up or amending of the compensation principles for second level executives and (ii) entering into or amending the terms of employment of any second level executive (including with respect to salary or other compensation);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adoption, amendment and rescission of the business responsibility plan for the management board;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86"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the declaration relating to the German Corporate Governance Code pursuant to Section 161 German Stock Corporation Act (if applicable);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matters which are not allocated to the business area of an individual member of the management board under the business responsibility plan;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matters which have been presented for resolution to the management board by a member of the management board or with respect to which a member of the management board has requested a resolution by the entire management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our Management Board</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the names of the current members of our management board, their ages, the year of expiration of their term as management board members and position: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Year in which</w:t>
            </w:r>
          </w:p>
        </w:tc>
        <w:tc>
          <w:tcPr>
            <w:tcW w:w="414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 expires</w:t>
            </w:r>
          </w:p>
        </w:tc>
        <w:tc>
          <w:tcPr>
            <w:tcW w:w="4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Emin Bulent Altan</w:t>
            </w:r>
          </w:p>
        </w:tc>
        <w:tc>
          <w:tcPr>
            <w:tcW w:w="42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45</w:t>
            </w:r>
          </w:p>
        </w:tc>
        <w:tc>
          <w:tcPr>
            <w:tcW w:w="42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2025</w:t>
            </w:r>
          </w:p>
        </w:tc>
        <w:tc>
          <w:tcPr>
            <w:tcW w:w="42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Co-Chief Executive Officer</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7"/>
                <w:szCs w:val="17"/>
                <w:color w:val="auto"/>
              </w:rPr>
              <w:t>Mustafa Veziroglu</w:t>
            </w:r>
            <w:r>
              <w:rPr>
                <w:rFonts w:ascii="Arial" w:cs="Arial" w:eastAsia="Arial" w:hAnsi="Arial"/>
                <w:sz w:val="25"/>
                <w:szCs w:val="25"/>
                <w:color w:val="auto"/>
                <w:vertAlign w:val="superscript"/>
              </w:rPr>
              <w:t>(1)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Co-Chief Executive Officer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Stefan Berndt-von Bülow</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Joachim Horwath</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jc w:val="both"/>
        <w:ind w:left="540" w:right="20" w:hanging="424"/>
        <w:spacing w:after="0" w:line="263"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effect as of August 15, 2022, Mr. Mustafa Veziroglu was appointed by our supervisory board as an additional member of our management board for a period of three years. On January 31, 2023, our supervisory board appointed Mr. Veziroglu as Co-Chief Executive Officer in addition to Mr. Altan, with effect as of February 1, 2023.</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Unless otherwise indicated, the current business address for each management board member is the same as our business address: Dornierstraße 19, 82205 Gilching,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business experience of the members of our management board:</w:t>
      </w:r>
    </w:p>
    <w:p>
      <w:pPr>
        <w:spacing w:after="0" w:line="117"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b w:val="1"/>
          <w:bCs w:val="1"/>
          <w:i w:val="1"/>
          <w:iCs w:val="1"/>
          <w:color w:val="auto"/>
        </w:rPr>
        <w:t xml:space="preserve">Emin Bulent Altan </w:t>
      </w:r>
      <w:r>
        <w:rPr>
          <w:rFonts w:ascii="Arial" w:cs="Arial" w:eastAsia="Arial" w:hAnsi="Arial"/>
          <w:sz w:val="17"/>
          <w:szCs w:val="17"/>
          <w:color w:val="auto"/>
        </w:rPr>
        <w:t>has been our Chief Executive Officer (CEO) since March 2019 and has served as Co-CEO, alongside Mr. Veziroglu,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1, 2023. Mr. Altan has been active in the aerospace industry since 2004, when he started his professional career at Space Exploration Technologies Corp. (SpaceX), a private U.S. aerospace manufacturer and space transportation services company headquartered 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former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 In 2023, Mr. Altan was appointed to the board of Morpheus Space, Inc., a provider of in-space propulsion. Mr. Altan holds a Master of Science degree (</w:t>
      </w:r>
      <w:r>
        <w:rPr>
          <w:rFonts w:ascii="Arial" w:cs="Arial" w:eastAsia="Arial" w:hAnsi="Arial"/>
          <w:sz w:val="17"/>
          <w:szCs w:val="17"/>
          <w:i w:val="1"/>
          <w:iCs w:val="1"/>
          <w:color w:val="auto"/>
        </w:rPr>
        <w:t>Dipl.-Inf</w:t>
      </w:r>
      <w:r>
        <w:rPr>
          <w:rFonts w:ascii="Arial" w:cs="Arial" w:eastAsia="Arial" w:hAnsi="Arial"/>
          <w:sz w:val="17"/>
          <w:szCs w:val="17"/>
          <w:color w:val="auto"/>
        </w:rPr>
        <w:t>.) in computer science from the Technical University of Munich and a Master of Science degree in aeronautics and astronautics from Stanford</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w:t>
      </w:r>
    </w:p>
    <w:p>
      <w:pPr>
        <w:spacing w:after="0" w:line="19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Mustafa Veziroglu </w:t>
      </w:r>
      <w:r>
        <w:rPr>
          <w:rFonts w:ascii="Arial" w:cs="Arial" w:eastAsia="Arial" w:hAnsi="Arial"/>
          <w:sz w:val="18"/>
          <w:szCs w:val="18"/>
          <w:color w:val="auto"/>
        </w:rPr>
        <w:t>has been our Co-CEO, alongside Mr. Altan, since February 1, 2023. Mr. Veziroglu has more than 20 years of experience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executive-level positions in the telecommunications and semiconductor industry. Mr. Veziroglu began his career in 1984 as a design engineer at VLSI Technology Inc. In 1998, he joined Xilinx Inc., where he remained until 2010, during which time he held various positions; from 2001 to 2003, he served as senior director and general manager configuration solutions division, from 2004 to 2007, as vice president and general manager of the market specific products division, and from 2008 to 2010, as vice president of product marketing and business operations. In 2012, he joined Lattice Semiconductor Corporation as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86"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corporate vice president of marketing and business development until 2014. In 2017, Mr. Veziroglu joined SA Photonics, Inc. as vice president of corporate business operations before being appointed chief operating officer, communications and sensing in January 2021, where he led all engineering, program management, sales &amp; marketing, quality and manufacturing operations until December 2021. After the acquisition of SA Photonics by CACI International Inc in December 2021, Mr. Veziroglu was responsible for running all aspects of SA Photonics LLC until his departure in July 2022. Mr. Veziroglu joined us in August 2022 as a member of the management board before being appointed Co-CEO effective February 1, 2023. Mr. Veziroglu holds a Bachelor of Science degree in electrical engineering from the Massachusetts Institute of Technology and a Master of Business Administration degree in marketing and finance from Santa Clara University.</w:t>
      </w:r>
    </w:p>
    <w:p>
      <w:pPr>
        <w:spacing w:after="0" w:line="177"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Stefan Berndt-von Bülow </w:t>
      </w:r>
      <w:r>
        <w:rPr>
          <w:rFonts w:ascii="Arial" w:cs="Arial" w:eastAsia="Arial" w:hAnsi="Arial"/>
          <w:sz w:val="16"/>
          <w:szCs w:val="16"/>
          <w:color w:val="auto"/>
        </w:rPr>
        <w:t>has been our Chief Financial Officer (CFO) since September 2020. He began his professional career in 2002 at LKC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Mynaric at the end of 2018 as head of finance before being appointed as our CFO in September 2020. Mr. Berndt-von Bülow graduated from the University of Munich and holds a degree in Business Administration (</w:t>
      </w:r>
      <w:r>
        <w:rPr>
          <w:rFonts w:ascii="Arial" w:cs="Arial" w:eastAsia="Arial" w:hAnsi="Arial"/>
          <w:sz w:val="16"/>
          <w:szCs w:val="16"/>
          <w:i w:val="1"/>
          <w:iCs w:val="1"/>
          <w:color w:val="auto"/>
        </w:rPr>
        <w:t>Dipl.-Kaufmann</w:t>
      </w:r>
      <w:r>
        <w:rPr>
          <w:rFonts w:ascii="Arial" w:cs="Arial" w:eastAsia="Arial" w:hAnsi="Arial"/>
          <w:sz w:val="16"/>
          <w:szCs w:val="16"/>
          <w:color w:val="auto"/>
        </w:rPr>
        <w:t>).</w:t>
      </w:r>
    </w:p>
    <w:p>
      <w:pPr>
        <w:spacing w:after="0" w:line="16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Joachim Horwath </w:t>
      </w:r>
      <w:r>
        <w:rPr>
          <w:rFonts w:ascii="Arial" w:cs="Arial" w:eastAsia="Arial" w:hAnsi="Arial"/>
          <w:sz w:val="16"/>
          <w:szCs w:val="16"/>
          <w:color w:val="auto"/>
        </w:rPr>
        <w:t>has been our Chief Technology Officer (CTO) since 2009. Following a research stay at Siemens optical networks for his thesis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Simulation of Optical Fiber Amplifiers</w:t>
      </w:r>
      <w:r>
        <w:rPr>
          <w:rFonts w:ascii="Arial" w:cs="Arial" w:eastAsia="Arial" w:hAnsi="Arial"/>
          <w:sz w:val="16"/>
          <w:szCs w:val="16"/>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 in 2008 (project ARGOS). He was awarded the </w:t>
      </w:r>
      <w:r>
        <w:rPr>
          <w:rFonts w:ascii="Arial" w:cs="Arial" w:eastAsia="Arial" w:hAnsi="Arial"/>
          <w:sz w:val="16"/>
          <w:szCs w:val="16"/>
          <w:i w:val="1"/>
          <w:iCs w:val="1"/>
          <w:color w:val="auto"/>
        </w:rPr>
        <w:t>Erwin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Schrödinger </w:t>
      </w:r>
      <w:r>
        <w:rPr>
          <w:rFonts w:ascii="Arial" w:cs="Arial" w:eastAsia="Arial" w:hAnsi="Arial"/>
          <w:sz w:val="16"/>
          <w:szCs w:val="16"/>
          <w:color w:val="auto"/>
        </w:rPr>
        <w:t>prize in 2015 for his contributions to Quantum Cryptography and has been introduced into the technology hall of fame in 2018 by the space</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for his contributions to miniaturized and affordable laser communication technology connecting the skies and beyond. In 2009, Mr. Horwath co-founded Mynaric Lasercom GmbH and has been 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6"/>
          <w:szCs w:val="16"/>
          <w:i w:val="1"/>
          <w:iCs w:val="1"/>
          <w:color w:val="auto"/>
        </w:rPr>
        <w:t>Dipl.-Elektroingenieur</w:t>
      </w:r>
      <w:r>
        <w:rPr>
          <w:rFonts w:ascii="Arial" w:cs="Arial" w:eastAsia="Arial" w:hAnsi="Arial"/>
          <w:sz w:val="16"/>
          <w:szCs w:val="16"/>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German law requires that the supervisory board consists of at least three members, whereby the articles of association may stipulate a higher number. Pursuant to our articles of association, our supervisory board shall consist of five (5) members. As we grow, our supervisory board may be required to include employee representatives subject to the provisions of the German One-Third Employee Participation Act (</w:t>
      </w:r>
      <w:r>
        <w:rPr>
          <w:rFonts w:ascii="Arial" w:cs="Arial" w:eastAsia="Arial" w:hAnsi="Arial"/>
          <w:sz w:val="18"/>
          <w:szCs w:val="18"/>
          <w:i w:val="1"/>
          <w:iCs w:val="1"/>
          <w:color w:val="auto"/>
        </w:rPr>
        <w:t>Drittelbeteiligungsgesetz</w:t>
      </w:r>
      <w:r>
        <w:rPr>
          <w:rFonts w:ascii="Arial" w:cs="Arial" w:eastAsia="Arial" w:hAnsi="Arial"/>
          <w:sz w:val="18"/>
          <w:szCs w:val="18"/>
          <w:color w:val="auto"/>
        </w:rPr>
        <w:t>), which applies to companies that on a regular basis employ more than 500 employees in Germany (on a headcount basis), or the German Co-Determination Act (</w:t>
      </w:r>
      <w:r>
        <w:rPr>
          <w:rFonts w:ascii="Arial" w:cs="Arial" w:eastAsia="Arial" w:hAnsi="Arial"/>
          <w:sz w:val="18"/>
          <w:szCs w:val="18"/>
          <w:i w:val="1"/>
          <w:iCs w:val="1"/>
          <w:color w:val="auto"/>
        </w:rPr>
        <w:t>Mitbestimmungsgesetz</w:t>
      </w:r>
      <w:r>
        <w:rPr>
          <w:rFonts w:ascii="Arial" w:cs="Arial" w:eastAsia="Arial" w:hAnsi="Arial"/>
          <w:sz w:val="18"/>
          <w:szCs w:val="18"/>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9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86"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4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w:t>
      </w:r>
    </w:p>
    <w:p>
      <w:pPr>
        <w:spacing w:after="0" w:line="18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German law does not require the majority of our supervisory board members to be independent. However, pursuant to recommendations contained in the German Corporate Governance Code (as in force as of the date of this Annual Report),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German Corporate Governance Code, in case the supervisory board is composed of no more than six (6) members, at least one</w:t>
      </w:r>
    </w:p>
    <w:p>
      <w:pPr>
        <w:spacing w:after="0" w:line="46" w:lineRule="exact"/>
        <w:rPr>
          <w:sz w:val="20"/>
          <w:szCs w:val="20"/>
          <w:color w:val="auto"/>
        </w:rPr>
      </w:pPr>
    </w:p>
    <w:p>
      <w:pPr>
        <w:ind w:left="400" w:hanging="284"/>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member of the supervisory board shall be independent from the controlling shareholder. In case the supervisory board comprises more than six</w:t>
      </w:r>
    </w:p>
    <w:p>
      <w:pPr>
        <w:spacing w:after="0" w:line="32" w:lineRule="exact"/>
        <w:rPr>
          <w:rFonts w:ascii="Arial" w:cs="Arial" w:eastAsia="Arial" w:hAnsi="Arial"/>
          <w:sz w:val="16"/>
          <w:szCs w:val="16"/>
          <w:color w:val="auto"/>
        </w:rPr>
      </w:pPr>
    </w:p>
    <w:p>
      <w:pPr>
        <w:jc w:val="both"/>
        <w:ind w:left="120" w:right="20" w:hanging="4"/>
        <w:spacing w:after="0" w:line="253" w:lineRule="auto"/>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members, at least two (2) members of the supervisory board shall be independent from the controlling shareholder. A member of the supervisory board is 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93"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92"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German Stock Corporation Act, our supervisory board is not permitted to make management decisions. However, in accordance with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German law, our supervisory board determined that certain matters require its prior consent, including:</w:t>
      </w:r>
    </w:p>
    <w:p>
      <w:pPr>
        <w:spacing w:after="0" w:line="116" w:lineRule="exact"/>
        <w:rPr>
          <w:sz w:val="20"/>
          <w:szCs w:val="20"/>
          <w:color w:val="auto"/>
        </w:rPr>
      </w:pPr>
    </w:p>
    <w:p>
      <w:pPr>
        <w:ind w:left="1080" w:right="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formation, acquisition, sale and dissolution of companies, business units, fixed and current assets related to operations and participations, silent partnerships as well as related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86"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establishment and discontinuation of branches of the Company; changes to material strategic objectives of the existing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entry into and termination of lease agreements with a fixed term exceeding one year, provided that the annual rent exceeds €250,000;</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adoption of measures or entry into agreements or making investments related to property, plant and equipment, and financial assets, exceeding the approved budget, with a value of over €50,000;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entry into credit agreements exceeding an amount of €500,000;</w:t>
      </w:r>
    </w:p>
    <w:p>
      <w:pPr>
        <w:spacing w:after="0" w:line="130"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70" w:lineRule="exact"/>
        <w:rPr>
          <w:rFonts w:ascii="Arial" w:cs="Arial" w:eastAsia="Arial" w:hAnsi="Arial"/>
          <w:sz w:val="17"/>
          <w:szCs w:val="17"/>
          <w:color w:val="auto"/>
        </w:rPr>
      </w:pPr>
    </w:p>
    <w:p>
      <w:pPr>
        <w:jc w:val="both"/>
        <w:ind w:left="1080" w:right="2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employment or other restructuring measures affecting more than 10% of the Company’s total head count;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commencement and termination of legal action having a material effect or a financial risk exceeding €200,000, both by and against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acquisition, sale or encumbrance of real estate, sections of land and comparable rights as well as their development;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entry into speculative financial transactions (particularly investment in currencies, derivatives or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granting security interests to third parties (excluding affiliates), particularly the assumption of suretyships and other guarantees;</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entry into agreements with members of the Management Board or related persons within the meaning of Section 15 of the German Tax Code or corporations, with the exception of agreements with consolidated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whole or partial sales of material portions of the Company’s assets or mergers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establishment or modification of administrative headquarters, branches or permanent establishments for tax purposes;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grants and revocations of general powers of representation (</w:t>
      </w:r>
      <w:r>
        <w:rPr>
          <w:rFonts w:ascii="Arial" w:cs="Arial" w:eastAsia="Arial" w:hAnsi="Arial"/>
          <w:sz w:val="18"/>
          <w:szCs w:val="18"/>
          <w:i w:val="1"/>
          <w:iCs w:val="1"/>
          <w:color w:val="auto"/>
        </w:rPr>
        <w:t>Prokura</w:t>
      </w:r>
      <w:r>
        <w:rPr>
          <w:rFonts w:ascii="Arial" w:cs="Arial" w:eastAsia="Arial" w:hAnsi="Arial"/>
          <w:sz w:val="18"/>
          <w:szCs w:val="18"/>
          <w:color w:val="auto"/>
        </w:rPr>
        <w:t>) and general powers of attorney in accordance with applicable German laws;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disposal of tangible and intangible assets (including trademarks, domains and patents) related to the Company’s operations outside the ordinary course of business;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entry into, modification or termination of intercompany agreements within the meaning of Sections 291 et seq. of the German Stock Corporation Act;</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entry into, modification or termination of joint venture agreements or consortium contracts and other partnership agreements outside the ordinary course of business;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to material accounting policies.</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86"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our Supervisory Board</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Pursuant to our articles of association, our supervisory board shall consist of five (5) members. The following table sets forth the names of the current members of our supervisory board, their ages, their terms (which expire on the date of the relevant year’s general shareholders’ meeting) and their principal occupations: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Year in which</w:t>
            </w:r>
          </w:p>
        </w:tc>
        <w:tc>
          <w:tcPr>
            <w:tcW w:w="52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 expires</w:t>
            </w:r>
          </w:p>
        </w:tc>
        <w:tc>
          <w:tcPr>
            <w:tcW w:w="5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Dr. Manfred Krischke</w:t>
            </w:r>
          </w:p>
        </w:tc>
        <w:tc>
          <w:tcPr>
            <w:tcW w:w="42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57</w:t>
            </w:r>
          </w:p>
        </w:tc>
        <w:tc>
          <w:tcPr>
            <w:tcW w:w="42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2023</w:t>
            </w:r>
          </w:p>
        </w:tc>
        <w:tc>
          <w:tcPr>
            <w:tcW w:w="4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of CloudEO AG</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(chairperson)</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line="216" w:lineRule="exact"/>
              <w:rPr>
                <w:sz w:val="20"/>
                <w:szCs w:val="20"/>
                <w:color w:val="auto"/>
              </w:rPr>
            </w:pPr>
            <w:r>
              <w:rPr>
                <w:rFonts w:ascii="Arial" w:cs="Arial" w:eastAsia="Arial" w:hAnsi="Arial"/>
                <w:sz w:val="17"/>
                <w:szCs w:val="17"/>
                <w:color w:val="auto"/>
              </w:rPr>
              <w:t>Peter Müller-Brühl</w:t>
            </w:r>
            <w:r>
              <w:rPr>
                <w:rFonts w:ascii="Arial" w:cs="Arial" w:eastAsia="Arial" w:hAnsi="Arial"/>
                <w:sz w:val="25"/>
                <w:szCs w:val="25"/>
                <w:color w:val="auto"/>
                <w:vertAlign w:val="superscript"/>
              </w:rPr>
              <w:t>(1)</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Co-chief executive officer of GreenCom Networks AG</w:t>
            </w: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(deputy chairperson)</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Steve Geskos</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Managing director of Rose Park Advisors</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Hans Königsmann</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Former vice president of flight reliability at SpaceX</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Vincent Wobbe</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3"/>
              </w:rPr>
              <w:t>Head of public markets investments &amp; co-head equity capital markets</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of Apeiron Investment Group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Peter Müller-Brühl was elected deputy chairperson in the supervisory board meeting held on October 5, 2021 following resignation of Gerd Gruppe as member of the supervisory board.</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Unless otherwise indicated, the current business address for each supervisory board member is the same as our business address: Dornierstraße 19, 82205 Gilching, Germany.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brief summary of the business experience of the members of our supervisory board:</w:t>
      </w:r>
    </w:p>
    <w:p>
      <w:pPr>
        <w:spacing w:after="0" w:line="117"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Dr. Manfred Krischke </w:t>
      </w:r>
      <w:r>
        <w:rPr>
          <w:rFonts w:ascii="Arial" w:cs="Arial" w:eastAsia="Arial" w:hAnsi="Arial"/>
          <w:sz w:val="17"/>
          <w:szCs w:val="17"/>
          <w:color w:val="auto"/>
        </w:rPr>
        <w:t>has been a member of our supervisory board since May 2017 and currently serves as chairperson of our supervisory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 As of August 2022, Mr. Krischke serves as a member of the supervisory board of Skyroads AG, a company that develops technology to manage routes, ensure overall safety and provide for passenger mobility and cargo transport.</w:t>
      </w:r>
    </w:p>
    <w:p>
      <w:pPr>
        <w:spacing w:after="0" w:line="17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Peter Müller-Brühl </w:t>
      </w:r>
      <w:r>
        <w:rPr>
          <w:rFonts w:ascii="Arial" w:cs="Arial" w:eastAsia="Arial" w:hAnsi="Arial"/>
          <w:sz w:val="16"/>
          <w:szCs w:val="16"/>
          <w:color w:val="auto"/>
        </w:rPr>
        <w:t>has been a member of our supervisory board since July 2018. Mr. Müller-Brühl holds business degrees from Middlesex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co-chief executive officer at RapidEye AG, a provider of quality high-resolution satellite imagery and derived geo-information products, from 2011 to 2012, and currently serves as co-CEO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to 2020, member of the supervisory board at Seidel GmbH &amp; Co. KG since 2015 and member of the supervisory board of Xpay Holding AG since 2019.</w:t>
      </w:r>
    </w:p>
    <w:p>
      <w:pPr>
        <w:spacing w:after="0" w:line="17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Steve Geskos </w:t>
      </w:r>
      <w:r>
        <w:rPr>
          <w:rFonts w:ascii="Arial" w:cs="Arial" w:eastAsia="Arial" w:hAnsi="Arial"/>
          <w:sz w:val="18"/>
          <w:szCs w:val="18"/>
          <w:color w:val="auto"/>
        </w:rPr>
        <w:t>has been a member of our supervisory board since May 2021. He received a B.A. in history from Brandeis University and an MBA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finance and operations from NYU Stern School of Business. Mr. Geskos has been an investor in public and private companies for over twenty years. He started his career as a</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86"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also serves in the supervisory board of XPay Group, a position which he assumed in October 2021 and on the board of directors of Norsk Titanium, a position he assumed in January 2021.</w:t>
      </w:r>
    </w:p>
    <w:p>
      <w:pPr>
        <w:spacing w:after="0" w:line="17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Hans Königsmann </w:t>
      </w:r>
      <w:r>
        <w:rPr>
          <w:rFonts w:ascii="Arial" w:cs="Arial" w:eastAsia="Arial" w:hAnsi="Arial"/>
          <w:sz w:val="17"/>
          <w:szCs w:val="17"/>
          <w:color w:val="auto"/>
        </w:rPr>
        <w:t>has been a member of our supervisory board since October 2021. He holds a degree in aerospace engineering (</w:t>
      </w:r>
      <w:r>
        <w:rPr>
          <w:rFonts w:ascii="Arial" w:cs="Arial" w:eastAsia="Arial" w:hAnsi="Arial"/>
          <w:sz w:val="17"/>
          <w:szCs w:val="17"/>
          <w:i w:val="1"/>
          <w:iCs w:val="1"/>
          <w:color w:val="auto"/>
        </w:rPr>
        <w:t>Dipl.-Ingenieur</w:t>
      </w:r>
      <w:r>
        <w:rPr>
          <w:rFonts w:ascii="Arial" w:cs="Arial" w:eastAsia="Arial" w:hAnsi="Arial"/>
          <w:sz w:val="17"/>
          <w:szCs w:val="17"/>
          <w:color w:val="auto"/>
        </w:rPr>
        <w:t>,</w:t>
      </w:r>
      <w:r>
        <w:rPr>
          <w:rFonts w:ascii="Arial" w:cs="Arial" w:eastAsia="Arial" w:hAnsi="Arial"/>
          <w:sz w:val="17"/>
          <w:szCs w:val="17"/>
          <w:i w:val="1"/>
          <w:iCs w:val="1"/>
          <w:color w:val="auto"/>
        </w:rPr>
        <w:t xml:space="preserve"> Aerospace</w:t>
      </w:r>
      <w:r>
        <w:rPr>
          <w:rFonts w:ascii="Arial" w:cs="Arial" w:eastAsia="Arial" w:hAnsi="Arial"/>
          <w:sz w:val="17"/>
          <w:szCs w:val="17"/>
          <w:color w:val="auto"/>
        </w:rPr>
        <w:t>) from the Technical University Berlin and a Ph.D. in aerospace engineering and production technology from the University of</w:t>
      </w:r>
      <w:r>
        <w:rPr>
          <w:rFonts w:ascii="Arial" w:cs="Arial" w:eastAsia="Arial" w:hAnsi="Arial"/>
          <w:sz w:val="17"/>
          <w:szCs w:val="17"/>
          <w:i w:val="1"/>
          <w:iCs w:val="1"/>
          <w:color w:val="auto"/>
        </w:rPr>
        <w:t xml:space="preserve"> </w:t>
      </w:r>
      <w:r>
        <w:rPr>
          <w:rFonts w:ascii="Arial" w:cs="Arial" w:eastAsia="Arial" w:hAnsi="Arial"/>
          <w:sz w:val="17"/>
          <w:szCs w:val="17"/>
          <w:color w:val="auto"/>
        </w:rPr>
        <w:t>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 Since June 2022, Hans Königsmann is a member of the supervisory board of OHB SE.</w:t>
      </w:r>
    </w:p>
    <w:p>
      <w:pPr>
        <w:spacing w:after="0" w:line="18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Vincent Wobbe </w:t>
      </w:r>
      <w:r>
        <w:rPr>
          <w:rFonts w:ascii="Arial" w:cs="Arial" w:eastAsia="Arial" w:hAnsi="Arial"/>
          <w:sz w:val="16"/>
          <w:szCs w:val="16"/>
          <w:color w:val="auto"/>
        </w:rPr>
        <w:t>has been a member of our supervisory board since June 2021. Mr. Wobbe holds a Master of Science in Financial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Kedge Business School and Hull University Business School and a Bachelor of Science in European Management from the European Business School Oestrich-Winkel.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to head of public markets investments and the equity capital markets team. He currently serves on the supervisory boards of nextmarkets AG and DEAG Deutsche Entertainment Aktiengesellschaft, as well as the administrative board of 029 Group 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Diversity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provides certain information regarding the diversity of the supervisory board as of the date of this Annual Report.</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80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4"/>
              </w:rPr>
              <w:t>Board Diversity Matrix</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20" w:type="dxa"/>
            <w:vAlign w:val="bottom"/>
          </w:tcPr>
          <w:p>
            <w:pPr>
              <w:spacing w:after="0"/>
              <w:rPr>
                <w:sz w:val="20"/>
                <w:szCs w:val="20"/>
                <w:color w:val="auto"/>
              </w:rPr>
            </w:pPr>
            <w:r>
              <w:rPr>
                <w:rFonts w:ascii="Arial" w:cs="Arial" w:eastAsia="Arial" w:hAnsi="Arial"/>
                <w:sz w:val="18"/>
                <w:szCs w:val="18"/>
                <w:color w:val="auto"/>
              </w:rPr>
              <w:t>Country of Principal Executive Offices:</w:t>
            </w: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Foreign Private Issuer</w:t>
            </w: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Disclosure Prohibited under Home Country Law</w:t>
            </w: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Number of Directors and Board Observers</w:t>
            </w: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Did Not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1"/>
              </w:rPr>
              <w:t>Female</w:t>
            </w: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Male</w:t>
            </w:r>
          </w:p>
        </w:tc>
        <w:tc>
          <w:tcPr>
            <w:tcW w:w="32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Non-Binary</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3"/>
              </w:rPr>
              <w:t>Disclose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Part I: Gender Identity</w:t>
            </w:r>
          </w:p>
        </w:tc>
        <w:tc>
          <w:tcPr>
            <w:tcW w:w="27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Directors</w:t>
            </w:r>
          </w:p>
        </w:tc>
        <w:tc>
          <w:tcPr>
            <w:tcW w:w="3800" w:type="dxa"/>
            <w:vAlign w:val="bottom"/>
            <w:gridSpan w:val="3"/>
          </w:tcPr>
          <w:p>
            <w:pPr>
              <w:jc w:val="right"/>
              <w:ind w:right="60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5"/>
              </w:rPr>
              <w:t>Underrepresented Individual in Home Country Jurisdiction</w:t>
            </w: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8"/>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LGBTQ+</w:t>
            </w:r>
          </w:p>
        </w:tc>
        <w:tc>
          <w:tcPr>
            <w:tcW w:w="2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Did Note Disclose Demographic Backgrounds</w:t>
            </w:r>
          </w:p>
        </w:tc>
        <w:tc>
          <w:tcPr>
            <w:tcW w:w="2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608"/>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420" w:type="dxa"/>
            <w:vAlign w:val="bottom"/>
          </w:tcPr>
          <w:p>
            <w:pPr>
              <w:spacing w:after="0"/>
              <w:rPr>
                <w:sz w:val="24"/>
                <w:szCs w:val="24"/>
                <w:color w:val="auto"/>
              </w:rPr>
            </w:pPr>
          </w:p>
        </w:tc>
        <w:tc>
          <w:tcPr>
            <w:tcW w:w="2740" w:type="dxa"/>
            <w:vAlign w:val="bottom"/>
          </w:tcPr>
          <w:p>
            <w:pPr>
              <w:jc w:val="right"/>
              <w:ind w:right="147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Management Board Members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remuneration for management board members consists of three components:</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non-performance-related remuneration (fixed remuneration),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performance-related bonuses,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amount of the remuneration for the members of the management board largely depends on a member’s area of responsibility, individual performance and the performance of the management board as a whole. It also takes into account our economic and financial success and is intended to provide an incentive for long-term and sustainable corporate governance, while linking the interests of the management board members to those of our shareholders.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Non-Performance-Related Remuneration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fixed, non-performance-related remuneration comprises (i) a fixed annual base salary, which is generally paid out in equal instalments, and</w:t>
      </w:r>
    </w:p>
    <w:p>
      <w:pPr>
        <w:spacing w:after="0" w:line="46" w:lineRule="exact"/>
        <w:rPr>
          <w:sz w:val="20"/>
          <w:szCs w:val="20"/>
          <w:color w:val="auto"/>
        </w:rPr>
      </w:pPr>
    </w:p>
    <w:p>
      <w:pPr>
        <w:ind w:left="120" w:hanging="4"/>
        <w:spacing w:after="0" w:line="260" w:lineRule="auto"/>
        <w:tabs>
          <w:tab w:leader="none" w:pos="3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standard fringe benefits. Fringe benefits mainly consist of expenses for company housing, contribution payments to a statutory and private health and care insurance and other remuneration in kind.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Performance-Related Remuneration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Short-term variable remuneration (STI)</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performance-related remuneration comprises of an annual bonus designed to reward the operational implementation of the corporate strategy in the respective financial year.</w:t>
      </w:r>
    </w:p>
    <w:p>
      <w:pPr>
        <w:spacing w:after="0" w:line="170"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amount of the annual bonus is generally calculated on the basis of the achievement of certain performance targets as defined by the supervisory board. For this purpose, the supervisory board has defined a target amount that determines the amount of the bonus payment in the event of a 100% target achievement and which corresponds to 50% of the annual (gross) base salary of each management board member, in case of Mr. Emin Bulent Altan, to 50% of the total annual (gross) base salary paid both by Mynaric AG and Mynaric USA Inc.</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annual bonus for 2021 was paid to the members of the management board in June 2022 and is therefore allocated to the remuneration awarded and due within the meaning of Section 162 para. 1 sentence 1 AktG in 2022. Mustafa Veziroglu was not a member of the management board in 2021 and has therefore not received any annual bonus for 2021. The annual bonus for 2022 will be determined and paid in 2023 and is therefore allocated to the remuneration awarded and due within the meaning of Section 162 section 1 sentence 1 AktG in 2022. The annual bonus for 2022 will therefore be disclosed in the remuneration report for 2023.</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the annual bonus 2021, the supervisory board has defined two performance targets, an operational target and a financial target, with both targets being equally weighted within the overall target achievement. In addition, the supervisory board has the possibility to take into account extraordinary circumstances, which have not been foreseen when defining the performance targets for the annual bonus, by way of an additional payout amount of up to 30% of the respective target amount.</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operating target has been based on the number of terminals delivered to customers in the financial year 2021. For this purpose, the supervisory board set a target value of 23 terminals delivered to customers for the operating target, which corresponds to a 100% target achievement. Less than 15 terminals delivered to customers corresponds to a target achievement of 0% and 40 terminals delivered to customers corresponds to a target achievement of 300%. An increase in target achievement above 300% is not possible (cap).</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financial target has been based on the amount of payments received from customers in the financial year 2021. For this purpose, the supervisory board has set a target value of €10.0 million for the financial target,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86"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which corresponds to a 100% target achievement. Payments of less than €7.0 million correspond to a target achievement of 0% and payments of €20.0 correspond to a target achievement of 300%. An increase in the target achievement beyond 300% is not possible (cap).</w:t>
      </w:r>
    </w:p>
    <w:p>
      <w:pPr>
        <w:spacing w:after="0" w:line="146"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In addition to the annual bonus, each management board member is entitled to a one-time bonus for investments by strategic investors which exceed 5% of our then current share capital.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 The special bonus is a reward for the management board member’s performance in acquiring strategic investors for us. In connection with the Credit Agreement 2023 and the equity investment in April 2023, the members of the management board will receive a bonus payment in the aggregate amount of approximately €500,000.</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Long-term variable remuneration (LTI)</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members of the management board also receive a long-term variable remuneration in the form of stock options, which provides an incentive to the management board members to contribute to our long-term sustainable development and links the interests of the management board members to those of our shareholders.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2022, the current members of the management board have been granted in total 108,000 stock options under the 2022 Plan. For more information, see “—Share-Based Incentive Plans—Stock Option Program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of the Members of the Management Board in 2022</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following table presents the fixed and variable remuneration components awarded due to the current members of the management board in 2022 in accordance with Section 162 para. 1 sentence 1 AktG. The table includes all remuneration amounts actually received by the individual management board member in the financial year (“awarded”) and all remuneration legally due but not yet received (“due”).</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 xml:space="preserve">The amount of the annual bonus (short-term variable remuneration) for 2022 will be determined and paid out in 2023 and will therefore be included in the remuneration awarded and due within the meaning of Section 162 para. 1 sentence 1 AktG in 2023, whereby the remuneration awarded and due within the meaning of Section 162 para. 1 sentence 1 AktG in 2022 also includes the annual bonus for 2021 which was paid out in June 2022. Accordingly, the information provided in the tables below differs from the information about management board remuneration presented in the notes of the Annual Report 2022 (note 5.32.2). These differences are due to the differing presentation requirements under the German Corporate Governance Code and IFRS. The share-based remuneration in the form of stock options granted in the financial year 2022 is disclosed with its value, </w:t>
      </w:r>
      <w:r>
        <w:rPr>
          <w:rFonts w:ascii="Arial" w:cs="Arial" w:eastAsia="Arial" w:hAnsi="Arial"/>
          <w:sz w:val="17"/>
          <w:szCs w:val="17"/>
          <w:i w:val="1"/>
          <w:iCs w:val="1"/>
          <w:color w:val="auto"/>
        </w:rPr>
        <w:t>i.e.</w:t>
      </w:r>
      <w:r>
        <w:rPr>
          <w:rFonts w:ascii="Arial" w:cs="Arial" w:eastAsia="Arial" w:hAnsi="Arial"/>
          <w:sz w:val="17"/>
          <w:szCs w:val="17"/>
          <w:color w:val="auto"/>
        </w:rPr>
        <w:t xml:space="preserve"> the number of stock options granted, multiplied by the fair market value at the time of granting.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5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Annual base</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Special</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center"/>
              <w:ind w:left="227"/>
              <w:spacing w:after="0" w:line="119" w:lineRule="exact"/>
              <w:rPr>
                <w:sz w:val="20"/>
                <w:szCs w:val="20"/>
                <w:color w:val="auto"/>
              </w:rPr>
            </w:pPr>
            <w:r>
              <w:rPr>
                <w:rFonts w:ascii="Arial" w:cs="Arial" w:eastAsia="Arial" w:hAnsi="Arial"/>
                <w:sz w:val="13"/>
                <w:szCs w:val="13"/>
                <w:b w:val="1"/>
                <w:bCs w:val="1"/>
                <w:color w:val="auto"/>
              </w:rPr>
              <w:t>Short-term</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Long-term</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Fringe benefits</w:t>
            </w:r>
          </w:p>
        </w:tc>
        <w:tc>
          <w:tcPr>
            <w:tcW w:w="10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4"/>
              </w:rPr>
              <w:t>variable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ind w:left="260"/>
              <w:spacing w:after="0" w:line="149" w:lineRule="exact"/>
              <w:rPr>
                <w:sz w:val="20"/>
                <w:szCs w:val="20"/>
                <w:color w:val="auto"/>
              </w:rPr>
            </w:pPr>
            <w:r>
              <w:rPr>
                <w:rFonts w:ascii="Arial" w:cs="Arial" w:eastAsia="Arial" w:hAnsi="Arial"/>
                <w:sz w:val="14"/>
                <w:szCs w:val="14"/>
                <w:b w:val="1"/>
                <w:bCs w:val="1"/>
                <w:color w:val="auto"/>
                <w:w w:val="94"/>
              </w:rPr>
              <w:t>variable</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payment</w:t>
            </w:r>
            <w:r>
              <w:rPr>
                <w:rFonts w:ascii="Arial" w:cs="Arial" w:eastAsia="Arial" w:hAnsi="Arial"/>
                <w:sz w:val="10"/>
                <w:szCs w:val="10"/>
                <w:b w:val="1"/>
                <w:bCs w:val="1"/>
                <w:color w:val="auto"/>
              </w:rPr>
              <w:t>(3)</w:t>
            </w:r>
          </w:p>
        </w:tc>
        <w:tc>
          <w:tcPr>
            <w:tcW w:w="1660" w:type="dxa"/>
            <w:vAlign w:val="bottom"/>
            <w:gridSpan w:val="3"/>
            <w:vMerge w:val="continue"/>
          </w:tcPr>
          <w:p>
            <w:pPr>
              <w:spacing w:after="0"/>
              <w:rPr>
                <w:sz w:val="14"/>
                <w:szCs w:val="14"/>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remuneration</w:t>
            </w: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remuneration</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Management board member</w:t>
            </w:r>
          </w:p>
        </w:tc>
        <w:tc>
          <w:tcPr>
            <w:tcW w:w="820" w:type="dxa"/>
            <w:vAlign w:val="bottom"/>
            <w:tcBorders>
              <w:top w:val="single" w:sz="8" w:color="auto"/>
            </w:tcBorders>
          </w:tcPr>
          <w:p>
            <w:pPr>
              <w:jc w:val="right"/>
              <w:ind w:right="299"/>
              <w:spacing w:after="0" w:line="119" w:lineRule="exact"/>
              <w:rPr>
                <w:sz w:val="20"/>
                <w:szCs w:val="20"/>
                <w:color w:val="auto"/>
              </w:rPr>
            </w:pPr>
            <w:r>
              <w:rPr>
                <w:rFonts w:ascii="Arial" w:cs="Arial" w:eastAsia="Arial" w:hAnsi="Arial"/>
                <w:sz w:val="13"/>
                <w:szCs w:val="13"/>
                <w:b w:val="1"/>
                <w:bCs w:val="1"/>
                <w:color w:val="auto"/>
              </w:rPr>
              <w:t>(in €</w:t>
            </w:r>
          </w:p>
        </w:tc>
        <w:tc>
          <w:tcPr>
            <w:tcW w:w="34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rPr>
              <w:t>(in</w:t>
            </w:r>
          </w:p>
        </w:tc>
        <w:tc>
          <w:tcPr>
            <w:tcW w:w="340" w:type="dxa"/>
            <w:vAlign w:val="bottom"/>
          </w:tcPr>
          <w:p>
            <w:pPr>
              <w:spacing w:after="0"/>
              <w:rPr>
                <w:sz w:val="10"/>
                <w:szCs w:val="10"/>
                <w:color w:val="auto"/>
              </w:rPr>
            </w:pPr>
          </w:p>
        </w:tc>
        <w:tc>
          <w:tcPr>
            <w:tcW w:w="820" w:type="dxa"/>
            <w:vAlign w:val="bottom"/>
            <w:tcBorders>
              <w:top w:val="single" w:sz="8" w:color="auto"/>
            </w:tcBorders>
          </w:tcPr>
          <w:p>
            <w:pPr>
              <w:jc w:val="right"/>
              <w:ind w:right="299"/>
              <w:spacing w:after="0" w:line="119" w:lineRule="exact"/>
              <w:rPr>
                <w:sz w:val="20"/>
                <w:szCs w:val="20"/>
                <w:color w:val="auto"/>
              </w:rPr>
            </w:pPr>
            <w:r>
              <w:rPr>
                <w:rFonts w:ascii="Arial" w:cs="Arial" w:eastAsia="Arial" w:hAnsi="Arial"/>
                <w:sz w:val="13"/>
                <w:szCs w:val="13"/>
                <w:b w:val="1"/>
                <w:bCs w:val="1"/>
                <w:color w:val="auto"/>
              </w:rPr>
              <w:t>(in €</w:t>
            </w:r>
          </w:p>
        </w:tc>
        <w:tc>
          <w:tcPr>
            <w:tcW w:w="34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0"/>
                <w:szCs w:val="10"/>
                <w:color w:val="auto"/>
              </w:rPr>
            </w:pPr>
          </w:p>
        </w:tc>
        <w:tc>
          <w:tcPr>
            <w:tcW w:w="900" w:type="dxa"/>
            <w:vAlign w:val="bottom"/>
            <w:tcBorders>
              <w:top w:val="single" w:sz="8" w:color="auto"/>
            </w:tcBorders>
          </w:tcPr>
          <w:p>
            <w:pPr>
              <w:jc w:val="right"/>
              <w:ind w:right="382"/>
              <w:spacing w:after="0" w:line="119" w:lineRule="exact"/>
              <w:rPr>
                <w:sz w:val="20"/>
                <w:szCs w:val="20"/>
                <w:color w:val="auto"/>
              </w:rPr>
            </w:pPr>
            <w:r>
              <w:rPr>
                <w:rFonts w:ascii="Arial" w:cs="Arial" w:eastAsia="Arial" w:hAnsi="Arial"/>
                <w:sz w:val="13"/>
                <w:szCs w:val="13"/>
                <w:b w:val="1"/>
                <w:bCs w:val="1"/>
                <w:color w:val="auto"/>
              </w:rPr>
              <w:t>(in €</w:t>
            </w:r>
          </w:p>
        </w:tc>
        <w:tc>
          <w:tcPr>
            <w:tcW w:w="44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0"/>
                <w:szCs w:val="10"/>
                <w:color w:val="auto"/>
              </w:rPr>
            </w:pPr>
          </w:p>
        </w:tc>
        <w:tc>
          <w:tcPr>
            <w:tcW w:w="1020" w:type="dxa"/>
            <w:vAlign w:val="bottom"/>
            <w:tcBorders>
              <w:top w:val="single" w:sz="8" w:color="auto"/>
            </w:tcBorders>
          </w:tcPr>
          <w:p>
            <w:pPr>
              <w:jc w:val="right"/>
              <w:ind w:right="507"/>
              <w:spacing w:after="0" w:line="119" w:lineRule="exact"/>
              <w:rPr>
                <w:sz w:val="20"/>
                <w:szCs w:val="20"/>
                <w:color w:val="auto"/>
              </w:rPr>
            </w:pPr>
            <w:r>
              <w:rPr>
                <w:rFonts w:ascii="Arial" w:cs="Arial" w:eastAsia="Arial" w:hAnsi="Arial"/>
                <w:sz w:val="13"/>
                <w:szCs w:val="13"/>
                <w:b w:val="1"/>
                <w:bCs w:val="1"/>
                <w:color w:val="auto"/>
              </w:rPr>
              <w:t>(in €</w:t>
            </w:r>
          </w:p>
        </w:tc>
        <w:tc>
          <w:tcPr>
            <w:tcW w:w="32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0"/>
                <w:szCs w:val="10"/>
                <w:color w:val="auto"/>
              </w:rPr>
            </w:pPr>
          </w:p>
        </w:tc>
        <w:tc>
          <w:tcPr>
            <w:tcW w:w="840" w:type="dxa"/>
            <w:vAlign w:val="bottom"/>
            <w:tcBorders>
              <w:top w:val="single" w:sz="8" w:color="auto"/>
            </w:tcBorders>
          </w:tcPr>
          <w:p>
            <w:pPr>
              <w:jc w:val="right"/>
              <w:ind w:right="320"/>
              <w:spacing w:after="0" w:line="119" w:lineRule="exact"/>
              <w:rPr>
                <w:sz w:val="20"/>
                <w:szCs w:val="20"/>
                <w:color w:val="auto"/>
              </w:rPr>
            </w:pPr>
            <w:r>
              <w:rPr>
                <w:rFonts w:ascii="Arial" w:cs="Arial" w:eastAsia="Arial" w:hAnsi="Arial"/>
                <w:sz w:val="13"/>
                <w:szCs w:val="13"/>
                <w:b w:val="1"/>
                <w:bCs w:val="1"/>
                <w:color w:val="auto"/>
              </w:rPr>
              <w:t>(in €</w:t>
            </w:r>
          </w:p>
        </w:tc>
        <w:tc>
          <w:tcPr>
            <w:tcW w:w="34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 €</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b w:val="1"/>
                <w:bCs w:val="1"/>
                <w:color w:val="auto"/>
                <w:w w:val="88"/>
              </w:rPr>
              <w:t>thousand)</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b w:val="1"/>
                <w:bCs w:val="1"/>
                <w:color w:val="auto"/>
                <w:w w:val="88"/>
              </w:rPr>
              <w:t>thousand)</w:t>
            </w:r>
          </w:p>
        </w:tc>
        <w:tc>
          <w:tcPr>
            <w:tcW w:w="340" w:type="dxa"/>
            <w:vAlign w:val="bottom"/>
          </w:tcPr>
          <w:p>
            <w:pPr>
              <w:jc w:val="right"/>
              <w:ind w:right="1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900" w:type="dxa"/>
            <w:vAlign w:val="bottom"/>
          </w:tcPr>
          <w:p>
            <w:pPr>
              <w:jc w:val="right"/>
              <w:ind w:right="202"/>
              <w:spacing w:after="0"/>
              <w:rPr>
                <w:sz w:val="20"/>
                <w:szCs w:val="20"/>
                <w:color w:val="auto"/>
              </w:rPr>
            </w:pPr>
            <w:r>
              <w:rPr>
                <w:rFonts w:ascii="Arial" w:cs="Arial" w:eastAsia="Arial" w:hAnsi="Arial"/>
                <w:sz w:val="14"/>
                <w:szCs w:val="14"/>
                <w:b w:val="1"/>
                <w:bCs w:val="1"/>
                <w:color w:val="auto"/>
                <w:w w:val="88"/>
              </w:rPr>
              <w:t>thousand)</w:t>
            </w:r>
          </w:p>
        </w:tc>
        <w:tc>
          <w:tcPr>
            <w:tcW w:w="4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Arial" w:cs="Arial" w:eastAsia="Arial" w:hAnsi="Arial"/>
                <w:sz w:val="14"/>
                <w:szCs w:val="14"/>
                <w:b w:val="1"/>
                <w:bCs w:val="1"/>
                <w:color w:val="auto"/>
                <w:w w:val="88"/>
              </w:rPr>
              <w:t>thousand)</w:t>
            </w: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auto"/>
                <w:w w:val="88"/>
              </w:rPr>
              <w:t>thousand)</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thousand)</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Emin Bulent Altan</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473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34.2%</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020" w:type="dxa"/>
            <w:vAlign w:val="bottom"/>
            <w:shd w:val="clear" w:color="auto" w:fill="CCEEFF"/>
          </w:tcPr>
          <w:p>
            <w:pPr>
              <w:jc w:val="right"/>
              <w:ind w:right="167"/>
              <w:spacing w:after="0" w:line="216" w:lineRule="exact"/>
              <w:rPr>
                <w:sz w:val="20"/>
                <w:szCs w:val="20"/>
                <w:color w:val="auto"/>
              </w:rPr>
            </w:pPr>
            <w:r>
              <w:rPr>
                <w:rFonts w:ascii="Arial" w:cs="Arial" w:eastAsia="Arial" w:hAnsi="Arial"/>
                <w:sz w:val="25"/>
                <w:szCs w:val="25"/>
                <w:color w:val="auto"/>
                <w:vertAlign w:val="subscript"/>
              </w:rPr>
              <w:t>152</w:t>
            </w:r>
            <w:r>
              <w:rPr>
                <w:rFonts w:ascii="Arial" w:cs="Arial" w:eastAsia="Arial" w:hAnsi="Arial"/>
                <w:sz w:val="11"/>
                <w:szCs w:val="11"/>
                <w:color w:val="auto"/>
              </w:rPr>
              <w:t>(5)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18.6%</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7"/>
                <w:szCs w:val="17"/>
                <w:color w:val="auto"/>
              </w:rPr>
              <w:t>Mustafa Veziroglu</w:t>
            </w:r>
            <w:r>
              <w:rPr>
                <w:rFonts w:ascii="Arial" w:cs="Arial" w:eastAsia="Arial" w:hAnsi="Arial"/>
                <w:sz w:val="25"/>
                <w:szCs w:val="25"/>
                <w:color w:val="auto"/>
                <w:vertAlign w:val="superscript"/>
              </w:rPr>
              <w:t>(1)</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129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49.4%</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900" w:type="dxa"/>
            <w:vAlign w:val="bottom"/>
          </w:tcPr>
          <w:p>
            <w:pPr>
              <w:jc w:val="right"/>
              <w:ind w:right="42"/>
              <w:spacing w:after="0" w:line="216" w:lineRule="exact"/>
              <w:rPr>
                <w:sz w:val="20"/>
                <w:szCs w:val="20"/>
                <w:color w:val="auto"/>
              </w:rPr>
            </w:pPr>
            <w:r>
              <w:rPr>
                <w:rFonts w:ascii="Arial" w:cs="Arial" w:eastAsia="Arial" w:hAnsi="Arial"/>
                <w:sz w:val="25"/>
                <w:szCs w:val="25"/>
                <w:color w:val="auto"/>
                <w:vertAlign w:val="subscript"/>
              </w:rPr>
              <w:t>82</w:t>
            </w:r>
            <w:r>
              <w:rPr>
                <w:rFonts w:ascii="Arial" w:cs="Arial" w:eastAsia="Arial" w:hAnsi="Arial"/>
                <w:sz w:val="11"/>
                <w:szCs w:val="11"/>
                <w:color w:val="auto"/>
              </w:rPr>
              <w:t>(4)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1020" w:type="dxa"/>
            <w:vAlign w:val="bottom"/>
          </w:tcPr>
          <w:p>
            <w:pPr>
              <w:jc w:val="right"/>
              <w:ind w:right="327"/>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840" w:type="dxa"/>
            <w:vAlign w:val="bottom"/>
          </w:tcPr>
          <w:p>
            <w:pPr>
              <w:jc w:val="right"/>
              <w:ind w:right="140"/>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19.6%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Stefan Berndt-von Bülow</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263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50.3%</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62</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11.9%</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20" w:type="dxa"/>
            <w:vAlign w:val="bottom"/>
            <w:shd w:val="clear" w:color="auto" w:fill="CCEEFF"/>
          </w:tcPr>
          <w:p>
            <w:pPr>
              <w:jc w:val="right"/>
              <w:ind w:right="167"/>
              <w:spacing w:after="0" w:line="216" w:lineRule="exact"/>
              <w:rPr>
                <w:sz w:val="20"/>
                <w:szCs w:val="20"/>
                <w:color w:val="auto"/>
              </w:rPr>
            </w:pPr>
            <w:r>
              <w:rPr>
                <w:rFonts w:ascii="Arial" w:cs="Arial" w:eastAsia="Arial" w:hAnsi="Arial"/>
                <w:sz w:val="17"/>
                <w:szCs w:val="17"/>
                <w:color w:val="auto"/>
              </w:rPr>
              <w:t>142</w:t>
            </w:r>
            <w:r>
              <w:rPr>
                <w:rFonts w:ascii="Arial" w:cs="Arial" w:eastAsia="Arial" w:hAnsi="Arial"/>
                <w:sz w:val="25"/>
                <w:szCs w:val="25"/>
                <w:color w:val="auto"/>
                <w:vertAlign w:val="superscript"/>
              </w:rPr>
              <w:t>(5)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27.2%</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7"/>
                <w:szCs w:val="17"/>
                <w:color w:val="auto"/>
              </w:rPr>
              <w:t>Joachim Horwath</w:t>
            </w:r>
            <w:r>
              <w:rPr>
                <w:rFonts w:ascii="Arial" w:cs="Arial" w:eastAsia="Arial" w:hAnsi="Arial"/>
                <w:sz w:val="25"/>
                <w:szCs w:val="25"/>
                <w:color w:val="auto"/>
                <w:vertAlign w:val="superscript"/>
              </w:rPr>
              <w:t>(2)</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263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50.3%</w:t>
            </w:r>
          </w:p>
        </w:tc>
        <w:tc>
          <w:tcPr>
            <w:tcW w:w="820" w:type="dxa"/>
            <w:vAlign w:val="bottom"/>
          </w:tcPr>
          <w:p>
            <w:pPr>
              <w:jc w:val="right"/>
              <w:ind w:right="119"/>
              <w:spacing w:after="0"/>
              <w:rPr>
                <w:sz w:val="20"/>
                <w:szCs w:val="20"/>
                <w:color w:val="auto"/>
              </w:rPr>
            </w:pPr>
            <w:r>
              <w:rPr>
                <w:rFonts w:ascii="Arial" w:cs="Arial" w:eastAsia="Arial" w:hAnsi="Arial"/>
                <w:sz w:val="18"/>
                <w:szCs w:val="18"/>
                <w:color w:val="auto"/>
              </w:rPr>
              <w:t>62</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11.9%</w:t>
            </w:r>
          </w:p>
        </w:tc>
        <w:tc>
          <w:tcPr>
            <w:tcW w:w="900" w:type="dxa"/>
            <w:vAlign w:val="bottom"/>
          </w:tcPr>
          <w:p>
            <w:pPr>
              <w:jc w:val="right"/>
              <w:ind w:right="202"/>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20" w:type="dxa"/>
            <w:vAlign w:val="bottom"/>
          </w:tcPr>
          <w:p>
            <w:pPr>
              <w:jc w:val="right"/>
              <w:ind w:right="167"/>
              <w:spacing w:after="0" w:line="216" w:lineRule="exact"/>
              <w:rPr>
                <w:sz w:val="20"/>
                <w:szCs w:val="20"/>
                <w:color w:val="auto"/>
              </w:rPr>
            </w:pPr>
            <w:r>
              <w:rPr>
                <w:rFonts w:ascii="Arial" w:cs="Arial" w:eastAsia="Arial" w:hAnsi="Arial"/>
                <w:sz w:val="25"/>
                <w:szCs w:val="25"/>
                <w:color w:val="auto"/>
                <w:vertAlign w:val="subscript"/>
              </w:rPr>
              <w:t>142</w:t>
            </w:r>
            <w:r>
              <w:rPr>
                <w:rFonts w:ascii="Arial" w:cs="Arial" w:eastAsia="Arial" w:hAnsi="Arial"/>
                <w:sz w:val="11"/>
                <w:szCs w:val="11"/>
                <w:color w:val="auto"/>
              </w:rPr>
              <w:t>(5)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27.2%</w:t>
            </w:r>
          </w:p>
        </w:tc>
        <w:tc>
          <w:tcPr>
            <w:tcW w:w="840" w:type="dxa"/>
            <w:vAlign w:val="bottom"/>
          </w:tcPr>
          <w:p>
            <w:pPr>
              <w:jc w:val="right"/>
              <w:ind w:right="140"/>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1,128</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53.1%</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132</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214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020" w:type="dxa"/>
            <w:vAlign w:val="bottom"/>
            <w:shd w:val="clear" w:color="auto" w:fill="CCEEFF"/>
          </w:tcPr>
          <w:p>
            <w:pPr>
              <w:jc w:val="right"/>
              <w:ind w:right="327"/>
              <w:spacing w:after="0"/>
              <w:rPr>
                <w:sz w:val="20"/>
                <w:szCs w:val="20"/>
                <w:color w:val="auto"/>
              </w:rPr>
            </w:pPr>
            <w:r>
              <w:rPr>
                <w:rFonts w:ascii="Arial" w:cs="Arial" w:eastAsia="Arial" w:hAnsi="Arial"/>
                <w:sz w:val="18"/>
                <w:szCs w:val="18"/>
                <w:color w:val="auto"/>
              </w:rPr>
              <w:t>436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20.5%</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the management board since August 15, 2022.</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the management board since February 17,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Special payment for the extension of appointment to the management board.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€80 thousand for transfer of residence to Germany.</w:t>
      </w:r>
    </w:p>
    <w:p>
      <w:pPr>
        <w:spacing w:after="0" w:line="9" w:lineRule="exact"/>
        <w:rPr>
          <w:rFonts w:ascii="Arial" w:cs="Arial" w:eastAsia="Arial" w:hAnsi="Arial"/>
          <w:sz w:val="18"/>
          <w:szCs w:val="18"/>
          <w:color w:val="auto"/>
        </w:rPr>
      </w:pPr>
    </w:p>
    <w:p>
      <w:pPr>
        <w:jc w:val="both"/>
        <w:ind w:left="540" w:hanging="424"/>
        <w:spacing w:after="0" w:line="255"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the target achievements of the operational target and the financial target, the overall target achievement of the annual bonus 2021 was 0%. Includes additional payout amount of 30% for IPO on Nasdaq Global Select Market and bonus for investment by L3Harris as strategic investor.</w:t>
      </w:r>
    </w:p>
    <w:p>
      <w:pPr>
        <w:spacing w:after="0" w:line="19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86"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Remuneration Rules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Maximum Remuneration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the German Stock Corporation Act, the supervisory board has set a maximum compensation for the members of the management board. This amounts to €6,000,000 for the CEO and €4,000,000 for each ordinary member of the management board for one financial year—irrespective of whether payment is made in this financial year or at a later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Penalty and clawback rules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If necessary, the supervisory board may withhold (penalty clause) or retract (clawback) variable remuneration components if a management board member is in serious breach of their obligations, particularly their compliance obligations. The current employment contracts of all management board members include such clawback provisions. We did not make use of our right to withhold or retract variable remuneration in financial year 2022.</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Severance payments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Service contracts with our members of the management board contain severance payment provisions that comply with the recommendations of the German Corporate Governance Code.</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the event of premature termination of the service agreement, payments by us to the management board member, including fringe benefits, shall not exceed the value of two years’ compensation (severance payment cap) and shall compensate no more than the remaining term of the employment contract. If the service contract is terminated for cause within the sphere of the management board member, no payments will be made to the respective member.</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severance payment cap is calculated on the basis of the total compensation for the previous full financial year and, where appropriate, also the expected total compensation for the current financial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Change of control</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With the exception of Bulent Altan’s service contract, service contracts with our management board members do not contain any provisions in the event of a “change-of-control” (as defined below). Under Mr. Altan’s service contract, Mr. Altan or we have the right to terminate the service contract in the event of a change-of-control against payment of a severance payment equivalent to the value of a half a year’s compensation (whereby no more than the remaining term of the employment contract is to be compensated). For purpose of this provision, a “change-of-control” is defined as the resignation from office of at least three supervisory board members.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2022 Plan provides for the following regulation in the event of a change-of-control:</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 change-of-control exists if a shareholder holds more than 50% of our shares and/or voting rights. In the event of a change-of-control, all participants under the 2022 Plan have the right to forfeit stock options against payment of a settlement in the amount of the purchase price paid in the course of the change-of-control (or offered to the shareholders in the event of a public offer) or, if such a purchase price is not known, in the amount of the price of our share or the price of the right or certificate representing our share in the trading system with the highest total trading volume in our shares during the last 30 trading days prior to the day on which we become aware of the change-of-control and, in the case of stock options, less the exercise price.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stock option plans provide for the following provision in the event of a change-of-control:</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If the vesting period has not yet expired at the time the change-of-control takes effect, or if the vesting period has expired but the exercise requirements of the stock option plan are not met, the members of the management board are entitled to waive the subscription rights within two weeks of the announcement of the change-of-control by making a unilateral declaration to us. In this case, the management board members are entitled to a compensation payment in the amount of the purchase price per share paid in the course of the change-of-control less the exercise price. For purpose of this provision, a “change-of-control” is defined as the acquisition of more than 50% of our shares by a new shareholder.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Non-competition clause</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The current service contracts with the members of our management board do not provide for any post-contractual non-competition clauses. 84</w:t>
      </w:r>
    </w:p>
    <w:p>
      <w:pPr>
        <w:sectPr>
          <w:pgSz w:w="11900" w:h="16838" w:orient="portrait"/>
          <w:cols w:equalWidth="0" w:num="1">
            <w:col w:w="11140"/>
          </w:cols>
          <w:pgMar w:left="320" w:top="486"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Ownership of Management Board Members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Mr. Altan currently holds 4,545 ADSs representing 1,136 ordinary shares in our Company. Mr. Berndt-von Bülow currently holds 696 ADSs representing 174 ordinary shares in our Company. Mr. Horwath holds 220,527 ordinary shares in our Company; he currently does not hold any ADSs.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Ownership of Management Board Members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option ownership of our current and former management board members as of April 28, 2023:</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right"/>
              <w:ind w:right="413"/>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Exercise</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Price</w:t>
            </w:r>
          </w:p>
        </w:tc>
        <w:tc>
          <w:tcPr>
            <w:tcW w:w="18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Grant Date</w:t>
            </w:r>
          </w:p>
        </w:tc>
        <w:tc>
          <w:tcPr>
            <w:tcW w:w="16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493"/>
              <w:spacing w:after="0"/>
              <w:rPr>
                <w:sz w:val="20"/>
                <w:szCs w:val="20"/>
                <w:color w:val="auto"/>
              </w:rPr>
            </w:pPr>
            <w:r>
              <w:rPr>
                <w:rFonts w:ascii="Arial" w:cs="Arial" w:eastAsia="Arial" w:hAnsi="Arial"/>
                <w:sz w:val="14"/>
                <w:szCs w:val="14"/>
                <w:b w:val="1"/>
                <w:bCs w:val="1"/>
                <w:color w:val="auto"/>
              </w:rPr>
              <w:t>Options</w:t>
            </w:r>
          </w:p>
        </w:tc>
        <w:tc>
          <w:tcPr>
            <w:tcW w:w="1540" w:type="dxa"/>
            <w:vAlign w:val="bottom"/>
            <w:gridSpan w:val="2"/>
            <w:vMerge w:val="continue"/>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 €)</w:t>
            </w:r>
          </w:p>
        </w:tc>
        <w:tc>
          <w:tcPr>
            <w:tcW w:w="186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Emin Bulent Altan</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7"/>
              </w:rPr>
              <w:t>(1)</w:t>
            </w:r>
          </w:p>
        </w:tc>
        <w:tc>
          <w:tcPr>
            <w:tcW w:w="1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Ordinary shares</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September 27, 2019</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September 27, 2026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(1)</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61.27</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September 30, 2020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September 30, 2027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(2)</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61.27</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September 30, 2020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September 30, 2027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(3)</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32.90</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September 30, 2022</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September 30, 2031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Mustafa Veziroglu</w:t>
            </w:r>
          </w:p>
        </w:tc>
        <w:tc>
          <w:tcPr>
            <w:tcW w:w="220" w:type="dxa"/>
            <w:vAlign w:val="bottom"/>
          </w:tcPr>
          <w:p>
            <w:pPr>
              <w:spacing w:after="0"/>
              <w:rPr>
                <w:sz w:val="18"/>
                <w:szCs w:val="18"/>
                <w:color w:val="auto"/>
              </w:rPr>
            </w:pPr>
          </w:p>
        </w:tc>
        <w:tc>
          <w:tcPr>
            <w:tcW w:w="1160" w:type="dxa"/>
            <w:vAlign w:val="bottom"/>
            <w:gridSpan w:val="2"/>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(3)</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32.90</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September 30, 2022</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September 30, 2031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Stefan Berndt-von Bülow</w:t>
            </w:r>
          </w:p>
        </w:tc>
        <w:tc>
          <w:tcPr>
            <w:tcW w:w="1380" w:type="dxa"/>
            <w:vAlign w:val="bottom"/>
            <w:gridSpan w:val="3"/>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(1)</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41.03</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December 30, 2019</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December 30, 2026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(1)</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47.25</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June 30, 2020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(2)</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61.27</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September 30, 2020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September 30, 2027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7"/>
              </w:rPr>
              <w:t>(4)</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71.15</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June 30, 2021</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7"/>
              </w:rPr>
              <w:t>(3)</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32.90</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September 30, 2022</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September 30, 2031</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Joachim Horwath</w:t>
            </w:r>
          </w:p>
        </w:tc>
        <w:tc>
          <w:tcPr>
            <w:tcW w:w="2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233"/>
              <w:spacing w:after="0"/>
              <w:rPr>
                <w:sz w:val="20"/>
                <w:szCs w:val="20"/>
                <w:color w:val="auto"/>
              </w:rPr>
            </w:pPr>
            <w:r>
              <w:rPr>
                <w:rFonts w:ascii="Arial" w:cs="Arial" w:eastAsia="Arial" w:hAnsi="Arial"/>
                <w:sz w:val="13"/>
                <w:szCs w:val="13"/>
                <w:color w:val="auto"/>
                <w:w w:val="87"/>
              </w:rPr>
              <w:t>(1)</w:t>
            </w:r>
          </w:p>
        </w:tc>
        <w:tc>
          <w:tcPr>
            <w:tcW w:w="15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Ordinary shares</w:t>
            </w:r>
          </w:p>
        </w:tc>
        <w:tc>
          <w:tcPr>
            <w:tcW w:w="8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42.46</w:t>
            </w:r>
          </w:p>
        </w:tc>
        <w:tc>
          <w:tcPr>
            <w:tcW w:w="18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5"/>
              </w:rPr>
              <w:t>September 27, 2019</w:t>
            </w:r>
          </w:p>
        </w:tc>
        <w:tc>
          <w:tcPr>
            <w:tcW w:w="16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6"/>
              </w:rPr>
              <w:t>September 27, 2026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380" w:type="dxa"/>
            <w:vAlign w:val="bottom"/>
            <w:gridSpan w:val="3"/>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(4)</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71.15</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June 30, 2021</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380" w:type="dxa"/>
            <w:vAlign w:val="bottom"/>
            <w:gridSpan w:val="3"/>
          </w:tcPr>
          <w:p>
            <w:pPr>
              <w:jc w:val="right"/>
              <w:ind w:right="233"/>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(3)</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32.90</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September 30, 2022</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September 30, 2031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Wolfram Peschko</w:t>
            </w:r>
            <w:r>
              <w:rPr>
                <w:rFonts w:ascii="Arial" w:cs="Arial" w:eastAsia="Arial" w:hAnsi="Arial"/>
                <w:sz w:val="25"/>
                <w:szCs w:val="25"/>
                <w:color w:val="auto"/>
                <w:vertAlign w:val="superscript"/>
              </w:rPr>
              <w:t>(5)</w:t>
            </w:r>
          </w:p>
        </w:tc>
        <w:tc>
          <w:tcPr>
            <w:tcW w:w="1380" w:type="dxa"/>
            <w:vAlign w:val="bottom"/>
            <w:gridSpan w:val="3"/>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(1)</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42.46</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September 27, 2019</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September 27, 2026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33"/>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(1)</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47.25</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June 30, 2020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2027</w:t>
            </w: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6"/>
                <w:szCs w:val="16"/>
                <w:color w:val="auto"/>
              </w:rPr>
              <w:t>Hubertus Edler von Janecek</w:t>
            </w:r>
            <w:r>
              <w:rPr>
                <w:rFonts w:ascii="Arial" w:cs="Arial" w:eastAsia="Arial" w:hAnsi="Arial"/>
                <w:sz w:val="23"/>
                <w:szCs w:val="23"/>
                <w:color w:val="auto"/>
                <w:vertAlign w:val="superscript"/>
              </w:rPr>
              <w:t>(5)</w:t>
            </w:r>
          </w:p>
        </w:tc>
        <w:tc>
          <w:tcPr>
            <w:tcW w:w="1380" w:type="dxa"/>
            <w:vAlign w:val="bottom"/>
            <w:gridSpan w:val="3"/>
          </w:tcPr>
          <w:p>
            <w:pPr>
              <w:jc w:val="right"/>
              <w:ind w:right="233"/>
              <w:spacing w:after="0" w:line="201"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1"/>
                <w:szCs w:val="11"/>
                <w:color w:val="auto"/>
              </w:rPr>
              <w:t>(1)</w:t>
            </w:r>
          </w:p>
        </w:tc>
        <w:tc>
          <w:tcPr>
            <w:tcW w:w="15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Ordinary shares</w:t>
            </w:r>
          </w:p>
        </w:tc>
        <w:tc>
          <w:tcPr>
            <w:tcW w:w="8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42.46</w:t>
            </w:r>
          </w:p>
        </w:tc>
        <w:tc>
          <w:tcPr>
            <w:tcW w:w="18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5"/>
              </w:rPr>
              <w:t>September 27, 2019</w:t>
            </w:r>
          </w:p>
        </w:tc>
        <w:tc>
          <w:tcPr>
            <w:tcW w:w="16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6"/>
              </w:rPr>
              <w:t>September 27, 2026</w:t>
            </w:r>
          </w:p>
        </w:tc>
        <w:tc>
          <w:tcPr>
            <w:tcW w:w="0" w:type="dxa"/>
            <w:vAlign w:val="bottom"/>
          </w:tcPr>
          <w:p>
            <w:pPr>
              <w:spacing w:after="0"/>
              <w:rPr>
                <w:sz w:val="1"/>
                <w:szCs w:val="1"/>
                <w:color w:val="auto"/>
              </w:rPr>
            </w:pPr>
          </w:p>
        </w:tc>
      </w:tr>
      <w:tr>
        <w:trPr>
          <w:trHeight w:val="434"/>
        </w:trPr>
        <w:tc>
          <w:tcPr>
            <w:tcW w:w="3740" w:type="dxa"/>
            <w:vAlign w:val="bottom"/>
          </w:tcPr>
          <w:p>
            <w:pPr>
              <w:spacing w:after="0"/>
              <w:rPr>
                <w:sz w:val="24"/>
                <w:szCs w:val="24"/>
                <w:color w:val="auto"/>
              </w:rPr>
            </w:pPr>
          </w:p>
        </w:tc>
        <w:tc>
          <w:tcPr>
            <w:tcW w:w="1380" w:type="dxa"/>
            <w:vAlign w:val="bottom"/>
            <w:gridSpan w:val="3"/>
          </w:tcPr>
          <w:p>
            <w:pPr>
              <w:jc w:val="right"/>
              <w:ind w:right="233"/>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Ordinary shares</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47.25</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June 30, 2020</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660" w:hanging="54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beneficial ownership of less than 1% of our outstanding ordinary shares.</w:t>
      </w:r>
    </w:p>
    <w:p>
      <w:pPr>
        <w:spacing w:after="0" w:line="7" w:lineRule="exact"/>
        <w:rPr>
          <w:sz w:val="20"/>
          <w:szCs w:val="20"/>
          <w:color w:val="auto"/>
        </w:rPr>
      </w:pPr>
    </w:p>
    <w:p>
      <w:pPr>
        <w:ind w:left="660" w:hanging="54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Granted under the 2019 Plan.</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Granted under the 2020 Plan.</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Granted under the 2022 Plan.</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Granted under the 2021 Plan.</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Peschko and Mr. Edler von Janecek both resigned from our management board in June and July 2020,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Supervisory Board Members</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Each member of the supervisory board is entitled to a fixed annual compensation of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 In addition, each member of the supervisory board receives an attendance fee of €500 per meeting for participating in a meeting or a resolution passed by telephone.</w:t>
      </w:r>
    </w:p>
    <w:p>
      <w:pPr>
        <w:spacing w:after="0" w:line="17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compensation is payable after the end of the financial year. A member of the supervisory board who serves for only a portion of a given financial year or who holds the position of chairman or vice chairman of the supervisory board for only a portion of a given financial year will only be remunerated pro rata. In addition, the members of the supervisory board will be reimbursed for their reasonable out-of-pocket expenses incurred in the performance of their duties as supervisory board members as well as the value-added tax on their compensation and out-of-pocket expenses. In addition, the members of the supervisory board are covered by a D&amp;O insurance policy in line with market practice.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86"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fixed remuneration awarded to our current supervisory board members.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6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Fixed</w:t>
            </w:r>
          </w:p>
        </w:tc>
        <w:tc>
          <w:tcPr>
            <w:tcW w:w="13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Attendance</w:t>
            </w:r>
          </w:p>
        </w:tc>
        <w:tc>
          <w:tcPr>
            <w:tcW w:w="9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remuneration</w:t>
            </w:r>
          </w:p>
        </w:tc>
        <w:tc>
          <w:tcPr>
            <w:tcW w:w="580" w:type="dxa"/>
            <w:vAlign w:val="bottom"/>
          </w:tcPr>
          <w:p>
            <w:pPr>
              <w:spacing w:after="0"/>
              <w:rPr>
                <w:sz w:val="14"/>
                <w:szCs w:val="14"/>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fees</w:t>
            </w: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 thousand)</w:t>
            </w: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Members of our supervisory board</w:t>
            </w:r>
          </w:p>
        </w:tc>
        <w:tc>
          <w:tcPr>
            <w:tcW w:w="1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Dr. Manfred Krischke(1)</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Peter Müller-Brühl(2)</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Steve Geskos(3)</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Hans Königsmann</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Vincent Wobbe</w:t>
            </w:r>
          </w:p>
        </w:tc>
        <w:tc>
          <w:tcPr>
            <w:tcW w:w="18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Chairman of the supervisory board and member of the Company’s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Deputy chairman of the supervisory board and member of the Company’s audit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Chairman of the audit committee.</w:t>
      </w:r>
    </w:p>
    <w:p>
      <w:pPr>
        <w:spacing w:after="0" w:line="21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8"/>
          <w:szCs w:val="18"/>
          <w:i w:val="1"/>
          <w:iCs w:val="1"/>
          <w:color w:val="auto"/>
        </w:rPr>
        <w:t>haftungsbeschränkt</w:t>
      </w:r>
      <w:r>
        <w:rPr>
          <w:rFonts w:ascii="Arial" w:cs="Arial" w:eastAsia="Arial" w:hAnsi="Arial"/>
          <w:sz w:val="18"/>
          <w:szCs w:val="18"/>
          <w:color w:val="auto"/>
        </w:rPr>
        <w:t>), a German limited liability entrepreneurial company (</w:t>
      </w:r>
      <w:r>
        <w:rPr>
          <w:rFonts w:ascii="Arial" w:cs="Arial" w:eastAsia="Arial" w:hAnsi="Arial"/>
          <w:sz w:val="18"/>
          <w:szCs w:val="18"/>
          <w:i w:val="1"/>
          <w:iCs w:val="1"/>
          <w:color w:val="auto"/>
        </w:rPr>
        <w:t>Unternehmergesellschaft</w:t>
      </w:r>
      <w:r>
        <w:rPr>
          <w:rFonts w:ascii="Arial" w:cs="Arial" w:eastAsia="Arial" w:hAnsi="Arial"/>
          <w:sz w:val="18"/>
          <w:szCs w:val="18"/>
          <w:color w:val="auto"/>
        </w:rPr>
        <w:t>) wholly-owned by him.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member of our supervisory board currently owns any options or other equity awards for ordinary shares in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Incentive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2019</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2019, we established a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7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(such as our listing of ADSs on Nasdaq).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88"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Under the 2019 Plan, we may issue shares by utilizing the Conditional Capital 2019 (as described in more detail in Exhibit 2.3) or treasury shares. At our discretion, we may also settle the stock options in cash. In addition, the 2019 Plan contains a change-of-control provision applicable to</w:t>
      </w:r>
    </w:p>
    <w:p>
      <w:pPr>
        <w:jc w:val="both"/>
        <w:ind w:left="120" w:right="20" w:hanging="4"/>
        <w:spacing w:after="0" w:line="255" w:lineRule="auto"/>
        <w:tabs>
          <w:tab w:leader="none" w:pos="3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86" w:right="4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2020</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8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(such as our listing of ADSs on Nasdaq).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7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76"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Under the 2020 Plan, we may issue shares by utilizing the Conditional Capital 2020/I (as described in more detail in Exhibit 2.3) or treasury shares. At our discretion, we may also settle the stock options in cash. In addition, the 2020 Plan contains a change-of-control provision applicable to</w:t>
      </w:r>
    </w:p>
    <w:p>
      <w:pPr>
        <w:jc w:val="both"/>
        <w:ind w:left="120" w:right="20" w:hanging="4"/>
        <w:spacing w:after="0" w:line="255" w:lineRule="auto"/>
        <w:tabs>
          <w:tab w:leader="none" w:pos="3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2021</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2021, we established an additional stock option program (the “2021 Plan”) pursuant to which our supervisory board had been authorized to grant up to 103,321 stock options to the members of our management board. To date, all 103,321 stock options have been granted to the members of our management board.</w:t>
      </w:r>
    </w:p>
    <w:p>
      <w:pPr>
        <w:spacing w:after="0" w:line="184"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stock options under our 2021 Plan are subject to a vesting period of three years. During this period, the stock options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a waiting period which begins on the respective issue date and ends at the earliest at the end of the fourth anniversary of the issue date (the “SOP 2021 Waiting Period”). During the SOP 2021 Waiting Period, subscription rights may be exercised within four weeks following the announcement of our annual or half year financial results.</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Stock options under the 2021 Plan may only be exercised by an optionholder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expiry date of the SOP 2021 Waiting Period is at least 20% above the exercise price at the end of the SOP 2021 Waiting Period. If the Frankfurt Stock Exchange is such trading system, the XETRA Share Price is the relevant performance standard.</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Under the 2021 Plan, we may issue shares by utilizing the Conditional Capital 2021/II (as described in more detail in Exhibit 2.3) or treasury shares. At our discretion, we may also settle the stock options in cash.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86"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 Program 2021</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2021, we further implemented a restricted stock units program (RSU Program). Under the RSU Program, our management board is authorized to grant up to 204,647 RSUs to (i) selected employees, (ii) selected employees of our affiliates, and (iii) managing directors of our affiliates. Forfeited RSUs under the RSU Program will be available for future grants.</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vest. Following the expiry of the Cliff Period, the remaining RSUs vest in instalments of one-twelfth for each fully completed quarter during which the beneficiary’s employment continues without termination, subject to certain exceptions. In a good leaver event (as defined), all vested RSUs are retained and all unvested RSUs forfeit without entitlement to compensation. In a bad leaver event (as defined), all vested and unvested RSUs forfeit without entitlement to compensation. RSUs may also forfeit in the event of a temporary exemption from work. Following a grace period (which in the events of illness or pregnancy is calculated pursuant to the respective statutory rules of wage continuation and which, in other cases, amounts to six weeks), 1/48 of number of RSUs initially granted forfeit without entitlement to compensation.</w:t>
      </w:r>
    </w:p>
    <w:p>
      <w:pPr>
        <w:spacing w:after="0" w:line="17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At our discretion, we may settle vested RSUs under the RSU Program either (i) by way of new shares utilizing the Authorized Capital 2021/II (as described in more detail in Exhibit 2.3), (ii) by way of a cash settlement, or (iii) a combination of both.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vested RSU entitles a beneficiary to a cash payment claim against us. Such payment claim corresponds to</w:t>
      </w:r>
    </w:p>
    <w:p>
      <w:pPr>
        <w:spacing w:after="0" w:line="131" w:lineRule="exact"/>
        <w:rPr>
          <w:sz w:val="20"/>
          <w:szCs w:val="20"/>
          <w:color w:val="auto"/>
        </w:rPr>
      </w:pPr>
    </w:p>
    <w:p>
      <w:pPr>
        <w:jc w:val="both"/>
        <w:ind w:left="1080" w:hanging="532"/>
        <w:spacing w:after="0" w:line="29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(the actual date on which the new shares which were created from the capital increase against contribution in kind are transferred to the securities account of the respective beneficiary, </w:t>
      </w:r>
      <w:r>
        <w:rPr>
          <w:rFonts w:ascii="Arial" w:cs="Arial" w:eastAsia="Arial" w:hAnsi="Arial"/>
          <w:sz w:val="16"/>
          <w:szCs w:val="16"/>
          <w:i w:val="1"/>
          <w:iCs w:val="1"/>
          <w:color w:val="auto"/>
        </w:rPr>
        <w:t>i.e.</w:t>
      </w:r>
      <w:r>
        <w:rPr>
          <w:rFonts w:ascii="Arial" w:cs="Arial" w:eastAsia="Arial" w:hAnsi="Arial"/>
          <w:sz w:val="16"/>
          <w:szCs w:val="16"/>
          <w:color w:val="auto"/>
        </w:rPr>
        <w:t>, the “share settlement date”), or</w:t>
      </w:r>
    </w:p>
    <w:p>
      <w:pPr>
        <w:spacing w:after="0" w:line="66"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case of a cash settlement, the average closing price of our shares or share certificates during the 30 trading days following the publication of our annual results (i.e., the “cash settlement date”),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August 2022, we settled a first tranche under our RSU program and issued 16,149 new ordinary shares to our beneficiaries.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Program 2022</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2022, we established an additional stock option program (the 2022 Plan) pursuant to which our supervisory board is authorized to grant stock options to the members of our management board for a total of up to 115,000 shares in the Company. The number of stock options to be granted to each beneficiary under the 2022 Plan may vary over the term of the 2022 Plan and is determined by the Company’s supervisory board. Subject to the terms and conditions set forth in the 2022 Plan, each stock option entitles the beneficiary to acquire one share in the Company against payment of the exercise price. The exercise price is defined as the volume-weighted six-month average share price or share certificates price (converted into an price per share) on the day prior to the grant date on the trading system with the highest total trading volume in our shares or share certificates within the last ten trading days prior to such date.</w:t>
      </w:r>
    </w:p>
    <w:p>
      <w:pPr>
        <w:spacing w:after="0" w:line="19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 xml:space="preserve">The exercise of the stock options is subject to a waiting period. The waiting period, </w:t>
      </w:r>
      <w:r>
        <w:rPr>
          <w:rFonts w:ascii="Arial" w:cs="Arial" w:eastAsia="Arial" w:hAnsi="Arial"/>
          <w:sz w:val="18"/>
          <w:szCs w:val="18"/>
          <w:i w:val="1"/>
          <w:iCs w:val="1"/>
          <w:color w:val="auto"/>
        </w:rPr>
        <w:t>i.e.</w:t>
      </w:r>
      <w:r>
        <w:rPr>
          <w:rFonts w:ascii="Arial" w:cs="Arial" w:eastAsia="Arial" w:hAnsi="Arial"/>
          <w:sz w:val="18"/>
          <w:szCs w:val="18"/>
          <w:color w:val="auto"/>
        </w:rPr>
        <w:t>, the period up until the date on which the stock options may be exercised, begins on the grant date and ends at the end of the fourth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86"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anniversary after the grant date. Stock options may be exercised only within a time period of five years following the date on which the waiting period has expired (the “Exercise Period”). The Exercise Period may be extended appropriately if, due to statutory or internal company regulations, an exercise is not possible at the end of the original Exercise Period. Stock options that have not been exercised by the end of the respective Exercise Period will forfeit without entitlement to compensation.</w:t>
      </w:r>
    </w:p>
    <w:p>
      <w:pPr>
        <w:spacing w:after="0" w:line="187"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Stock options may only be exercised if and to the extent that the performance targets as described below have been achieved: The performance targets are linked to (i) the absolute share price performance of the Company’s shares (</w:t>
      </w:r>
      <w:r>
        <w:rPr>
          <w:rFonts w:ascii="Arial" w:cs="Arial" w:eastAsia="Arial" w:hAnsi="Arial"/>
          <w:sz w:val="17"/>
          <w:szCs w:val="17"/>
          <w:i w:val="1"/>
          <w:iCs w:val="1"/>
          <w:color w:val="auto"/>
        </w:rPr>
        <w:t>i.e.</w:t>
      </w:r>
      <w:r>
        <w:rPr>
          <w:rFonts w:ascii="Arial" w:cs="Arial" w:eastAsia="Arial" w:hAnsi="Arial"/>
          <w:sz w:val="17"/>
          <w:szCs w:val="17"/>
          <w:color w:val="auto"/>
        </w:rPr>
        <w:t>, a three-month volume-weighted average price of the shares or share certificates (converted into a price per share) of at least 50% above the exercise price at the end of one of four equal quarters of the year preceding the last day of the expiry of the waiting period) and (ii) the achievement of an Environment Social Governance target (the “ESG Target”) during the waiting period, whereby within the overall target achievement, the absolute share price performance is weighted with 80% and the ESG Target with 20%. The ESG Target is composed of a diversity target (</w:t>
      </w:r>
      <w:r>
        <w:rPr>
          <w:rFonts w:ascii="Arial" w:cs="Arial" w:eastAsia="Arial" w:hAnsi="Arial"/>
          <w:sz w:val="17"/>
          <w:szCs w:val="17"/>
          <w:i w:val="1"/>
          <w:iCs w:val="1"/>
          <w:color w:val="auto"/>
        </w:rPr>
        <w:t>i.e.</w:t>
      </w:r>
      <w:r>
        <w:rPr>
          <w:rFonts w:ascii="Arial" w:cs="Arial" w:eastAsia="Arial" w:hAnsi="Arial"/>
          <w:sz w:val="17"/>
          <w:szCs w:val="17"/>
          <w:color w:val="auto"/>
        </w:rPr>
        <w:t>, a 5% increase of women within the Company compared to the start of the respective waiting period or a share of women of at least 30% within the Company and continuing during the waiting period) and an employee engagement target (</w:t>
      </w:r>
      <w:r>
        <w:rPr>
          <w:rFonts w:ascii="Arial" w:cs="Arial" w:eastAsia="Arial" w:hAnsi="Arial"/>
          <w:sz w:val="17"/>
          <w:szCs w:val="17"/>
          <w:i w:val="1"/>
          <w:iCs w:val="1"/>
          <w:color w:val="auto"/>
        </w:rPr>
        <w:t>i.e.</w:t>
      </w:r>
      <w:r>
        <w:rPr>
          <w:rFonts w:ascii="Arial" w:cs="Arial" w:eastAsia="Arial" w:hAnsi="Arial"/>
          <w:sz w:val="17"/>
          <w:szCs w:val="17"/>
          <w:color w:val="auto"/>
        </w:rPr>
        <w:t>, a 5% increase of the employee engagement within the Company compared to the start of the waiting period or an employee engagement of at least 80% within the Company and continuing during the waiting period) on an equal basis. In no event will the exercise of stock options under the 2022 Plan exceed the maximum remuneration thresholds as set by the Company’s supervisory board pursuant to section 87a of the German Stock Corporation Act.</w:t>
      </w:r>
    </w:p>
    <w:p>
      <w:pPr>
        <w:spacing w:after="0" w:line="182"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If the term of office of a member of the management board ends before the expiry of the applicable waiting period due to a revocation from office (</w:t>
      </w:r>
      <w:r>
        <w:rPr>
          <w:rFonts w:ascii="Arial" w:cs="Arial" w:eastAsia="Arial" w:hAnsi="Arial"/>
          <w:sz w:val="16"/>
          <w:szCs w:val="16"/>
          <w:i w:val="1"/>
          <w:iCs w:val="1"/>
          <w:color w:val="auto"/>
        </w:rPr>
        <w:t>Widerruf der Bestellung</w:t>
      </w:r>
      <w:r>
        <w:rPr>
          <w:rFonts w:ascii="Arial" w:cs="Arial" w:eastAsia="Arial" w:hAnsi="Arial"/>
          <w:sz w:val="16"/>
          <w:szCs w:val="16"/>
          <w:color w:val="auto"/>
        </w:rPr>
        <w:t>) for cause (a “Bad Leaver”), all stock options granted to such Bad Leaver (whether held by the individual or any third party) will be forfeited without entitlement to compensation. If the term of office of a member of the management board ends before the expiry of the applicable waiting period due to any reason other than for cause (such member a “Good Leaver”), such Good Leaver will retain all stock options that the individual has been granted under the 2022 Plan. In addition, in the event that a beneficiary willfully or grossly negligent breaches statutory duties or the code of conduct of the Company (each a “Breach of Duty”), the supervisory board is entitled to retain or reclaim in its discretion the payout in the form of a cash settlement or share settlement in whole or in part in accordance subject to certain conditions set forth in the 2022 Plan.</w:t>
      </w:r>
    </w:p>
    <w:p>
      <w:pPr>
        <w:spacing w:after="0" w:line="16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Under the 2022 Plan, we may issue shares by utilizing the Conditional Capital 2022/II (as described in more detail in Exhibit 2.3) or treasury shares. At our discretion, we may also settle the stock options in cash.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Board Practices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Board Practices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86"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Pursuant to its internal rules of procedure, the supervisory board has established an audit committee, a compensation committee and a nomination committee: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Name of committee</w:t>
            </w:r>
          </w:p>
        </w:tc>
        <w:tc>
          <w:tcPr>
            <w:tcW w:w="5180" w:type="dxa"/>
            <w:vAlign w:val="bottom"/>
          </w:tcPr>
          <w:p>
            <w:pPr>
              <w:spacing w:after="0"/>
              <w:rPr>
                <w:sz w:val="20"/>
                <w:szCs w:val="20"/>
                <w:color w:val="auto"/>
              </w:rPr>
            </w:pPr>
            <w:r>
              <w:rPr>
                <w:rFonts w:ascii="Arial" w:cs="Arial" w:eastAsia="Arial" w:hAnsi="Arial"/>
                <w:sz w:val="14"/>
                <w:szCs w:val="14"/>
                <w:b w:val="1"/>
                <w:bCs w:val="1"/>
                <w:color w:val="auto"/>
              </w:rPr>
              <w:t>Current Members</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Audit committee</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Steve Geskos (chairperson), Manfred Krischke and Peter-Müller Brühl</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5180" w:type="dxa"/>
            <w:vAlign w:val="bottom"/>
          </w:tcPr>
          <w:p>
            <w:pPr>
              <w:spacing w:after="0"/>
              <w:rPr>
                <w:sz w:val="20"/>
                <w:szCs w:val="20"/>
                <w:color w:val="auto"/>
              </w:rPr>
            </w:pPr>
            <w:r>
              <w:rPr>
                <w:rFonts w:ascii="Arial" w:cs="Arial" w:eastAsia="Arial" w:hAnsi="Arial"/>
                <w:sz w:val="18"/>
                <w:szCs w:val="18"/>
                <w:color w:val="auto"/>
                <w:w w:val="96"/>
              </w:rPr>
              <w:t>Manfred  Krischke  (chairperson),  Peter-Müller  Brühl  and  Vincent</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Wobbe</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Corporate governance and nominations committee</w:t>
            </w:r>
          </w:p>
        </w:tc>
        <w:tc>
          <w:tcPr>
            <w:tcW w:w="5180" w:type="dxa"/>
            <w:vAlign w:val="bottom"/>
          </w:tcPr>
          <w:p>
            <w:pPr>
              <w:spacing w:after="0"/>
              <w:rPr>
                <w:sz w:val="20"/>
                <w:szCs w:val="20"/>
                <w:color w:val="auto"/>
              </w:rPr>
            </w:pPr>
            <w:r>
              <w:rPr>
                <w:rFonts w:ascii="Arial" w:cs="Arial" w:eastAsia="Arial" w:hAnsi="Arial"/>
                <w:sz w:val="18"/>
                <w:szCs w:val="18"/>
                <w:color w:val="auto"/>
                <w:w w:val="96"/>
              </w:rPr>
              <w:t>Manfred  Krischke  (chairperson),  Peter-Müller  Brühl  and  Vincent</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Wobbe</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committee’s duties and responsibilities to carry out its purposes include, among others:</w:t>
      </w:r>
    </w:p>
    <w:p>
      <w:pPr>
        <w:spacing w:after="0" w:line="131"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review of our accounting processes;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review of the effectiveness of our internal control systems, risk management and compliance;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review and the handling of matters and processes related to auditor independence;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preparation of the supervisory board recommendation to the shareholders’ meeting on the appointment of the independent auditors to audit our financial statements and the related proposal to the supervisory board;</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pre-approval, or the adoption of appropriate procedures to pre-approve, all audit and non-audit services to be provided by the independent auditors;</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review and approval of all our related party transactions in accordance with our policies in effect from time to time.</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audit committee has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certain limited exceptions, each member of the audit committee must be independent according to the following criteria:</w:t>
      </w:r>
    </w:p>
    <w:p>
      <w:pPr>
        <w:spacing w:after="0" w:line="131" w:lineRule="exact"/>
        <w:rPr>
          <w:sz w:val="20"/>
          <w:szCs w:val="20"/>
          <w:color w:val="auto"/>
        </w:rPr>
      </w:pPr>
    </w:p>
    <w:p>
      <w:pPr>
        <w:ind w:left="1080" w:right="2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29" w:lineRule="exact"/>
        <w:rPr>
          <w:rFonts w:ascii="Arial" w:cs="Arial" w:eastAsia="Arial" w:hAnsi="Arial"/>
          <w:sz w:val="16"/>
          <w:szCs w:val="16"/>
          <w:color w:val="auto"/>
        </w:rPr>
      </w:pPr>
    </w:p>
    <w:p>
      <w:pPr>
        <w:jc w:val="both"/>
        <w:ind w:left="1080" w:hanging="424"/>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86"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least one member of the audit committee shall qualify as an “audit committee financial expert” as defined under the Exchange Act.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compensation committee consists of three members, one of whom is the chairperson of the supervisory board. Our compensation committee is responsible for:</w:t>
      </w:r>
    </w:p>
    <w:p>
      <w:pPr>
        <w:spacing w:after="0" w:line="76" w:lineRule="exact"/>
        <w:rPr>
          <w:sz w:val="20"/>
          <w:szCs w:val="20"/>
          <w:color w:val="auto"/>
        </w:rPr>
      </w:pPr>
    </w:p>
    <w:p>
      <w:pPr>
        <w:jc w:val="both"/>
        <w:ind w:left="1080" w:hanging="424"/>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considering the compensation and general employment terms for second level management, and in this regard it is authorized to make recommendations to the management board;</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presenting an evaluation of the management board’s performance and making a recommendation to the supervisory board regarding the employment terms and compensation of the management board;</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examining compensation guidelines that serve as a framework for all compensation matters to be submitted to and determined by the supervisory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Governance and Nominations Committee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76"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appointment and dismissal of management board members, as well as the nomination of the management board chairperson;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completion of, amendments to and termination of employment contracts with management board members;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election proposals for suitable supervisory board candidates to be presented to the shareholders’ meeting.</w:t>
      </w:r>
    </w:p>
    <w:p>
      <w:pPr>
        <w:spacing w:after="0" w:line="22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2022, we employed 328.8 FTEs, of which 291.8 FTEs were based in Germany and 37 FTEs were based in the United States.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figures of our FTEs broken down by region as of the relevant date indicated: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00" w:type="dxa"/>
            <w:vAlign w:val="bottom"/>
            <w:gridSpan w:val="6"/>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4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291.8</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227.9</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United States</w:t>
            </w:r>
          </w:p>
        </w:tc>
        <w:tc>
          <w:tcPr>
            <w:tcW w:w="46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328.8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20" w:type="dxa"/>
            <w:vAlign w:val="bottom"/>
            <w:vMerge w:val="restart"/>
          </w:tcPr>
          <w:p>
            <w:pPr>
              <w:jc w:val="right"/>
              <w:ind w:right="2550"/>
              <w:spacing w:after="0"/>
              <w:rPr>
                <w:sz w:val="20"/>
                <w:szCs w:val="20"/>
                <w:color w:val="auto"/>
              </w:rPr>
            </w:pPr>
            <w:r>
              <w:rPr>
                <w:rFonts w:ascii="Arial" w:cs="Arial" w:eastAsia="Arial" w:hAnsi="Arial"/>
                <w:sz w:val="18"/>
                <w:szCs w:val="18"/>
                <w:color w:val="auto"/>
              </w:rPr>
              <w:t>91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employ a significant number of temporary employees.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significant labor disputes or any difficulty in recruiting staff for our operations. Our employees are not represented by any collective bargaining agreement or labor union, other than standard and non-binding personnel representations. Furthermore, we are committed to establishing and developing our workforce through succession planning, internal development and targeted external recruiting.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Share Ownership</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information regarding the share ownership of directors and officers, see “Item 7. Major Shareholders and Related Party Transactions— A. Major Shareholders” and “—B. Compensation—Compensation of Management Board Members” in this Item 6. For information as to our equity incentive plans, see “—B. Compensation—Share-Based Incentive Plans” in this Item 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Major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as of April 28, 2023, regarding the beneficial ownership of our ordinary shares for:</w:t>
      </w:r>
    </w:p>
    <w:p>
      <w:pPr>
        <w:spacing w:after="0" w:line="131"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members of our supervisory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members of our management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members of our supervisory board and our management board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who, to the best of our knowledge, beneficially owns 5% or more of our outstanding ordinary shares.</w:t>
      </w:r>
    </w:p>
    <w:p>
      <w:pPr>
        <w:spacing w:after="0" w:line="22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28, 2023,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88" w:lineRule="exact"/>
        <w:rPr>
          <w:sz w:val="20"/>
          <w:szCs w:val="20"/>
          <w:color w:val="auto"/>
        </w:rPr>
      </w:pPr>
    </w:p>
    <w:p>
      <w:pPr>
        <w:jc w:val="center"/>
        <w:ind w:left="620" w:right="260"/>
        <w:spacing w:after="0" w:line="449" w:lineRule="auto"/>
        <w:rPr>
          <w:sz w:val="20"/>
          <w:szCs w:val="20"/>
          <w:color w:val="auto"/>
        </w:rPr>
      </w:pPr>
      <w:r>
        <w:rPr>
          <w:rFonts w:ascii="Arial" w:cs="Arial" w:eastAsia="Arial" w:hAnsi="Arial"/>
          <w:sz w:val="18"/>
          <w:szCs w:val="18"/>
          <w:color w:val="auto"/>
        </w:rPr>
        <w:t>Unless otherwise indicated below, the address for each beneficial owner listed is c/o Mynaric AG, Dornierstraße 19, 82205 Gilching, Germany. 92</w:t>
      </w:r>
    </w:p>
    <w:p>
      <w:pPr>
        <w:sectPr>
          <w:pgSz w:w="11900" w:h="16838" w:orient="portrait"/>
          <w:cols w:equalWidth="0" w:num="1">
            <w:col w:w="11140"/>
          </w:cols>
          <w:pgMar w:left="320" w:top="486"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On April 27, 2023, immediately prior to the date of this Annual Report, we applied to the commercial register (Handelsregister) for the registration of the capital increase under the equity investment we entered into on April 25, 2023. Upon registration in the commercial register and effectiveness of the capital increase, our share capital will increase from €5,668,391 to €6,233,615. Consequently, the number of our shares outstanding will increase from 5,668,391 to 6,233,615 and the percentages numbers presented in the table below will change accordingly.</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4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Shareholder</w:t>
            </w:r>
          </w:p>
        </w:tc>
        <w:tc>
          <w:tcPr>
            <w:tcW w:w="3720" w:type="dxa"/>
            <w:vAlign w:val="bottom"/>
            <w:gridSpan w:val="4"/>
          </w:tcPr>
          <w:p>
            <w:pPr>
              <w:ind w:left="440"/>
              <w:spacing w:after="0"/>
              <w:rPr>
                <w:sz w:val="20"/>
                <w:szCs w:val="20"/>
                <w:color w:val="auto"/>
              </w:rPr>
            </w:pPr>
            <w:r>
              <w:rPr>
                <w:rFonts w:ascii="Arial" w:cs="Arial" w:eastAsia="Arial" w:hAnsi="Arial"/>
                <w:sz w:val="14"/>
                <w:szCs w:val="14"/>
                <w:b w:val="1"/>
                <w:bCs w:val="1"/>
                <w:color w:val="auto"/>
              </w:rPr>
              <w:t>Shares beneficially owned as of April 28, 2023</w:t>
            </w: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2500" w:type="dxa"/>
            <w:vAlign w:val="bottom"/>
            <w:tcBorders>
              <w:top w:val="single" w:sz="8" w:color="auto"/>
            </w:tcBorders>
            <w:gridSpan w:val="2"/>
          </w:tcPr>
          <w:p>
            <w:pPr>
              <w:jc w:val="right"/>
              <w:ind w:right="1460"/>
              <w:spacing w:after="0" w:line="142" w:lineRule="exact"/>
              <w:rPr>
                <w:sz w:val="20"/>
                <w:szCs w:val="20"/>
                <w:color w:val="auto"/>
              </w:rPr>
            </w:pPr>
            <w:r>
              <w:rPr>
                <w:rFonts w:ascii="Arial" w:cs="Arial" w:eastAsia="Arial" w:hAnsi="Arial"/>
                <w:sz w:val="14"/>
                <w:szCs w:val="14"/>
                <w:b w:val="1"/>
                <w:bCs w:val="1"/>
                <w:color w:val="auto"/>
              </w:rPr>
              <w:t>Number</w:t>
            </w:r>
          </w:p>
        </w:tc>
        <w:tc>
          <w:tcPr>
            <w:tcW w:w="118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7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line="216" w:lineRule="exact"/>
              <w:rPr>
                <w:sz w:val="20"/>
                <w:szCs w:val="20"/>
                <w:color w:val="auto"/>
              </w:rPr>
            </w:pPr>
            <w:r>
              <w:rPr>
                <w:rFonts w:ascii="Arial" w:cs="Arial" w:eastAsia="Arial" w:hAnsi="Arial"/>
                <w:sz w:val="17"/>
                <w:szCs w:val="17"/>
                <w:color w:val="auto"/>
              </w:rPr>
              <w:t>Harris Communications GmbH</w:t>
            </w:r>
            <w:r>
              <w:rPr>
                <w:rFonts w:ascii="Arial" w:cs="Arial" w:eastAsia="Arial" w:hAnsi="Arial"/>
                <w:sz w:val="25"/>
                <w:szCs w:val="25"/>
                <w:color w:val="auto"/>
                <w:vertAlign w:val="superscript"/>
              </w:rPr>
              <w:t>(1)</w:t>
            </w:r>
          </w:p>
        </w:tc>
        <w:tc>
          <w:tcPr>
            <w:tcW w:w="2500" w:type="dxa"/>
            <w:vAlign w:val="bottom"/>
            <w:gridSpan w:val="2"/>
          </w:tcPr>
          <w:p>
            <w:pPr>
              <w:jc w:val="right"/>
              <w:ind w:right="920"/>
              <w:spacing w:after="0"/>
              <w:rPr>
                <w:sz w:val="20"/>
                <w:szCs w:val="20"/>
                <w:color w:val="auto"/>
              </w:rPr>
            </w:pPr>
            <w:r>
              <w:rPr>
                <w:rFonts w:ascii="Arial" w:cs="Arial" w:eastAsia="Arial" w:hAnsi="Arial"/>
                <w:sz w:val="18"/>
                <w:szCs w:val="18"/>
                <w:color w:val="auto"/>
              </w:rPr>
              <w:t>409,294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of our supervisory board</w:t>
            </w: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Dr. Manfred Krischke</w:t>
            </w:r>
          </w:p>
        </w:tc>
        <w:tc>
          <w:tcPr>
            <w:tcW w:w="25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Peter Müller-Brühl</w:t>
            </w:r>
            <w:r>
              <w:rPr>
                <w:rFonts w:ascii="Arial" w:cs="Arial" w:eastAsia="Arial" w:hAnsi="Arial"/>
                <w:sz w:val="25"/>
                <w:szCs w:val="25"/>
                <w:color w:val="auto"/>
                <w:vertAlign w:val="superscript"/>
              </w:rPr>
              <w:t>(2)</w:t>
            </w:r>
          </w:p>
        </w:tc>
        <w:tc>
          <w:tcPr>
            <w:tcW w:w="25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4,445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Steve Geskos</w:t>
            </w:r>
          </w:p>
        </w:tc>
        <w:tc>
          <w:tcPr>
            <w:tcW w:w="25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Königsmann</w:t>
            </w:r>
          </w:p>
        </w:tc>
        <w:tc>
          <w:tcPr>
            <w:tcW w:w="25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Vincent Wobbe</w:t>
            </w:r>
          </w:p>
        </w:tc>
        <w:tc>
          <w:tcPr>
            <w:tcW w:w="25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of our management board</w:t>
            </w: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line="216" w:lineRule="exact"/>
              <w:rPr>
                <w:sz w:val="20"/>
                <w:szCs w:val="20"/>
                <w:color w:val="auto"/>
              </w:rPr>
            </w:pPr>
            <w:r>
              <w:rPr>
                <w:rFonts w:ascii="Arial" w:cs="Arial" w:eastAsia="Arial" w:hAnsi="Arial"/>
                <w:sz w:val="17"/>
                <w:szCs w:val="17"/>
                <w:color w:val="auto"/>
              </w:rPr>
              <w:t>Emin Bulent Altan</w:t>
            </w:r>
            <w:r>
              <w:rPr>
                <w:rFonts w:ascii="Arial" w:cs="Arial" w:eastAsia="Arial" w:hAnsi="Arial"/>
                <w:sz w:val="25"/>
                <w:szCs w:val="25"/>
                <w:color w:val="auto"/>
                <w:vertAlign w:val="superscript"/>
              </w:rPr>
              <w:t>(3)</w:t>
            </w:r>
          </w:p>
        </w:tc>
        <w:tc>
          <w:tcPr>
            <w:tcW w:w="2500" w:type="dxa"/>
            <w:vAlign w:val="bottom"/>
            <w:gridSpan w:val="2"/>
          </w:tcPr>
          <w:p>
            <w:pPr>
              <w:jc w:val="right"/>
              <w:ind w:right="920"/>
              <w:spacing w:after="0"/>
              <w:rPr>
                <w:sz w:val="20"/>
                <w:szCs w:val="20"/>
                <w:color w:val="auto"/>
              </w:rPr>
            </w:pPr>
            <w:r>
              <w:rPr>
                <w:rFonts w:ascii="Arial" w:cs="Arial" w:eastAsia="Arial" w:hAnsi="Arial"/>
                <w:sz w:val="18"/>
                <w:szCs w:val="18"/>
                <w:color w:val="auto"/>
              </w:rPr>
              <w:t>1,136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Mustafa Veziroglu</w:t>
            </w:r>
          </w:p>
        </w:tc>
        <w:tc>
          <w:tcPr>
            <w:tcW w:w="25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line="216" w:lineRule="exact"/>
              <w:rPr>
                <w:sz w:val="20"/>
                <w:szCs w:val="20"/>
                <w:color w:val="auto"/>
              </w:rPr>
            </w:pPr>
            <w:r>
              <w:rPr>
                <w:rFonts w:ascii="Arial" w:cs="Arial" w:eastAsia="Arial" w:hAnsi="Arial"/>
                <w:sz w:val="17"/>
                <w:szCs w:val="17"/>
                <w:color w:val="auto"/>
              </w:rPr>
              <w:t>Stefan Berndt-von Bülow</w:t>
            </w:r>
            <w:r>
              <w:rPr>
                <w:rFonts w:ascii="Arial" w:cs="Arial" w:eastAsia="Arial" w:hAnsi="Arial"/>
                <w:sz w:val="25"/>
                <w:szCs w:val="25"/>
                <w:color w:val="auto"/>
                <w:vertAlign w:val="superscript"/>
              </w:rPr>
              <w:t>(3)</w:t>
            </w:r>
          </w:p>
        </w:tc>
        <w:tc>
          <w:tcPr>
            <w:tcW w:w="2500" w:type="dxa"/>
            <w:vAlign w:val="bottom"/>
            <w:gridSpan w:val="2"/>
          </w:tcPr>
          <w:p>
            <w:pPr>
              <w:jc w:val="right"/>
              <w:ind w:right="920"/>
              <w:spacing w:after="0"/>
              <w:rPr>
                <w:sz w:val="20"/>
                <w:szCs w:val="20"/>
                <w:color w:val="auto"/>
              </w:rPr>
            </w:pPr>
            <w:r>
              <w:rPr>
                <w:rFonts w:ascii="Arial" w:cs="Arial" w:eastAsia="Arial" w:hAnsi="Arial"/>
                <w:sz w:val="18"/>
                <w:szCs w:val="18"/>
                <w:color w:val="auto"/>
              </w:rPr>
              <w:t>174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Joachim Horwath</w:t>
            </w:r>
          </w:p>
        </w:tc>
        <w:tc>
          <w:tcPr>
            <w:tcW w:w="25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220,527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8"/>
        </w:trPr>
        <w:tc>
          <w:tcPr>
            <w:tcW w:w="46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members of our supervisory board and</w:t>
            </w: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management board, as a group</w:t>
            </w:r>
          </w:p>
        </w:tc>
        <w:tc>
          <w:tcPr>
            <w:tcW w:w="250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226,282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635,576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jc w:val="both"/>
        <w:ind w:left="540" w:hanging="424"/>
        <w:spacing w:after="0" w:line="26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Consists of 409,294 ordinary shares held by Harris Communications GmbH. Information herein is based upon a Schedule 13D jointly filed with the SEC on July 6, 2022 by (i) Harris Communications GmbH, a stock corporation incorporated under the laws of the Germany, with its principal office and principal business at Nymphenburger Str. 1, 80335 Munich, Germany and with company number HRB 83314; and (ii) L3Harris Technologies, Inc., a Delaware corporation. Harris Communications GmbH is an indirectly wholly owned subsidiary of L3Harris Technologies, Inc., which may be deemed to have beneficial ownership of all of these ordinary shares.</w:t>
      </w:r>
    </w:p>
    <w:p>
      <w:pPr>
        <w:spacing w:after="0" w:line="2" w:lineRule="exact"/>
        <w:rPr>
          <w:rFonts w:ascii="Arial" w:cs="Arial" w:eastAsia="Arial" w:hAnsi="Arial"/>
          <w:sz w:val="17"/>
          <w:szCs w:val="17"/>
          <w:color w:val="auto"/>
        </w:rPr>
      </w:pPr>
    </w:p>
    <w:p>
      <w:pPr>
        <w:ind w:left="540" w:right="2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Peter Müller-Brühl beneficially owns 4,445 ordinary shares in our Company, which he holds indirectly through EOversal UG (haftungsbeschränkt), a German limited liability entrepreneurial company (</w:t>
      </w:r>
      <w:r>
        <w:rPr>
          <w:rFonts w:ascii="Arial" w:cs="Arial" w:eastAsia="Arial" w:hAnsi="Arial"/>
          <w:sz w:val="18"/>
          <w:szCs w:val="18"/>
          <w:i w:val="1"/>
          <w:iCs w:val="1"/>
          <w:color w:val="auto"/>
        </w:rPr>
        <w:t>Unternehmergesellschaft</w:t>
      </w:r>
      <w:r>
        <w:rPr>
          <w:rFonts w:ascii="Arial" w:cs="Arial" w:eastAsia="Arial" w:hAnsi="Arial"/>
          <w:sz w:val="18"/>
          <w:szCs w:val="18"/>
          <w:color w:val="auto"/>
        </w:rPr>
        <w:t>), wholly-owned by him.</w:t>
      </w:r>
    </w:p>
    <w:p>
      <w:pPr>
        <w:ind w:left="540" w:right="2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Emin Bulent Altan directly holds 4,545 ADSs representing 1,136 ordinary shares in our Company and Stefan Berndt-von Bülow directly holds 696 ADSs representing 174 ordinary shares in our Company</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To our knowledge, no other shareholder beneficially owns more than 5% of our shares.</w:t>
      </w:r>
    </w:p>
    <w:p>
      <w:pPr>
        <w:spacing w:after="0" w:line="22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Immediately following the completion of our initial public offering in the U.S. in November 2021, 1,150,000 of our ordinary shares are traded in the United States by means of ADSs. Four ADSs currently represent one ordinary share of the Company. On April 26, 2023, based on information provided by The Bank of New York Mellon, as depositary, there were 2,989,692 ADSs (representing 747,423 ordinary shares) outstanding. The ordinary shares underlying such ADSs represent 13.2% of our current share capital (not taking into account the capital increase that is currently pending). We are not aware of any arrangement that may at a subsequent date, result in a change of control of Mynaric.</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Subject to the provisions of the deposit agreement, none of our shareholders has different voting rights from other shareholders. We are not aware of any arrangement that may, at a subsequent date, result in a change of control of our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86"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Consultancy Agreement with Apeiron Advisory Ltd.</w:t>
      </w:r>
    </w:p>
    <w:p>
      <w:pPr>
        <w:spacing w:after="0" w:line="12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On March 25, 2022, we and Apeiron Advisory Ltd. (an affiliate of Apeiron, one of our former shareholders) entered into a consultancy agreement pursuant to which Apeiron Advisory Ltd. provides political and strategic advisory services, including supporting our management team in building a relevant network of decision makers, thought leaders and institutional investors, as well as navigating government and international affairs. Mr. Vincent Wobbe, a member of our supervisory board, is considered a related party due to his employment by Apeiron. As of December 31, 2022, we recognized expenses in the amount of €480 thousand and a liability in the amount of €30 thousand relating to the agreement with Apeiron Advisory Ltd.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Service Agreement with MCConsult</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On September 20, 2017, we entered into a management service agreement with Adelanto management services s.I. (“Adelanto”), a private limited company incorporated under Spanish law,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On January 23, 2019, the initial management service agreement with Adelanto was subsequently transferred to and assumed by MCConsult (the “MCConsult Management Agreement”).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6"/>
          <w:szCs w:val="16"/>
          <w:i w:val="1"/>
          <w:iCs w:val="1"/>
          <w:color w:val="auto"/>
        </w:rPr>
        <w:t>i.e.</w:t>
      </w:r>
      <w:r>
        <w:rPr>
          <w:rFonts w:ascii="Arial" w:cs="Arial" w:eastAsia="Arial" w:hAnsi="Arial"/>
          <w:sz w:val="16"/>
          <w:szCs w:val="16"/>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expired on May 19, 2022.</w:t>
      </w:r>
    </w:p>
    <w:p>
      <w:pPr>
        <w:spacing w:after="0" w:line="166"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In connection with the MCConsult Management Agreement and the severance agreement, we recorded expenses in the amount of €93 thousand for the financial year ended December 31, 2022. As of December 31, 2022, we did not have any outstanding liabilities due to MCConsult.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Agreement with Emin Bulent Altan</w:t>
      </w:r>
    </w:p>
    <w:p>
      <w:pPr>
        <w:spacing w:after="0" w:line="12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Apeiron, one of our former shareholders, and Emin Bulent Altan, our Chief Executive Officer and a member of our management board, entered into an option agreement, dated August 13, 2019 (as amended), under which Apeiron granted Mr. Altan the right to acquire 56,700 ordinary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Since the parties did not further extend the exercise period under the Altan Option Agreement, Mr. Altan’s option to acquire 56,700 ordinary shares of the Company expired on December 31, 2022.</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Opportunity Agreement</w:t>
      </w:r>
    </w:p>
    <w:p>
      <w:pPr>
        <w:spacing w:after="0" w:line="12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Emin Bulent Altan, member of our management board and Chief Executive Officer, is an investment partner (together with the founder of Apeiron Investment Group Ltd., one of our former shareholders) with, and serves as a member of the recommendation committee of, Alpine Space Ventures Management GmbH, which acts as the alternative investment fund manager of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86"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In order to address such potential conflicts of interests, we entered into a business opportunity agreement with Emin Bulent Altan and the ASV Fund (the “Business Opportunity Agreement”) dated October 21, 2021. Pursuant to the Business Opportunity Agreement, the ASV Fund is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also have a right of first offer, pursuant to which we are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a Former Supervisory Board Member</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Thomas Mayrhofer, a former member of our supervisory board who resigned in 2020, is a partner of Pinsent Masons LLP, a law firm that provided legal advisory services to us. For the year ended December 31, 2022, related party expenses involving Pinsent Masons LLP amounted to €5 thousand. As of December 31, 2022, we did not have any outstanding liabilities due to Pinsent Masons LLP.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Ariane Knapek</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Ariane Knapek is the spouse of Markus Knapek, a former member of our management board and a former significant shareholder in our Company. Ms. Knapek was a part-time employee with the Company from June 2016 to January 2021 and received a salary at arm’s length terms.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18. Financial Statements” and our audited consolidated financial statements beginning on page F-1.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4. Information on the Company—B. Business Overview—Legal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among other factors, our results of operations, financial condition, contractual restrictions and capital requirements. Our future ability to pay dividends may be limited by the terms of any existing and future debt or preferred securities.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All of the shares represented by our ADSs will generally have the same dividend rights as all of our other outstanding shares. However, the depositary may limit distributions based on practical considerations and legal limitations. Any distribution of dividends proposed by our management and supervisory boards requires the approval of our shareholders in a shareholders’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not paid dividends in the years ended December 31, 2022, December 31, 2021 and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Except as otherwise disclosed in this Annual Report, there has been no undisclosed significant change since the date of the annual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86"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Offer and Listing Details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Our ordinary shares have been trading on the Frankfurt Stock Exchange under the symbol “M0Y” since October 2017. Prior to that date, there was no public trading market for the ADSs or our ordinary shares.</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ADSs, every four ADSs representing one ordinary share, have been listed on the Nasdaq Global Select Market since November 12, 2021. The ADSs trade under the symbol “MYNA.” Prior to that date, there was no public trading market for the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 Offer and Listing Details.”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 copy of our memorandum and articles of association is attached as Exhibit 1.1 to this Annual Report. The information called for by this Item is set forth in Exhibit 2.3 to this Annual Report and is incorporated by reference into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nor have we been for the past two years, party to any material contract, other than contracts entered into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There are currently no legal restrictions in Germany on international capital movements and foreign exchange transactions, except in limited embargo circumstances (</w:t>
      </w:r>
      <w:r>
        <w:rPr>
          <w:rFonts w:ascii="Arial" w:cs="Arial" w:eastAsia="Arial" w:hAnsi="Arial"/>
          <w:sz w:val="16"/>
          <w:szCs w:val="16"/>
          <w:i w:val="1"/>
          <w:iCs w:val="1"/>
          <w:color w:val="auto"/>
        </w:rPr>
        <w:t>Teilembargo</w:t>
      </w:r>
      <w:r>
        <w:rPr>
          <w:rFonts w:ascii="Arial" w:cs="Arial" w:eastAsia="Arial" w:hAnsi="Arial"/>
          <w:sz w:val="16"/>
          <w:szCs w:val="16"/>
          <w:color w:val="auto"/>
        </w:rPr>
        <w:t>) relating to certain areas, entities or persons as a result of applicable resolutions adopted by the United Nations and the EU. Restrictions currently exist with respect to, among others, Belarus, Congo, Egypt, Eritrea, Guinea, Guinea-Bissau, Iran, Iraq, Lebanon, Liberia, Libya, North Korea, Somalia, South Sudan, Sudan, Syria, Tunisia and Zimbabwe. In response to Russia’s large-scale military action against Ukraine, a number of states and other organizations, including the EU, have imposed broad-based measures against Russian persons and transactions.</w:t>
      </w:r>
    </w:p>
    <w:p>
      <w:pPr>
        <w:spacing w:after="0" w:line="16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For statistical purposes, there are, however, limited notification requirements regarding transactions involving cross-border monetary transfers. With some exceptions, every corporation or individual residing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86"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Germany must report to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Taxation</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Taxation of ADSs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discussion addresses certain German tax consequences of acquiring, owning or disposing of the ADSs. With the exception of the subsection “Taxation of Holders Tax Resident in Germany” below, which provides an overview of dividend taxation to holders that are residents of Germany, this discussion applies only to U.S. treaty beneficiaries (as defined below) that acquire our ADSs.</w:t>
      </w:r>
    </w:p>
    <w:p>
      <w:pPr>
        <w:spacing w:after="0" w:line="18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This discussion is based on domestic German tax laws, including, but not limited to, circulars issued by German tax authorities, which are not binding on the German courts, and the Treaty (as defined below). It is based upon tax laws in effect at the time of filing of this Annual Report. These laws are subject to change, possibly with retroactive effect. 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tax information presented in this section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withheld. Only an individual tax consultation can appropriately account for the particular tax situation of each investor.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assume any responsibility for withholding tax at source.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German Tax Treatment of ADSs</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May 24, 2013, reference number IV C 1-S2204/12/10003, as amended by the circular dated December 18, 2018, reference number IV C 1-S2204/12, jointly the “ADR Tax Circular,” for German tax purposes, the ADSs should represent a beneficial ownership interest in the underlying shares of the company and qualify as ADRs for the purpose of the ADR Tax Circular, even though it has to be noted that the ADR Tax Circular does not explicitly address ADSs. If the ADSs qualify as ADRs under the ADR Tax Circular, dividends will accordingly be attributable to holders of ADSs for tax purposes, and not to the legal owner of the ordinary shares (i.e., the financial institution on behalf of which the ordinary shares are stored at a domestic depository for the ADS holders). Furthermore, holders of ADSs will be treated as beneficial owners of the capital of the company with respect to capital gains (see below in section “— General Rules for the Taxation of Non-German Tax Resident Holders of ADSs—German Taxation of Capital Gains of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86"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Non-German Tax Resident U.S. Holders</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8"/>
          <w:szCs w:val="18"/>
          <w:i w:val="1"/>
          <w:iCs w:val="1"/>
          <w:color w:val="auto"/>
        </w:rPr>
        <w:t>Abkommen zwischen der Bundesrepublik</w:t>
      </w:r>
      <w:r>
        <w:rPr>
          <w:rFonts w:ascii="Arial" w:cs="Arial" w:eastAsia="Arial" w:hAnsi="Arial"/>
          <w:sz w:val="18"/>
          <w:szCs w:val="18"/>
          <w:color w:val="auto"/>
        </w:rPr>
        <w:t xml:space="preserve"> </w:t>
      </w:r>
      <w:r>
        <w:rPr>
          <w:rFonts w:ascii="Arial" w:cs="Arial" w:eastAsia="Arial" w:hAnsi="Arial"/>
          <w:sz w:val="18"/>
          <w:szCs w:val="18"/>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in the German Federal Law Gazette 2008 vol. II pp. 611/851 (hereinafter referred to as the “Treaty”) who is fully eligible for benefits under the Treaty.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U.S. holder (as defined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subject to the limitation on benefits restrictions (i.e., anti-treaty shopping article of the Treaty or German domestic rules) that applies in limited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Rules for the Taxation of Non-German Tax Resident Holders of ADSs</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Non-German resident holders of ADSs are subject to German taxation with respect to certain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8"/>
          <w:szCs w:val="18"/>
          <w:i w:val="1"/>
          <w:iCs w:val="1"/>
          <w:color w:val="auto"/>
        </w:rPr>
        <w:t>Einlagenrückgewähr</w:t>
      </w:r>
      <w:r>
        <w:rPr>
          <w:rFonts w:ascii="Arial" w:cs="Arial" w:eastAsia="Arial" w:hAnsi="Arial"/>
          <w:sz w:val="18"/>
          <w:szCs w:val="18"/>
          <w:color w:val="auto"/>
        </w:rPr>
        <w:t>) for tax purposes is considered as reduction of the acquisition costs of the respective shares rather than as dividend payment (subject to proper tax declaration by the company in accordance with German tax law).</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full amount of a dividend distributed by the company to a non-German resident holder which does not maintain a permanent establishment or other taxable presence in Germany is subject as a matter of principle to (final) German withholding tax at an aggregate rate of 26.375% (25% income tax plus 5.5% solidarity surcharge thereon). In addition to that, dividends may be subject to church tax (</w:t>
      </w:r>
      <w:r>
        <w:rPr>
          <w:rFonts w:ascii="Arial" w:cs="Arial" w:eastAsia="Arial" w:hAnsi="Arial"/>
          <w:sz w:val="16"/>
          <w:szCs w:val="16"/>
          <w:i w:val="1"/>
          <w:iCs w:val="1"/>
          <w:color w:val="auto"/>
        </w:rPr>
        <w:t>Kirchensteuer</w:t>
      </w:r>
      <w:r>
        <w:rPr>
          <w:rFonts w:ascii="Arial" w:cs="Arial" w:eastAsia="Arial" w:hAnsi="Arial"/>
          <w:sz w:val="16"/>
          <w:szCs w:val="16"/>
          <w:color w:val="auto"/>
        </w:rPr>
        <w:t>)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64"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 Despite ongoing discussions about the complete abolition of the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 coalition agreement between the German Social Democratic Party, the German Green Party and the German Liberal Party does not contain any provisions on this subject. Shareholders are nevertheless advised to monitor additional future developments.</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German withholding tax on capital income (</w:t>
      </w:r>
      <w:r>
        <w:rPr>
          <w:rFonts w:ascii="Arial" w:cs="Arial" w:eastAsia="Arial" w:hAnsi="Arial"/>
          <w:sz w:val="18"/>
          <w:szCs w:val="18"/>
          <w:i w:val="1"/>
          <w:iCs w:val="1"/>
          <w:color w:val="auto"/>
        </w:rPr>
        <w:t>Kapitalertragsteuer</w:t>
      </w:r>
      <w:r>
        <w:rPr>
          <w:rFonts w:ascii="Arial" w:cs="Arial" w:eastAsia="Arial" w:hAnsi="Arial"/>
          <w:sz w:val="18"/>
          <w:szCs w:val="18"/>
          <w:color w:val="auto"/>
        </w:rPr>
        <w:t>) is withheld and remitted to the competent German tax authorities by (i) the German dividend disbursing agent (i.e., a German credit institution,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86"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services institution, German securities trading enterprise or German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and, in each case, including the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jc w:val="both"/>
        <w:ind w:left="120" w:right="20" w:hanging="4"/>
        <w:spacing w:after="0" w:line="277" w:lineRule="auto"/>
        <w:tabs>
          <w:tab w:leader="none" w:pos="39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central securities depository (</w:t>
      </w:r>
      <w:r>
        <w:rPr>
          <w:rFonts w:ascii="Arial" w:cs="Arial" w:eastAsia="Arial" w:hAnsi="Arial"/>
          <w:sz w:val="17"/>
          <w:szCs w:val="17"/>
          <w:i w:val="1"/>
          <w:iCs w:val="1"/>
          <w:color w:val="auto"/>
        </w:rPr>
        <w:t>Wertpapiersammelbank</w:t>
      </w:r>
      <w:r>
        <w:rPr>
          <w:rFonts w:ascii="Arial" w:cs="Arial" w:eastAsia="Arial" w:hAnsi="Arial"/>
          <w:sz w:val="17"/>
          <w:szCs w:val="17"/>
          <w:color w:val="auto"/>
        </w:rPr>
        <w:t>) in terms of the German Depositary Act (</w:t>
      </w:r>
      <w:r>
        <w:rPr>
          <w:rFonts w:ascii="Arial" w:cs="Arial" w:eastAsia="Arial" w:hAnsi="Arial"/>
          <w:sz w:val="17"/>
          <w:szCs w:val="17"/>
          <w:i w:val="1"/>
          <w:iCs w:val="1"/>
          <w:color w:val="auto"/>
        </w:rPr>
        <w:t>Depotgesetz</w:t>
      </w:r>
      <w:r>
        <w:rPr>
          <w:rFonts w:ascii="Arial" w:cs="Arial" w:eastAsia="Arial" w:hAnsi="Arial"/>
          <w:sz w:val="17"/>
          <w:szCs w:val="17"/>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73"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a refund is subject to the German anti-avoidance treaty shopping rule (as described below in section “—Withholding Tax Refund for U.S. Treaty Beneficiaries”).</w:t>
      </w:r>
    </w:p>
    <w:p>
      <w:pPr>
        <w:spacing w:after="0" w:line="17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70"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b w:val="1"/>
          <w:bCs w:val="1"/>
          <w:i w:val="1"/>
          <w:iCs w:val="1"/>
          <w:color w:val="auto"/>
        </w:rPr>
        <w:t>German Taxation of Capital Gains of U.S. Treaty Beneficiaries of the ADSs</w:t>
      </w:r>
      <w:r>
        <w:rPr>
          <w:rFonts w:ascii="Arial" w:cs="Arial" w:eastAsia="Arial" w:hAnsi="Arial"/>
          <w:sz w:val="17"/>
          <w:szCs w:val="17"/>
          <w:color w:val="auto"/>
        </w:rPr>
        <w:t>. Capital gains from the disposition of ADSs realized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However, U.S. treaty beneficiaries are eligible for treaty benefits under the Treaty (as described above in the section “—Taxation of Non-German Tax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w:t>
      </w:r>
    </w:p>
    <w:p>
      <w:pPr>
        <w:spacing w:after="0" w:line="18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or a German securities trading enterprise or a German securities trading bank (each as defined in the German Banking Act (</w:t>
      </w:r>
      <w:r>
        <w:rPr>
          <w:rFonts w:ascii="Arial" w:cs="Arial" w:eastAsia="Arial" w:hAnsi="Arial"/>
          <w:sz w:val="17"/>
          <w:szCs w:val="17"/>
          <w:i w:val="1"/>
          <w:iCs w:val="1"/>
          <w:color w:val="auto"/>
        </w:rPr>
        <w:t>Kreditwesengesetz</w:t>
      </w:r>
      <w:r>
        <w:rPr>
          <w:rFonts w:ascii="Arial" w:cs="Arial" w:eastAsia="Arial" w:hAnsi="Arial"/>
          <w:sz w:val="17"/>
          <w:szCs w:val="17"/>
          <w:color w:val="auto"/>
        </w:rPr>
        <w:t>) and, in each case, including a German branch of a foreign enterprise, but excluding a foreign branch of a German enterprise)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January 18, 2016, reference number IV C 1-S2252/08/10004:017 (published in the German Federal Tax Gazette 2016 vol. I pp. 85), as last amended by a circular dated December 20, 2022, reference number IV C 1-S 2252/19/10003:011 (published in the German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86"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Federal Tax Gazette 2023 vol. I pp. 46),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the Withholding Tax Relief Modernization Act (</w:t>
      </w:r>
      <w:r>
        <w:rPr>
          <w:rFonts w:ascii="Arial" w:cs="Arial" w:eastAsia="Arial" w:hAnsi="Arial"/>
          <w:sz w:val="18"/>
          <w:szCs w:val="18"/>
          <w:i w:val="1"/>
          <w:iCs w:val="1"/>
          <w:color w:val="auto"/>
        </w:rPr>
        <w:t>Abzugsteuerentlastungsmodernisierungsgesetz</w:t>
      </w:r>
      <w:r>
        <w:rPr>
          <w:rFonts w:ascii="Arial" w:cs="Arial" w:eastAsia="Arial" w:hAnsi="Arial"/>
          <w:sz w:val="18"/>
          <w:szCs w:val="18"/>
          <w:color w:val="auto"/>
        </w:rPr>
        <w:t>) which was passed into law on June 2,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spacing w:after="0" w:line="192"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b w:val="1"/>
          <w:bCs w:val="1"/>
          <w:i w:val="1"/>
          <w:iCs w:val="1"/>
          <w:color w:val="auto"/>
        </w:rPr>
        <w:t>Withholding Tax Refund for U.S. Treaty Beneficiaries</w:t>
      </w:r>
      <w:r>
        <w:rPr>
          <w:rFonts w:ascii="Arial" w:cs="Arial" w:eastAsia="Arial" w:hAnsi="Arial"/>
          <w:sz w:val="17"/>
          <w:szCs w:val="17"/>
          <w:color w:val="auto"/>
        </w:rPr>
        <w:t>. U.S. treaty beneficiaries are generally eligible for treaty benefits under the Treaty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above in Section “—Taxation of Non-German Tax Resident U.S. Holders”). Accordingly, U.S. treaty beneficiaries are in general entitled to claim a refund of the portion of the otherwise applicable 26.375% German withholding tax (corporate income tax including solidarity surcharge)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 In addition to the aforementioned restrictions, in particular, pursuant to a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July 9, 2021, reference number IV C 1–S 2252/19/10035 :014 (published in the German Federal Tax Gazette 2021 vol. I pp. 995), as amended from time to time, the withholding tax credit may also be denied as an anti-abuse measure.</w:t>
      </w:r>
    </w:p>
    <w:p>
      <w:pPr>
        <w:spacing w:after="0" w:line="19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Arial" w:cs="Arial" w:eastAsia="Arial" w:hAnsi="Arial"/>
          <w:sz w:val="16"/>
          <w:szCs w:val="16"/>
          <w:i w:val="1"/>
          <w:iCs w:val="1"/>
          <w:color w:val="auto"/>
        </w:rPr>
        <w:t>Einkommensteuergesetz</w:t>
      </w:r>
      <w:r>
        <w:rPr>
          <w:rFonts w:ascii="Arial" w:cs="Arial" w:eastAsia="Arial" w:hAnsi="Arial"/>
          <w:sz w:val="16"/>
          <w:szCs w:val="16"/>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carried out with resources that are not appropriate to the foreign company’s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86"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Due to the legal structure of the ADSs, only limited guidance of the German tax authorities exists on the practical application of this procedure with respect to the ADSs.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Holders Tax Resident in Germany</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This subsection provides an overview of general taxation principles applicable to the holders of ADSs who are tax resident in Germany. A holder is a German tax resident if, in case of an individual, he or she maintains a domicile (</w:t>
      </w:r>
      <w:r>
        <w:rPr>
          <w:rFonts w:ascii="Arial" w:cs="Arial" w:eastAsia="Arial" w:hAnsi="Arial"/>
          <w:sz w:val="16"/>
          <w:szCs w:val="16"/>
          <w:i w:val="1"/>
          <w:iCs w:val="1"/>
          <w:color w:val="auto"/>
        </w:rPr>
        <w:t>Wohnsitz</w:t>
      </w:r>
      <w:r>
        <w:rPr>
          <w:rFonts w:ascii="Arial" w:cs="Arial" w:eastAsia="Arial" w:hAnsi="Arial"/>
          <w:sz w:val="16"/>
          <w:szCs w:val="16"/>
          <w:color w:val="auto"/>
        </w:rPr>
        <w:t>) or his or her usual residence (</w:t>
      </w:r>
      <w:r>
        <w:rPr>
          <w:rFonts w:ascii="Arial" w:cs="Arial" w:eastAsia="Arial" w:hAnsi="Arial"/>
          <w:sz w:val="16"/>
          <w:szCs w:val="16"/>
          <w:i w:val="1"/>
          <w:iCs w:val="1"/>
          <w:color w:val="auto"/>
        </w:rPr>
        <w:t>gewöhnlicher Aufenthalt</w:t>
      </w:r>
      <w:r>
        <w:rPr>
          <w:rFonts w:ascii="Arial" w:cs="Arial" w:eastAsia="Arial" w:hAnsi="Arial"/>
          <w:sz w:val="16"/>
          <w:szCs w:val="16"/>
          <w:color w:val="auto"/>
        </w:rPr>
        <w:t>) in Germany or if, in case of a corporation, it has its place of central management (</w:t>
      </w:r>
      <w:r>
        <w:rPr>
          <w:rFonts w:ascii="Arial" w:cs="Arial" w:eastAsia="Arial" w:hAnsi="Arial"/>
          <w:sz w:val="16"/>
          <w:szCs w:val="16"/>
          <w:i w:val="1"/>
          <w:iCs w:val="1"/>
          <w:color w:val="auto"/>
        </w:rPr>
        <w:t>Geschäftsleitung</w:t>
      </w:r>
      <w:r>
        <w:rPr>
          <w:rFonts w:ascii="Arial" w:cs="Arial" w:eastAsia="Arial" w:hAnsi="Arial"/>
          <w:sz w:val="16"/>
          <w:szCs w:val="16"/>
          <w:color w:val="auto"/>
        </w:rPr>
        <w:t>) or a statutory seat (</w:t>
      </w:r>
      <w:r>
        <w:rPr>
          <w:rFonts w:ascii="Arial" w:cs="Arial" w:eastAsia="Arial" w:hAnsi="Arial"/>
          <w:sz w:val="16"/>
          <w:szCs w:val="16"/>
          <w:i w:val="1"/>
          <w:iCs w:val="1"/>
          <w:color w:val="auto"/>
        </w:rPr>
        <w:t>Sitz</w:t>
      </w:r>
      <w:r>
        <w:rPr>
          <w:rFonts w:ascii="Arial" w:cs="Arial" w:eastAsia="Arial" w:hAnsi="Arial"/>
          <w:sz w:val="16"/>
          <w:szCs w:val="16"/>
          <w:color w:val="auto"/>
        </w:rPr>
        <w:t>) in Germany.</w:t>
      </w:r>
    </w:p>
    <w:p>
      <w:pPr>
        <w:spacing w:after="0" w:line="14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ADSs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b w:val="1"/>
          <w:bCs w:val="1"/>
          <w:i w:val="1"/>
          <w:iCs w:val="1"/>
          <w:color w:val="auto"/>
        </w:rPr>
        <w:t>ADSs held as Private Assets (Privatvermögen)</w:t>
      </w:r>
      <w:r>
        <w:rPr>
          <w:rFonts w:ascii="Arial" w:cs="Arial" w:eastAsia="Arial" w:hAnsi="Arial"/>
          <w:sz w:val="17"/>
          <w:szCs w:val="17"/>
          <w:color w:val="auto"/>
        </w:rPr>
        <w:t>. If ADSs are held as private assets by a German tax resident individual, dividends and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gains are taxed as capital income (</w:t>
      </w:r>
      <w:r>
        <w:rPr>
          <w:rFonts w:ascii="Arial" w:cs="Arial" w:eastAsia="Arial" w:hAnsi="Arial"/>
          <w:sz w:val="17"/>
          <w:szCs w:val="17"/>
          <w:i w:val="1"/>
          <w:iCs w:val="1"/>
          <w:color w:val="auto"/>
        </w:rPr>
        <w:t>Einkünfte aus Kapitalvermögen</w:t>
      </w:r>
      <w:r>
        <w:rPr>
          <w:rFonts w:ascii="Arial" w:cs="Arial" w:eastAsia="Arial" w:hAnsi="Arial"/>
          <w:sz w:val="17"/>
          <w:szCs w:val="17"/>
          <w:color w:val="auto"/>
        </w:rPr>
        <w:t>) and are principally subject to 25% German flat rate income tax on capital income (</w:t>
      </w:r>
      <w:r>
        <w:rPr>
          <w:rFonts w:ascii="Arial" w:cs="Arial" w:eastAsia="Arial" w:hAnsi="Arial"/>
          <w:sz w:val="17"/>
          <w:szCs w:val="17"/>
          <w:i w:val="1"/>
          <w:iCs w:val="1"/>
          <w:color w:val="auto"/>
        </w:rPr>
        <w:t>Abgeltungsteuer</w:t>
      </w:r>
      <w:r>
        <w:rPr>
          <w:rFonts w:ascii="Arial" w:cs="Arial" w:eastAsia="Arial" w:hAnsi="Arial"/>
          <w:sz w:val="17"/>
          <w:szCs w:val="17"/>
          <w:color w:val="auto"/>
        </w:rPr>
        <w:t>) (plus a 5.5% solidarity surcharge (</w:t>
      </w:r>
      <w:r>
        <w:rPr>
          <w:rFonts w:ascii="Arial" w:cs="Arial" w:eastAsia="Arial" w:hAnsi="Arial"/>
          <w:sz w:val="17"/>
          <w:szCs w:val="17"/>
          <w:i w:val="1"/>
          <w:iCs w:val="1"/>
          <w:color w:val="auto"/>
        </w:rPr>
        <w:t>Solidaritätszuschlag</w:t>
      </w:r>
      <w:r>
        <w:rPr>
          <w:rFonts w:ascii="Arial" w:cs="Arial" w:eastAsia="Arial" w:hAnsi="Arial"/>
          <w:sz w:val="17"/>
          <w:szCs w:val="17"/>
          <w:color w:val="auto"/>
        </w:rPr>
        <w:t>) thereon, resulting in an aggregate rate of 26.375% and plus church tax (</w:t>
      </w:r>
      <w:r>
        <w:rPr>
          <w:rFonts w:ascii="Arial" w:cs="Arial" w:eastAsia="Arial" w:hAnsi="Arial"/>
          <w:sz w:val="17"/>
          <w:szCs w:val="17"/>
          <w:i w:val="1"/>
          <w:iCs w:val="1"/>
          <w:color w:val="auto"/>
        </w:rPr>
        <w:t>Kirchensteuer</w:t>
      </w:r>
      <w:r>
        <w:rPr>
          <w:rFonts w:ascii="Arial" w:cs="Arial" w:eastAsia="Arial" w:hAnsi="Arial"/>
          <w:sz w:val="17"/>
          <w:szCs w:val="17"/>
          <w:color w:val="auto"/>
        </w:rPr>
        <w:t>), if applicable), which is generally levied in the form of withholding tax on capital income (</w:t>
      </w:r>
      <w:r>
        <w:rPr>
          <w:rFonts w:ascii="Arial" w:cs="Arial" w:eastAsia="Arial" w:hAnsi="Arial"/>
          <w:sz w:val="17"/>
          <w:szCs w:val="17"/>
          <w:i w:val="1"/>
          <w:iCs w:val="1"/>
          <w:color w:val="auto"/>
        </w:rPr>
        <w:t>Kapitalertragsteuer</w:t>
      </w:r>
      <w:r>
        <w:rPr>
          <w:rFonts w:ascii="Arial" w:cs="Arial" w:eastAsia="Arial" w:hAnsi="Arial"/>
          <w:sz w:val="17"/>
          <w:szCs w:val="17"/>
          <w:color w:val="auto"/>
        </w:rPr>
        <w:t>).</w:t>
      </w:r>
    </w:p>
    <w:p>
      <w:pPr>
        <w:spacing w:after="0" w:line="17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holder is taxed on gross capital income (including dividends or gains with respect to ADSs), less the annual saver’s tax-free allowance (</w:t>
      </w:r>
      <w:r>
        <w:rPr>
          <w:rFonts w:ascii="Arial" w:cs="Arial" w:eastAsia="Arial" w:hAnsi="Arial"/>
          <w:sz w:val="18"/>
          <w:szCs w:val="18"/>
          <w:i w:val="1"/>
          <w:iCs w:val="1"/>
          <w:color w:val="auto"/>
        </w:rPr>
        <w:t>Sparer-Pauschbetrag</w:t>
      </w:r>
      <w:r>
        <w:rPr>
          <w:rFonts w:ascii="Arial" w:cs="Arial" w:eastAsia="Arial" w:hAnsi="Arial"/>
          <w:sz w:val="18"/>
          <w:szCs w:val="18"/>
          <w:color w:val="auto"/>
        </w:rPr>
        <w:t>) of currently €1,000 for an individual or €2,000 for married couples and registered civil unions (</w:t>
      </w:r>
      <w:r>
        <w:rPr>
          <w:rFonts w:ascii="Arial" w:cs="Arial" w:eastAsia="Arial" w:hAnsi="Arial"/>
          <w:sz w:val="18"/>
          <w:szCs w:val="18"/>
          <w:i w:val="1"/>
          <w:iCs w:val="1"/>
          <w:color w:val="auto"/>
        </w:rPr>
        <w:t>eingetragene</w:t>
      </w:r>
      <w:r>
        <w:rPr>
          <w:rFonts w:ascii="Arial" w:cs="Arial" w:eastAsia="Arial" w:hAnsi="Arial"/>
          <w:sz w:val="18"/>
          <w:szCs w:val="18"/>
          <w:color w:val="auto"/>
        </w:rPr>
        <w:t xml:space="preserve"> </w:t>
      </w:r>
      <w:r>
        <w:rPr>
          <w:rFonts w:ascii="Arial" w:cs="Arial" w:eastAsia="Arial" w:hAnsi="Arial"/>
          <w:sz w:val="18"/>
          <w:szCs w:val="18"/>
          <w:i w:val="1"/>
          <w:iCs w:val="1"/>
          <w:color w:val="auto"/>
        </w:rPr>
        <w:t>Lebenspartnerschaften</w:t>
      </w:r>
      <w:r>
        <w:rPr>
          <w:rFonts w:ascii="Arial" w:cs="Arial" w:eastAsia="Arial" w:hAnsi="Arial"/>
          <w:sz w:val="18"/>
          <w:szCs w:val="18"/>
          <w:color w:val="auto"/>
        </w:rPr>
        <w:t>) filing jointly. The deduction of actual expenses relating to the capital income (including dividends or gains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95"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Losses resulting from the disposal of ADSs can only be offset with capital gains from the disposition of shares of corporations (</w:t>
      </w:r>
      <w:r>
        <w:rPr>
          <w:rFonts w:ascii="Arial" w:cs="Arial" w:eastAsia="Arial" w:hAnsi="Arial"/>
          <w:sz w:val="17"/>
          <w:szCs w:val="17"/>
          <w:i w:val="1"/>
          <w:iCs w:val="1"/>
          <w:color w:val="auto"/>
        </w:rPr>
        <w:t>Aktien</w:t>
      </w:r>
      <w:r>
        <w:rPr>
          <w:rFonts w:ascii="Arial" w:cs="Arial" w:eastAsia="Arial" w:hAnsi="Arial"/>
          <w:sz w:val="17"/>
          <w:szCs w:val="17"/>
          <w:color w:val="auto"/>
        </w:rPr>
        <w:t>) and other ADSs treated similar to shares. However, the German Federal Fiscal Court (</w:t>
      </w:r>
      <w:r>
        <w:rPr>
          <w:rFonts w:ascii="Arial" w:cs="Arial" w:eastAsia="Arial" w:hAnsi="Arial"/>
          <w:sz w:val="17"/>
          <w:szCs w:val="17"/>
          <w:i w:val="1"/>
          <w:iCs w:val="1"/>
          <w:color w:val="auto"/>
        </w:rPr>
        <w:t>Bundesfinanzhof</w:t>
      </w:r>
      <w:r>
        <w:rPr>
          <w:rFonts w:ascii="Arial" w:cs="Arial" w:eastAsia="Arial" w:hAnsi="Arial"/>
          <w:sz w:val="17"/>
          <w:szCs w:val="17"/>
          <w:color w:val="auto"/>
        </w:rPr>
        <w:t>) recently decided that the limitation on the offset possibilities constitutes a violation of the equal protection clause under the German constitution and submitted the legal question to the German Federal Constitutional Court (</w:t>
      </w:r>
      <w:r>
        <w:rPr>
          <w:rFonts w:ascii="Arial" w:cs="Arial" w:eastAsia="Arial" w:hAnsi="Arial"/>
          <w:sz w:val="17"/>
          <w:szCs w:val="17"/>
          <w:i w:val="1"/>
          <w:iCs w:val="1"/>
          <w:color w:val="auto"/>
        </w:rPr>
        <w:t>Bundesverfassungsgericht</w:t>
      </w:r>
      <w:r>
        <w:rPr>
          <w:rFonts w:ascii="Arial" w:cs="Arial" w:eastAsia="Arial" w:hAnsi="Arial"/>
          <w:sz w:val="17"/>
          <w:szCs w:val="17"/>
          <w:color w:val="auto"/>
        </w:rPr>
        <w:t>) for decision on its constitutionality; the German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7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b w:val="1"/>
          <w:bCs w:val="1"/>
          <w:i w:val="1"/>
          <w:iCs w:val="1"/>
          <w:color w:val="auto"/>
        </w:rPr>
        <w:t>ADSs held as Business Assets (Betriebsvermögen)</w:t>
      </w:r>
      <w:r>
        <w:rPr>
          <w:rFonts w:ascii="Arial" w:cs="Arial" w:eastAsia="Arial" w:hAnsi="Arial"/>
          <w:sz w:val="16"/>
          <w:szCs w:val="16"/>
          <w:color w:val="auto"/>
        </w:rPr>
        <w:t>. In case the ADSs are held as business assets, the actual taxation depends on the legal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6"/>
          <w:szCs w:val="16"/>
          <w:i w:val="1"/>
          <w:iCs w:val="1"/>
          <w:color w:val="auto"/>
        </w:rPr>
        <w:t>Investmentfonds</w:t>
      </w:r>
      <w:r>
        <w:rPr>
          <w:rFonts w:ascii="Arial" w:cs="Arial" w:eastAsia="Arial" w:hAnsi="Arial"/>
          <w:sz w:val="16"/>
          <w:szCs w:val="16"/>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86" w:right="4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6"/>
          <w:szCs w:val="16"/>
          <w:i w:val="1"/>
          <w:iCs w:val="1"/>
          <w:color w:val="auto"/>
        </w:rPr>
        <w:t>Zufluss</w:t>
      </w:r>
      <w:r>
        <w:rPr>
          <w:rFonts w:ascii="Arial" w:cs="Arial" w:eastAsia="Arial" w:hAnsi="Arial"/>
          <w:sz w:val="16"/>
          <w:szCs w:val="16"/>
          <w:color w:val="auto"/>
        </w:rPr>
        <w:t>) of the dividends. In addition to the aforementioned restrictions, in particular, pursuant to a circular issued by the German Federal Ministry of Finance (</w:t>
      </w:r>
      <w:r>
        <w:rPr>
          <w:rFonts w:ascii="Arial" w:cs="Arial" w:eastAsia="Arial" w:hAnsi="Arial"/>
          <w:sz w:val="16"/>
          <w:szCs w:val="16"/>
          <w:i w:val="1"/>
          <w:iCs w:val="1"/>
          <w:color w:val="auto"/>
        </w:rPr>
        <w:t>BMF-Schreiben</w:t>
      </w:r>
      <w:r>
        <w:rPr>
          <w:rFonts w:ascii="Arial" w:cs="Arial" w:eastAsia="Arial" w:hAnsi="Arial"/>
          <w:sz w:val="16"/>
          <w:szCs w:val="16"/>
          <w:color w:val="auto"/>
        </w:rPr>
        <w:t>) dated July 9, 2021, reference number IV C 1–S 2252/19/10035 :014 (published in the German Federal Tax Gazette 2021 vol. I pp. 995), as amended, the withholding tax credit may also be denied as an anti-abuse measure.</w:t>
      </w:r>
    </w:p>
    <w:p>
      <w:pPr>
        <w:spacing w:after="0" w:line="16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To the extent the amount withheld exceeds the (corporate or personal) income tax liability, the withholding tax will be refunded, provided that certain requirements are met.</w:t>
      </w:r>
    </w:p>
    <w:p>
      <w:pPr>
        <w:spacing w:after="0" w:line="17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7"/>
          <w:szCs w:val="17"/>
          <w:i w:val="1"/>
          <w:iCs w:val="1"/>
          <w:color w:val="auto"/>
        </w:rPr>
        <w:t>Gewerbesteuer</w:t>
      </w:r>
      <w:r>
        <w:rPr>
          <w:rFonts w:ascii="Arial" w:cs="Arial" w:eastAsia="Arial" w:hAnsi="Arial"/>
          <w:sz w:val="17"/>
          <w:szCs w:val="17"/>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7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8"/>
          <w:szCs w:val="18"/>
          <w:i w:val="1"/>
          <w:iCs w:val="1"/>
          <w:color w:val="auto"/>
        </w:rPr>
        <w:t>Gewerbebetrieb</w:t>
      </w:r>
      <w:r>
        <w:rPr>
          <w:rFonts w:ascii="Arial" w:cs="Arial" w:eastAsia="Arial" w:hAnsi="Arial"/>
          <w:sz w:val="18"/>
          <w:szCs w:val="18"/>
          <w:color w:val="auto"/>
        </w:rPr>
        <w:t>) of the holder, but the resulting trade tax might be credited against the income tax liability of the holder pursuant to a lump sum procedure.</w:t>
      </w:r>
    </w:p>
    <w:p>
      <w:pPr>
        <w:spacing w:after="0" w:line="188"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Since 2021, the basis for the calculation of the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has, as previously discussed, been reduced for certain individuals subject to tax assessments (other than withholding taxes), and in certain cases, the solidarity surcharge has been eliminated for individuals.</w:t>
      </w:r>
    </w:p>
    <w:p>
      <w:pPr>
        <w:spacing w:after="0" w:line="12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Special taxation rules apply to German tax resident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w:t>
      </w:r>
      <w:r>
        <w:rPr>
          <w:rFonts w:ascii="Arial" w:cs="Arial" w:eastAsia="Arial" w:hAnsi="Arial"/>
          <w:sz w:val="18"/>
          <w:szCs w:val="18"/>
          <w:i w:val="1"/>
          <w:iCs w:val="1"/>
          <w:color w:val="auto"/>
        </w:rPr>
        <w:t>Lebens- und</w:t>
      </w:r>
      <w:r>
        <w:rPr>
          <w:rFonts w:ascii="Arial" w:cs="Arial" w:eastAsia="Arial" w:hAnsi="Arial"/>
          <w:sz w:val="18"/>
          <w:szCs w:val="18"/>
          <w:color w:val="auto"/>
        </w:rPr>
        <w:t xml:space="preserve"> </w:t>
      </w:r>
      <w:r>
        <w:rPr>
          <w:rFonts w:ascii="Arial" w:cs="Arial" w:eastAsia="Arial" w:hAnsi="Arial"/>
          <w:sz w:val="18"/>
          <w:szCs w:val="18"/>
          <w:i w:val="1"/>
          <w:iCs w:val="1"/>
          <w:color w:val="auto"/>
        </w:rPr>
        <w:t>Krankenversicherungsunternehmen</w:t>
      </w:r>
      <w:r>
        <w:rPr>
          <w:rFonts w:ascii="Arial" w:cs="Arial" w:eastAsia="Arial" w:hAnsi="Arial"/>
          <w:sz w:val="18"/>
          <w:szCs w:val="18"/>
          <w:color w:val="auto"/>
        </w:rPr>
        <w:t>), pension funds (</w:t>
      </w:r>
      <w:r>
        <w:rPr>
          <w:rFonts w:ascii="Arial" w:cs="Arial" w:eastAsia="Arial" w:hAnsi="Arial"/>
          <w:sz w:val="18"/>
          <w:szCs w:val="18"/>
          <w:i w:val="1"/>
          <w:iCs w:val="1"/>
          <w:color w:val="auto"/>
        </w:rPr>
        <w:t>Pensionsfonds</w:t>
      </w:r>
      <w:r>
        <w:rPr>
          <w:rFonts w:ascii="Arial" w:cs="Arial" w:eastAsia="Arial" w:hAnsi="Arial"/>
          <w:sz w:val="18"/>
          <w:szCs w:val="18"/>
          <w:color w:val="auto"/>
        </w:rPr>
        <w:t>) and investment funds (</w:t>
      </w:r>
      <w:r>
        <w:rPr>
          <w:rFonts w:ascii="Arial" w:cs="Arial" w:eastAsia="Arial" w:hAnsi="Arial"/>
          <w:sz w:val="18"/>
          <w:szCs w:val="18"/>
          <w:i w:val="1"/>
          <w:iCs w:val="1"/>
          <w:color w:val="auto"/>
        </w:rPr>
        <w:t>Investmentfonds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Inheritance and Gift Tax (Erbschaft- und Schenkungsteuer)</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 xml:space="preserve">Generally, a transfer of ADSs by inheritance or by way of gift will be subject to German gift or inheritance tax, </w:t>
      </w:r>
      <w:r>
        <w:rPr>
          <w:rFonts w:ascii="Arial" w:cs="Arial" w:eastAsia="Arial" w:hAnsi="Arial"/>
          <w:sz w:val="18"/>
          <w:szCs w:val="18"/>
          <w:i w:val="1"/>
          <w:iCs w:val="1"/>
          <w:color w:val="auto"/>
        </w:rPr>
        <w:t>inter alia</w:t>
      </w:r>
      <w:r>
        <w:rPr>
          <w:rFonts w:ascii="Arial" w:cs="Arial" w:eastAsia="Arial" w:hAnsi="Arial"/>
          <w:sz w:val="18"/>
          <w:szCs w:val="18"/>
          <w:color w:val="auto"/>
        </w:rPr>
        <w:t>,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9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7"/>
          <w:szCs w:val="17"/>
          <w:i w:val="1"/>
          <w:iCs w:val="1"/>
          <w:color w:val="auto"/>
        </w:rPr>
        <w:t>Abkommen zwischen der Bundesrepublik</w:t>
      </w:r>
      <w:r>
        <w:rPr>
          <w:rFonts w:ascii="Arial" w:cs="Arial" w:eastAsia="Arial" w:hAnsi="Arial"/>
          <w:sz w:val="17"/>
          <w:szCs w:val="17"/>
          <w:color w:val="auto"/>
        </w:rPr>
        <w:t xml:space="preserve"> </w:t>
      </w:r>
      <w:r>
        <w:rPr>
          <w:rFonts w:ascii="Arial" w:cs="Arial" w:eastAsia="Arial" w:hAnsi="Arial"/>
          <w:sz w:val="17"/>
          <w:szCs w:val="17"/>
          <w:i w:val="1"/>
          <w:iCs w:val="1"/>
          <w:color w:val="auto"/>
        </w:rPr>
        <w:t>Deutschland und den Vereinigten Staaten von Amerika zur Vermeidung der Doppelbesteuerung auf dem Gebiet der Nachlass-, Erbschaft- und Schenkungssteuern</w:t>
      </w:r>
      <w:r>
        <w:rPr>
          <w:rFonts w:ascii="Arial" w:cs="Arial" w:eastAsia="Arial" w:hAnsi="Arial"/>
          <w:sz w:val="17"/>
          <w:szCs w:val="17"/>
          <w:color w:val="auto"/>
        </w:rPr>
        <w:t>) as published on December 21, 2000 (the “Estate Tax Treaty”) provided the decedent or donor, or the heir, donee or other transferee</w:t>
      </w:r>
      <w:r>
        <w:rPr>
          <w:rFonts w:ascii="Arial" w:cs="Arial" w:eastAsia="Arial" w:hAnsi="Arial"/>
          <w:sz w:val="17"/>
          <w:szCs w:val="17"/>
          <w:i w:val="1"/>
          <w:iCs w:val="1"/>
          <w:color w:val="auto"/>
        </w:rPr>
        <w:t xml:space="preserve"> </w:t>
      </w:r>
      <w:r>
        <w:rPr>
          <w:rFonts w:ascii="Arial" w:cs="Arial" w:eastAsia="Arial" w:hAnsi="Arial"/>
          <w:sz w:val="17"/>
          <w:szCs w:val="17"/>
          <w:color w:val="auto"/>
        </w:rPr>
        <w:t>was not domiciled in Germany for purposes of the Estate Tax Treaty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86"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German Taxes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There are currently no German net worth, transfer, stamp or other similar taxes that would apply to a U.S. holder on the acquisition, ownership, sale or other disposition of the ADSs. Certain member states of the European Union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and Reporting Requirements</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prospective investors should consult with their own tax advisors regarding the tax consequences of their investment in the ADSs.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Taxation</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This section describes United States federal income tax considerations generally applicable to a U.S. holder (as defined below) of ADSs. It applies to you only if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98"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broker or dealer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tax-exempt organization or governmental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tax-qualified retirement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real estate investment trust or regulated investment company,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that actually or constructively owns 10% or more of the combined voting power of our voting stock or of the total value of our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that holds ADSs as part of a straddle or a hedging or conversion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that purchases or sells ADSs as part of a wash sale for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corporation that accumulates earnings to avoid U.S. federal income tax,</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S corporation, partnership or other entity or arrangement treated as a partnership for U.S. federal income tax purposes (and investors therein),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deemed to sell ADSs under the constructive sale provisions of the Code (as defined below).</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86"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of Double Taxation and the Prevention of Fiscal Evasion with respect to Taxes on Income and Capital and certain other Taxes in the version published as of June 4, 2008 (</w:t>
      </w:r>
      <w:r>
        <w:rPr>
          <w:rFonts w:ascii="Arial" w:cs="Arial" w:eastAsia="Arial" w:hAnsi="Arial"/>
          <w:sz w:val="17"/>
          <w:szCs w:val="17"/>
          <w:i w:val="1"/>
          <w:iCs w:val="1"/>
          <w:color w:val="auto"/>
        </w:rPr>
        <w:t>Abkommen zwischen der Bundesrepublik Deutschland und den Vereinigten Staaten von Amerika zur Vermeidung der</w:t>
      </w:r>
      <w:r>
        <w:rPr>
          <w:rFonts w:ascii="Arial" w:cs="Arial" w:eastAsia="Arial" w:hAnsi="Arial"/>
          <w:sz w:val="17"/>
          <w:szCs w:val="17"/>
          <w:color w:val="auto"/>
        </w:rPr>
        <w:t xml:space="preserve"> </w:t>
      </w:r>
      <w:r>
        <w:rPr>
          <w:rFonts w:ascii="Arial" w:cs="Arial" w:eastAsia="Arial" w:hAnsi="Arial"/>
          <w:sz w:val="17"/>
          <w:szCs w:val="17"/>
          <w:i w:val="1"/>
          <w:iCs w:val="1"/>
          <w:color w:val="auto"/>
        </w:rPr>
        <w:t>Doppelbesteuerung und zur Verhinderung der Steuerverkürzung auf dem Gebiet der Steuern vom Einkommen und vom Vermögen und einiger anderer Steuern in der Fassung der Bekanntmachung vom 4. Juni 2008</w:t>
      </w:r>
      <w:r>
        <w:rPr>
          <w:rFonts w:ascii="Arial" w:cs="Arial" w:eastAsia="Arial" w:hAnsi="Arial"/>
          <w:sz w:val="17"/>
          <w:szCs w:val="17"/>
          <w:color w:val="auto"/>
        </w:rPr>
        <w:t>) as published in the German Federal Law Gazette 2008 vol. II pp. 611/851 (the</w:t>
      </w:r>
      <w:r>
        <w:rPr>
          <w:rFonts w:ascii="Arial" w:cs="Arial" w:eastAsia="Arial" w:hAnsi="Arial"/>
          <w:sz w:val="17"/>
          <w:szCs w:val="17"/>
          <w:i w:val="1"/>
          <w:iCs w:val="1"/>
          <w:color w:val="auto"/>
        </w:rPr>
        <w:t xml:space="preserve"> </w:t>
      </w:r>
      <w:r>
        <w:rPr>
          <w:rFonts w:ascii="Arial" w:cs="Arial" w:eastAsia="Arial" w:hAnsi="Arial"/>
          <w:sz w:val="17"/>
          <w:szCs w:val="17"/>
          <w:color w:val="auto"/>
        </w:rPr>
        <w:t>“Treaty”).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are a “U.S. holder” if you are a beneficial owner of ADSs and you are, for United States federal income tax purposes:</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domestic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estate whose income is subject to United States federal income tax regardless of its source,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trust if a United States court can exercise primary supervision over the trust’s administration and one or more United States persons are authorized to control all substantial decisions of the trust.</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217805</wp:posOffset>
            </wp:positionV>
            <wp:extent cx="6998970" cy="35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366" w:lineRule="exact"/>
        <w:rPr>
          <w:sz w:val="20"/>
          <w:szCs w:val="20"/>
          <w:color w:val="auto"/>
        </w:rPr>
      </w:pPr>
    </w:p>
    <w:p>
      <w:pPr>
        <w:ind w:left="240" w:right="140" w:firstLine="431"/>
        <w:spacing w:after="0" w:line="277" w:lineRule="auto"/>
        <w:rPr>
          <w:sz w:val="20"/>
          <w:szCs w:val="20"/>
          <w:color w:val="auto"/>
        </w:rPr>
      </w:pPr>
      <w:r>
        <w:rPr>
          <w:rFonts w:ascii="Arial" w:cs="Arial" w:eastAsia="Arial" w:hAnsi="Arial"/>
          <w:sz w:val="18"/>
          <w:szCs w:val="18"/>
          <w:i w:val="1"/>
          <w:iCs w:val="1"/>
          <w:color w:val="auto"/>
        </w:rPr>
        <w:t>You should consult your own tax advisor regarding the United States federal, state and local tax consequences of owning and disposing of shares and ADSs in your particular circumstances.</w:t>
      </w:r>
    </w:p>
    <w:p>
      <w:pPr>
        <w:spacing w:after="0" w:line="23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Except as described below under “—PFIC Rules,” this discussion assumes that we are not, and will not become, a PFIC for United States federal income tax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are listed on Nasdaq and we therefore expect that dividends we pay with respect to the ADSs will be qualified dividend income.</w:t>
      </w:r>
    </w:p>
    <w:p>
      <w:pPr>
        <w:spacing w:after="0" w:line="166"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is distributed, regardless of whether the payment is in fact converted into U.S. dollars. Generally, any gain or loss resulting from currency exchange fluctuations during the period from the date the dividend payment is distributed to the date you or the depositary on your behalf converts the payment into U.S. dollars will be treated as ordinary income or loss and will not be eligible for the special tax rate applicable to qualified dividend income. The gain or loss generally will be income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86"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As discussed below under “Item 12. Description of Securities Other than Equity Securities— D. American Depositary Shares,”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95"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Subject to certain limitations and the following sentence, the German tax withheld and paid over to Germany will be creditable or deductible against your United States federal income tax liability. However, under recently finalized Treasury regulations, it is possible that such withholding taxes will not be creditable unless you are eligible to claim the benefits of the Treaty and elect to apply the Treaty.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6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Disposition of ADSs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Depositary Fees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As discussed below under “Item 12. Description of Securities Other than Equity Securities— D. American Depositary Shares,”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PFIC Rules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86"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we will be a PFIC with respect to you if for any taxable year in which you held the ADSs:</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75% of our gross income for the taxable year is passive income, or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50% of the value, determined on the basis of a quarterly average, of our assets is attributable to assets that produce or are held for the production of passive income.</w:t>
      </w:r>
    </w:p>
    <w:p>
      <w:pPr>
        <w:spacing w:after="0" w:line="170"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15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are treated as a PFIC, and you did not make a mark-to-market election, as described below, you will generally be subject to special rules with respect to:</w:t>
      </w:r>
    </w:p>
    <w:p>
      <w:pPr>
        <w:spacing w:after="0" w:line="76"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gain you realize on the sale or other disposition of your ADSs and</w:t>
      </w:r>
    </w:p>
    <w:p>
      <w:pPr>
        <w:spacing w:after="0" w:line="130" w:lineRule="exact"/>
        <w:rPr>
          <w:rFonts w:ascii="Arial" w:cs="Arial" w:eastAsia="Arial" w:hAnsi="Arial"/>
          <w:sz w:val="18"/>
          <w:szCs w:val="18"/>
          <w:color w:val="auto"/>
        </w:rPr>
      </w:pPr>
    </w:p>
    <w:p>
      <w:pPr>
        <w:jc w:val="both"/>
        <w:ind w:left="108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your holding period for the ADSs,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allocated to the taxable year in which you realized the gain or excess distribution or to prior years before the first year in which we were a PFIC with respect to you will be taxed as ordinary income,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allocated to each other prior year will be taxed at the highest tax rate in effect for that year,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interest charge generally applicable to underpayments of tax will be imposed in respect of the tax attributable to each such year.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for calculating the amount of the foreign tax credit with respect to excess distributions by a PFIC.</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66"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146"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86"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own ADSs during any year that we are a PFIC with respect to you, you may be required to file Internal Revenue Service Form 8621.</w:t>
      </w:r>
    </w:p>
    <w:p>
      <w:pPr>
        <w:spacing w:after="0" w:line="233"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IMPORTANT TO YOU. EACH U.S. HOLDER SHOULD CONSULT ITS OWN TAX ADVISOR ABOUT THE TAX CONSEQUENCES OF HOLDING SHARES UNDER THE INVESTOR’S OWN CIRCUMSTANCES.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6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www.mynaric.com. The information contained on our website is not incorporated by reference in this Annual Report and our website address is included in this Annual Report as an inactive textual reference only.</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w:t>
      </w:r>
    </w:p>
    <w:p>
      <w:pPr>
        <w:spacing w:after="0" w:line="288" w:lineRule="exact"/>
        <w:rPr>
          <w:sz w:val="20"/>
          <w:szCs w:val="20"/>
          <w:color w:val="auto"/>
        </w:rPr>
      </w:pPr>
    </w:p>
    <w:p>
      <w:pPr>
        <w:jc w:val="center"/>
        <w:ind w:right="890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jc w:val="center"/>
        <w:ind w:right="89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are exposed to a variety of risks in the ordinary course of our business, including, but not limited to, credit risk, liquidity risk and interest rate risk. We regularly assess each of these risks to minimize any adverse effects on our business as a result of those factors. For discussion and sensitivity analyses of our exposure to these risks, see note 33.2 c) to the consolidated financial statements included in this Annual Report.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86" w:right="4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500"/>
        <w:spacing w:after="0"/>
        <w:rPr>
          <w:sz w:val="20"/>
          <w:szCs w:val="20"/>
          <w:color w:val="auto"/>
        </w:rPr>
      </w:pPr>
      <w:r>
        <w:rPr>
          <w:rFonts w:ascii="Arial" w:cs="Arial" w:eastAsia="Arial" w:hAnsi="Arial"/>
          <w:sz w:val="17"/>
          <w:szCs w:val="17"/>
          <w:b w:val="1"/>
          <w:bCs w:val="1"/>
          <w:color w:val="auto"/>
        </w:rPr>
        <w:t>C. Other Securities.</w:t>
      </w:r>
    </w:p>
    <w:p>
      <w:pPr>
        <w:spacing w:after="0" w:line="133" w:lineRule="exact"/>
        <w:rPr>
          <w:sz w:val="20"/>
          <w:szCs w:val="20"/>
          <w:color w:val="auto"/>
        </w:rPr>
      </w:pPr>
    </w:p>
    <w:p>
      <w:pPr>
        <w:jc w:val="right"/>
        <w:ind w:right="94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American Depositary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 Our ADS Holders May Have to Pay</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ectPr>
          <w:pgSz w:w="11900" w:h="16838" w:orient="portrait"/>
          <w:cols w:equalWidth="0" w:num="1">
            <w:col w:w="11140"/>
          </w:cols>
          <w:pgMar w:left="320" w:top="486" w:right="439" w:bottom="1440" w:gutter="0" w:footer="0" w:header="0"/>
        </w:sectPr>
      </w:pPr>
    </w:p>
    <w:p>
      <w:pPr>
        <w:spacing w:after="0" w:line="19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Persons Depositing or Withdrawing</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$0.05 (or less) per ADS</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A fee equivalent to the fee that would be payable if securities distributed to you had been shares and the shares had been deposited for issuance of ADSs</w:t>
      </w:r>
    </w:p>
    <w:p>
      <w:pPr>
        <w:spacing w:after="0" w:line="16" w:lineRule="exact"/>
        <w:rPr>
          <w:sz w:val="20"/>
          <w:szCs w:val="20"/>
          <w:color w:val="auto"/>
        </w:rPr>
      </w:pPr>
    </w:p>
    <w:p>
      <w:pPr>
        <w:ind w:left="120" w:right="2620"/>
        <w:spacing w:after="0" w:line="402" w:lineRule="auto"/>
        <w:rPr>
          <w:sz w:val="20"/>
          <w:szCs w:val="20"/>
          <w:color w:val="auto"/>
        </w:rPr>
      </w:pPr>
      <w:r>
        <w:rPr>
          <w:rFonts w:ascii="Arial" w:cs="Arial" w:eastAsia="Arial" w:hAnsi="Arial"/>
          <w:sz w:val="18"/>
          <w:szCs w:val="18"/>
          <w:color w:val="auto"/>
        </w:rPr>
        <w:t>$0.05 (or less) per ADS per calendar year Registration or transfer fees</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Taxes and other governmental charges the depositary or the custodian must pay in respect of any ADSs or shares underlying ADSs, such as stock transfer taxes, stamp duty or withholding taxes</w:t>
      </w:r>
    </w:p>
    <w:p>
      <w:pPr>
        <w:spacing w:after="0" w:line="7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62" w:lineRule="exact"/>
        <w:rPr>
          <w:sz w:val="20"/>
          <w:szCs w:val="20"/>
          <w:color w:val="auto"/>
        </w:rPr>
      </w:pPr>
    </w:p>
    <w:p>
      <w:pPr>
        <w:ind w:right="2040"/>
        <w:spacing w:after="0" w:line="402" w:lineRule="auto"/>
        <w:rPr>
          <w:sz w:val="20"/>
          <w:szCs w:val="20"/>
          <w:color w:val="auto"/>
        </w:rPr>
      </w:pPr>
      <w:r>
        <w:rPr>
          <w:rFonts w:ascii="Arial" w:cs="Arial" w:eastAsia="Arial" w:hAnsi="Arial"/>
          <w:sz w:val="18"/>
          <w:szCs w:val="18"/>
          <w:color w:val="auto"/>
        </w:rPr>
        <w:t>Converting foreign currency to U.S. dollars As necessary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740" w:space="220"/>
            <w:col w:w="5180"/>
          </w:cols>
          <w:pgMar w:left="320" w:top="486" w:right="439" w:bottom="1440" w:gutter="0" w:footer="0" w:header="0"/>
          <w:type w:val="continuous"/>
        </w:sectPr>
      </w:pPr>
    </w:p>
    <w:p>
      <w:pPr>
        <w:jc w:val="both"/>
        <w:ind w:left="1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86" w:right="4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86" w:right="4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60" w:right="1900" w:hanging="439"/>
        <w:spacing w:after="0" w:line="377"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 Use of Proceeds</w:t>
      </w:r>
    </w:p>
    <w:p>
      <w:pPr>
        <w:spacing w:after="0" w:line="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following “Use of Proceeds” information relates to the registration statement on Form F-1, as amended (File No. 333-260357) (the “F-1 Registration Statement”) in relation to our initial public offering of 4,000,000 ADSs representing 1,000,000 ordinary shares, at an initial offering price of US$16.50 per ADS. Our initial public offering closed in November 2021. Credit Suisse Securities (USA) LLC and Jefferies LLC were the representatives of the underwriters for our initial public offering.</w:t>
      </w:r>
    </w:p>
    <w:p>
      <w:pPr>
        <w:spacing w:after="0" w:line="18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F-1 Registration Statement was declared effective by the SEC on November 10, 2021. For the period from the effective date of the F-1 Registration Statement to December 31, 2021, the total expenses incurred for our company’s account in connection with our initial public offering were approximately €8.3 million (US$9.4 million based on the spot exchange rate as of December 31, 2021 of US$1.00 = €0.88292), which included approximately €4.2 million (US$4.7 million based on the spot exchange rate as of December 31, 2021 of US$1.00 = €0.88292) in underwriting discounts and commissions for the initial public offering and approximately €4.1 million (US$4.7 million based on the spot exchange rate as of December 31, 2021 of US$1.00 = €0.88292) in other costs and expenses for our initial public offering. Including the ADSs sold upon the exercise of the over-allotment option by our underwriters, we offered and sold an aggregate of 4,600,000 ADSs at an initial public offering price of US$16.50 per ADS. We received approximately €58.2 million (US$66.0 million based on the spot exchange rate as of December 31, 2021 of US$1.00 = €0.88292) in net proceeds from our initial public offering, after deducting underwriting commissions and discounts and the offering expenses payable by us.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spacing w:after="0" w:line="17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November 11, 2021 pursuant to Rule 424(b). As of the date of the filing of this Annual Report, we have used all of the net proceeds from our initial public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As required by Rule 13a-15 under the Exchange Act, management, including our co-chief executive officers and our chief financial officer, has evaluated the effectiveness of our disclosure controls and procedures as of December 31, 2022.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our management, including our co-chief executive officers and chief financial officer, or persons performing similar functions, as appropriate to allow timely decisions regarding our required disclosures.</w:t>
      </w:r>
    </w:p>
    <w:p>
      <w:pPr>
        <w:spacing w:after="0" w:line="17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Based on the foregoing, our co-chief executive officers and our chief financial officer have concluded that, as a result of the material weaknesses in our internal control over financial reporting described below, the design and operation of our disclosure controls and procedures were not effective as of December 31, 2022. Until remediated, there is a reasonable possibility that these material weaknesses could result in a material misstatement of our consolidated financial statements or disclosures that would not be prevented or detected.</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Internal control over financial reporting is a process designed to provide reasonable assurance regarding the reliability of financial reporting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86"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preparation of financial statements in accordance with IFRS as issued by the IASB. Because of its inherent limitations, internal control over financial reporting may not prevent or detect misstatements. Also, projections or any evaluation or effectiveness for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management assessed the effectiveness of our internal control over financial reporting based on the criteria established in the SEC guidance on conducting such assessments as of December 31, 2022. Our management conducted the assessment based on certain criteria established in the Internal Control Integrated Framework issued by the Committee of Sponsoring Organizations (COSO) of the Treadway Commission in 2013. Based on such evaluation, our co-chief executive officers and chief financial officer have concluded that as of December 31, 2022, our internal controls over financial reporting were not effective.</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have remediated a previously reported material weakness in our internal controls relating to a lack of effective communication and information flows which allows the accounting department to be aware of details of relevant material transactions/agreements. However, the following material weaknesses in our internal controls existed as of December 31, 2022: (i) a lack of sufficient resources with an appropriate level of technical accounting and SEC reporting experience and clearly defined roles within the finance and accounting functions, (ii) insufficient risk assessment procedures necessary to ensure the completeness of processes and identification of required internal controls over financial reporting, (iii) a lack of design and operating effectiveness of controls in accounting process which can prevent material misstatements in a timely manner, (iv) a lack of controls related to inventory valuation, (v) a lack of design and operating effectiveness of general information technology controls (GITC) for information systems that are relevant to the preparation of the consolidated financial statements and (vi) a failure to implement sufficient monitoring controls ensuring that corrective action is taken when implemented controls do not operate as designed.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Remediation Plans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 2022, we began taking actions to remediate the deficiencies in our internal controls over financial reporting by starting to implement additional processes and controls designed to address the underlying causes associated with the above-mentioned material weaknesses. Furthermore, the following previously disclosed material weakness in our internal controls over financial reporting was fully remediated:</w:t>
      </w:r>
    </w:p>
    <w:p>
      <w:pPr>
        <w:spacing w:after="0" w:line="71" w:lineRule="exact"/>
        <w:rPr>
          <w:sz w:val="20"/>
          <w:szCs w:val="20"/>
          <w:color w:val="auto"/>
        </w:rPr>
      </w:pPr>
    </w:p>
    <w:p>
      <w:pPr>
        <w:ind w:left="1080" w:right="2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lack of effective communication and information flows which allows the accounting department to be aware of details of relevant material transactions/ agreements.</w:t>
      </w:r>
    </w:p>
    <w:p>
      <w:pPr>
        <w:spacing w:after="0" w:line="170"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We achieved remediation by establishing regularly meetings with the accounting department and the sales team to ensure effective communication and information flows regarding all commercial aspects of key customer contracts. Future planned refinements include the implementation of a contract management tool which allows for a more structured contract management. In addition, we are in the process of updating our sales process to promote a closer collaboration of all relevant departments at an early stage of negotiations with a potential customer.</w:t>
      </w:r>
    </w:p>
    <w:p>
      <w:pPr>
        <w:spacing w:after="0" w:line="4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management is committed to finalizing the remediation of the material weaknesses during 2023. Our internal control remediation efforts include the following:</w:t>
      </w:r>
    </w:p>
    <w:p>
      <w:pPr>
        <w:spacing w:after="0" w:line="76" w:lineRule="exact"/>
        <w:rPr>
          <w:sz w:val="20"/>
          <w:szCs w:val="20"/>
          <w:color w:val="auto"/>
        </w:rPr>
      </w:pPr>
    </w:p>
    <w:p>
      <w:pPr>
        <w:jc w:val="both"/>
        <w:ind w:left="1080" w:hanging="424"/>
        <w:spacing w:after="0" w:line="255"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hired additional resources to support our accounting and financial reporting functions in Germany and the United States (US), including a Head of Accounting Principles, a SOX Manager and a Head of Accounting in the US, who each have the requisite background and knowledge in the application of IFRS. We will continue to hire additional personnel with IFRS knowledge and additional resources with an appropriate level of SEC reporting experience in fiscal 2023. During fiscal year 2022, we hired external consultants dedicated to managing complex accounting topics with experience in IFRS who will continue to support our accounting and financial reporting functions in fiscal year 2023.</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key components of our remediation plans in fiscal 2023 are as follows:</w:t>
      </w:r>
    </w:p>
    <w:p>
      <w:pPr>
        <w:spacing w:after="0" w:line="130" w:lineRule="exact"/>
        <w:rPr>
          <w:rFonts w:ascii="Arial" w:cs="Arial" w:eastAsia="Arial" w:hAnsi="Arial"/>
          <w:sz w:val="18"/>
          <w:szCs w:val="18"/>
          <w:color w:val="auto"/>
        </w:rPr>
      </w:pPr>
    </w:p>
    <w:p>
      <w:pPr>
        <w:jc w:val="both"/>
        <w:ind w:left="1540" w:right="20" w:hanging="331"/>
        <w:spacing w:after="0" w:line="263"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Enhance the execution of our risk assessment activities by evaluating whether the design of our internal controls appropriately addresses the risks in our business processes and changes in the business (including changes to people, processes and systems) that could impact our system of internal controls</w:t>
      </w:r>
    </w:p>
    <w:p>
      <w:pPr>
        <w:spacing w:after="0" w:line="89"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Review our current processes, procedures and systems to identify opportunities to enhance the design of each process and to design and implement additional control activities that can prevent material misstatements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86"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540" w:right="20" w:hanging="331"/>
        <w:spacing w:after="0" w:line="259"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Develop and roll-out a process to manage the valuation of inventory in combination with quarterly meetings with all stakeholders to agree on production and forecasts. Design and implement controls that address the valuation of inventory, including control activities associated with the review of data used and the appropriateness of the assumptions and methodology used to determine the net realizable value</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Create greater awareness and continuously improve the system of internal control over financial reporting by:</w:t>
      </w:r>
    </w:p>
    <w:p>
      <w:pPr>
        <w:spacing w:after="0" w:line="130" w:lineRule="exact"/>
        <w:rPr>
          <w:rFonts w:ascii="Arial" w:cs="Arial" w:eastAsia="Arial" w:hAnsi="Arial"/>
          <w:sz w:val="18"/>
          <w:szCs w:val="18"/>
          <w:color w:val="auto"/>
        </w:rPr>
      </w:pPr>
    </w:p>
    <w:p>
      <w:pPr>
        <w:ind w:left="2200" w:right="20" w:hanging="545"/>
        <w:spacing w:after="0" w:line="277" w:lineRule="auto"/>
        <w:tabs>
          <w:tab w:leader="none" w:pos="22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Investment in a state-of-the-art governance, risk, and compliance tool (SAP GRC Process Control) to support internal controls over financial reporting on the software / IT side.</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2"/>
          <w:numId w:val="67"/>
        </w:numPr>
        <w:rPr>
          <w:rFonts w:ascii="Arial" w:cs="Arial" w:eastAsia="Arial" w:hAnsi="Arial"/>
          <w:sz w:val="17"/>
          <w:szCs w:val="17"/>
          <w:color w:val="auto"/>
        </w:rPr>
      </w:pPr>
      <w:r>
        <w:rPr>
          <w:rFonts w:ascii="Arial" w:cs="Arial" w:eastAsia="Arial" w:hAnsi="Arial"/>
          <w:sz w:val="17"/>
          <w:szCs w:val="17"/>
          <w:color w:val="auto"/>
        </w:rPr>
        <w:t>Implementing LucaNet, a consolidation and planning platform, to support financial statement closing and reporting.</w:t>
      </w:r>
    </w:p>
    <w:p>
      <w:pPr>
        <w:spacing w:after="0" w:line="142" w:lineRule="exact"/>
        <w:rPr>
          <w:rFonts w:ascii="Arial" w:cs="Arial" w:eastAsia="Arial" w:hAnsi="Arial"/>
          <w:sz w:val="17"/>
          <w:szCs w:val="17"/>
          <w:color w:val="auto"/>
        </w:rPr>
      </w:pPr>
    </w:p>
    <w:p>
      <w:pPr>
        <w:ind w:left="2200" w:hanging="545"/>
        <w:spacing w:after="0" w:line="277" w:lineRule="auto"/>
        <w:tabs>
          <w:tab w:leader="none" w:pos="22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Establishing a internal controls manual (including communication and training) and continuous monitoring of defined controls.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Establishment of a global ethics hotline.</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finalized the implementation of SAP ERP S4/HANA for the German and U.S. group companies in April 2022 and initiated a project to formalize policies and procedures and finalize the design and implementation of internal controls relating to GITCs for our IT systems.</w:t>
      </w:r>
    </w:p>
    <w:p>
      <w:pPr>
        <w:spacing w:after="0" w:line="12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w:t>
      </w:r>
    </w:p>
    <w:p>
      <w:pPr>
        <w:spacing w:after="0" w:line="18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Although we have made enhancements to our control procedures in these areas, the material weaknesses will not be remediated until the necessary controls have been fully implemented and operating effectively. See Item 3. “Key Information—D. Risk Factors—Risks Related to the ADSs—We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If we are unable to successfully remediate these material weaknesses and to maintain an effective system of internal control over financial reporting, we may not be able to accurately report our financial results or prevent fraud.”</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described above, we implemented and initiated a number of changes to our internal control over financial reporting (as defined in Rule 13a-15(f) under the Exchange Act) that materially affected, or are reasonably likely to materially affect, internal control over financial reporting as part of the remediation measures.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Although we are actively working towards the remediation of the remaining material weaknesses in our internal controls over financial reporting, we will not be in a position to remediate all material weaknesses until the necessary controls have been fully implemented and are operating effectively. Our management is committed to executing the remediation plans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6. Directors, Senior Management and Employees—C. Board Practices—Audit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employees. The full text of the Code of Conduct is available on our website at https://www.mynaric.com. The information and other content appearing on our website are not part of this Annual Report and our website address is included in this Annual Report as an inactive textual reference only.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86"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KPMG AG Wirtschaftsprüfungsgesellschaft, Munich, Germany (PCAOB ID: 1021) (“KPMG”) has served as our principal accountant for the years ended December 31, 2022 and 2021 for which audited consolidated financial statements appear in this Annual Report.</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Set forth below are the total fees incurred on a consolidated basis, by KPMG, and affiliates for providing audit and other professional services in each of the last two years: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760" w:type="dxa"/>
            <w:vAlign w:val="bottom"/>
            <w:gridSpan w:val="3"/>
          </w:tcPr>
          <w:p>
            <w:pPr>
              <w:ind w:left="34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5600" w:type="dxa"/>
            <w:vAlign w:val="bottom"/>
          </w:tcPr>
          <w:p>
            <w:pPr>
              <w:spacing w:after="0"/>
              <w:rPr>
                <w:sz w:val="12"/>
                <w:szCs w:val="12"/>
                <w:color w:val="auto"/>
              </w:rPr>
            </w:pPr>
          </w:p>
        </w:tc>
        <w:tc>
          <w:tcPr>
            <w:tcW w:w="1900" w:type="dxa"/>
            <w:vAlign w:val="bottom"/>
            <w:tcBorders>
              <w:top w:val="single" w:sz="8" w:color="auto"/>
              <w:bottom w:val="single" w:sz="8" w:color="auto"/>
            </w:tcBorders>
          </w:tcPr>
          <w:p>
            <w:pPr>
              <w:jc w:val="right"/>
              <w:ind w:right="1181"/>
              <w:spacing w:after="0" w:line="142" w:lineRule="exact"/>
              <w:rPr>
                <w:sz w:val="20"/>
                <w:szCs w:val="20"/>
                <w:color w:val="auto"/>
              </w:rPr>
            </w:pPr>
            <w:r>
              <w:rPr>
                <w:rFonts w:ascii="Arial" w:cs="Arial" w:eastAsia="Arial" w:hAnsi="Arial"/>
                <w:sz w:val="14"/>
                <w:szCs w:val="14"/>
                <w:b w:val="1"/>
                <w:bCs w:val="1"/>
                <w:color w:val="auto"/>
              </w:rPr>
              <w:t>2022</w:t>
            </w: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190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(in € million)</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9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1,136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ind w:right="821"/>
              <w:spacing w:after="0"/>
              <w:rPr>
                <w:sz w:val="20"/>
                <w:szCs w:val="20"/>
                <w:color w:val="auto"/>
              </w:rPr>
            </w:pPr>
            <w:r>
              <w:rPr>
                <w:rFonts w:ascii="Arial" w:cs="Arial" w:eastAsia="Arial" w:hAnsi="Arial"/>
                <w:sz w:val="18"/>
                <w:szCs w:val="18"/>
                <w:color w:val="auto"/>
              </w:rPr>
              <w:t>1,136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1,255</w:t>
            </w:r>
          </w:p>
        </w:tc>
      </w:tr>
    </w:tbl>
    <w:p>
      <w:pPr>
        <w:spacing w:after="0" w:line="187"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“Audit Fees” are the aggregate fees earned by KPMG for the audit of our annual financial statements, reviews of interim financial statements and attestation services that are provided in connection with statutory and regulatory filings or engagements and comfort letters.</w:t>
      </w:r>
    </w:p>
    <w:p>
      <w:pPr>
        <w:spacing w:after="0" w:line="14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Company’s audit committee approves all auditing services and permitted non-audit services performed for the Company by its independent auditor in advance of an engagement. All auditing services and permitted non-audit services to be performed for the Company by its independent auditor must be approved by the Chair of the audit committee in advance to ensure that such engagements do not impair the independence of our independent registered public accounting firm. All audit services were approved by the Audit Committee.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 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significant differences between the corporate governance practices that we follow and those set forth in the Nasdaq stock market rules are described below:</w:t>
      </w:r>
    </w:p>
    <w:p>
      <w:pPr>
        <w:spacing w:after="0" w:line="76" w:lineRule="exact"/>
        <w:rPr>
          <w:sz w:val="20"/>
          <w:szCs w:val="20"/>
          <w:color w:val="auto"/>
        </w:rPr>
      </w:pPr>
    </w:p>
    <w:p>
      <w:pPr>
        <w:jc w:val="both"/>
        <w:ind w:left="1080" w:hanging="424"/>
        <w:spacing w:after="0" w:line="275"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Distribution of Annual and Interim Reports</w:t>
      </w:r>
      <w:r>
        <w:rPr>
          <w:rFonts w:ascii="Arial" w:cs="Arial" w:eastAsia="Arial" w:hAnsi="Arial"/>
          <w:sz w:val="17"/>
          <w:szCs w:val="17"/>
          <w:color w:val="auto"/>
        </w:rPr>
        <w:t>. Nasdaq Listing Rule 5250(d) requires that annual and interim reports be distributed or made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r>
        <w:rPr>
          <w:rFonts w:ascii="Arial" w:cs="Arial" w:eastAsia="Arial" w:hAnsi="Arial"/>
          <w:sz w:val="17"/>
          <w:szCs w:val="17"/>
          <w:i w:val="1"/>
          <w:iCs w:val="1"/>
          <w:color w:val="auto"/>
        </w:rPr>
        <w:t>Unternehmensregister</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86"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Independent Directors</w:t>
      </w:r>
      <w:r>
        <w:rPr>
          <w:rFonts w:ascii="Arial" w:cs="Arial" w:eastAsia="Arial" w:hAnsi="Arial"/>
          <w:sz w:val="18"/>
          <w:szCs w:val="18"/>
          <w:color w:val="auto"/>
        </w:rPr>
        <w:t>. Nasdaq Listing Rule 5605(b)(1) requires listed companies to have a majority of independent directors.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93" w:lineRule="exact"/>
        <w:rPr>
          <w:rFonts w:ascii="Arial" w:cs="Arial" w:eastAsia="Arial" w:hAnsi="Arial"/>
          <w:sz w:val="18"/>
          <w:szCs w:val="18"/>
          <w:color w:val="auto"/>
        </w:rPr>
      </w:pPr>
    </w:p>
    <w:p>
      <w:pPr>
        <w:jc w:val="both"/>
        <w:ind w:left="1080" w:right="20" w:hanging="424"/>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Executive Sessions</w:t>
      </w:r>
      <w:r>
        <w:rPr>
          <w:rFonts w:ascii="Arial" w:cs="Arial" w:eastAsia="Arial" w:hAnsi="Arial"/>
          <w:sz w:val="17"/>
          <w:szCs w:val="17"/>
          <w:color w:val="auto"/>
        </w:rPr>
        <w:t>. Nasdaq Listing Rule 5605(b)(2) requires that independent directors have regularly scheduled meetings during which</w:t>
      </w:r>
      <w:r>
        <w:rPr>
          <w:rFonts w:ascii="Arial" w:cs="Arial" w:eastAsia="Arial" w:hAnsi="Arial"/>
          <w:sz w:val="17"/>
          <w:szCs w:val="17"/>
          <w:i w:val="1"/>
          <w:iCs w:val="1"/>
          <w:color w:val="auto"/>
        </w:rPr>
        <w:t xml:space="preserve"> </w:t>
      </w:r>
      <w:r>
        <w:rPr>
          <w:rFonts w:ascii="Arial" w:cs="Arial" w:eastAsia="Arial" w:hAnsi="Arial"/>
          <w:sz w:val="17"/>
          <w:szCs w:val="17"/>
          <w:color w:val="auto"/>
        </w:rPr>
        <w:t>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76" w:lineRule="exact"/>
        <w:rPr>
          <w:rFonts w:ascii="Arial" w:cs="Arial" w:eastAsia="Arial" w:hAnsi="Arial"/>
          <w:sz w:val="17"/>
          <w:szCs w:val="17"/>
          <w:color w:val="auto"/>
        </w:rPr>
      </w:pPr>
    </w:p>
    <w:p>
      <w:pPr>
        <w:jc w:val="both"/>
        <w:ind w:left="1080" w:right="20" w:hanging="424"/>
        <w:spacing w:after="0" w:line="273"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Audit Committee Responsibilities and Authority</w:t>
      </w:r>
      <w:r>
        <w:rPr>
          <w:rFonts w:ascii="Arial" w:cs="Arial" w:eastAsia="Arial" w:hAnsi="Arial"/>
          <w:sz w:val="17"/>
          <w:szCs w:val="17"/>
          <w:color w:val="auto"/>
        </w:rPr>
        <w:t>. Nasdaq Listing Rule 5605(c)(1) requires companies to adopt a formal written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83" w:lineRule="exact"/>
        <w:rPr>
          <w:rFonts w:ascii="Arial" w:cs="Arial" w:eastAsia="Arial" w:hAnsi="Arial"/>
          <w:sz w:val="17"/>
          <w:szCs w:val="17"/>
          <w:color w:val="auto"/>
        </w:rPr>
      </w:pPr>
    </w:p>
    <w:p>
      <w:pPr>
        <w:jc w:val="both"/>
        <w:ind w:left="1080" w:hanging="424"/>
        <w:spacing w:after="0" w:line="275"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Proxy Solicitation</w:t>
      </w:r>
      <w:r>
        <w:rPr>
          <w:rFonts w:ascii="Arial" w:cs="Arial" w:eastAsia="Arial" w:hAnsi="Arial"/>
          <w:sz w:val="17"/>
          <w:szCs w:val="17"/>
          <w:color w:val="auto"/>
        </w:rPr>
        <w:t>. Nasdaq Listing Rule 5620(b) requires companies that are not a limited partnership to solicit proxies and provide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81"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Nasdaq Listing Rule 5605(c) provides that the minimum quorum requirement for a meeting of shareholders is 331/3%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ordinary shares. Neither German law nor our articles of association provide for a minimum participation for a quorum for our shareholders’ meetings.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Shareholder Approval</w:t>
      </w:r>
      <w:r>
        <w:rPr>
          <w:rFonts w:ascii="Arial" w:cs="Arial" w:eastAsia="Arial" w:hAnsi="Arial"/>
          <w:sz w:val="18"/>
          <w:szCs w:val="18"/>
          <w:color w:val="auto"/>
        </w:rPr>
        <w:t>. Nasdaq Listing Rule 5635 requires companies to obtain shareholder approval before undertaking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transactions:</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acquiring the stock or assets of another company, where such acquisition results in the issuance of 20% or more of our outstanding share capital or voting power;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entering into any change of control transaction;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establishing or materially amending any equity compensation arrangement; and</w:t>
      </w:r>
    </w:p>
    <w:p>
      <w:pPr>
        <w:spacing w:after="0" w:line="130" w:lineRule="exact"/>
        <w:rPr>
          <w:rFonts w:ascii="Arial" w:cs="Arial" w:eastAsia="Arial" w:hAnsi="Arial"/>
          <w:sz w:val="18"/>
          <w:szCs w:val="18"/>
          <w:color w:val="auto"/>
        </w:rPr>
      </w:pPr>
    </w:p>
    <w:p>
      <w:pPr>
        <w:jc w:val="both"/>
        <w:ind w:left="1540" w:hanging="331"/>
        <w:spacing w:after="0" w:line="286" w:lineRule="auto"/>
        <w:tabs>
          <w:tab w:leader="none" w:pos="15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utilize these and other exemptions for as long as we continue to qualify as a foreign private issuer.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86" w:right="4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elected to provide financial statements and related information pursuant to “Item 18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audited consolidated financial statements as required under this Item 18 are attached hereto starting on page F-1 of this Form 20-F.</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14"/>
                <w:szCs w:val="14"/>
                <w:b w:val="1"/>
                <w:bCs w:val="1"/>
                <w:color w:val="auto"/>
                <w:w w:val="88"/>
              </w:rPr>
              <w:t>Exhibits</w:t>
            </w:r>
          </w:p>
        </w:tc>
        <w:tc>
          <w:tcPr>
            <w:tcW w:w="952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1.1***</w:t>
            </w:r>
          </w:p>
        </w:tc>
        <w:tc>
          <w:tcPr>
            <w:tcW w:w="9520" w:type="dxa"/>
            <w:vAlign w:val="bottom"/>
            <w:tcBorders>
              <w:bottom w:val="single" w:sz="8" w:color="0000EE"/>
            </w:tcBorders>
            <w:gridSpan w:val="13"/>
          </w:tcPr>
          <w:p>
            <w:pPr>
              <w:spacing w:after="0"/>
              <w:rPr>
                <w:rFonts w:ascii="Arial" w:cs="Arial" w:eastAsia="Arial" w:hAnsi="Arial"/>
                <w:sz w:val="18"/>
                <w:szCs w:val="18"/>
                <w:color w:val="0000EE"/>
                <w:w w:val="92"/>
              </w:rPr>
            </w:pPr>
            <w:hyperlink r:id="rId166">
              <w:r>
                <w:rPr>
                  <w:rFonts w:ascii="Arial" w:cs="Arial" w:eastAsia="Arial" w:hAnsi="Arial"/>
                  <w:sz w:val="18"/>
                  <w:szCs w:val="18"/>
                  <w:color w:val="0000EE"/>
                  <w:w w:val="92"/>
                </w:rPr>
                <w:t>Articles of Association of Mynaric AG (translated into English), dated August 16, 2022 (incorporated by reference to Exhibit 1.1 to</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the Company’s Annual Report on Form 20-F (File No. 001-41045) filed with the SEC on May 1, 2023)</w:t>
              </w:r>
            </w:hyperlink>
          </w:p>
        </w:tc>
        <w:tc>
          <w:tcPr>
            <w:tcW w:w="2080" w:type="dxa"/>
            <w:vAlign w:val="bottom"/>
            <w:gridSpan w:val="3"/>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99"/>
              </w:rPr>
            </w:pPr>
            <w:hyperlink r:id="rId167">
              <w:r>
                <w:rPr>
                  <w:rFonts w:ascii="Arial" w:cs="Arial" w:eastAsia="Arial" w:hAnsi="Arial"/>
                  <w:sz w:val="18"/>
                  <w:szCs w:val="18"/>
                  <w:color w:val="0000EE"/>
                  <w:w w:val="99"/>
                </w:rPr>
                <w:t>Rules of Procedure of the Management Board of Mynaric AG (incorporated by reference to Exhibit 3.2 to the Company’s</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Registration Statement on Form F-1 (File No. 333-260357) filed with the SEC on October 29, 2022)</w:t>
              </w:r>
            </w:hyperlink>
          </w:p>
        </w:tc>
      </w:tr>
      <w:tr>
        <w:trPr>
          <w:trHeight w:val="20"/>
        </w:trPr>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rPr>
            </w:pPr>
            <w:hyperlink r:id="rId168">
              <w:r>
                <w:rPr>
                  <w:rFonts w:ascii="Arial" w:cs="Arial" w:eastAsia="Arial" w:hAnsi="Arial"/>
                  <w:sz w:val="18"/>
                  <w:szCs w:val="18"/>
                  <w:color w:val="0000EE"/>
                </w:rPr>
                <w:t>Rules of Procedure of the Supervisory Board of Mynaric AG (incorporated by reference to Exhibit 3.3 to the Company’s</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Registration Statement on Form F-1 (File No. 333-260357) filed with the SEC on October 29, 2021)</w:t>
              </w:r>
            </w:hyperlink>
          </w:p>
        </w:tc>
      </w:tr>
      <w:tr>
        <w:trPr>
          <w:trHeight w:val="20"/>
        </w:trPr>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95"/>
              </w:rPr>
            </w:pPr>
            <w:hyperlink r:id="rId169">
              <w:r>
                <w:rPr>
                  <w:rFonts w:ascii="Arial" w:cs="Arial" w:eastAsia="Arial" w:hAnsi="Arial"/>
                  <w:sz w:val="18"/>
                  <w:szCs w:val="18"/>
                  <w:color w:val="0000EE"/>
                  <w:w w:val="95"/>
                </w:rPr>
                <w:t>Form of Deposit Agreement between the registrant, the depositary and holders and beneficial owners of American Depositary</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w w:val="94"/>
              </w:rPr>
            </w:pPr>
            <w:hyperlink r:id="rId169">
              <w:r>
                <w:rPr>
                  <w:rFonts w:ascii="Arial" w:cs="Arial" w:eastAsia="Arial" w:hAnsi="Arial"/>
                  <w:sz w:val="18"/>
                  <w:szCs w:val="18"/>
                  <w:color w:val="0000EE"/>
                  <w:w w:val="94"/>
                </w:rPr>
                <w:t>Shares issued thereunder (incorporated by reference to Exhibit 4.1 to the Company’s Registration Statement on Form F-1 (File</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No. 333-260357) filed with the SEC on November 3, 2021)</w:t>
              </w:r>
            </w:hyperlink>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00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94"/>
              </w:rPr>
            </w:pPr>
            <w:hyperlink r:id="rId169">
              <w:r>
                <w:rPr>
                  <w:rFonts w:ascii="Arial" w:cs="Arial" w:eastAsia="Arial" w:hAnsi="Arial"/>
                  <w:sz w:val="18"/>
                  <w:szCs w:val="18"/>
                  <w:color w:val="0000EE"/>
                  <w:w w:val="94"/>
                </w:rPr>
                <w:t>Form of American Depositary Receipt evidencing American Depositary Shares (incorporated by reference to Exhibit 4.1 to the</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Company’s Registration Statement on Form F-1 (File No. 333-260357) filed with the SEC on November 3, 2021)</w:t>
              </w:r>
            </w:hyperlink>
          </w:p>
        </w:tc>
        <w:tc>
          <w:tcPr>
            <w:tcW w:w="1340" w:type="dxa"/>
            <w:vAlign w:val="bottom"/>
            <w:gridSpan w:val="2"/>
          </w:tcPr>
          <w:p>
            <w:pPr>
              <w:spacing w:after="0"/>
              <w:rPr>
                <w:sz w:val="17"/>
                <w:szCs w:val="17"/>
                <w:color w:val="auto"/>
              </w:rPr>
            </w:pPr>
          </w:p>
        </w:tc>
      </w:tr>
      <w:tr>
        <w:trPr>
          <w:trHeight w:val="304"/>
        </w:trPr>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2.3***</w:t>
            </w:r>
          </w:p>
        </w:tc>
        <w:tc>
          <w:tcPr>
            <w:tcW w:w="9520" w:type="dxa"/>
            <w:vAlign w:val="bottom"/>
            <w:tcBorders>
              <w:bottom w:val="single" w:sz="8" w:color="0000EE"/>
            </w:tcBorders>
            <w:gridSpan w:val="13"/>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Description of Securities (incorporated by reference to Exhibit 2.3 to the Company’s Annual Report on Form 20-F (File No. 001-</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41045) filed with the SEC on May 1, 2023)</w:t>
              </w:r>
            </w:hyperlink>
          </w:p>
        </w:tc>
      </w:tr>
      <w:tr>
        <w:trPr>
          <w:trHeight w:val="20"/>
        </w:trPr>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1000" w:type="dxa"/>
            <w:vAlign w:val="bottom"/>
          </w:tcPr>
          <w:p>
            <w:pPr>
              <w:spacing w:after="0"/>
              <w:rPr>
                <w:sz w:val="24"/>
                <w:szCs w:val="24"/>
                <w:color w:val="auto"/>
              </w:rPr>
            </w:pPr>
          </w:p>
        </w:tc>
        <w:tc>
          <w:tcPr>
            <w:tcW w:w="9500" w:type="dxa"/>
            <w:vAlign w:val="bottom"/>
            <w:tcBorders>
              <w:bottom w:val="single" w:sz="8" w:color="0000EE"/>
            </w:tcBorders>
            <w:gridSpan w:val="12"/>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Mynaric AG, Stock Option Program 2019 (incorporated by reference to Exhibit 10.1 to the Company’s Registration Statement on</w:t>
              </w:r>
            </w:hyperlink>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Form F-1 (File No. 333-260357) filed with the SEC on October 19, 2021)</w:t>
              </w:r>
            </w:hyperlink>
          </w:p>
        </w:tc>
        <w:tc>
          <w:tcPr>
            <w:tcW w:w="4200" w:type="dxa"/>
            <w:vAlign w:val="bottom"/>
            <w:gridSpan w:val="8"/>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24"/>
                <w:szCs w:val="24"/>
                <w:color w:val="auto"/>
              </w:rPr>
            </w:pPr>
          </w:p>
        </w:tc>
        <w:tc>
          <w:tcPr>
            <w:tcW w:w="9500" w:type="dxa"/>
            <w:vAlign w:val="bottom"/>
            <w:tcBorders>
              <w:bottom w:val="single" w:sz="8" w:color="0000EE"/>
            </w:tcBorders>
            <w:gridSpan w:val="12"/>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Mynaric AG, Stock Option Program 2020 (incorporated by reference to Exhibit 10.2 to the Company’s Registration Statement on</w:t>
              </w:r>
            </w:hyperlink>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Form F-1 (File No. 333-260357) filed with the SEC on October 19, 2021)</w:t>
              </w:r>
            </w:hyperlink>
          </w:p>
        </w:tc>
        <w:tc>
          <w:tcPr>
            <w:tcW w:w="4200" w:type="dxa"/>
            <w:vAlign w:val="bottom"/>
            <w:gridSpan w:val="8"/>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1000" w:type="dxa"/>
            <w:vAlign w:val="bottom"/>
          </w:tcPr>
          <w:p>
            <w:pPr>
              <w:spacing w:after="0"/>
              <w:rPr>
                <w:sz w:val="24"/>
                <w:szCs w:val="24"/>
                <w:color w:val="auto"/>
              </w:rPr>
            </w:pPr>
          </w:p>
        </w:tc>
        <w:tc>
          <w:tcPr>
            <w:tcW w:w="9500" w:type="dxa"/>
            <w:vAlign w:val="bottom"/>
            <w:tcBorders>
              <w:bottom w:val="single" w:sz="8" w:color="0000EE"/>
            </w:tcBorders>
            <w:gridSpan w:val="12"/>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Mynaric AG, Stock Option Program 2021 (incorporated by reference to Exhibit 10.3 to the Company’s Registration Statement on</w:t>
              </w:r>
            </w:hyperlink>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Form F-1 (File No. 333-260357) filed with the SEC on October 19, 2021)</w:t>
              </w:r>
            </w:hyperlink>
          </w:p>
        </w:tc>
        <w:tc>
          <w:tcPr>
            <w:tcW w:w="4200" w:type="dxa"/>
            <w:vAlign w:val="bottom"/>
            <w:gridSpan w:val="8"/>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00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96"/>
              </w:rPr>
            </w:pPr>
            <w:hyperlink r:id="rId174">
              <w:r>
                <w:rPr>
                  <w:rFonts w:ascii="Arial" w:cs="Arial" w:eastAsia="Arial" w:hAnsi="Arial"/>
                  <w:sz w:val="18"/>
                  <w:szCs w:val="18"/>
                  <w:color w:val="0000EE"/>
                  <w:w w:val="96"/>
                </w:rPr>
                <w:t>Mynaric AG, Restricted Stock Units Program 2021 (incorporated by reference to Exhibit 10.4 to the Company’s Registration</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Statement on Form F-1 (File No. 333-260357) filed with the SEC on October 19, 2021)</w:t>
              </w:r>
            </w:hyperlink>
          </w:p>
        </w:tc>
      </w:tr>
      <w:tr>
        <w:trPr>
          <w:trHeight w:val="20"/>
        </w:trPr>
        <w:tc>
          <w:tcPr>
            <w:tcW w:w="1500" w:type="dxa"/>
            <w:vAlign w:val="bottom"/>
            <w:gridSpan w:val="2"/>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jc w:val="right"/>
              <w:ind w:right="920"/>
              <w:spacing w:after="0"/>
              <w:rPr>
                <w:sz w:val="20"/>
                <w:szCs w:val="20"/>
                <w:color w:val="auto"/>
              </w:rPr>
            </w:pPr>
            <w:r>
              <w:rPr>
                <w:rFonts w:ascii="Arial" w:cs="Arial" w:eastAsia="Arial" w:hAnsi="Arial"/>
                <w:sz w:val="18"/>
                <w:szCs w:val="18"/>
                <w:color w:val="auto"/>
              </w:rPr>
              <w:t>4.5***</w:t>
            </w:r>
          </w:p>
        </w:tc>
        <w:tc>
          <w:tcPr>
            <w:tcW w:w="9520" w:type="dxa"/>
            <w:vAlign w:val="bottom"/>
            <w:gridSpan w:val="13"/>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Mynaric AG, Stock Option Program 2022 (incorporated by reference to Exhibit 4.5 to the Company’s Annual Report on Form 20-F</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(File No. 001-41045) filed with the SEC on May 1, 2023)</w:t>
              </w:r>
            </w:hyperlink>
          </w:p>
        </w:tc>
        <w:tc>
          <w:tcPr>
            <w:tcW w:w="53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100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Business Opportunity Agreement, dated October 21, 2021 (incorporated by reference to Exhibit 10.5 to the Company’s Registration</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Statement on Form F-1 (File No. 333-260357) filed with the SEC on November 3, 2021)</w:t>
              </w:r>
            </w:hyperlink>
          </w:p>
        </w:tc>
        <w:tc>
          <w:tcPr>
            <w:tcW w:w="3120" w:type="dxa"/>
            <w:vAlign w:val="bottom"/>
            <w:gridSpan w:val="5"/>
          </w:tcPr>
          <w:p>
            <w:pPr>
              <w:spacing w:after="0"/>
              <w:rPr>
                <w:sz w:val="17"/>
                <w:szCs w:val="17"/>
                <w:color w:val="auto"/>
              </w:rPr>
            </w:pPr>
          </w:p>
        </w:tc>
      </w:tr>
      <w:tr>
        <w:trPr>
          <w:trHeight w:val="304"/>
        </w:trPr>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4.7***†</w:t>
            </w:r>
          </w:p>
        </w:tc>
        <w:tc>
          <w:tcPr>
            <w:tcW w:w="9520" w:type="dxa"/>
            <w:vAlign w:val="bottom"/>
            <w:tcBorders>
              <w:bottom w:val="single" w:sz="8" w:color="0000EE"/>
            </w:tcBorders>
            <w:gridSpan w:val="13"/>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Credit Agreement entered into by and between Mynaric USA Inc., Mynaric AG, CO FINANCE II LVS I LLC, CO FINANCE LVS</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XL LLC and Alter Domus (US) LLC, dated as of April 25, 2023 (incorporated by reference to Exhibit 4.7 to the Company’s</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Annual Report on Form 20-F (File No. 001-41045) filed with the SEC on May 1, 2023)</w:t>
              </w:r>
            </w:hyperlink>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8.1</w:t>
            </w:r>
          </w:p>
        </w:tc>
        <w:tc>
          <w:tcPr>
            <w:tcW w:w="100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color w:val="0000EE"/>
                <w:w w:val="92"/>
              </w:rPr>
            </w:pPr>
            <w:hyperlink r:id="rId178">
              <w:r>
                <w:rPr>
                  <w:rFonts w:ascii="Arial" w:cs="Arial" w:eastAsia="Arial" w:hAnsi="Arial"/>
                  <w:sz w:val="18"/>
                  <w:szCs w:val="18"/>
                  <w:color w:val="0000EE"/>
                  <w:w w:val="92"/>
                </w:rPr>
                <w:t>List of Subsidiaries (incorporated by reference to Exhibit 8.1 to the Company’s Annual Report on Form 20-F (File No. 001-41045)</w:t>
              </w:r>
            </w:hyperlink>
          </w:p>
        </w:tc>
      </w:tr>
      <w:tr>
        <w:trPr>
          <w:trHeight w:val="19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filed with the SEC on May 6, 2022)</w:t>
              </w:r>
            </w:hyperlink>
          </w:p>
        </w:tc>
        <w:tc>
          <w:tcPr>
            <w:tcW w:w="69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12.1*</w:t>
            </w:r>
          </w:p>
        </w:tc>
        <w:tc>
          <w:tcPr>
            <w:tcW w:w="1000" w:type="dxa"/>
            <w:vAlign w:val="bottom"/>
          </w:tcPr>
          <w:p>
            <w:pPr>
              <w:spacing w:after="0"/>
              <w:rPr>
                <w:sz w:val="24"/>
                <w:szCs w:val="24"/>
                <w:color w:val="auto"/>
              </w:rPr>
            </w:pPr>
          </w:p>
        </w:tc>
        <w:tc>
          <w:tcPr>
            <w:tcW w:w="9520" w:type="dxa"/>
            <w:vAlign w:val="bottom"/>
            <w:gridSpan w:val="13"/>
          </w:tcPr>
          <w:p>
            <w:pPr>
              <w:spacing w:after="0"/>
              <w:rPr>
                <w:sz w:val="20"/>
                <w:szCs w:val="20"/>
                <w:color w:val="auto"/>
              </w:rPr>
            </w:pPr>
            <w:r>
              <w:rPr>
                <w:rFonts w:ascii="Arial" w:cs="Arial" w:eastAsia="Arial" w:hAnsi="Arial"/>
                <w:sz w:val="18"/>
                <w:szCs w:val="18"/>
                <w:color w:val="0000EE"/>
              </w:rPr>
              <w:t>CEO Certification Pursuant to Section 302 of the Sarbanes-Oxley Act of 2002</w:t>
            </w:r>
          </w:p>
        </w:tc>
      </w:tr>
      <w:tr>
        <w:trPr>
          <w:trHeight w:val="385"/>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60" w:type="dxa"/>
            <w:vAlign w:val="bottom"/>
            <w:tcBorders>
              <w:top w:val="single" w:sz="8" w:color="0000EE"/>
            </w:tcBorders>
            <w:gridSpan w:val="3"/>
          </w:tcPr>
          <w:p>
            <w:pPr>
              <w:ind w:left="3880"/>
              <w:spacing w:after="0"/>
              <w:rPr>
                <w:sz w:val="20"/>
                <w:szCs w:val="20"/>
                <w:color w:val="auto"/>
              </w:rPr>
            </w:pPr>
            <w:r>
              <w:rPr>
                <w:rFonts w:ascii="Arial" w:cs="Arial" w:eastAsia="Arial" w:hAnsi="Arial"/>
                <w:sz w:val="18"/>
                <w:szCs w:val="18"/>
                <w:color w:val="auto"/>
                <w:w w:val="86"/>
              </w:rPr>
              <w:t>115</w:t>
            </w:r>
          </w:p>
        </w:tc>
        <w:tc>
          <w:tcPr>
            <w:tcW w:w="1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Exhibits</w:t>
            </w:r>
          </w:p>
        </w:tc>
        <w:tc>
          <w:tcPr>
            <w:tcW w:w="97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12.2*</w:t>
            </w:r>
          </w:p>
        </w:tc>
        <w:tc>
          <w:tcPr>
            <w:tcW w:w="820" w:type="dxa"/>
            <w:vAlign w:val="bottom"/>
          </w:tcPr>
          <w:p>
            <w:pPr>
              <w:spacing w:after="0"/>
              <w:rPr>
                <w:sz w:val="23"/>
                <w:szCs w:val="23"/>
                <w:color w:val="auto"/>
              </w:rPr>
            </w:pPr>
          </w:p>
        </w:tc>
        <w:tc>
          <w:tcPr>
            <w:tcW w:w="564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0000EE"/>
                <w:w w:val="91"/>
              </w:rPr>
              <w:t>CFO Certification Pursuant to Section 302 of the Sarbanes-Oxley Act of 2002</w:t>
            </w:r>
          </w:p>
        </w:tc>
        <w:tc>
          <w:tcPr>
            <w:tcW w:w="4060" w:type="dxa"/>
            <w:vAlign w:val="bottom"/>
            <w:tcBorders>
              <w:top w:val="single" w:sz="8" w:color="auto"/>
            </w:tcBorders>
          </w:tcPr>
          <w:p>
            <w:pPr>
              <w:spacing w:after="0"/>
              <w:rPr>
                <w:sz w:val="23"/>
                <w:szCs w:val="23"/>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97"/>
              </w:rPr>
              <w:t>13.1**</w:t>
            </w:r>
          </w:p>
        </w:tc>
        <w:tc>
          <w:tcPr>
            <w:tcW w:w="820" w:type="dxa"/>
            <w:vAlign w:val="bottom"/>
          </w:tcPr>
          <w:p>
            <w:pPr>
              <w:spacing w:after="0"/>
              <w:rPr>
                <w:sz w:val="24"/>
                <w:szCs w:val="24"/>
                <w:color w:val="auto"/>
              </w:rPr>
            </w:pPr>
          </w:p>
        </w:tc>
        <w:tc>
          <w:tcPr>
            <w:tcW w:w="5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CEO Certification Pursuant to Section 906 of the Sarbanes-Oxley Act of 2002</w:t>
            </w:r>
          </w:p>
        </w:tc>
        <w:tc>
          <w:tcPr>
            <w:tcW w:w="406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97"/>
              </w:rPr>
              <w:t>13.2**</w:t>
            </w:r>
          </w:p>
        </w:tc>
        <w:tc>
          <w:tcPr>
            <w:tcW w:w="8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0000EE"/>
              </w:rPr>
              <w:t>CFO Certification Pursuant to Section 906 of the Sarbanes-Oxley Act of 2002</w:t>
            </w: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820" w:type="dxa"/>
            <w:vAlign w:val="bottom"/>
          </w:tcPr>
          <w:p>
            <w:pPr>
              <w:spacing w:after="0"/>
              <w:rPr>
                <w:sz w:val="24"/>
                <w:szCs w:val="24"/>
                <w:color w:val="auto"/>
              </w:rPr>
            </w:pPr>
          </w:p>
        </w:tc>
        <w:tc>
          <w:tcPr>
            <w:tcW w:w="56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Consent of KPMG AG Wirtschaftsprüfungsgesellschaft</w:t>
            </w:r>
          </w:p>
        </w:tc>
        <w:tc>
          <w:tcPr>
            <w:tcW w:w="4080" w:type="dxa"/>
            <w:vAlign w:val="bottom"/>
            <w:gridSpan w:val="2"/>
          </w:tcPr>
          <w:p>
            <w:pPr>
              <w:spacing w:after="0"/>
              <w:rPr>
                <w:sz w:val="24"/>
                <w:szCs w:val="24"/>
                <w:color w:val="auto"/>
              </w:rPr>
            </w:pPr>
          </w:p>
        </w:tc>
      </w:tr>
      <w:tr>
        <w:trPr>
          <w:trHeight w:val="345"/>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0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5700" w:type="dxa"/>
            <w:vAlign w:val="bottom"/>
            <w:gridSpan w:val="3"/>
          </w:tcPr>
          <w:p>
            <w:pPr>
              <w:spacing w:after="0"/>
              <w:rPr>
                <w:sz w:val="24"/>
                <w:szCs w:val="24"/>
                <w:color w:val="auto"/>
              </w:rPr>
            </w:pP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58"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 or furnished with the Company’s Annual Report on Form 20-F on May 1, 2023.</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86" w:right="4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registrant certifies that it meets all of the requirements for filing on Form 20-F/A and has duly caused this Amendment No. 1 to the Annual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Mustafa Veziroglu</w:t>
      </w:r>
    </w:p>
    <w:p>
      <w:pPr>
        <w:spacing w:after="0" w:line="37"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color w:val="auto"/>
        </w:rPr>
        <w:t>Title:</w:t>
        <w:tab/>
        <w:t>Chief Executive Officer</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Stefan Berndt-von Bülow</w:t>
      </w:r>
    </w:p>
    <w:p>
      <w:pPr>
        <w:spacing w:after="0" w:line="23" w:lineRule="exact"/>
        <w:rPr>
          <w:sz w:val="20"/>
          <w:szCs w:val="20"/>
          <w:color w:val="auto"/>
        </w:rPr>
      </w:pPr>
    </w:p>
    <w:p>
      <w:pPr>
        <w:ind w:left="7080"/>
        <w:spacing w:after="0"/>
        <w:tabs>
          <w:tab w:leader="none" w:pos="76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23, 2023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86" w:right="4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MYNARIC AG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7"/>
            <w:vMerge w:val="restart"/>
          </w:tcPr>
          <w:p>
            <w:pPr>
              <w:spacing w:after="0"/>
              <w:rPr>
                <w:sz w:val="20"/>
                <w:szCs w:val="20"/>
                <w:color w:val="auto"/>
              </w:rPr>
            </w:pPr>
            <w:r>
              <w:rPr>
                <w:rFonts w:ascii="Arial" w:cs="Arial" w:eastAsia="Arial" w:hAnsi="Arial"/>
                <w:sz w:val="18"/>
                <w:szCs w:val="18"/>
                <w:color w:val="0000EE"/>
              </w:rPr>
              <w:t>REPORT OF INDEPENDENT REGISTERED PUBLIC ACCOUNTING FIRM (PCAOB ID: 1021)</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560" w:type="dxa"/>
            <w:vAlign w:val="bottom"/>
            <w:gridSpan w:val="7"/>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CONSOLIDATED STATEMENTS OF PROFIT OR LOSS AND OTHER COMPREHENSIVE INCOME</w:t>
            </w:r>
          </w:p>
        </w:tc>
        <w:tc>
          <w:tcPr>
            <w:tcW w:w="29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CONSOLIDATED STATEMENTS OF FINANCIAL POSITION</w:t>
            </w:r>
          </w:p>
        </w:tc>
        <w:tc>
          <w:tcPr>
            <w:tcW w:w="586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CHANGES IN EQUITY</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59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400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7"/>
          </w:tcPr>
          <w:p>
            <w:pPr>
              <w:spacing w:after="0" w:line="196" w:lineRule="exact"/>
              <w:rPr>
                <w:sz w:val="20"/>
                <w:szCs w:val="20"/>
                <w:color w:val="auto"/>
              </w:rPr>
            </w:pPr>
            <w:r>
              <w:rPr>
                <w:rFonts w:ascii="Arial" w:cs="Arial" w:eastAsia="Arial" w:hAnsi="Arial"/>
                <w:sz w:val="18"/>
                <w:szCs w:val="18"/>
                <w:color w:val="0000EE"/>
              </w:rPr>
              <w:t>NOTES TO AND FORMING PART OF THE CONSOLIDATED FINANCIAL STATEMENTS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40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ind w:left="680"/>
              <w:spacing w:after="0"/>
              <w:rPr>
                <w:sz w:val="20"/>
                <w:szCs w:val="20"/>
                <w:color w:val="auto"/>
              </w:rPr>
            </w:pPr>
            <w:r>
              <w:rPr>
                <w:rFonts w:ascii="Arial" w:cs="Arial" w:eastAsia="Arial" w:hAnsi="Arial"/>
                <w:sz w:val="18"/>
                <w:szCs w:val="18"/>
                <w:color w:val="auto"/>
              </w:rPr>
              <w:t>F-1</w:t>
            </w:r>
          </w:p>
        </w:tc>
        <w:tc>
          <w:tcPr>
            <w:tcW w:w="364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220"/>
        <w:spacing w:after="0" w:line="375" w:lineRule="auto"/>
        <w:rPr>
          <w:sz w:val="20"/>
          <w:szCs w:val="20"/>
          <w:color w:val="auto"/>
        </w:rPr>
      </w:pPr>
      <w:r>
        <w:rPr>
          <w:rFonts w:ascii="Arial" w:cs="Arial" w:eastAsia="Arial" w:hAnsi="Arial"/>
          <w:sz w:val="18"/>
          <w:szCs w:val="18"/>
          <w:color w:val="auto"/>
        </w:rPr>
        <w:t xml:space="preserve">REPORT OF INDEPENDENT REGISTERED PUBLIC ACCOUNTING FIRM </w:t>
      </w:r>
      <w:r>
        <w:rPr>
          <w:rFonts w:ascii="Arial" w:cs="Arial" w:eastAsia="Arial" w:hAnsi="Arial"/>
          <w:sz w:val="18"/>
          <w:szCs w:val="18"/>
          <w:i w:val="1"/>
          <w:iCs w:val="1"/>
          <w:color w:val="auto"/>
        </w:rPr>
        <w:t>Opinion on the Consolidated Financial Statements</w:t>
      </w:r>
    </w:p>
    <w:p>
      <w:pPr>
        <w:spacing w:after="0" w:line="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have audited the accompanying consolidated statements of financial position of Mynaric AG and subsidiaries (the Company) as of December 31, 2022 and 2021, the related consolidated statements of profit/loss and other comprehensive income/loss, changes in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International Financial Reporting Standards as issued by the International Accounting Standards Board.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suffered recurring losses from operations and has a net capital deficiency that raise substantial doubt about its ability to continue as a going concern</w:t>
      </w:r>
      <w:r>
        <w:rPr>
          <w:rFonts w:ascii="Arial" w:cs="Arial" w:eastAsia="Arial" w:hAnsi="Arial"/>
          <w:sz w:val="17"/>
          <w:szCs w:val="17"/>
          <w:i w:val="1"/>
          <w:iCs w:val="1"/>
          <w:color w:val="auto"/>
        </w:rPr>
        <w:t>.</w:t>
      </w:r>
      <w:r>
        <w:rPr>
          <w:rFonts w:ascii="Arial" w:cs="Arial" w:eastAsia="Arial" w:hAnsi="Arial"/>
          <w:sz w:val="17"/>
          <w:szCs w:val="17"/>
          <w:color w:val="auto"/>
        </w:rPr>
        <w:t xml:space="preserve"> Management’s plans in regard to these matters are also described in Note 2. The consolidated financial statements do not include any adjustments that might result from the outcome of this uncertainty.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AG Wirtschaftsprüfungsgesellschaft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Munich, Germany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 2023</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86" w:right="4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5240"/>
        <w:spacing w:after="0" w:line="282" w:lineRule="auto"/>
        <w:rPr>
          <w:sz w:val="20"/>
          <w:szCs w:val="20"/>
          <w:color w:val="auto"/>
        </w:rPr>
      </w:pPr>
      <w:r>
        <w:rPr>
          <w:rFonts w:ascii="Arial" w:cs="Arial" w:eastAsia="Arial" w:hAnsi="Arial"/>
          <w:sz w:val="18"/>
          <w:szCs w:val="18"/>
          <w:b w:val="1"/>
          <w:bCs w:val="1"/>
          <w:color w:val="auto"/>
        </w:rPr>
        <w:t>Consolidated statements of profit/loss and other comprehensive income/loss for the years ended December 31, 2022, 2021 and 2020</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 thousand</w:t>
            </w:r>
          </w:p>
        </w:tc>
        <w:tc>
          <w:tcPr>
            <w:tcW w:w="6720" w:type="dxa"/>
            <w:vAlign w:val="bottom"/>
          </w:tcPr>
          <w:p>
            <w:pPr>
              <w:spacing w:after="0"/>
              <w:rPr>
                <w:sz w:val="16"/>
                <w:szCs w:val="16"/>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w:t>
            </w: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r>
      <w:tr>
        <w:trPr>
          <w:trHeight w:val="203"/>
        </w:trPr>
        <w:tc>
          <w:tcPr>
            <w:tcW w:w="73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4,422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2,355</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Other operating income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materials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(15,434)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(6,221)</w:t>
            </w:r>
          </w:p>
        </w:tc>
      </w:tr>
      <w:tr>
        <w:trPr>
          <w:trHeight w:val="216"/>
        </w:trPr>
        <w:tc>
          <w:tcPr>
            <w:tcW w:w="64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i w:val="1"/>
                <w:iCs w:val="1"/>
                <w:color w:val="auto"/>
              </w:rPr>
              <w:t>of which capitalized costs 2022: (689); 2021: (1,995); 2020: (4,073)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Personnel costs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(37,410)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(23,365)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(16,834)</w:t>
            </w:r>
          </w:p>
        </w:tc>
      </w:tr>
      <w:tr>
        <w:trPr>
          <w:trHeight w:val="216"/>
        </w:trPr>
        <w:tc>
          <w:tcPr>
            <w:tcW w:w="64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i w:val="1"/>
                <w:iCs w:val="1"/>
                <w:color w:val="auto"/>
              </w:rPr>
              <w:t>of which capitalized costs 2022: (665); 2021: (1,906); 2020: (3,921)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amortisation and impairment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(7,989)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(1,843)</w:t>
            </w:r>
          </w:p>
        </w:tc>
      </w:tr>
      <w:tr>
        <w:trPr>
          <w:trHeight w:val="216"/>
        </w:trPr>
        <w:tc>
          <w:tcPr>
            <w:tcW w:w="64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i w:val="1"/>
                <w:iCs w:val="1"/>
                <w:color w:val="auto"/>
              </w:rPr>
              <w:t>of which capitalized costs 2022: (112); 2021: (287); 2020: (802)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costs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(5,345)</w:t>
            </w:r>
          </w:p>
        </w:tc>
      </w:tr>
      <w:tr>
        <w:trPr>
          <w:trHeight w:val="216"/>
        </w:trPr>
        <w:tc>
          <w:tcPr>
            <w:tcW w:w="64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i w:val="1"/>
                <w:iCs w:val="1"/>
                <w:color w:val="auto"/>
              </w:rPr>
              <w:t>of which capitalized costs 2022: (101); 2021: (427); 2020: (579)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inventories of finished goods and work in progress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Own work capitalized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4,615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9,375</w:t>
            </w:r>
          </w:p>
        </w:tc>
      </w:tr>
      <w:tr>
        <w:trPr>
          <w:trHeight w:val="27"/>
        </w:trPr>
        <w:tc>
          <w:tcPr>
            <w:tcW w:w="6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(73,790)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(42,364)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(19,257)</w:t>
            </w:r>
          </w:p>
        </w:tc>
      </w:tr>
      <w:tr>
        <w:trPr>
          <w:trHeight w:val="223"/>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Interest and similar income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similar expenses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Net foreign exchange gain / (loss)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2,574</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r>
      <w:tr>
        <w:trPr>
          <w:trHeight w:val="27"/>
        </w:trPr>
        <w:tc>
          <w:tcPr>
            <w:tcW w:w="6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finance income/(costs)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(513)</w:t>
            </w:r>
          </w:p>
        </w:tc>
      </w:tr>
      <w:tr>
        <w:trPr>
          <w:trHeight w:val="230"/>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Share of profit of equity-accounted investees, net of tax</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before tax</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(73,806)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(43,686)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(19,770)</w:t>
            </w:r>
          </w:p>
        </w:tc>
      </w:tr>
      <w:tr>
        <w:trPr>
          <w:trHeight w:val="230"/>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net profit/(loss)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(73,782)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(45,477)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(19,770)</w:t>
            </w: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which may be subsequently reclassified to profit and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4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Foreign operations – foreign currency translation differences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(411)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 for the period after tax</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40" w:type="dxa"/>
            <w:vAlign w:val="bottom"/>
            <w:shd w:val="clear" w:color="auto" w:fill="CCEEFF"/>
          </w:tcPr>
          <w:p>
            <w:pPr>
              <w:spacing w:after="0"/>
              <w:rPr>
                <w:sz w:val="18"/>
                <w:szCs w:val="18"/>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(74,193)</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(45,975)</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(19,403)</w:t>
            </w:r>
          </w:p>
        </w:tc>
        <w:tc>
          <w:tcPr>
            <w:tcW w:w="140" w:type="dxa"/>
            <w:vAlign w:val="bottom"/>
          </w:tcPr>
          <w:p>
            <w:pPr>
              <w:spacing w:after="0"/>
              <w:rPr>
                <w:sz w:val="20"/>
                <w:szCs w:val="20"/>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Weighted average ordinary shares outstanding (basic and 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5,435,839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4,250,134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3,349,403</w:t>
            </w:r>
          </w:p>
        </w:tc>
        <w:tc>
          <w:tcPr>
            <w:tcW w:w="140" w:type="dxa"/>
            <w:vAlign w:val="bottom"/>
            <w:shd w:val="clear" w:color="auto" w:fill="CCEEFF"/>
          </w:tcPr>
          <w:p>
            <w:pPr>
              <w:spacing w:after="0"/>
              <w:rPr>
                <w:sz w:val="18"/>
                <w:szCs w:val="18"/>
                <w:color w:val="auto"/>
              </w:rPr>
            </w:pPr>
          </w:p>
        </w:tc>
      </w:tr>
      <w:tr>
        <w:trPr>
          <w:trHeight w:val="230"/>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Basic and diluted loss per share in EUR</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(13.57)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(10.70)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86" w:right="4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financial position as of December 31, 2022 and 2021</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 thousand</w:t>
            </w:r>
          </w:p>
        </w:tc>
        <w:tc>
          <w:tcPr>
            <w:tcW w:w="8160" w:type="dxa"/>
            <w:vAlign w:val="bottom"/>
            <w:gridSpan w:val="2"/>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12/31/2022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12/31/2021</w:t>
            </w:r>
          </w:p>
        </w:tc>
        <w:tc>
          <w:tcPr>
            <w:tcW w:w="120" w:type="dxa"/>
            <w:vAlign w:val="bottom"/>
          </w:tcPr>
          <w:p>
            <w:pPr>
              <w:spacing w:after="0"/>
              <w:rPr>
                <w:sz w:val="16"/>
                <w:szCs w:val="16"/>
                <w:color w:val="auto"/>
              </w:rPr>
            </w:pPr>
          </w:p>
        </w:tc>
      </w:tr>
      <w:tr>
        <w:trPr>
          <w:trHeight w:val="203"/>
        </w:trPr>
        <w:tc>
          <w:tcPr>
            <w:tcW w:w="8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19,969</w:t>
            </w: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Right-of-use assets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8,782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8,827</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16,768</w:t>
            </w: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Equity-accounted investees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non-current financial assets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w:t>
            </w: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Non-current assets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45,975</w:t>
            </w:r>
          </w:p>
        </w:tc>
        <w:tc>
          <w:tcPr>
            <w:tcW w:w="120" w:type="dxa"/>
            <w:vAlign w:val="bottom"/>
          </w:tcPr>
          <w:p>
            <w:pPr>
              <w:spacing w:after="0"/>
              <w:rPr>
                <w:sz w:val="20"/>
                <w:szCs w:val="20"/>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13,348</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8,399</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Other financial and non-financial assets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5,681</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5,512</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48,143</w:t>
            </w: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current assets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30,368</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62,054</w:t>
            </w:r>
          </w:p>
        </w:tc>
        <w:tc>
          <w:tcPr>
            <w:tcW w:w="120" w:type="dxa"/>
            <w:vAlign w:val="bottom"/>
          </w:tcPr>
          <w:p>
            <w:pPr>
              <w:spacing w:after="0"/>
              <w:rPr>
                <w:sz w:val="20"/>
                <w:szCs w:val="20"/>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80,321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108,029</w:t>
            </w:r>
          </w:p>
        </w:tc>
        <w:tc>
          <w:tcPr>
            <w:tcW w:w="120" w:type="dxa"/>
            <w:vAlign w:val="bottom"/>
            <w:shd w:val="clear" w:color="auto" w:fill="CCEEFF"/>
          </w:tcPr>
          <w:p>
            <w:pPr>
              <w:spacing w:after="0"/>
              <w:rPr>
                <w:sz w:val="18"/>
                <w:szCs w:val="18"/>
                <w:color w:val="auto"/>
              </w:rPr>
            </w:pPr>
          </w:p>
        </w:tc>
      </w:tr>
      <w:tr>
        <w:trPr>
          <w:trHeight w:val="459"/>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EQUITY AND LIABILITIES</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12/31/2021</w:t>
            </w:r>
          </w:p>
        </w:tc>
        <w:tc>
          <w:tcPr>
            <w:tcW w:w="120" w:type="dxa"/>
            <w:vAlign w:val="bottom"/>
          </w:tcPr>
          <w:p>
            <w:pPr>
              <w:spacing w:after="0"/>
              <w:rPr>
                <w:sz w:val="24"/>
                <w:szCs w:val="24"/>
                <w:color w:val="auto"/>
              </w:rPr>
            </w:pPr>
          </w:p>
        </w:tc>
      </w:tr>
      <w:tr>
        <w:trPr>
          <w:trHeight w:val="189"/>
        </w:trPr>
        <w:tc>
          <w:tcPr>
            <w:tcW w:w="230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Equity</w:t>
            </w:r>
          </w:p>
        </w:tc>
        <w:tc>
          <w:tcPr>
            <w:tcW w:w="65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Share capital</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5,668</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5,243</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Capital reserve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189,269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172,622</w:t>
            </w: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(166,549)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(92,767)</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income/(loss)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27,793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84,914</w:t>
            </w:r>
          </w:p>
        </w:tc>
        <w:tc>
          <w:tcPr>
            <w:tcW w:w="120" w:type="dxa"/>
            <w:vAlign w:val="bottom"/>
          </w:tcPr>
          <w:p>
            <w:pPr>
              <w:spacing w:after="0"/>
              <w:rPr>
                <w:sz w:val="20"/>
                <w:szCs w:val="20"/>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Provisions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Non-current lease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7,389</w:t>
            </w: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Other financial liabilities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tax liability</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w:t>
            </w: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9,391</w:t>
            </w:r>
          </w:p>
        </w:tc>
        <w:tc>
          <w:tcPr>
            <w:tcW w:w="120" w:type="dxa"/>
            <w:vAlign w:val="bottom"/>
          </w:tcPr>
          <w:p>
            <w:pPr>
              <w:spacing w:after="0"/>
              <w:rPr>
                <w:sz w:val="20"/>
                <w:szCs w:val="20"/>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Provisions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lease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w:t>
            </w: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Trade and other payables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9,238</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8,396</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r>
      <w:tr>
        <w:trPr>
          <w:trHeight w:val="216"/>
        </w:trPr>
        <w:tc>
          <w:tcPr>
            <w:tcW w:w="8800" w:type="dxa"/>
            <w:vAlign w:val="bottom"/>
            <w:gridSpan w:val="3"/>
          </w:tcPr>
          <w:p>
            <w:pPr>
              <w:ind w:left="360"/>
              <w:spacing w:after="0"/>
              <w:rPr>
                <w:sz w:val="20"/>
                <w:szCs w:val="20"/>
                <w:color w:val="auto"/>
              </w:rPr>
            </w:pPr>
            <w:r>
              <w:rPr>
                <w:rFonts w:ascii="Arial" w:cs="Arial" w:eastAsia="Arial" w:hAnsi="Arial"/>
                <w:sz w:val="18"/>
                <w:szCs w:val="18"/>
                <w:color w:val="auto"/>
              </w:rPr>
              <w:t>Other financial liabilities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14,530</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8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non-financial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2,323</w:t>
            </w: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43,209</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13,724</w:t>
            </w:r>
          </w:p>
        </w:tc>
        <w:tc>
          <w:tcPr>
            <w:tcW w:w="120" w:type="dxa"/>
            <w:vAlign w:val="bottom"/>
          </w:tcPr>
          <w:p>
            <w:pPr>
              <w:spacing w:after="0"/>
              <w:rPr>
                <w:sz w:val="20"/>
                <w:szCs w:val="20"/>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52,528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23,115</w:t>
            </w:r>
          </w:p>
        </w:tc>
        <w:tc>
          <w:tcPr>
            <w:tcW w:w="120" w:type="dxa"/>
            <w:vAlign w:val="bottom"/>
            <w:shd w:val="clear" w:color="auto" w:fill="CCEEFF"/>
          </w:tcPr>
          <w:p>
            <w:pPr>
              <w:spacing w:after="0"/>
              <w:rPr>
                <w:sz w:val="18"/>
                <w:szCs w:val="18"/>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TOTAL EQUITY AND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108,029</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86"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93"/>
              </w:rPr>
              <w:t>Foreign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7"/>
              </w:rPr>
              <w:t>currency</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vMerge w:val="restart"/>
          </w:tcPr>
          <w:p>
            <w:pPr>
              <w:spacing w:after="0"/>
              <w:rPr>
                <w:sz w:val="20"/>
                <w:szCs w:val="20"/>
                <w:color w:val="auto"/>
              </w:rPr>
            </w:pPr>
            <w:r>
              <w:rPr>
                <w:rFonts w:ascii="Arial" w:cs="Arial" w:eastAsia="Arial" w:hAnsi="Arial"/>
                <w:sz w:val="14"/>
                <w:szCs w:val="14"/>
                <w:color w:val="auto"/>
                <w:w w:val="89"/>
              </w:rPr>
              <w:t>€ thousand</w:t>
            </w:r>
          </w:p>
        </w:tc>
        <w:tc>
          <w:tcPr>
            <w:tcW w:w="4720" w:type="dxa"/>
            <w:vAlign w:val="bottom"/>
            <w:vMerge w:val="restart"/>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i w:val="1"/>
                <w:iCs w:val="1"/>
                <w:color w:val="auto"/>
              </w:rPr>
              <w:t>Share</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i w:val="1"/>
                <w:iCs w:val="1"/>
                <w:color w:val="auto"/>
              </w:rPr>
              <w:t>Capital</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i w:val="1"/>
                <w:iCs w:val="1"/>
                <w:color w:val="auto"/>
                <w:w w:val="86"/>
              </w:rPr>
              <w:t>Prepaid share</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i w:val="1"/>
                <w:iCs w:val="1"/>
                <w:color w:val="auto"/>
                <w:w w:val="88"/>
              </w:rPr>
              <w:t>Accumulated</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9"/>
              </w:rPr>
              <w:t>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740" w:type="dxa"/>
            <w:vAlign w:val="bottom"/>
            <w:gridSpan w:val="2"/>
          </w:tcPr>
          <w:p>
            <w:pPr>
              <w:ind w:left="40"/>
              <w:spacing w:after="0" w:line="154" w:lineRule="exact"/>
              <w:rPr>
                <w:sz w:val="20"/>
                <w:szCs w:val="20"/>
                <w:color w:val="auto"/>
              </w:rPr>
            </w:pPr>
            <w:r>
              <w:rPr>
                <w:rFonts w:ascii="Arial" w:cs="Arial" w:eastAsia="Arial" w:hAnsi="Arial"/>
                <w:sz w:val="14"/>
                <w:szCs w:val="14"/>
                <w:b w:val="1"/>
                <w:bCs w:val="1"/>
                <w:i w:val="1"/>
                <w:iCs w:val="1"/>
                <w:color w:val="auto"/>
              </w:rPr>
              <w:t>capital</w:t>
            </w:r>
          </w:p>
        </w:tc>
        <w:tc>
          <w:tcPr>
            <w:tcW w:w="960" w:type="dxa"/>
            <w:vAlign w:val="bottom"/>
            <w:gridSpan w:val="2"/>
          </w:tcPr>
          <w:p>
            <w:pPr>
              <w:jc w:val="right"/>
              <w:ind w:right="420"/>
              <w:spacing w:after="0" w:line="154" w:lineRule="exact"/>
              <w:rPr>
                <w:sz w:val="20"/>
                <w:szCs w:val="20"/>
                <w:color w:val="auto"/>
              </w:rPr>
            </w:pPr>
            <w:r>
              <w:rPr>
                <w:rFonts w:ascii="Arial" w:cs="Arial" w:eastAsia="Arial" w:hAnsi="Arial"/>
                <w:sz w:val="14"/>
                <w:szCs w:val="14"/>
                <w:b w:val="1"/>
                <w:bCs w:val="1"/>
                <w:i w:val="1"/>
                <w:iCs w:val="1"/>
                <w:color w:val="auto"/>
              </w:rPr>
              <w:t>reserve</w:t>
            </w:r>
          </w:p>
        </w:tc>
        <w:tc>
          <w:tcPr>
            <w:tcW w:w="1140" w:type="dxa"/>
            <w:vAlign w:val="bottom"/>
            <w:gridSpan w:val="2"/>
          </w:tcPr>
          <w:p>
            <w:pPr>
              <w:jc w:val="right"/>
              <w:ind w:right="520"/>
              <w:spacing w:after="0" w:line="154" w:lineRule="exact"/>
              <w:rPr>
                <w:sz w:val="20"/>
                <w:szCs w:val="20"/>
                <w:color w:val="auto"/>
              </w:rPr>
            </w:pPr>
            <w:r>
              <w:rPr>
                <w:rFonts w:ascii="Arial" w:cs="Arial" w:eastAsia="Arial" w:hAnsi="Arial"/>
                <w:sz w:val="14"/>
                <w:szCs w:val="14"/>
                <w:b w:val="1"/>
                <w:bCs w:val="1"/>
                <w:i w:val="1"/>
                <w:iCs w:val="1"/>
                <w:color w:val="auto"/>
              </w:rPr>
              <w:t>reserve</w:t>
            </w:r>
          </w:p>
        </w:tc>
        <w:tc>
          <w:tcPr>
            <w:tcW w:w="1120" w:type="dxa"/>
            <w:vAlign w:val="bottom"/>
            <w:gridSpan w:val="2"/>
          </w:tcPr>
          <w:p>
            <w:pPr>
              <w:jc w:val="right"/>
              <w:ind w:right="540"/>
              <w:spacing w:after="0" w:line="154" w:lineRule="exact"/>
              <w:rPr>
                <w:sz w:val="20"/>
                <w:szCs w:val="20"/>
                <w:color w:val="auto"/>
              </w:rPr>
            </w:pPr>
            <w:r>
              <w:rPr>
                <w:rFonts w:ascii="Arial" w:cs="Arial" w:eastAsia="Arial" w:hAnsi="Arial"/>
                <w:sz w:val="14"/>
                <w:szCs w:val="14"/>
                <w:b w:val="1"/>
                <w:bCs w:val="1"/>
                <w:i w:val="1"/>
                <w:iCs w:val="1"/>
                <w:color w:val="auto"/>
              </w:rPr>
              <w:t>deficit</w:t>
            </w:r>
          </w:p>
        </w:tc>
        <w:tc>
          <w:tcPr>
            <w:tcW w:w="96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i w:val="1"/>
                <w:iCs w:val="1"/>
                <w:color w:val="auto"/>
                <w:w w:val="85"/>
              </w:rPr>
              <w:t>differences</w:t>
            </w:r>
          </w:p>
        </w:tc>
        <w:tc>
          <w:tcPr>
            <w:tcW w:w="74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 2020</w:t>
            </w:r>
          </w:p>
        </w:tc>
        <w:tc>
          <w:tcPr>
            <w:tcW w:w="460" w:type="dxa"/>
            <w:vAlign w:val="bottom"/>
            <w:tcBorders>
              <w:top w:val="single" w:sz="8" w:color="auto"/>
              <w:bottom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b w:val="1"/>
                <w:bCs w:val="1"/>
                <w:color w:val="auto"/>
                <w:w w:val="84"/>
              </w:rPr>
              <w:t>2,904</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46,409</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(27,520)</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(53)</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21,740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Issue of ordinary shares</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1,091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64,052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issue costs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(3,397)</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Equity-settled share-based payments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1,125</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 net profit/(loss)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(19,770)</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(19,770)</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income/(loss)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3,995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108,189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(47,290)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70,708</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2021</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4"/>
              </w:rPr>
              <w:t>3,995</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108,189</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5,500</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(47,290)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3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Issue of ordinary shares</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1,248</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70,794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66,542</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Share issue costs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(8,303)</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(8,303)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Equity-settled share-based payments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1,942</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Consolidated net profit/(loss)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(45,477)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(45,477)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income/(loss)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2021</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4"/>
              </w:rPr>
              <w:t>5,243</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172,622</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(92,767)</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3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5,243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172,622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(92,767)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84,914</w:t>
            </w:r>
          </w:p>
        </w:tc>
        <w:tc>
          <w:tcPr>
            <w:tcW w:w="0" w:type="dxa"/>
            <w:vAlign w:val="bottom"/>
          </w:tcPr>
          <w:p>
            <w:pPr>
              <w:spacing w:after="0"/>
              <w:rPr>
                <w:sz w:val="1"/>
                <w:szCs w:val="1"/>
                <w:color w:val="auto"/>
              </w:rPr>
            </w:pPr>
          </w:p>
        </w:tc>
      </w:tr>
      <w:tr>
        <w:trPr>
          <w:trHeight w:val="223"/>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Issue of ordinary shares</w:t>
            </w: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425</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issue costs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Equity-settled share-based payments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6,133</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6,133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 net profit/(loss)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(73,782)</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(73,782)</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income/(loss)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5,668</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189,269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(166,549</w:t>
            </w: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(595</w:t>
            </w: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27,793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 thousand</w:t>
            </w:r>
          </w:p>
        </w:tc>
        <w:tc>
          <w:tcPr>
            <w:tcW w:w="73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03"/>
        </w:trPr>
        <w:tc>
          <w:tcPr>
            <w:tcW w:w="8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Consolidated net profit/(loss)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(73,782)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(45,477)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(19,770)</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for: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Income tax expense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shd w:val="clear" w:color="auto" w:fill="CCEEFF"/>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amortization and impairment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w:t>
            </w: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Loss from disposals of non-current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640" w:type="dxa"/>
            <w:vAlign w:val="bottom"/>
            <w:shd w:val="clear" w:color="auto" w:fill="CCEEFF"/>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similar (income) and expenses, net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Equity-settled share-based payment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6,133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1,942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r>
      <w:tr>
        <w:trPr>
          <w:trHeight w:val="216"/>
        </w:trPr>
        <w:tc>
          <w:tcPr>
            <w:tcW w:w="640" w:type="dxa"/>
            <w:vAlign w:val="bottom"/>
            <w:shd w:val="clear" w:color="auto" w:fill="CCEEFF"/>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 of profit of equity-accounted investees, net of tax</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Net foreign exchange (gain) / loss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(2,574)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(4,958)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(3,167)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(4,032)</w:t>
            </w:r>
          </w:p>
        </w:tc>
      </w:tr>
      <w:tr>
        <w:trPr>
          <w:trHeight w:val="216"/>
        </w:trPr>
        <w:tc>
          <w:tcPr>
            <w:tcW w:w="640" w:type="dxa"/>
            <w:vAlign w:val="bottom"/>
            <w:shd w:val="clear" w:color="auto" w:fill="CCEEFF"/>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Trade receivables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Other financial and non-financial assets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(4,209)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r>
      <w:tr>
        <w:trPr>
          <w:trHeight w:val="216"/>
        </w:trPr>
        <w:tc>
          <w:tcPr>
            <w:tcW w:w="640" w:type="dxa"/>
            <w:vAlign w:val="bottom"/>
            <w:shd w:val="clear" w:color="auto" w:fill="CCEEFF"/>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Trade and other payables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2,235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2,320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2,422</w:t>
            </w:r>
          </w:p>
        </w:tc>
      </w:tr>
      <w:tr>
        <w:trPr>
          <w:trHeight w:val="216"/>
        </w:trPr>
        <w:tc>
          <w:tcPr>
            <w:tcW w:w="640" w:type="dxa"/>
            <w:vAlign w:val="bottom"/>
            <w:shd w:val="clear" w:color="auto" w:fill="CCEEFF"/>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Contract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w:t>
            </w:r>
          </w:p>
        </w:tc>
      </w:tr>
      <w:tr>
        <w:trPr>
          <w:trHeight w:val="216"/>
        </w:trPr>
        <w:tc>
          <w:tcPr>
            <w:tcW w:w="64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Other financial liabilities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shd w:val="clear" w:color="auto" w:fill="CCEEFF"/>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non-financial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(50,215)</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(39,426)</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(16,935)</w:t>
            </w:r>
          </w:p>
        </w:tc>
        <w:tc>
          <w:tcPr>
            <w:tcW w:w="120" w:type="dxa"/>
            <w:vAlign w:val="bottom"/>
          </w:tcPr>
          <w:p>
            <w:pPr>
              <w:spacing w:after="0"/>
              <w:rPr>
                <w:sz w:val="20"/>
                <w:szCs w:val="20"/>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(3,346)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(8,286)</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property, plant and equipment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(6,724)</w:t>
            </w: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Interest income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equity-accounted investees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(11,699)</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(10,958)</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(14,927)</w:t>
            </w:r>
          </w:p>
        </w:tc>
        <w:tc>
          <w:tcPr>
            <w:tcW w:w="120" w:type="dxa"/>
            <w:vAlign w:val="bottom"/>
          </w:tcPr>
          <w:p>
            <w:pPr>
              <w:spacing w:after="0"/>
              <w:rPr>
                <w:sz w:val="20"/>
                <w:szCs w:val="20"/>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Proceeds from issue of share capital</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11,201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66,542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65,143</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issue costs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(3,397)</w:t>
            </w: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Proceeds from issue of convertible notes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loans and borrowings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Transaction costs related to loans and borrowings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Repayments of loans and borrowings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Payments of lease liabilities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(675)</w:t>
            </w: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expenses paid</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r>
      <w:tr>
        <w:trPr>
          <w:trHeight w:val="223"/>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Proceeds from other financial assets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21,968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54,802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66,257</w:t>
            </w: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(39,946)</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4,418</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34,395</w:t>
            </w:r>
          </w:p>
        </w:tc>
        <w:tc>
          <w:tcPr>
            <w:tcW w:w="120" w:type="dxa"/>
            <w:vAlign w:val="bottom"/>
          </w:tcPr>
          <w:p>
            <w:pPr>
              <w:spacing w:after="0"/>
              <w:rPr>
                <w:sz w:val="20"/>
                <w:szCs w:val="20"/>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43,198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8,914</w:t>
            </w: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Effects of movements in exchange rates on cash and cash equivalents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10,238</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48,143</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43,198</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Mynaric AG, Gilching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Mynaric AG registered in Commercial Register at Munich Local Court (Reg. No. HRB 232763), has its registered office at Dornierstraße 19 in 82205 Gilching, Germany, and together with its consolidated subsidiaries is referred to herein as the “Company” or “Group”. The objective of the Company is the development, manufacture and sale of laser communication network equipment, software, systems, and solutions, particularly for aerospace applications and related products. The Company engages primarily in the manufacturing and sale of products and projects, and in the provision of services related to laser technology, particularly for applications in aerospace, and satellite services.</w:t>
      </w:r>
    </w:p>
    <w:p>
      <w:pPr>
        <w:spacing w:after="0" w:line="321"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April 30, 2023.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consolidated financial statements are presented in euro (€). Rounding differences may result in differences in amounts and percentages.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statements of profit and loss were prepared using the nature of expense method.</w:t>
      </w:r>
    </w:p>
    <w:p>
      <w:pPr>
        <w:spacing w:after="0" w:line="22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14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consolidated financial statements were prepared on a going concern basis; however, management has identified material uncertainties that may cast significant doubt on the Group’s ability to continue as a going concern.</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the year ended December 31, 2022, the Company recognized a net loss of €73.8 million. The Company’s net current assets as of December 31, 2022, were €-12.8 million. As of the date of the authorization of these consolidated financial statements the Group has €51.8 million in cash and cash equivalents.</w:t>
      </w:r>
    </w:p>
    <w:p>
      <w:pPr>
        <w:spacing w:after="0" w:line="1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Management has planned for significant increases in revenue and cash flows in fiscal years 2023 and 2024 as it ramps up its commercial production of CONDOR and HAWK terminals. While a significant portion of the revenue planned for fiscal 2023 is contractually committed, significant amounts of the revenue planned for fiscal 2024 are not contractually committed and are based on management’s expectations regarding the outcome of major public project tenders and negotiations with potential or existing customers. Management is actively pursuing multiple commercial opportunities to sell its CONDOR and HAWK terminals to a strongly expanding customer base. To realize these planned increases in revenue, the Group will need to make additional investments in property, plant and equipment and development and refinement of its products which will require additional sources of liquidity and financing.</w:t>
      </w:r>
    </w:p>
    <w:p>
      <w:pPr>
        <w:spacing w:after="0" w:line="19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April 25, 2023, the Group entered into debt and equity agreements with different investment companies. From those agreements the Group obtained additional debt in the amount $75.0 million and equity financing in the amount of €12.4 million. For further details refer to Note 37 (“Events after the reporting date”).</w:t>
      </w:r>
    </w:p>
    <w:p>
      <w:pPr>
        <w:spacing w:after="0" w:line="1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Based on the Group’s liquidity position on April 30, 2023, and management’s forecast of sources and uses of cash and cash equivalents, management believes that it has sufficient liquidity to finance its operations over at least the next twelve months from the date of authorization of these consolidated financial statements. However, there can be no assurance that the revenues and the corresponding customer payments will be generated in the amount as expected or at the time needed. A shortfall of revenues and of the corresponding customer payments compared to the budget could require additional external financing to meet its current operational planning. In such a situation, if the Group should be unable to obtain such additional financing or take other timely actions in response to such circumstances, for example significantly curtailing its current operational budget in 2024, it may be unable to continue as a going concern.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86" w:right="4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As a result, these events and conditions indicate that a material uncertainty exists that may cast significant doubt on the Group’s ability to continue as a going concern and, therefore, the Group may be unable to realize its assets and discharge its liabilities in the normal course of business.</w:t>
      </w:r>
    </w:p>
    <w:p>
      <w:pPr>
        <w:spacing w:after="0" w:line="146"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268"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 and Accounting Policies</w:t>
      </w:r>
    </w:p>
    <w:p>
      <w:pPr>
        <w:spacing w:after="0" w:line="130" w:lineRule="exact"/>
        <w:rPr>
          <w:rFonts w:ascii="Arial" w:cs="Arial" w:eastAsia="Arial" w:hAnsi="Arial"/>
          <w:sz w:val="18"/>
          <w:szCs w:val="18"/>
          <w:b w:val="1"/>
          <w:bCs w:val="1"/>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The consolidated financial statements include the financial statements of Mynaric AG and its subsidiaries as of December 31, 2022, and 2021 and for years ended December 31, 2022, 2021 and 2020, and were prepared using accounting policies applied consistently. Subsidiaries are the entities directly or indirectly controlled by Mynaric AG. An entity is controlled when the Company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intragroup balances, income and expenses, unrealized gains and losses, and dividends from intragroup transactions are eliminated.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is the list of consolidated subsidiaries: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960" w:type="dxa"/>
            <w:vAlign w:val="bottom"/>
          </w:tcPr>
          <w:p>
            <w:pPr>
              <w:spacing w:after="0"/>
              <w:rPr>
                <w:sz w:val="20"/>
                <w:szCs w:val="20"/>
                <w:color w:val="auto"/>
              </w:rPr>
            </w:pPr>
            <w:r>
              <w:rPr>
                <w:rFonts w:ascii="Arial" w:cs="Arial" w:eastAsia="Arial" w:hAnsi="Arial"/>
                <w:sz w:val="14"/>
                <w:szCs w:val="14"/>
                <w:color w:val="auto"/>
              </w:rPr>
              <w:t>Company name</w:t>
            </w:r>
          </w:p>
        </w:tc>
        <w:tc>
          <w:tcPr>
            <w:tcW w:w="3380" w:type="dxa"/>
            <w:vAlign w:val="bottom"/>
          </w:tcPr>
          <w:p>
            <w:pPr>
              <w:jc w:val="right"/>
              <w:ind w:right="254"/>
              <w:spacing w:after="0"/>
              <w:rPr>
                <w:sz w:val="20"/>
                <w:szCs w:val="20"/>
                <w:color w:val="auto"/>
              </w:rPr>
            </w:pPr>
            <w:r>
              <w:rPr>
                <w:rFonts w:ascii="Arial" w:cs="Arial" w:eastAsia="Arial" w:hAnsi="Arial"/>
                <w:sz w:val="14"/>
                <w:szCs w:val="14"/>
                <w:color w:val="auto"/>
              </w:rPr>
              <w:t>Shareholding in %</w:t>
            </w:r>
          </w:p>
        </w:tc>
        <w:tc>
          <w:tcPr>
            <w:tcW w:w="1680" w:type="dxa"/>
            <w:vAlign w:val="bottom"/>
          </w:tcPr>
          <w:p>
            <w:pPr>
              <w:ind w:left="540"/>
              <w:spacing w:after="0"/>
              <w:rPr>
                <w:sz w:val="20"/>
                <w:szCs w:val="20"/>
                <w:color w:val="auto"/>
              </w:rPr>
            </w:pPr>
            <w:r>
              <w:rPr>
                <w:rFonts w:ascii="Arial" w:cs="Arial" w:eastAsia="Arial" w:hAnsi="Arial"/>
                <w:sz w:val="14"/>
                <w:szCs w:val="14"/>
                <w:color w:val="auto"/>
              </w:rPr>
              <w:t>Consolidation</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Mynaric Lasercom GmbH, Gilching</w:t>
            </w:r>
          </w:p>
        </w:tc>
        <w:tc>
          <w:tcPr>
            <w:tcW w:w="33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100.0</w:t>
            </w:r>
          </w:p>
        </w:tc>
        <w:tc>
          <w:tcPr>
            <w:tcW w:w="1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fully consolidated</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Mynaric Systems GmbH, Gilching</w:t>
            </w:r>
          </w:p>
        </w:tc>
        <w:tc>
          <w:tcPr>
            <w:tcW w:w="3380" w:type="dxa"/>
            <w:vAlign w:val="bottom"/>
          </w:tcPr>
          <w:p>
            <w:pPr>
              <w:jc w:val="right"/>
              <w:ind w:right="234"/>
              <w:spacing w:after="0"/>
              <w:rPr>
                <w:sz w:val="20"/>
                <w:szCs w:val="20"/>
                <w:color w:val="auto"/>
              </w:rPr>
            </w:pPr>
            <w:r>
              <w:rPr>
                <w:rFonts w:ascii="Arial" w:cs="Arial" w:eastAsia="Arial" w:hAnsi="Arial"/>
                <w:sz w:val="18"/>
                <w:szCs w:val="18"/>
                <w:color w:val="auto"/>
              </w:rPr>
              <w:t>100.0</w:t>
            </w:r>
          </w:p>
        </w:tc>
        <w:tc>
          <w:tcPr>
            <w:tcW w:w="1680" w:type="dxa"/>
            <w:vAlign w:val="bottom"/>
          </w:tcPr>
          <w:p>
            <w:pPr>
              <w:ind w:left="320"/>
              <w:spacing w:after="0"/>
              <w:rPr>
                <w:sz w:val="20"/>
                <w:szCs w:val="20"/>
                <w:color w:val="auto"/>
              </w:rPr>
            </w:pPr>
            <w:r>
              <w:rPr>
                <w:rFonts w:ascii="Arial" w:cs="Arial" w:eastAsia="Arial" w:hAnsi="Arial"/>
                <w:sz w:val="18"/>
                <w:szCs w:val="18"/>
                <w:color w:val="auto"/>
                <w:w w:val="97"/>
              </w:rPr>
              <w:t>fully consolidated</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Mynaric USA, Inc., Los Angeles, USA</w:t>
            </w:r>
          </w:p>
        </w:tc>
        <w:tc>
          <w:tcPr>
            <w:tcW w:w="33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100.0</w:t>
            </w:r>
          </w:p>
        </w:tc>
        <w:tc>
          <w:tcPr>
            <w:tcW w:w="1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fully consolidated</w:t>
            </w:r>
          </w:p>
        </w:tc>
      </w:tr>
      <w:tr>
        <w:trPr>
          <w:trHeight w:val="292"/>
        </w:trPr>
        <w:tc>
          <w:tcPr>
            <w:tcW w:w="5960" w:type="dxa"/>
            <w:vAlign w:val="bottom"/>
          </w:tcPr>
          <w:p>
            <w:pPr>
              <w:spacing w:after="0"/>
              <w:rPr>
                <w:sz w:val="20"/>
                <w:szCs w:val="20"/>
                <w:color w:val="auto"/>
              </w:rPr>
            </w:pPr>
            <w:r>
              <w:rPr>
                <w:rFonts w:ascii="Arial" w:cs="Arial" w:eastAsia="Arial" w:hAnsi="Arial"/>
                <w:sz w:val="18"/>
                <w:szCs w:val="18"/>
                <w:color w:val="auto"/>
              </w:rPr>
              <w:t>Mynaric Government Solutions, Inc., Arlingtion, USA</w:t>
            </w:r>
            <w:r>
              <w:rPr>
                <w:rFonts w:ascii="Arial" w:cs="Arial" w:eastAsia="Arial" w:hAnsi="Arial"/>
                <w:sz w:val="22"/>
                <w:szCs w:val="22"/>
                <w:color w:val="auto"/>
                <w:vertAlign w:val="superscript"/>
              </w:rPr>
              <w:t>1</w:t>
            </w:r>
          </w:p>
        </w:tc>
        <w:tc>
          <w:tcPr>
            <w:tcW w:w="3380" w:type="dxa"/>
            <w:vAlign w:val="bottom"/>
          </w:tcPr>
          <w:p>
            <w:pPr>
              <w:jc w:val="right"/>
              <w:ind w:right="234"/>
              <w:spacing w:after="0"/>
              <w:rPr>
                <w:sz w:val="20"/>
                <w:szCs w:val="20"/>
                <w:color w:val="auto"/>
              </w:rPr>
            </w:pPr>
            <w:r>
              <w:rPr>
                <w:rFonts w:ascii="Arial" w:cs="Arial" w:eastAsia="Arial" w:hAnsi="Arial"/>
                <w:sz w:val="18"/>
                <w:szCs w:val="18"/>
                <w:color w:val="auto"/>
              </w:rPr>
              <w:t>100.0</w:t>
            </w:r>
          </w:p>
        </w:tc>
        <w:tc>
          <w:tcPr>
            <w:tcW w:w="1680" w:type="dxa"/>
            <w:vAlign w:val="bottom"/>
          </w:tcPr>
          <w:p>
            <w:pPr>
              <w:ind w:left="320"/>
              <w:spacing w:after="0"/>
              <w:rPr>
                <w:sz w:val="20"/>
                <w:szCs w:val="20"/>
                <w:color w:val="auto"/>
              </w:rPr>
            </w:pPr>
            <w:r>
              <w:rPr>
                <w:rFonts w:ascii="Arial" w:cs="Arial" w:eastAsia="Arial" w:hAnsi="Arial"/>
                <w:sz w:val="18"/>
                <w:szCs w:val="18"/>
                <w:color w:val="auto"/>
                <w:w w:val="97"/>
              </w:rPr>
              <w:t>fully consolidated</w:t>
            </w:r>
          </w:p>
        </w:tc>
      </w:tr>
    </w:tbl>
    <w:p>
      <w:pPr>
        <w:spacing w:after="0" w:line="130" w:lineRule="exact"/>
        <w:rPr>
          <w:sz w:val="20"/>
          <w:szCs w:val="20"/>
          <w:color w:val="auto"/>
        </w:rPr>
      </w:pPr>
    </w:p>
    <w:p>
      <w:pPr>
        <w:ind w:left="340" w:hanging="224"/>
        <w:spacing w:after="0"/>
        <w:tabs>
          <w:tab w:leader="none" w:pos="34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Mynaric Government Solutions, Inc. was established on April 28, 2022.</w:t>
      </w:r>
    </w:p>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Accounting Policies</w:t>
      </w:r>
    </w:p>
    <w:p>
      <w:pPr>
        <w:spacing w:after="0" w:line="131"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in Foreign Currency and Translation into Foreign Currency</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consolidated financial statements are prepared in euro, the functional currency of the Mynaric AG.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each subsidiary corresponds to its respective local currency. Foreign currency transactions are remeasured into the respective functional currency of the respective entity at the exchange rates at the date such transactions occur.</w:t>
      </w:r>
    </w:p>
    <w:p>
      <w:pPr>
        <w:spacing w:after="0" w:line="188"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8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assets and liabilities of entities with a functional currency other than the Euro, are translated into Euro at the exchange rates at the reporting date. The income and expenses of such companies are translated into Euro at the average exchange rates of the reporting period. Currency translation differences are recognized in other comprehensive income and presented as a reserve for exchange rate differences in equity.</w:t>
      </w:r>
    </w:p>
    <w:p>
      <w:pPr>
        <w:spacing w:after="0" w:line="310"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accordance with IFRS 15 (Revenue from Contracts with Customers), revenue is recognized when control over distinct goods or services are transferred to a customer, i.e., when the customer has the ability to direct the use of, and obtains substantially all of the remaining benefits from, the transferred goods or services. A prerequisite for this is that an arrangement exists with enforceable rights and obligations and that, among other things, it is probable that the entity will collect the consideration, considering the customer’s credit standing.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from the sale of goods and provision of services. In addition, revenue is recognized when the underlying contract is terminated due to customer default in accordance with IFRS 15.15 b).</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a contract involves multiple distinct goods or services, the transaction price is allocated across the performance obligations based on the relative stand-alone selling prices. If stand-alone selling prices are not directly observable, they are estimated using the amounts that depicts the amount of consideration to which the Company expects to be entitled in the exchange for the goods or services promised to the customer. For each performance obligation, revenue is recognized either at a point in time or over time.</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Revenue recognition over time is required if the customer simultaneously receives and consumes the benefits provided by the Company’s performance, the Company creates or enhances an asset that is controlled by the customer, or the Company creates an asset without an alternative use to the Company and simultaneously has an enforceable right to payment for performance completed.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generates revenue from:</w:t>
      </w:r>
    </w:p>
    <w:p>
      <w:pPr>
        <w:spacing w:after="0" w:line="13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sale of laser communication terminals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provision of services (training, support and other services)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information about the nature and timing of the satisfaction of performance obligations in contracts with customers, including significant payment terms, and the related revenue recognition policies.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660" w:type="dxa"/>
            <w:vAlign w:val="bottom"/>
          </w:tcPr>
          <w:p>
            <w:pPr>
              <w:jc w:val="center"/>
              <w:ind w:right="648"/>
              <w:spacing w:after="0"/>
              <w:rPr>
                <w:sz w:val="20"/>
                <w:szCs w:val="20"/>
                <w:color w:val="auto"/>
              </w:rPr>
            </w:pPr>
            <w:r>
              <w:rPr>
                <w:rFonts w:ascii="Arial" w:cs="Arial" w:eastAsia="Arial" w:hAnsi="Arial"/>
                <w:sz w:val="14"/>
                <w:szCs w:val="14"/>
                <w:b w:val="1"/>
                <w:bCs w:val="1"/>
                <w:color w:val="auto"/>
                <w:w w:val="92"/>
              </w:rPr>
              <w:t>Type of</w:t>
            </w:r>
          </w:p>
        </w:tc>
        <w:tc>
          <w:tcPr>
            <w:tcW w:w="480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Nature and timing of satisfaction of performance</w:t>
            </w:r>
          </w:p>
        </w:tc>
        <w:tc>
          <w:tcPr>
            <w:tcW w:w="2820" w:type="dxa"/>
            <w:vAlign w:val="bottom"/>
            <w:vMerge w:val="restart"/>
          </w:tcPr>
          <w:p>
            <w:pPr>
              <w:ind w:left="1060"/>
              <w:spacing w:after="0"/>
              <w:rPr>
                <w:sz w:val="20"/>
                <w:szCs w:val="20"/>
                <w:color w:val="auto"/>
              </w:rPr>
            </w:pPr>
            <w:r>
              <w:rPr>
                <w:rFonts w:ascii="Arial" w:cs="Arial" w:eastAsia="Arial" w:hAnsi="Arial"/>
                <w:sz w:val="14"/>
                <w:szCs w:val="14"/>
                <w:b w:val="1"/>
                <w:bCs w:val="1"/>
                <w:color w:val="auto"/>
                <w:w w:val="89"/>
              </w:rPr>
              <w:t>Revenue recognition policies</w:t>
            </w:r>
          </w:p>
        </w:tc>
        <w:tc>
          <w:tcPr>
            <w:tcW w:w="0" w:type="dxa"/>
            <w:vAlign w:val="bottom"/>
          </w:tcPr>
          <w:p>
            <w:pPr>
              <w:spacing w:after="0"/>
              <w:rPr>
                <w:sz w:val="1"/>
                <w:szCs w:val="1"/>
                <w:color w:val="auto"/>
              </w:rPr>
            </w:pPr>
          </w:p>
        </w:tc>
      </w:tr>
      <w:tr>
        <w:trPr>
          <w:trHeight w:val="185"/>
        </w:trPr>
        <w:tc>
          <w:tcPr>
            <w:tcW w:w="1660" w:type="dxa"/>
            <w:vAlign w:val="bottom"/>
          </w:tcPr>
          <w:p>
            <w:pPr>
              <w:jc w:val="center"/>
              <w:ind w:right="648"/>
              <w:spacing w:after="0"/>
              <w:rPr>
                <w:sz w:val="20"/>
                <w:szCs w:val="20"/>
                <w:color w:val="auto"/>
              </w:rPr>
            </w:pPr>
            <w:r>
              <w:rPr>
                <w:rFonts w:ascii="Arial" w:cs="Arial" w:eastAsia="Arial" w:hAnsi="Arial"/>
                <w:sz w:val="14"/>
                <w:szCs w:val="14"/>
                <w:b w:val="1"/>
                <w:bCs w:val="1"/>
                <w:color w:val="auto"/>
                <w:w w:val="90"/>
              </w:rPr>
              <w:t>product/service</w:t>
            </w:r>
          </w:p>
        </w:tc>
        <w:tc>
          <w:tcPr>
            <w:tcW w:w="480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obligation including significant payment terms</w:t>
            </w: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0</wp:posOffset>
            </wp:positionV>
            <wp:extent cx="26574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tbl>
      <w:tblPr>
        <w:tblLayout w:type="fixed"/>
        <w:tblInd w:w="120" w:type="dxa"/>
        <w:tblCellMar>
          <w:top w:w="0" w:type="dxa"/>
          <w:left w:w="0" w:type="dxa"/>
          <w:bottom w:w="0" w:type="dxa"/>
          <w:right w:w="0" w:type="dxa"/>
        </w:tblCellMar>
      </w:tblPr>
      <w:tr>
        <w:trPr>
          <w:trHeight w:val="195"/>
        </w:trPr>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Sale of products</w:t>
            </w:r>
          </w:p>
        </w:tc>
        <w:tc>
          <w:tcPr>
            <w:tcW w:w="220" w:type="dxa"/>
            <w:vAlign w:val="bottom"/>
          </w:tcPr>
          <w:p>
            <w:pPr>
              <w:spacing w:after="0"/>
              <w:rPr>
                <w:sz w:val="16"/>
                <w:szCs w:val="16"/>
                <w:color w:val="auto"/>
              </w:rPr>
            </w:pPr>
          </w:p>
        </w:tc>
        <w:tc>
          <w:tcPr>
            <w:tcW w:w="44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7"/>
              </w:rPr>
              <w:t>Customers obtain control of the laser terminals when the</w:t>
            </w:r>
          </w:p>
        </w:tc>
      </w:t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goods are delivered and accepted by the customer. Invoices</w:t>
            </w:r>
          </w:p>
        </w:tc>
      </w:t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are generated at that point in time. Invoices are usually</w:t>
            </w:r>
          </w:p>
        </w:tc>
      </w:tr>
      <w:tr>
        <w:trPr>
          <w:trHeight w:val="230"/>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payable within 10 to 60 days.</w:t>
            </w:r>
          </w:p>
        </w:tc>
      </w:tr>
      <w:tr>
        <w:trPr>
          <w:trHeight w:val="539"/>
        </w:trPr>
        <w:tc>
          <w:tcPr>
            <w:tcW w:w="2200" w:type="dxa"/>
            <w:vAlign w:val="bottom"/>
            <w:gridSpan w:val="2"/>
          </w:tcPr>
          <w:p>
            <w:pPr>
              <w:spacing w:after="0"/>
              <w:rPr>
                <w:sz w:val="20"/>
                <w:szCs w:val="20"/>
                <w:color w:val="auto"/>
              </w:rPr>
            </w:pPr>
            <w:r>
              <w:rPr>
                <w:rFonts w:ascii="Arial" w:cs="Arial" w:eastAsia="Arial" w:hAnsi="Arial"/>
                <w:sz w:val="18"/>
                <w:szCs w:val="18"/>
                <w:color w:val="auto"/>
              </w:rPr>
              <w:t>Training, support and other</w:t>
            </w:r>
          </w:p>
        </w:tc>
        <w:tc>
          <w:tcPr>
            <w:tcW w:w="4420" w:type="dxa"/>
            <w:vAlign w:val="bottom"/>
          </w:tcPr>
          <w:p>
            <w:pPr>
              <w:ind w:left="20"/>
              <w:spacing w:after="0"/>
              <w:rPr>
                <w:sz w:val="20"/>
                <w:szCs w:val="20"/>
                <w:color w:val="auto"/>
              </w:rPr>
            </w:pPr>
            <w:r>
              <w:rPr>
                <w:rFonts w:ascii="Arial" w:cs="Arial" w:eastAsia="Arial" w:hAnsi="Arial"/>
                <w:sz w:val="18"/>
                <w:szCs w:val="18"/>
                <w:color w:val="auto"/>
                <w:w w:val="92"/>
              </w:rPr>
              <w:t>The Company provides training, support and other services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4420" w:type="dxa"/>
            <w:vAlign w:val="bottom"/>
          </w:tcPr>
          <w:p>
            <w:pPr>
              <w:ind w:left="20"/>
              <w:spacing w:after="0"/>
              <w:rPr>
                <w:sz w:val="20"/>
                <w:szCs w:val="20"/>
                <w:color w:val="auto"/>
              </w:rPr>
            </w:pPr>
            <w:r>
              <w:rPr>
                <w:rFonts w:ascii="Arial" w:cs="Arial" w:eastAsia="Arial" w:hAnsi="Arial"/>
                <w:sz w:val="18"/>
                <w:szCs w:val="18"/>
                <w:color w:val="auto"/>
                <w:w w:val="91"/>
              </w:rPr>
              <w:t>to its customers. The customer simultaneously receives and</w:t>
            </w:r>
          </w:p>
        </w:tc>
      </w:t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2"/>
              </w:rPr>
              <w:t>consumes the benefits provided by the entity’s performance</w:t>
            </w:r>
          </w:p>
        </w:tc>
      </w:t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as the entity performs. Invoices for these services are either</w:t>
            </w:r>
          </w:p>
        </w:tc>
      </w:t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2"/>
              </w:rPr>
              <w:t>issued based on the agreed payment plan of the respective</w:t>
            </w:r>
          </w:p>
        </w:tc>
      </w:t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contract or after the completion of the services. Invoices are</w:t>
            </w:r>
          </w:p>
        </w:tc>
      </w:tr>
      <w:tr>
        <w:trPr>
          <w:trHeight w:val="230"/>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usually payable within 30 days.</w:t>
            </w:r>
          </w:p>
        </w:tc>
      </w:tr>
    </w:tbl>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Arial" w:cs="Arial" w:eastAsia="Arial" w:hAnsi="Arial"/>
          <w:sz w:val="18"/>
          <w:szCs w:val="18"/>
          <w:color w:val="auto"/>
        </w:rPr>
        <w:t>Revenue is recognized at point in time when the customer obtains control over the good. Generally, this happens, when the good is delivered at the place agreed in the customer agreement.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Advances received are presented as contract liabilities.</w:t>
      </w:r>
    </w:p>
    <w:p>
      <w:pPr>
        <w:spacing w:after="0" w:line="12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Revenue is recognized over time based on the cost-to-cost method unless they are not relevant for satisfaction of performance obligation.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Advances received are included in contract liabilities.</w:t>
      </w:r>
    </w:p>
    <w:p>
      <w:pPr>
        <w:spacing w:after="0" w:line="868" w:lineRule="exact"/>
        <w:rPr>
          <w:sz w:val="20"/>
          <w:szCs w:val="20"/>
          <w:color w:val="auto"/>
        </w:rPr>
      </w:pPr>
    </w:p>
    <w:p>
      <w:pPr>
        <w:sectPr>
          <w:pgSz w:w="11900" w:h="16838" w:orient="portrait"/>
          <w:cols w:equalWidth="0" w:num="2">
            <w:col w:w="6740" w:space="200"/>
            <w:col w:w="4200"/>
          </w:cols>
          <w:pgMar w:left="320" w:top="486" w:right="439" w:bottom="1440" w:gutter="0" w:footer="0" w:header="0"/>
          <w:type w:val="continuous"/>
        </w:sectPr>
      </w:pPr>
    </w:p>
    <w:p>
      <w:pPr>
        <w:spacing w:after="0" w:line="146"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Grants</w:t>
      </w:r>
    </w:p>
    <w:p>
      <w:pPr>
        <w:spacing w:after="0" w:line="121"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Company has received various government grants related to innovation projects encouraged by governmental authorities which generally reimburse a specified amount or proportion of the costs related to such projects. These grants are received or receivable in exchange for past and / or future compliance with conditions specified plan or program under which they were given the respective governmental authority, and, accordingly, they are accounted for as government grants under IAS 20. Government grants related to capitalized assets are recognized on the date on which the conditions for receipt of the grant are met and are deducted from the carrying amount of the respective assets.</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Government grants related to expenses incurred by the Group are recognized in profit or loss as other operating income on a systematic basis in the periods in which the expenses are recognized, unless the conditions for receiving the grant are met after the related expenses have been recognized. In this case, the grant is recognized when it becomes receivable.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Result</w:t>
      </w:r>
    </w:p>
    <w:p>
      <w:pPr>
        <w:spacing w:after="0" w:line="121"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financial result includes the net income/expense from other financial expenses arising from liabilities and the result from remeasurement of foreign currency transactions in their respective functional currencies. Interest expenses are recognized in profit or loss, using the effective interest method.</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Borrowing costs are expensed directly when incurred unless they are directly attributable to the acquisition, construction, or production of a qualifying asset and therefore form part of the cost of that asset.</w:t>
      </w:r>
    </w:p>
    <w:p>
      <w:pPr>
        <w:spacing w:after="0" w:line="31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w:t>
      </w:r>
    </w:p>
    <w:p>
      <w:pPr>
        <w:spacing w:after="0" w:line="16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Intangible assets include purchased software and licenses as well as capitalized development expenses. Purchased software and licenses are amortized on a straight-line basis over their expected useful life of three to five years.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w:t>
      </w:r>
    </w:p>
    <w:p>
      <w:pPr>
        <w:spacing w:after="0" w:line="18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17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Company capitalizes costs for the development of a technology until the time that development of such technology is completed. The capitalized development costs are amortized on a straight-line basis over the economic useful life of 15 years based on the expected useful life of such technology. Amortization of capitalized development costs commences upon completion of the development project (technology). Amortization expense resulting from capitalized development costs is reported in the statement of profit or loss under depreciation and amortization.</w:t>
      </w:r>
    </w:p>
    <w:p>
      <w:pPr>
        <w:spacing w:after="0" w:line="30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Property, plant, and equipment are recognized at cost, and also includes capitalized borrowing costs, less any accumulated depreciation and impairment losses, if any. Depreciation is recognized on a straight-line basis. The depreciation period is based on the expected useful life of each respective asset. The underlying useful life is three years for computer hardware, and ranges between three and 14 years for machinery, furniture, fixtures, and office equipment, as well as leasehold improvements.</w:t>
      </w:r>
    </w:p>
    <w:p>
      <w:pPr>
        <w:spacing w:after="0" w:line="18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useful lives, residual values, and depreciation methods for property, plant, and equipment are reviewed periodically and adjusted prospectively, if necessary, to ensure that the depreciation method and depreciation period reflect the expected economic benefit of the assets.</w:t>
      </w:r>
    </w:p>
    <w:p>
      <w:pPr>
        <w:spacing w:after="0" w:line="291"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in equity-accounted investees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interests in equity-accounted investees comprise interests in associates and a joint venture.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Associates are those entities in which the Group has significant influence, but not control or joint control, over the financial and operating policies. A joint venture is an arrangement in which the Group has joint control, whereby the Group has rights to the net assets of the arrangement, rather than rights to its assets and obligations for its liabilities.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Interests in associates and the joint venture are accounted for using the equity method. They are initially recognized at cost. Subsequent to initial recognition, the consolidated financial statements include the Group’s share of the profit or loss and OCI of equity-accounted investees, until the date on which significant influence or joint control ceases.</w:t>
      </w:r>
    </w:p>
    <w:p>
      <w:pPr>
        <w:spacing w:after="0" w:line="328"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Non-current Non-financial Assets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each reporting date, management reviews whether any indication exists that non-financial assets may be subject to impairment losses or reversals of impairment losses. If such indications exist, management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not yet available for use are tested for impairment at least once per year.</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FVLCOD and the value in use is based on the estimated future cash flows of the cash-generating unit, discounted to their present value using a risk-adjusted pre-tax interest rate. The future cash flows are determined based on the long-term planning approved by the management as applicable as of the date when the impairment test is conducted.</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each reporting date, the Company reviews whether an impairment loss recognized in previous periods no longer exists or may have decreased. In these cases, the Company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331"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Inventories are recognized at the lower of cost or net realizable value. The cost (including costs of purchase and manufacturing costs) is determined based on the moving average price of the item.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Apart from directly attributable unit costs, production costs include appropriate portions of production overheads based on normal operating capacity.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net realizable value is the estimated selling price in the ordinary course of business, less the estimated costs of completion and selling expenses.</w:t>
      </w:r>
    </w:p>
    <w:p>
      <w:pPr>
        <w:spacing w:after="0" w:line="23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Write-downs to the lower net realizable values primarily consider inventory risks resulting from turnover period and reduced recoverability. Write-downs are reversed if the reasons that resulted in the impairment of inventories no longer exist.</w:t>
      </w:r>
    </w:p>
    <w:p>
      <w:pPr>
        <w:spacing w:after="0" w:line="315"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Trade receivables are initially recognized when they are originated. All other financial assets and financial liabilities are initially recognized when the Group becomes a party to the contractual provisions of the instrument.</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financial asset (unless it is a trade receivable without a significant financing component) or financial liability is initially measured at fair value plus or minus, for an item not at Fair value through profit or loss (“FVTPL”), transaction costs that are directly attributable to its acquisition or issue. A trade receivable without a significant financing component is initially measured at the transaction price.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86"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 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initial recognition, a financial asset is classified as measured at:</w:t>
      </w:r>
    </w:p>
    <w:p>
      <w:pPr>
        <w:spacing w:after="0" w:line="131"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 – amortised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FVOCI – debt investment and equity investment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FVTPL – Fair value through profit or loss</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Currently, no financial assets are classified as FVOCI. The classification is made on initial recognition and the 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Financial assets are derecognized when the contractual rights to the cash flows from the financial asset expire or have been transferred and the Company has transferred substantially all the risks and rewards of ownership.</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classified as measured at amortized costs.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Embedded derivatives are separated from the host contract and accounted for separately if the host contract is not a financial asset and certain criteria are met.</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Derivatives are initially measured at fair value. Subsequent to initial recognition, derivatives are measured at fair value, and changes therein are generally recognized in profit or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holds the following instruments as financial assets that are subject to the credit loss model in accordance with IFRS 9:</w:t>
      </w:r>
    </w:p>
    <w:p>
      <w:pPr>
        <w:spacing w:after="0" w:line="131"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Trade receivables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financial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also recognizes loss allowances for expected credit losses (“ECL”) on lease receivables, which are disclosed as part of trade and other receivables</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general impairment methodology follows a three-stage approach based on the change in credit quality of financial assets since initial recognition (general approach). At initial recognition, debt instruments are assumed to have a low credit risk, for which a loss allowance for 12-months ECL is recognized (Stage 1). When there has been a significant increase in credit risk, the loss allowance is measured using lifetime ECL (Stage 2). A significant increase in credit risk is presumed if a debtor is more than 30 days past due in making a contractual payment. If there is objective evidence of impairment (Stage 3), the Company also accounts for lifetime ECL and recognizes an impairment. Mynaric considers that there is objective evidence of impairment if any of the following indicators are present: significant financial difficulties of the debtor, probability that the debtor will enter bankruptcy or financial reorganization or default or delinquency in payments.</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Company applies this general approach for cash and cash equivalents as well as other assets. These assets are considered to have a low credit risk when the issuer has a strong capacity to meet its contractual cash flow obligations in the near term. Cash and cash equivalents are only placed at banks with credit ratings of investment grade or higher. Rental deposits are trust assets that, in case of a default of the counterparty, are separated from insolvency estate and are paid back primarily. Considering that, the impairment for these assets is not material.</w:t>
      </w:r>
    </w:p>
    <w:p>
      <w:pPr>
        <w:spacing w:after="0" w:line="17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trade and other receivables, Mynaric applies the simplified approach under which lifetime ECL is recognized without monitoring the change in customers’ credit risk.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86" w:right="4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Impairment losses, including reversals of impairment losses or impairment gains, are presented as other income, net in the consolidated statement of profit and comprehensive income.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ECLs are a probability-weighted estimate of credit losses. Credit losses are measured as the present value of all cash shortfalls (i.e., the difference between the cash flows due to the entity in accordance with the contract and the cash flows that the Group expects to receive). ECLs are discounted at the effective interest rate of the financial asset.</w:t>
      </w:r>
    </w:p>
    <w:p>
      <w:pPr>
        <w:spacing w:after="0" w:line="328"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ii) Financial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liabilities are measured at fair value upon initial recognition, less any directly attributable transaction costs in the case of loans and liabilities.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financial liabilities comprise trade and other payables as well as liabilities to banks, including overdraft credits.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subsequent measurement of financial liabilities depends on their classification, as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 measured at fair value through profit or loss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financial liability is classified as held for trading if it is acquired for the purpose of repurchasing it in the near term.</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except for derivatives that have been designated as hedging instruments and are determined to be effective as such.</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Gains or losses on financial liabilities held for trading are recognized in profit or loss.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classification of financial liabilities as measured at fair value through profit or loss is made upon initial recognition if the criteria pursuant to IFRS 9 are met. The Company does not have any financial liabilities that are measured at fair value through profit or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 measured at amortized cost (“FLAC”)</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This category comprises trade payables, other liabilities, and loans.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Financial assets and financial liabilities are offset and the net amount presented in the statement of financial position when, and only when, the Group currently has a legally enforceable right to set off the amounts and it intends either to settle them on a net basis or to realize the asset and settle the liability simultaneously.</w:t>
      </w:r>
    </w:p>
    <w:p>
      <w:pPr>
        <w:spacing w:after="0" w:line="328"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Income taxes are comprised of current and deferred taxes. Current and deferred taxes are recognized in profit or loss to the extent that they do not relate to items recorded in equity or other comprehensive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taxes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expected income tax liabilities or receivables arising as a result of the taxable profit in each applicable tax jurisdiction, taking into account applicable tax rules and regulations, are recognized as current taxes. The tax rates applicable as of the reporting date are used for measurement. All necessary adjustments to tax liabilities or tax assets from prior periods are also considered.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86"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accordance with IAS 12, temporary differences between the tax base of assets and liabilities on the one hand and their carrying amount under IFRS,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Current and deferred income taxes for 2022 were determined using the applicable tax rates. The Company applies a tax rate of 27.725% to calculate deferred taxes for Mynaric AG and its German subsidiaries. This combined income tax rate comprises 15% corporation tax plus 5.5% solidarity surcharge thereon as well as 11.9% trade tax.</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Deferred tax assets and liabilities are offset if the deferred taxes refer to income taxes levied by the same taxation authority and if the current taxes are offset against each other.</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Changes in deferred tax assets and liabilities are generally recognized through profit and loss, except for changes recognized in other comprehensive income or directly in equity.</w:t>
      </w:r>
    </w:p>
    <w:p>
      <w:pPr>
        <w:spacing w:after="0" w:line="315"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Share issue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Incremental costs directly attributable to the issue of ordinary shares are recognized as a deduction from the capital reserve.</w:t>
      </w:r>
    </w:p>
    <w:p>
      <w:pPr>
        <w:spacing w:after="0" w:line="370"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Equity-settled share-based payment</w:t>
      </w:r>
    </w:p>
    <w:p>
      <w:pPr>
        <w:spacing w:after="0" w:line="121"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grant-date fair value of equity-settled share-based payment arrangements granted to employees is generally recognized as an expense, with a corresponding increase in equity, over the vesting period of the awards. 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 For equity-settled share-based payments awards with non-vesting conditions, the grant-date fair value of the equity-settled share-based payment is measured to reflect such conditions and there is no true-up for differences between expected and actual outcomes.</w:t>
      </w:r>
    </w:p>
    <w:p>
      <w:pPr>
        <w:spacing w:after="0" w:line="322"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Company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long-term provisions with an interest portion the increase in the amount of a provision reflecting the time value of money is recognized as interest expense in the financial result.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are reviewed as of each reporting date and adjusted to the current best estimate.</w:t>
      </w:r>
    </w:p>
    <w:p>
      <w:pPr>
        <w:spacing w:after="0" w:line="370"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for Onerous Contracts</w:t>
      </w:r>
    </w:p>
    <w:p>
      <w:pPr>
        <w:spacing w:after="0" w:line="121"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Present obligations arising in connection with onerous contracts are recognized as provisions. The existence of an onerous contract is presumed when the Group is party to a contract that is expected to be settled by incur-ring costs that exceed the economic benefits available under the contract.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86" w:right="4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provision for onerous contracts is measured at the present value of the lower of the expected cost of terminating the contract and the expected net cost of continuing with the contract, which is determined based on the full cost necessary to fulfil the obligation under the contract. Before a provision is established, the Group recognizes any impairment loss on the assets associated with that contract.</w:t>
      </w:r>
    </w:p>
    <w:p>
      <w:pPr>
        <w:spacing w:after="0" w:line="328"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At contract inception, the Company assesses whether the contract is or contains a lease. This is the case if the contract conveys the right to control the use of an identified asset for a period of time in exchange for consideration.</w:t>
      </w:r>
    </w:p>
    <w:p>
      <w:pPr>
        <w:spacing w:after="0" w:line="315"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 The Company as lessee</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presents all leases on the face of the statement of financial position with the exception of short-term leases and leases for low-value assets. It recognizes liabilities for lease payments to be made and right-of-use assets for the right to use the underlying asset.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Right-of-use assets</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recognizes right-of-use assets as of the commencement date (i.e., the date on which the underlying leased asset is available for use). Right-of-use assets are measured at cost less accumulated depreciation and accumulated impairment losses, if any,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leased asset, as follows:</w:t>
      </w:r>
    </w:p>
    <w:p>
      <w:pPr>
        <w:spacing w:after="0" w:line="82"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Real estate – 3 to 10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leases – 3 to 5 years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group is certain to exercise a purchase option, the right-of-use asset is depreciated over the underlying asset’s useful life, as follows:</w:t>
      </w:r>
    </w:p>
    <w:p>
      <w:pPr>
        <w:spacing w:after="0" w:line="131"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leases – 10 to 15 years</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If ownership of the leased asset is transferred to the Company at the end of the lease term or the exercise of a purchase option is considered in the determination of the cost, depreciation is determined based on the expected useful life of the leased asset. In addition, right-of-use assets are subject to impairment testing in the same manner as property, plant and equipment described in note 3.2 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liabilities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On the commencement date, the Company recognizes the lease liability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occurs. The Company determines the lease term based on the non-cancelable period of a lease and any periods covered by an option to extend the lease if the lessee is reasonably certain to exercise such option.</w:t>
      </w:r>
    </w:p>
    <w:p>
      <w:pPr>
        <w:spacing w:after="0" w:line="166"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Company uses the interest rate implicit in the lease, if known to the Company, for the calculation of the present value of the lease payments. In the case of leases for which this interest rate is unknown, the Company applies its incremental borrowing rate as of the commencement date. The incremental borrowing rate is the rate of interest that the Company would have to pay to borrow over a similar term, and with a similar security, the funds necessary to obtain an asset of a similar value to the right-of-use asset in a similar economic environment. After the commencement date, the lease payment is split into a principal and interest portion with the liability being reduced for the principal portion and the interest is recorded in the consolidated statement of profit and loss and other comprehensive income. In addition, the carrying amount of the lease liabilities is remeasured to reflect any modifications to the lease, changes in the lease term, changes in the lease payments (e.g., changes of future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86" w:right="4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lease payments following a change in the index or rate used to determine these payments), or changes in the assessment of an option to purchase the underlying asset.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leases and leases for low-value assets</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Company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Company also applies the exemption provided for leases for low-value assets. Lease payments for short-term leases and for leases for low-value assets are recognized as an expense on a straight-line basis over the lease term.</w:t>
      </w:r>
    </w:p>
    <w:p>
      <w:pPr>
        <w:spacing w:after="0" w:line="316"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ii) The Company as a lessor</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At inception or on modification of a contract with customer that contains a lease component, the Company allocates the consideration in the contract to each lease component based on their relative standalone prices.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recognizes payments received related to lease under operating leases as income on a straight-line basis over the lease term as part of other operating income.</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Changes in accounting policies</w:t>
      </w:r>
    </w:p>
    <w:p>
      <w:pPr>
        <w:spacing w:after="0" w:line="131"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financial reporting standards and interpretations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International Accounting Standards Board (IASB) and the IFRS Interpretation Committee (IC) amended the following standards and interpretations that must be applied for the fiscal year 2022 from January 1, 2022:</w:t>
      </w:r>
    </w:p>
    <w:p>
      <w:pPr>
        <w:spacing w:after="0" w:line="76"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Property, Plant and Equipment: Proceeds before intended use – Amendments to IAS 16</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Reference to the Conceptual Framework – Amendments to IFRS 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Onerous Contracts – Cost of Fulfilling a Contract Amendments to IAS 37</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Annual Improvements to IFRS Standards 2018 – 2020 (IFRS 9, IFRS 16, IFRS 1, IAS 41)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has adopted all the foregoing amendments in 2022, none of which had a significant impact on the consolidated financial statements.</w:t>
      </w:r>
    </w:p>
    <w:p>
      <w:pPr>
        <w:spacing w:after="0" w:line="381"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financial reporting rules that have not yet been applied</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IASB has issued standards, interpretations, and amendments to existing standards whose application is not yet required, or which must be applied only in subsequent reporting periods, respectively, and which have not been applied early by the Company.</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Arial" w:cs="Arial" w:eastAsia="Arial" w:hAnsi="Arial"/>
                <w:sz w:val="14"/>
                <w:szCs w:val="14"/>
                <w:color w:val="auto"/>
              </w:rPr>
              <w:t>Date of application</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IFRS 17 Insurance Contracts</w:t>
            </w:r>
          </w:p>
        </w:tc>
        <w:tc>
          <w:tcPr>
            <w:tcW w:w="15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Jan. 1, 2023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Classification of Liabilities as Current or Non-current – Amendments to IAS 1</w:t>
            </w:r>
          </w:p>
        </w:tc>
        <w:tc>
          <w:tcPr>
            <w:tcW w:w="1540" w:type="dxa"/>
            <w:vAlign w:val="bottom"/>
          </w:tcPr>
          <w:p>
            <w:pPr>
              <w:ind w:left="600"/>
              <w:spacing w:after="0"/>
              <w:rPr>
                <w:sz w:val="20"/>
                <w:szCs w:val="20"/>
                <w:color w:val="auto"/>
              </w:rPr>
            </w:pPr>
            <w:r>
              <w:rPr>
                <w:rFonts w:ascii="Arial" w:cs="Arial" w:eastAsia="Arial" w:hAnsi="Arial"/>
                <w:sz w:val="18"/>
                <w:szCs w:val="18"/>
                <w:color w:val="auto"/>
                <w:w w:val="92"/>
              </w:rPr>
              <w:t>Jan. 1, 2024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Disclosure of Accounting Policies – Amendments to IAS 1 and IFRS Practice Statement 2</w:t>
            </w:r>
          </w:p>
        </w:tc>
        <w:tc>
          <w:tcPr>
            <w:tcW w:w="15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Jan. 1, 2023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Definition of Accounting Estimates – Amendments to IAS 8</w:t>
            </w:r>
          </w:p>
        </w:tc>
        <w:tc>
          <w:tcPr>
            <w:tcW w:w="1540" w:type="dxa"/>
            <w:vAlign w:val="bottom"/>
          </w:tcPr>
          <w:p>
            <w:pPr>
              <w:ind w:left="600"/>
              <w:spacing w:after="0"/>
              <w:rPr>
                <w:sz w:val="20"/>
                <w:szCs w:val="20"/>
                <w:color w:val="auto"/>
              </w:rPr>
            </w:pPr>
            <w:r>
              <w:rPr>
                <w:rFonts w:ascii="Arial" w:cs="Arial" w:eastAsia="Arial" w:hAnsi="Arial"/>
                <w:sz w:val="18"/>
                <w:szCs w:val="18"/>
                <w:color w:val="auto"/>
                <w:w w:val="92"/>
              </w:rPr>
              <w:t>Jan. 1, 2023</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Initial Application of IFRS 17 and IFRS 9 – Comparative Information (Amendment to IFRS 17)</w:t>
            </w:r>
          </w:p>
        </w:tc>
        <w:tc>
          <w:tcPr>
            <w:tcW w:w="15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Jan. 1, 2023</w:t>
            </w: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w w:val="95"/>
              </w:rPr>
              <w:t>Deferred Tax related to Assets and Liabilities arising from a Single Transaction – Amendments to IAS</w:t>
            </w:r>
          </w:p>
        </w:tc>
        <w:tc>
          <w:tcPr>
            <w:tcW w:w="1540" w:type="dxa"/>
            <w:vAlign w:val="bottom"/>
          </w:tcPr>
          <w:p>
            <w:pPr>
              <w:spacing w:after="0"/>
              <w:rPr>
                <w:sz w:val="17"/>
                <w:szCs w:val="17"/>
                <w:color w:val="auto"/>
              </w:rPr>
            </w:pPr>
          </w:p>
        </w:tc>
      </w:tr>
      <w:tr>
        <w:trPr>
          <w:trHeight w:val="230"/>
        </w:trPr>
        <w:tc>
          <w:tcPr>
            <w:tcW w:w="7720" w:type="dxa"/>
            <w:vAlign w:val="bottom"/>
          </w:tcPr>
          <w:p>
            <w:pPr>
              <w:ind w:left="180"/>
              <w:spacing w:after="0"/>
              <w:rPr>
                <w:sz w:val="20"/>
                <w:szCs w:val="20"/>
                <w:color w:val="auto"/>
              </w:rPr>
            </w:pPr>
            <w:r>
              <w:rPr>
                <w:rFonts w:ascii="Arial" w:cs="Arial" w:eastAsia="Arial" w:hAnsi="Arial"/>
                <w:sz w:val="18"/>
                <w:szCs w:val="18"/>
                <w:color w:val="auto"/>
              </w:rPr>
              <w:t>12</w:t>
            </w:r>
          </w:p>
        </w:tc>
        <w:tc>
          <w:tcPr>
            <w:tcW w:w="1540" w:type="dxa"/>
            <w:vAlign w:val="bottom"/>
          </w:tcPr>
          <w:p>
            <w:pPr>
              <w:ind w:left="600"/>
              <w:spacing w:after="0"/>
              <w:rPr>
                <w:sz w:val="20"/>
                <w:szCs w:val="20"/>
                <w:color w:val="auto"/>
              </w:rPr>
            </w:pPr>
            <w:r>
              <w:rPr>
                <w:rFonts w:ascii="Arial" w:cs="Arial" w:eastAsia="Arial" w:hAnsi="Arial"/>
                <w:sz w:val="18"/>
                <w:szCs w:val="18"/>
                <w:color w:val="auto"/>
                <w:w w:val="92"/>
              </w:rPr>
              <w:t>Jan. 1, 2023</w:t>
            </w:r>
          </w:p>
        </w:tc>
      </w:tr>
    </w:tbl>
    <w:p>
      <w:pPr>
        <w:spacing w:after="0" w:line="20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is currently analyzing the effects of the new or revised financial reporting standards listed above but does not expect any material effects resulting from application of the revised standards to the Company.</w:t>
      </w:r>
    </w:p>
    <w:p>
      <w:pPr>
        <w:spacing w:after="0" w:line="315"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judgments, estimates and assumptions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preparation of the consolidated financial statements requires the Management Board to make judgments, estimates and assumptions that affect the application of accounting policies and the amounts reported for assets, liabilities, income, and expenses. The most significant of these are described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86" w:right="4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Actual results may differ from these estimates.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Estimates and underlying assumptions are continuously reviewed. Revisions of estimates are accounted for on a prospective basis.</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Management Judgments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Information on management judgments made in the application of accounting policies that most significantly affect the amounts recognized in the financial statements are set out in the following disclosures:</w:t>
      </w:r>
    </w:p>
    <w:p>
      <w:pPr>
        <w:spacing w:after="0" w:line="315"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Company determines the lease term based on the non-cancelable period, together with both periods covered by an option to extend the lease if the lessee is reasonably certain to exercise that option. The Company has entered into several leases that include extension options and makes judgments when assessing whether it is reasonably certain that the option to extend or terminate the lease will or will not be exercised. All relevant factors representing an economic incentive to exercise the extension option are taken into consideration. No extension options have been included in the lease term of significant facilities being leased given the current management’s expectation of the Company’s future use. Had lease extension options been included, the amount of right of use assets and lease liabilities recorded on the statement of financial position would have been significantly higher.</w:t>
      </w:r>
    </w:p>
    <w:p>
      <w:pPr>
        <w:spacing w:after="0" w:line="16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Please refer to Note 19. Right-of-use Assets for details on the potential future lease payments for periods after the exercise date of the extension options that are not taken into consideration in the lease term.</w:t>
      </w:r>
    </w:p>
    <w:p>
      <w:pPr>
        <w:spacing w:after="0" w:line="315"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risks and governmental proceedings</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Legal proceedings and government investigations often involve complex legal issues and are subject to substantial uncertainties. Accordingly, management exercises material judgment in determining the litigation risks, based on the assessment from internal and external lawyers.</w:t>
      </w:r>
    </w:p>
    <w:p>
      <w:pPr>
        <w:spacing w:after="0" w:line="291"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Group has recognized revenue according to IFRS 15.15 b) for prepayments, which related to contracts terminated for default. These payments are assessed as non-refundable. However, there is a risk that the payments might need to be refunded.</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Estimates and Assumptions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Information about assumptions and estimation uncertainty as of December 31, 2022, that have a significant risk of resulting in a material adjustment to the carrying amounts of the reported assets and liabilities during the next fiscal year are discussed below:</w:t>
      </w:r>
    </w:p>
    <w:p>
      <w:pPr>
        <w:spacing w:after="0" w:line="315"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deferred tax assets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Company companies.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328"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Useful life of capitalized development costs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expected useful life of 15 years for the capitalized Air and Space technologies based on an internal assumption of the Group. The useful life is determined on the basis of the length of the expected marketability of the products, customer requirements regarding the ability to deliver the corresponding products, which is up to 11 years for existing customer contracts, and the relatively high market entry barriers for competitors. These assumptions are assessed annually.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86" w:right="4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capitalized development costs</w:t>
      </w:r>
    </w:p>
    <w:p>
      <w:pPr>
        <w:spacing w:after="0" w:line="121"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Capitalized development costs are assessed at least annually, for indications of impairment. The impairment tests require estimates to be made in order to determine the recoverable amount of a cash-generating unit. Assumptions must be made regarding future cash inflows and outflows both in the planning period as well as for the periods thereafter. In particular, the future revenues, costs and expenditures are based on the long-term corporate planning. Also, market- and company-specific discount rates, expected growth rates and exchange rates are estimated. If the actual amounts deviate from the estimated amount an impairment might be needed in future periods. Based on the impairment tests performed in 2022, the recoverable amounts significantly exceed the net assets of the tested cash-generating units. Refer to Note 17 for further information on the assumptions used.</w:t>
      </w:r>
    </w:p>
    <w:p>
      <w:pPr>
        <w:spacing w:after="0" w:line="30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Write-downs of inventories are measured based on the inventory days on hand and on the estimated net realizable value (expected proceeds less estimated costs incurred until completion and the estimated selling expenses necessary to make the sale). The net realizable value is estimated based on the management’s decision and expectation regarding the pricing and the future marketability of the different CONDOR and HAWK product variants. Future utilizations, actual proceeds, and costs still to be incurred may deviate from anticipated amounts, which might lead to additional write-downs in future periods.</w:t>
      </w:r>
    </w:p>
    <w:p>
      <w:pPr>
        <w:spacing w:after="0" w:line="332"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determination of the fair value of the share-based payments is dependent on factual fluctuations of personnel in the future, which might vary from the expected ones used to estimate the amounts. The deviation from the estimated fluctuation would lead to an adjustment of the amount recognized in the capital reserve. Please refer to Note 11. Share-based payments for more information.</w:t>
      </w:r>
    </w:p>
    <w:p>
      <w:pPr>
        <w:spacing w:after="0" w:line="328"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and information on geographical areas</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 accordance with IFRS 8 (Operating Segments), the Company’s operating segments are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The CODM is the Management Board (refer to Note</w:t>
      </w:r>
    </w:p>
    <w:p>
      <w:pPr>
        <w:spacing w:after="0" w:line="2" w:lineRule="exact"/>
        <w:rPr>
          <w:sz w:val="20"/>
          <w:szCs w:val="20"/>
          <w:color w:val="auto"/>
        </w:rPr>
      </w:pPr>
    </w:p>
    <w:p>
      <w:pPr>
        <w:jc w:val="both"/>
        <w:ind w:left="120" w:right="20" w:hanging="4"/>
        <w:spacing w:after="0" w:line="255" w:lineRule="auto"/>
        <w:tabs>
          <w:tab w:leader="none" w:pos="42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collectively which allocates resources and evaluates segment performance based on the Management Board reports submitted to it. The segment reporting below was prepared in accordance with this definition. The CODM uses Operating profit/loss as the primary profitability measure to evaluate performance of the Company’s operating segments.</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Air segment includes the Company’s HAWK AIR terminals and related services. The Space segment includes the Company’s CONDOR terminals and related services.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5140" w:type="dxa"/>
            <w:vAlign w:val="bottom"/>
            <w:gridSpan w:val="4"/>
          </w:tcPr>
          <w:p>
            <w:pPr>
              <w:jc w:val="right"/>
              <w:ind w:right="492"/>
              <w:spacing w:after="0"/>
              <w:rPr>
                <w:sz w:val="20"/>
                <w:szCs w:val="20"/>
                <w:color w:val="auto"/>
              </w:rPr>
            </w:pPr>
            <w:r>
              <w:rPr>
                <w:rFonts w:ascii="Arial" w:cs="Arial" w:eastAsia="Arial" w:hAnsi="Arial"/>
                <w:sz w:val="14"/>
                <w:szCs w:val="14"/>
                <w:color w:val="auto"/>
              </w:rPr>
              <w:t>For the year ended December 31, 2022</w:t>
            </w:r>
          </w:p>
        </w:tc>
      </w:tr>
      <w:tr>
        <w:trPr>
          <w:trHeight w:val="167"/>
        </w:trPr>
        <w:tc>
          <w:tcPr>
            <w:tcW w:w="5880" w:type="dxa"/>
            <w:vAlign w:val="bottom"/>
          </w:tcPr>
          <w:p>
            <w:pPr>
              <w:spacing w:after="0"/>
              <w:rPr>
                <w:sz w:val="20"/>
                <w:szCs w:val="20"/>
                <w:color w:val="auto"/>
              </w:rPr>
            </w:pPr>
            <w:r>
              <w:rPr>
                <w:rFonts w:ascii="Arial" w:cs="Arial" w:eastAsia="Arial" w:hAnsi="Arial"/>
                <w:sz w:val="14"/>
                <w:szCs w:val="14"/>
                <w:color w:val="auto"/>
              </w:rPr>
              <w:t>€ thousand</w:t>
            </w:r>
          </w:p>
        </w:tc>
        <w:tc>
          <w:tcPr>
            <w:tcW w:w="2560" w:type="dxa"/>
            <w:vAlign w:val="bottom"/>
          </w:tcPr>
          <w:p>
            <w:pPr>
              <w:jc w:val="right"/>
              <w:ind w:right="239"/>
              <w:spacing w:after="0"/>
              <w:rPr>
                <w:sz w:val="20"/>
                <w:szCs w:val="20"/>
                <w:color w:val="auto"/>
              </w:rPr>
            </w:pPr>
            <w:r>
              <w:rPr>
                <w:rFonts w:ascii="Arial" w:cs="Arial" w:eastAsia="Arial" w:hAnsi="Arial"/>
                <w:sz w:val="14"/>
                <w:szCs w:val="14"/>
                <w:color w:val="auto"/>
              </w:rPr>
              <w:t>Air</w:t>
            </w:r>
          </w:p>
        </w:tc>
        <w:tc>
          <w:tcPr>
            <w:tcW w:w="760" w:type="dxa"/>
            <w:vAlign w:val="bottom"/>
          </w:tcPr>
          <w:p>
            <w:pPr>
              <w:jc w:val="right"/>
              <w:ind w:right="136"/>
              <w:spacing w:after="0"/>
              <w:rPr>
                <w:sz w:val="20"/>
                <w:szCs w:val="20"/>
                <w:color w:val="auto"/>
              </w:rPr>
            </w:pPr>
            <w:r>
              <w:rPr>
                <w:rFonts w:ascii="Arial" w:cs="Arial" w:eastAsia="Arial" w:hAnsi="Arial"/>
                <w:sz w:val="14"/>
                <w:szCs w:val="14"/>
                <w:color w:val="auto"/>
              </w:rPr>
              <w:t>Space</w:t>
            </w:r>
          </w:p>
        </w:tc>
        <w:tc>
          <w:tcPr>
            <w:tcW w:w="1060" w:type="dxa"/>
            <w:vAlign w:val="bottom"/>
          </w:tcPr>
          <w:p>
            <w:pPr>
              <w:jc w:val="right"/>
              <w:ind w:right="116"/>
              <w:spacing w:after="0"/>
              <w:rPr>
                <w:sz w:val="20"/>
                <w:szCs w:val="20"/>
                <w:color w:val="auto"/>
              </w:rPr>
            </w:pPr>
            <w:r>
              <w:rPr>
                <w:rFonts w:ascii="Arial" w:cs="Arial" w:eastAsia="Arial" w:hAnsi="Arial"/>
                <w:sz w:val="14"/>
                <w:szCs w:val="14"/>
                <w:color w:val="auto"/>
              </w:rPr>
              <w:t>Not allocated</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Group</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Operating profit/loss</w:t>
            </w:r>
          </w:p>
        </w:tc>
        <w:tc>
          <w:tcPr>
            <w:tcW w:w="2560" w:type="dxa"/>
            <w:vAlign w:val="bottom"/>
          </w:tcPr>
          <w:p>
            <w:pPr>
              <w:jc w:val="right"/>
              <w:ind w:right="39"/>
              <w:spacing w:after="0"/>
              <w:rPr>
                <w:sz w:val="20"/>
                <w:szCs w:val="20"/>
                <w:color w:val="auto"/>
              </w:rPr>
            </w:pPr>
            <w:r>
              <w:rPr>
                <w:rFonts w:ascii="Arial" w:cs="Arial" w:eastAsia="Arial" w:hAnsi="Arial"/>
                <w:sz w:val="18"/>
                <w:szCs w:val="18"/>
                <w:b w:val="1"/>
                <w:bCs w:val="1"/>
                <w:color w:val="auto"/>
              </w:rPr>
              <w:t>-20,929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-46,773</w:t>
            </w:r>
          </w:p>
        </w:tc>
        <w:tc>
          <w:tcPr>
            <w:tcW w:w="1060" w:type="dxa"/>
            <w:vAlign w:val="bottom"/>
          </w:tcPr>
          <w:p>
            <w:pPr>
              <w:jc w:val="right"/>
              <w:ind w:right="36"/>
              <w:spacing w:after="0" w:line="216" w:lineRule="exact"/>
              <w:rPr>
                <w:sz w:val="20"/>
                <w:szCs w:val="20"/>
                <w:color w:val="auto"/>
              </w:rPr>
            </w:pPr>
            <w:r>
              <w:rPr>
                <w:rFonts w:ascii="Arial" w:cs="Arial" w:eastAsia="Arial" w:hAnsi="Arial"/>
                <w:sz w:val="18"/>
                <w:szCs w:val="18"/>
                <w:b w:val="1"/>
                <w:bCs w:val="1"/>
                <w:color w:val="auto"/>
              </w:rPr>
              <w:t>-6,088</w:t>
            </w:r>
            <w:r>
              <w:rPr>
                <w:rFonts w:ascii="Arial" w:cs="Arial" w:eastAsia="Arial" w:hAnsi="Arial"/>
                <w:sz w:val="22"/>
                <w:szCs w:val="22"/>
                <w:b w:val="1"/>
                <w:bCs w:val="1"/>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-73,790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expenses</w:t>
            </w:r>
          </w:p>
        </w:tc>
        <w:tc>
          <w:tcPr>
            <w:tcW w:w="2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foreign currency gain / (loss)</w:t>
            </w:r>
          </w:p>
        </w:tc>
        <w:tc>
          <w:tcPr>
            <w:tcW w:w="2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2,574</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2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Share of profit of equity-accounted investees, net of tax</w:t>
            </w:r>
          </w:p>
        </w:tc>
        <w:tc>
          <w:tcPr>
            <w:tcW w:w="2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before tax</w:t>
            </w:r>
          </w:p>
        </w:tc>
        <w:tc>
          <w:tcPr>
            <w:tcW w:w="2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-73,806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Income tax expense</w:t>
            </w:r>
          </w:p>
        </w:tc>
        <w:tc>
          <w:tcPr>
            <w:tcW w:w="2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profit/loss</w:t>
            </w:r>
          </w:p>
        </w:tc>
        <w:tc>
          <w:tcPr>
            <w:tcW w:w="2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-73,782</w:t>
            </w:r>
          </w:p>
        </w:tc>
      </w:tr>
    </w:tbl>
    <w:p>
      <w:pPr>
        <w:spacing w:after="0" w:line="229" w:lineRule="exact"/>
        <w:rPr>
          <w:sz w:val="20"/>
          <w:szCs w:val="20"/>
          <w:color w:val="auto"/>
        </w:rPr>
      </w:pPr>
    </w:p>
    <w:p>
      <w:pPr>
        <w:ind w:left="340" w:right="20" w:hanging="224"/>
        <w:spacing w:after="0" w:line="232" w:lineRule="auto"/>
        <w:tabs>
          <w:tab w:leader="none" w:pos="340" w:val="left"/>
        </w:tabs>
        <w:numPr>
          <w:ilvl w:val="0"/>
          <w:numId w:val="118"/>
        </w:numPr>
        <w:rPr>
          <w:rFonts w:ascii="Arial" w:cs="Arial" w:eastAsia="Arial" w:hAnsi="Arial"/>
          <w:sz w:val="22"/>
          <w:szCs w:val="22"/>
          <w:color w:val="auto"/>
          <w:vertAlign w:val="superscript"/>
        </w:rPr>
      </w:pPr>
      <w:r>
        <w:rPr>
          <w:rFonts w:ascii="Arial" w:cs="Arial" w:eastAsia="Arial" w:hAnsi="Arial"/>
          <w:sz w:val="18"/>
          <w:szCs w:val="18"/>
          <w:color w:val="auto"/>
        </w:rPr>
        <w:t>Including costs for the D&amp;O insurance related the stock listing (€4,715 thousand), the audit of the financial statements (€951 thousand) as well as Supervisory Board remuneration (€422 thousand) which are not directly incremental.</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86" w:right="4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5940" w:type="dxa"/>
            <w:vAlign w:val="bottom"/>
            <w:gridSpan w:val="4"/>
          </w:tcPr>
          <w:p>
            <w:pPr>
              <w:jc w:val="right"/>
              <w:ind w:right="492"/>
              <w:spacing w:after="0"/>
              <w:rPr>
                <w:sz w:val="20"/>
                <w:szCs w:val="20"/>
                <w:color w:val="auto"/>
              </w:rPr>
            </w:pPr>
            <w:r>
              <w:rPr>
                <w:rFonts w:ascii="Arial" w:cs="Arial" w:eastAsia="Arial" w:hAnsi="Arial"/>
                <w:sz w:val="14"/>
                <w:szCs w:val="14"/>
                <w:color w:val="auto"/>
              </w:rPr>
              <w:t>For the year ended December 31, 2021</w:t>
            </w: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 thousand</w:t>
            </w:r>
          </w:p>
        </w:tc>
        <w:tc>
          <w:tcPr>
            <w:tcW w:w="3360" w:type="dxa"/>
            <w:vAlign w:val="bottom"/>
          </w:tcPr>
          <w:p>
            <w:pPr>
              <w:jc w:val="right"/>
              <w:ind w:right="239"/>
              <w:spacing w:after="0"/>
              <w:rPr>
                <w:sz w:val="20"/>
                <w:szCs w:val="20"/>
                <w:color w:val="auto"/>
              </w:rPr>
            </w:pPr>
            <w:r>
              <w:rPr>
                <w:rFonts w:ascii="Arial" w:cs="Arial" w:eastAsia="Arial" w:hAnsi="Arial"/>
                <w:sz w:val="14"/>
                <w:szCs w:val="14"/>
                <w:color w:val="auto"/>
              </w:rPr>
              <w:t>Air</w:t>
            </w:r>
          </w:p>
        </w:tc>
        <w:tc>
          <w:tcPr>
            <w:tcW w:w="760" w:type="dxa"/>
            <w:vAlign w:val="bottom"/>
          </w:tcPr>
          <w:p>
            <w:pPr>
              <w:jc w:val="right"/>
              <w:ind w:right="136"/>
              <w:spacing w:after="0"/>
              <w:rPr>
                <w:sz w:val="20"/>
                <w:szCs w:val="20"/>
                <w:color w:val="auto"/>
              </w:rPr>
            </w:pPr>
            <w:r>
              <w:rPr>
                <w:rFonts w:ascii="Arial" w:cs="Arial" w:eastAsia="Arial" w:hAnsi="Arial"/>
                <w:sz w:val="14"/>
                <w:szCs w:val="14"/>
                <w:color w:val="auto"/>
              </w:rPr>
              <w:t>Space</w:t>
            </w:r>
          </w:p>
        </w:tc>
        <w:tc>
          <w:tcPr>
            <w:tcW w:w="1060" w:type="dxa"/>
            <w:vAlign w:val="bottom"/>
          </w:tcPr>
          <w:p>
            <w:pPr>
              <w:jc w:val="right"/>
              <w:ind w:right="116"/>
              <w:spacing w:after="0"/>
              <w:rPr>
                <w:sz w:val="20"/>
                <w:szCs w:val="20"/>
                <w:color w:val="auto"/>
              </w:rPr>
            </w:pPr>
            <w:r>
              <w:rPr>
                <w:rFonts w:ascii="Arial" w:cs="Arial" w:eastAsia="Arial" w:hAnsi="Arial"/>
                <w:sz w:val="14"/>
                <w:szCs w:val="14"/>
                <w:color w:val="auto"/>
              </w:rPr>
              <w:t>Not allocated</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Group</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profit/loss</w:t>
            </w:r>
          </w:p>
        </w:tc>
        <w:tc>
          <w:tcPr>
            <w:tcW w:w="3360" w:type="dxa"/>
            <w:vAlign w:val="bottom"/>
          </w:tcPr>
          <w:p>
            <w:pPr>
              <w:jc w:val="right"/>
              <w:ind w:right="39"/>
              <w:spacing w:after="0"/>
              <w:rPr>
                <w:sz w:val="20"/>
                <w:szCs w:val="20"/>
                <w:color w:val="auto"/>
              </w:rPr>
            </w:pPr>
            <w:r>
              <w:rPr>
                <w:rFonts w:ascii="Arial" w:cs="Arial" w:eastAsia="Arial" w:hAnsi="Arial"/>
                <w:sz w:val="18"/>
                <w:szCs w:val="18"/>
                <w:b w:val="1"/>
                <w:bCs w:val="1"/>
                <w:color w:val="auto"/>
              </w:rPr>
              <w:t>-10,793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-30,082</w:t>
            </w:r>
          </w:p>
        </w:tc>
        <w:tc>
          <w:tcPr>
            <w:tcW w:w="1060" w:type="dxa"/>
            <w:vAlign w:val="bottom"/>
          </w:tcPr>
          <w:p>
            <w:pPr>
              <w:jc w:val="right"/>
              <w:ind w:right="36"/>
              <w:spacing w:after="0" w:line="216" w:lineRule="exact"/>
              <w:rPr>
                <w:sz w:val="20"/>
                <w:szCs w:val="20"/>
                <w:color w:val="auto"/>
              </w:rPr>
            </w:pPr>
            <w:r>
              <w:rPr>
                <w:rFonts w:ascii="Arial" w:cs="Arial" w:eastAsia="Arial" w:hAnsi="Arial"/>
                <w:sz w:val="18"/>
                <w:szCs w:val="18"/>
                <w:b w:val="1"/>
                <w:bCs w:val="1"/>
                <w:color w:val="auto"/>
              </w:rPr>
              <w:t>-1,489</w:t>
            </w:r>
            <w:r>
              <w:rPr>
                <w:rFonts w:ascii="Arial" w:cs="Arial" w:eastAsia="Arial" w:hAnsi="Arial"/>
                <w:sz w:val="22"/>
                <w:szCs w:val="22"/>
                <w:b w:val="1"/>
                <w:bCs w:val="1"/>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-42,364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expenses</w:t>
            </w:r>
          </w:p>
        </w:tc>
        <w:tc>
          <w:tcPr>
            <w:tcW w:w="3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foreign currency gain / (loss)</w:t>
            </w:r>
          </w:p>
        </w:tc>
        <w:tc>
          <w:tcPr>
            <w:tcW w:w="3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3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-1,322</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Profit/loss before tax</w:t>
            </w:r>
          </w:p>
        </w:tc>
        <w:tc>
          <w:tcPr>
            <w:tcW w:w="3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-43,686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Consolidated net profit/loss</w:t>
            </w:r>
          </w:p>
        </w:tc>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-45,477</w:t>
            </w:r>
          </w:p>
        </w:tc>
      </w:tr>
    </w:tbl>
    <w:p>
      <w:pPr>
        <w:spacing w:after="0" w:line="210" w:lineRule="exact"/>
        <w:rPr>
          <w:sz w:val="20"/>
          <w:szCs w:val="20"/>
          <w:color w:val="auto"/>
        </w:rPr>
      </w:pPr>
    </w:p>
    <w:p>
      <w:pPr>
        <w:ind w:left="340" w:hanging="224"/>
        <w:spacing w:after="0" w:line="232" w:lineRule="auto"/>
        <w:tabs>
          <w:tab w:leader="none" w:pos="340" w:val="left"/>
        </w:tabs>
        <w:numPr>
          <w:ilvl w:val="0"/>
          <w:numId w:val="119"/>
        </w:numPr>
        <w:rPr>
          <w:rFonts w:ascii="Arial" w:cs="Arial" w:eastAsia="Arial" w:hAnsi="Arial"/>
          <w:sz w:val="22"/>
          <w:szCs w:val="22"/>
          <w:color w:val="auto"/>
          <w:vertAlign w:val="superscript"/>
        </w:rPr>
      </w:pPr>
      <w:r>
        <w:rPr>
          <w:rFonts w:ascii="Arial" w:cs="Arial" w:eastAsia="Arial" w:hAnsi="Arial"/>
          <w:sz w:val="18"/>
          <w:szCs w:val="18"/>
          <w:color w:val="auto"/>
        </w:rPr>
        <w:t>Including IPO-related costs (€682 thousand), costs for audit of the financial statements (€538 thousand) and Supervisory Board remuneration (€269 thousand) which are not directly incremental.</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w w:val="92"/>
              </w:rPr>
              <w:t>For the year ended December 31, 2020</w:t>
            </w:r>
          </w:p>
        </w:tc>
        <w:tc>
          <w:tcPr>
            <w:tcW w:w="640" w:type="dxa"/>
            <w:vAlign w:val="bottom"/>
          </w:tcPr>
          <w:p>
            <w:pPr>
              <w:spacing w:after="0"/>
              <w:rPr>
                <w:sz w:val="14"/>
                <w:szCs w:val="14"/>
                <w:color w:val="auto"/>
              </w:rPr>
            </w:pPr>
          </w:p>
        </w:tc>
      </w:tr>
      <w:tr>
        <w:trPr>
          <w:trHeight w:val="167"/>
        </w:trPr>
        <w:tc>
          <w:tcPr>
            <w:tcW w:w="5000" w:type="dxa"/>
            <w:vAlign w:val="bottom"/>
          </w:tcPr>
          <w:p>
            <w:pPr>
              <w:spacing w:after="0"/>
              <w:rPr>
                <w:sz w:val="20"/>
                <w:szCs w:val="20"/>
                <w:color w:val="auto"/>
              </w:rPr>
            </w:pPr>
            <w:r>
              <w:rPr>
                <w:rFonts w:ascii="Arial" w:cs="Arial" w:eastAsia="Arial" w:hAnsi="Arial"/>
                <w:sz w:val="14"/>
                <w:szCs w:val="14"/>
                <w:color w:val="auto"/>
              </w:rPr>
              <w:t>€ thousand</w:t>
            </w:r>
          </w:p>
        </w:tc>
        <w:tc>
          <w:tcPr>
            <w:tcW w:w="3100" w:type="dxa"/>
            <w:vAlign w:val="bottom"/>
          </w:tcPr>
          <w:p>
            <w:pPr>
              <w:jc w:val="right"/>
              <w:ind w:right="116"/>
              <w:spacing w:after="0"/>
              <w:rPr>
                <w:sz w:val="20"/>
                <w:szCs w:val="20"/>
                <w:color w:val="auto"/>
              </w:rPr>
            </w:pPr>
            <w:r>
              <w:rPr>
                <w:rFonts w:ascii="Arial" w:cs="Arial" w:eastAsia="Arial" w:hAnsi="Arial"/>
                <w:sz w:val="14"/>
                <w:szCs w:val="14"/>
                <w:color w:val="auto"/>
              </w:rPr>
              <w:t>Air</w:t>
            </w:r>
          </w:p>
        </w:tc>
        <w:tc>
          <w:tcPr>
            <w:tcW w:w="1000" w:type="dxa"/>
            <w:vAlign w:val="bottom"/>
          </w:tcPr>
          <w:p>
            <w:pPr>
              <w:jc w:val="right"/>
              <w:ind w:right="199"/>
              <w:spacing w:after="0"/>
              <w:rPr>
                <w:sz w:val="20"/>
                <w:szCs w:val="20"/>
                <w:color w:val="auto"/>
              </w:rPr>
            </w:pPr>
            <w:r>
              <w:rPr>
                <w:rFonts w:ascii="Arial" w:cs="Arial" w:eastAsia="Arial" w:hAnsi="Arial"/>
                <w:sz w:val="14"/>
                <w:szCs w:val="14"/>
                <w:color w:val="auto"/>
              </w:rPr>
              <w:t>Space</w:t>
            </w:r>
          </w:p>
        </w:tc>
        <w:tc>
          <w:tcPr>
            <w:tcW w:w="1280" w:type="dxa"/>
            <w:vAlign w:val="bottom"/>
          </w:tcPr>
          <w:p>
            <w:pPr>
              <w:jc w:val="right"/>
              <w:ind w:right="296"/>
              <w:spacing w:after="0"/>
              <w:rPr>
                <w:sz w:val="20"/>
                <w:szCs w:val="20"/>
                <w:color w:val="auto"/>
              </w:rPr>
            </w:pPr>
            <w:r>
              <w:rPr>
                <w:rFonts w:ascii="Arial" w:cs="Arial" w:eastAsia="Arial" w:hAnsi="Arial"/>
                <w:sz w:val="14"/>
                <w:szCs w:val="14"/>
                <w:color w:val="auto"/>
              </w:rPr>
              <w:t>Not allocated</w:t>
            </w: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Group</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90</w:t>
            </w:r>
          </w:p>
        </w:tc>
        <w:tc>
          <w:tcPr>
            <w:tcW w:w="12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profit/loss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-6,423</w:t>
            </w:r>
          </w:p>
        </w:tc>
        <w:tc>
          <w:tcPr>
            <w:tcW w:w="1000" w:type="dxa"/>
            <w:vAlign w:val="bottom"/>
          </w:tcPr>
          <w:p>
            <w:pPr>
              <w:jc w:val="right"/>
              <w:ind w:right="59"/>
              <w:spacing w:after="0"/>
              <w:rPr>
                <w:sz w:val="20"/>
                <w:szCs w:val="20"/>
                <w:color w:val="auto"/>
              </w:rPr>
            </w:pPr>
            <w:r>
              <w:rPr>
                <w:rFonts w:ascii="Arial" w:cs="Arial" w:eastAsia="Arial" w:hAnsi="Arial"/>
                <w:sz w:val="18"/>
                <w:szCs w:val="18"/>
                <w:b w:val="1"/>
                <w:bCs w:val="1"/>
                <w:color w:val="auto"/>
              </w:rPr>
              <w:t>-12,391</w:t>
            </w:r>
          </w:p>
        </w:tc>
        <w:tc>
          <w:tcPr>
            <w:tcW w:w="1280" w:type="dxa"/>
            <w:vAlign w:val="bottom"/>
          </w:tcPr>
          <w:p>
            <w:pPr>
              <w:jc w:val="right"/>
              <w:ind w:right="236"/>
              <w:spacing w:after="0" w:line="216" w:lineRule="exact"/>
              <w:rPr>
                <w:sz w:val="20"/>
                <w:szCs w:val="20"/>
                <w:color w:val="auto"/>
              </w:rPr>
            </w:pPr>
            <w:r>
              <w:rPr>
                <w:rFonts w:ascii="Arial" w:cs="Arial" w:eastAsia="Arial" w:hAnsi="Arial"/>
                <w:sz w:val="18"/>
                <w:szCs w:val="18"/>
                <w:b w:val="1"/>
                <w:bCs w:val="1"/>
                <w:color w:val="auto"/>
              </w:rPr>
              <w:t>-443</w:t>
            </w:r>
            <w:r>
              <w:rPr>
                <w:rFonts w:ascii="Arial" w:cs="Arial" w:eastAsia="Arial" w:hAnsi="Arial"/>
                <w:sz w:val="22"/>
                <w:szCs w:val="22"/>
                <w:b w:val="1"/>
                <w:bCs w:val="1"/>
                <w:color w:val="auto"/>
                <w:vertAlign w:val="superscript"/>
              </w:rPr>
              <w:t>4</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1"/>
              </w:rPr>
              <w:t>-19,257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income</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foreign currency gain / (loss)</w:t>
            </w:r>
          </w:p>
        </w:tc>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costs</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Profit/loss before tax</w:t>
            </w:r>
          </w:p>
        </w:tc>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1"/>
              </w:rPr>
              <w:t>-19,770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Consolidated net profit/loss</w:t>
            </w:r>
          </w:p>
        </w:tc>
        <w:tc>
          <w:tcPr>
            <w:tcW w:w="3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1"/>
              </w:rPr>
              <w:t>-19,770</w:t>
            </w:r>
          </w:p>
        </w:tc>
      </w:tr>
    </w:tbl>
    <w:p>
      <w:pPr>
        <w:spacing w:after="0" w:line="188" w:lineRule="exact"/>
        <w:rPr>
          <w:sz w:val="20"/>
          <w:szCs w:val="20"/>
          <w:color w:val="auto"/>
        </w:rPr>
      </w:pPr>
    </w:p>
    <w:p>
      <w:pPr>
        <w:ind w:left="340" w:hanging="224"/>
        <w:spacing w:after="0"/>
        <w:tabs>
          <w:tab w:leader="none" w:pos="340" w:val="left"/>
        </w:tabs>
        <w:numPr>
          <w:ilvl w:val="0"/>
          <w:numId w:val="120"/>
        </w:numPr>
        <w:rPr>
          <w:rFonts w:ascii="Arial" w:cs="Arial" w:eastAsia="Arial" w:hAnsi="Arial"/>
          <w:sz w:val="22"/>
          <w:szCs w:val="22"/>
          <w:color w:val="auto"/>
          <w:vertAlign w:val="superscript"/>
        </w:rPr>
      </w:pPr>
      <w:r>
        <w:rPr>
          <w:rFonts w:ascii="Arial" w:cs="Arial" w:eastAsia="Arial" w:hAnsi="Arial"/>
          <w:sz w:val="18"/>
          <w:szCs w:val="18"/>
          <w:color w:val="auto"/>
        </w:rPr>
        <w:t>Including costs for the audit of the financial statements (€313 thousand) as well as Supervisory Board remuneration (€130 thousand).</w:t>
      </w:r>
    </w:p>
    <w:p>
      <w:pPr>
        <w:spacing w:after="0" w:line="20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For the year ended December 31, 2022, expenses related to the write offs of inventories have been recognized for the Segment Space in the amount of €5,982 thousand (2021: €2,501 thousand, 2020: €0 thousand). For the year ended December 31, 2022, expenses related to the write offs of inventories have been recognized for the Segment Air in the amount of €1,500 thousand (2021: €0 thousand, 2020: €120 thousand).</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 ended December 31, 2022, an impairment was recognized in the amount of €1,531 thousand (2021: €0, 2020: €0) related to capitalized development costs in the segment Space (refer to Note 17).</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With respect to the information on geographical regions, revenue is allocated to the countries based on the country of destination of the respective customer; non-current assets are allocated to the location of the respective asset.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can be broken down by country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60" w:type="dxa"/>
            <w:vAlign w:val="bottom"/>
          </w:tcPr>
          <w:p>
            <w:pPr>
              <w:jc w:val="right"/>
              <w:ind w:right="434"/>
              <w:spacing w:after="0"/>
              <w:rPr>
                <w:sz w:val="20"/>
                <w:szCs w:val="20"/>
                <w:color w:val="auto"/>
              </w:rPr>
            </w:pPr>
            <w:r>
              <w:rPr>
                <w:rFonts w:ascii="Arial" w:cs="Arial" w:eastAsia="Arial" w:hAnsi="Arial"/>
                <w:sz w:val="14"/>
                <w:szCs w:val="14"/>
                <w:color w:val="auto"/>
              </w:rPr>
              <w:t>For the years ended</w:t>
            </w:r>
          </w:p>
        </w:tc>
        <w:tc>
          <w:tcPr>
            <w:tcW w:w="1660" w:type="dxa"/>
            <w:vAlign w:val="bottom"/>
          </w:tcPr>
          <w:p>
            <w:pPr>
              <w:spacing w:after="0"/>
              <w:rPr>
                <w:sz w:val="14"/>
                <w:szCs w:val="14"/>
                <w:color w:val="auto"/>
              </w:rPr>
            </w:pPr>
          </w:p>
        </w:tc>
      </w:tr>
      <w:tr>
        <w:trPr>
          <w:trHeight w:val="167"/>
        </w:trPr>
        <w:tc>
          <w:tcPr>
            <w:tcW w:w="4600" w:type="dxa"/>
            <w:vAlign w:val="bottom"/>
            <w:gridSpan w:val="2"/>
          </w:tcPr>
          <w:p>
            <w:pPr>
              <w:ind w:left="880"/>
              <w:spacing w:after="0"/>
              <w:rPr>
                <w:sz w:val="20"/>
                <w:szCs w:val="20"/>
                <w:color w:val="auto"/>
              </w:rPr>
            </w:pPr>
            <w:r>
              <w:rPr>
                <w:rFonts w:ascii="Arial" w:cs="Arial" w:eastAsia="Arial" w:hAnsi="Arial"/>
                <w:sz w:val="14"/>
                <w:szCs w:val="14"/>
                <w:color w:val="auto"/>
              </w:rPr>
              <w:t>€ thousand</w:t>
            </w:r>
          </w:p>
        </w:tc>
        <w:tc>
          <w:tcPr>
            <w:tcW w:w="1820" w:type="dxa"/>
            <w:vAlign w:val="bottom"/>
          </w:tcPr>
          <w:p>
            <w:pPr>
              <w:jc w:val="right"/>
              <w:ind w:right="492"/>
              <w:spacing w:after="0"/>
              <w:rPr>
                <w:sz w:val="20"/>
                <w:szCs w:val="20"/>
                <w:color w:val="auto"/>
              </w:rPr>
            </w:pPr>
            <w:r>
              <w:rPr>
                <w:rFonts w:ascii="Arial" w:cs="Arial" w:eastAsia="Arial" w:hAnsi="Arial"/>
                <w:sz w:val="14"/>
                <w:szCs w:val="14"/>
                <w:color w:val="auto"/>
                <w:w w:val="99"/>
              </w:rPr>
              <w:t>December 31, 2022</w:t>
            </w:r>
          </w:p>
        </w:tc>
        <w:tc>
          <w:tcPr>
            <w:tcW w:w="2060" w:type="dxa"/>
            <w:vAlign w:val="bottom"/>
          </w:tcPr>
          <w:p>
            <w:pPr>
              <w:jc w:val="right"/>
              <w:ind w:right="434"/>
              <w:spacing w:after="0"/>
              <w:rPr>
                <w:sz w:val="20"/>
                <w:szCs w:val="20"/>
                <w:color w:val="auto"/>
              </w:rPr>
            </w:pPr>
            <w:r>
              <w:rPr>
                <w:rFonts w:ascii="Arial" w:cs="Arial" w:eastAsia="Arial" w:hAnsi="Arial"/>
                <w:sz w:val="14"/>
                <w:szCs w:val="14"/>
                <w:color w:val="auto"/>
              </w:rPr>
              <w:t>December 31, 2021</w:t>
            </w:r>
          </w:p>
        </w:tc>
        <w:tc>
          <w:tcPr>
            <w:tcW w:w="166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8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4,422</w:t>
            </w:r>
          </w:p>
        </w:tc>
        <w:tc>
          <w:tcPr>
            <w:tcW w:w="20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2,355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Canada</w:t>
            </w:r>
          </w:p>
        </w:tc>
        <w:tc>
          <w:tcPr>
            <w:tcW w:w="182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2060" w:type="dxa"/>
            <w:vAlign w:val="bottom"/>
          </w:tcPr>
          <w:p>
            <w:pPr>
              <w:jc w:val="right"/>
              <w:ind w:right="434"/>
              <w:spacing w:after="0"/>
              <w:rPr>
                <w:sz w:val="20"/>
                <w:szCs w:val="20"/>
                <w:color w:val="auto"/>
              </w:rPr>
            </w:pPr>
            <w:r>
              <w:rPr>
                <w:rFonts w:ascii="Arial" w:cs="Arial" w:eastAsia="Arial" w:hAnsi="Arial"/>
                <w:sz w:val="18"/>
                <w:szCs w:val="18"/>
                <w:color w:val="auto"/>
              </w:rPr>
              <w:t>0</w:t>
            </w:r>
          </w:p>
        </w:tc>
        <w:tc>
          <w:tcPr>
            <w:tcW w:w="1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18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0</w:t>
            </w:r>
          </w:p>
        </w:tc>
        <w:tc>
          <w:tcPr>
            <w:tcW w:w="20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492"/>
              <w:spacing w:after="0"/>
              <w:rPr>
                <w:sz w:val="20"/>
                <w:szCs w:val="20"/>
                <w:color w:val="auto"/>
              </w:rPr>
            </w:pPr>
            <w:r>
              <w:rPr>
                <w:rFonts w:ascii="Arial" w:cs="Arial" w:eastAsia="Arial" w:hAnsi="Arial"/>
                <w:sz w:val="18"/>
                <w:szCs w:val="18"/>
                <w:color w:val="auto"/>
              </w:rPr>
              <w:t>4,422</w:t>
            </w:r>
          </w:p>
        </w:tc>
        <w:tc>
          <w:tcPr>
            <w:tcW w:w="2060" w:type="dxa"/>
            <w:vAlign w:val="bottom"/>
          </w:tcPr>
          <w:p>
            <w:pPr>
              <w:jc w:val="right"/>
              <w:ind w:right="434"/>
              <w:spacing w:after="0"/>
              <w:rPr>
                <w:sz w:val="20"/>
                <w:szCs w:val="20"/>
                <w:color w:val="auto"/>
              </w:rPr>
            </w:pPr>
            <w:r>
              <w:rPr>
                <w:rFonts w:ascii="Arial" w:cs="Arial" w:eastAsia="Arial" w:hAnsi="Arial"/>
                <w:sz w:val="18"/>
                <w:szCs w:val="18"/>
                <w:color w:val="auto"/>
              </w:rPr>
              <w:t>2,355</w:t>
            </w:r>
          </w:p>
        </w:tc>
        <w:tc>
          <w:tcPr>
            <w:tcW w:w="166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418"/>
        </w:trPr>
        <w:tc>
          <w:tcPr>
            <w:tcW w:w="4600" w:type="dxa"/>
            <w:vAlign w:val="bottom"/>
            <w:gridSpan w:val="2"/>
          </w:tcPr>
          <w:p>
            <w:pPr>
              <w:spacing w:after="0"/>
              <w:rPr>
                <w:sz w:val="20"/>
                <w:szCs w:val="20"/>
                <w:color w:val="auto"/>
              </w:rPr>
            </w:pPr>
            <w:r>
              <w:rPr>
                <w:rFonts w:ascii="Arial" w:cs="Arial" w:eastAsia="Arial" w:hAnsi="Arial"/>
                <w:sz w:val="18"/>
                <w:szCs w:val="18"/>
                <w:color w:val="auto"/>
                <w:w w:val="92"/>
              </w:rPr>
              <w:t>Non-current assets can be broken down by country as follows:</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91"/>
        </w:trPr>
        <w:tc>
          <w:tcPr>
            <w:tcW w:w="4600" w:type="dxa"/>
            <w:vAlign w:val="bottom"/>
            <w:gridSpan w:val="2"/>
          </w:tcPr>
          <w:p>
            <w:pPr>
              <w:ind w:left="880"/>
              <w:spacing w:after="0"/>
              <w:rPr>
                <w:sz w:val="20"/>
                <w:szCs w:val="20"/>
                <w:color w:val="auto"/>
              </w:rPr>
            </w:pPr>
            <w:r>
              <w:rPr>
                <w:rFonts w:ascii="Arial" w:cs="Arial" w:eastAsia="Arial" w:hAnsi="Arial"/>
                <w:sz w:val="14"/>
                <w:szCs w:val="14"/>
                <w:color w:val="auto"/>
              </w:rPr>
              <w:t>€ thousand</w:t>
            </w:r>
          </w:p>
        </w:tc>
        <w:tc>
          <w:tcPr>
            <w:tcW w:w="1820" w:type="dxa"/>
            <w:vAlign w:val="bottom"/>
          </w:tcPr>
          <w:p>
            <w:pPr>
              <w:jc w:val="right"/>
              <w:ind w:right="332"/>
              <w:spacing w:after="0"/>
              <w:rPr>
                <w:sz w:val="20"/>
                <w:szCs w:val="20"/>
                <w:color w:val="auto"/>
              </w:rPr>
            </w:pPr>
            <w:r>
              <w:rPr>
                <w:rFonts w:ascii="Arial" w:cs="Arial" w:eastAsia="Arial" w:hAnsi="Arial"/>
                <w:sz w:val="14"/>
                <w:szCs w:val="14"/>
                <w:color w:val="auto"/>
              </w:rPr>
              <w:t>December 31, 2022</w:t>
            </w:r>
          </w:p>
        </w:tc>
        <w:tc>
          <w:tcPr>
            <w:tcW w:w="2060" w:type="dxa"/>
            <w:vAlign w:val="bottom"/>
          </w:tcPr>
          <w:p>
            <w:pPr>
              <w:jc w:val="right"/>
              <w:ind w:right="354"/>
              <w:spacing w:after="0"/>
              <w:rPr>
                <w:sz w:val="20"/>
                <w:szCs w:val="20"/>
                <w:color w:val="auto"/>
              </w:rPr>
            </w:pPr>
            <w:r>
              <w:rPr>
                <w:rFonts w:ascii="Arial" w:cs="Arial" w:eastAsia="Arial" w:hAnsi="Arial"/>
                <w:sz w:val="14"/>
                <w:szCs w:val="14"/>
                <w:color w:val="auto"/>
              </w:rPr>
              <w:t>December 31, 2021</w:t>
            </w:r>
          </w:p>
        </w:tc>
        <w:tc>
          <w:tcPr>
            <w:tcW w:w="166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Germany</w:t>
            </w:r>
          </w:p>
        </w:tc>
        <w:tc>
          <w:tcPr>
            <w:tcW w:w="1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Intangible assets</w:t>
            </w:r>
          </w:p>
        </w:tc>
        <w:tc>
          <w:tcPr>
            <w:tcW w:w="1820" w:type="dxa"/>
            <w:vAlign w:val="bottom"/>
          </w:tcPr>
          <w:p>
            <w:pPr>
              <w:jc w:val="right"/>
              <w:ind w:right="312"/>
              <w:spacing w:after="0"/>
              <w:rPr>
                <w:sz w:val="20"/>
                <w:szCs w:val="20"/>
                <w:color w:val="auto"/>
              </w:rPr>
            </w:pPr>
            <w:r>
              <w:rPr>
                <w:rFonts w:ascii="Arial" w:cs="Arial" w:eastAsia="Arial" w:hAnsi="Arial"/>
                <w:sz w:val="18"/>
                <w:szCs w:val="18"/>
                <w:color w:val="auto"/>
              </w:rPr>
              <w:t>18,058</w:t>
            </w:r>
          </w:p>
        </w:tc>
        <w:tc>
          <w:tcPr>
            <w:tcW w:w="2060" w:type="dxa"/>
            <w:vAlign w:val="bottom"/>
          </w:tcPr>
          <w:p>
            <w:pPr>
              <w:jc w:val="right"/>
              <w:ind w:right="354"/>
              <w:spacing w:after="0"/>
              <w:rPr>
                <w:sz w:val="20"/>
                <w:szCs w:val="20"/>
                <w:color w:val="auto"/>
              </w:rPr>
            </w:pPr>
            <w:r>
              <w:rPr>
                <w:rFonts w:ascii="Arial" w:cs="Arial" w:eastAsia="Arial" w:hAnsi="Arial"/>
                <w:sz w:val="18"/>
                <w:szCs w:val="18"/>
                <w:color w:val="auto"/>
              </w:rPr>
              <w:t>19,969</w:t>
            </w:r>
          </w:p>
        </w:tc>
        <w:tc>
          <w:tcPr>
            <w:tcW w:w="1660" w:type="dxa"/>
            <w:vAlign w:val="bottom"/>
          </w:tcPr>
          <w:p>
            <w:pPr>
              <w:jc w:val="right"/>
              <w:spacing w:after="0"/>
              <w:rPr>
                <w:sz w:val="20"/>
                <w:szCs w:val="20"/>
                <w:color w:val="auto"/>
              </w:rPr>
            </w:pPr>
            <w:r>
              <w:rPr>
                <w:rFonts w:ascii="Arial" w:cs="Arial" w:eastAsia="Arial" w:hAnsi="Arial"/>
                <w:sz w:val="18"/>
                <w:szCs w:val="18"/>
                <w:color w:val="auto"/>
              </w:rPr>
              <w:t>17,884</w:t>
            </w: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8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18,589</w:t>
            </w:r>
          </w:p>
        </w:tc>
        <w:tc>
          <w:tcPr>
            <w:tcW w:w="20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14,490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Right-of-use assets</w:t>
            </w:r>
          </w:p>
        </w:tc>
        <w:tc>
          <w:tcPr>
            <w:tcW w:w="1820" w:type="dxa"/>
            <w:vAlign w:val="bottom"/>
          </w:tcPr>
          <w:p>
            <w:pPr>
              <w:jc w:val="right"/>
              <w:ind w:right="312"/>
              <w:spacing w:after="0"/>
              <w:rPr>
                <w:sz w:val="20"/>
                <w:szCs w:val="20"/>
                <w:color w:val="auto"/>
              </w:rPr>
            </w:pPr>
            <w:r>
              <w:rPr>
                <w:rFonts w:ascii="Arial" w:cs="Arial" w:eastAsia="Arial" w:hAnsi="Arial"/>
                <w:sz w:val="18"/>
                <w:szCs w:val="18"/>
                <w:color w:val="auto"/>
              </w:rPr>
              <w:t>6,447</w:t>
            </w:r>
          </w:p>
        </w:tc>
        <w:tc>
          <w:tcPr>
            <w:tcW w:w="2060" w:type="dxa"/>
            <w:vAlign w:val="bottom"/>
          </w:tcPr>
          <w:p>
            <w:pPr>
              <w:jc w:val="right"/>
              <w:ind w:right="354"/>
              <w:spacing w:after="0"/>
              <w:rPr>
                <w:sz w:val="20"/>
                <w:szCs w:val="20"/>
                <w:color w:val="auto"/>
              </w:rPr>
            </w:pPr>
            <w:r>
              <w:rPr>
                <w:rFonts w:ascii="Arial" w:cs="Arial" w:eastAsia="Arial" w:hAnsi="Arial"/>
                <w:sz w:val="18"/>
                <w:szCs w:val="18"/>
                <w:color w:val="auto"/>
              </w:rPr>
              <w:t>6,053</w:t>
            </w:r>
          </w:p>
        </w:tc>
        <w:tc>
          <w:tcPr>
            <w:tcW w:w="1660" w:type="dxa"/>
            <w:vAlign w:val="bottom"/>
          </w:tcPr>
          <w:p>
            <w:pPr>
              <w:jc w:val="right"/>
              <w:spacing w:after="0"/>
              <w:rPr>
                <w:sz w:val="20"/>
                <w:szCs w:val="20"/>
                <w:color w:val="auto"/>
              </w:rPr>
            </w:pPr>
            <w:r>
              <w:rPr>
                <w:rFonts w:ascii="Arial" w:cs="Arial" w:eastAsia="Arial" w:hAnsi="Arial"/>
                <w:sz w:val="18"/>
                <w:szCs w:val="18"/>
                <w:color w:val="auto"/>
              </w:rPr>
              <w:t>6,886</w:t>
            </w: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Germany, total</w:t>
            </w:r>
          </w:p>
        </w:tc>
        <w:tc>
          <w:tcPr>
            <w:tcW w:w="18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43,094</w:t>
            </w:r>
          </w:p>
        </w:tc>
        <w:tc>
          <w:tcPr>
            <w:tcW w:w="206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40,512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34,619</w:t>
            </w: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USA</w:t>
            </w: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8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3,720</w:t>
            </w:r>
          </w:p>
        </w:tc>
        <w:tc>
          <w:tcPr>
            <w:tcW w:w="20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2,278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8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Right-of-use assets</w:t>
            </w:r>
          </w:p>
        </w:tc>
        <w:tc>
          <w:tcPr>
            <w:tcW w:w="1820" w:type="dxa"/>
            <w:vAlign w:val="bottom"/>
          </w:tcPr>
          <w:p>
            <w:pPr>
              <w:jc w:val="right"/>
              <w:ind w:right="312"/>
              <w:spacing w:after="0"/>
              <w:rPr>
                <w:sz w:val="20"/>
                <w:szCs w:val="20"/>
                <w:color w:val="auto"/>
              </w:rPr>
            </w:pPr>
            <w:r>
              <w:rPr>
                <w:rFonts w:ascii="Arial" w:cs="Arial" w:eastAsia="Arial" w:hAnsi="Arial"/>
                <w:sz w:val="18"/>
                <w:szCs w:val="18"/>
                <w:color w:val="auto"/>
              </w:rPr>
              <w:t>2,335</w:t>
            </w:r>
          </w:p>
        </w:tc>
        <w:tc>
          <w:tcPr>
            <w:tcW w:w="2060" w:type="dxa"/>
            <w:vAlign w:val="bottom"/>
          </w:tcPr>
          <w:p>
            <w:pPr>
              <w:jc w:val="right"/>
              <w:ind w:right="354"/>
              <w:spacing w:after="0"/>
              <w:rPr>
                <w:sz w:val="20"/>
                <w:szCs w:val="20"/>
                <w:color w:val="auto"/>
              </w:rPr>
            </w:pPr>
            <w:r>
              <w:rPr>
                <w:rFonts w:ascii="Arial" w:cs="Arial" w:eastAsia="Arial" w:hAnsi="Arial"/>
                <w:sz w:val="18"/>
                <w:szCs w:val="18"/>
                <w:color w:val="auto"/>
              </w:rPr>
              <w:t>2,774</w:t>
            </w:r>
          </w:p>
        </w:tc>
        <w:tc>
          <w:tcPr>
            <w:tcW w:w="166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16"/>
        </w:trPr>
        <w:tc>
          <w:tcPr>
            <w:tcW w:w="8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USA, total</w:t>
            </w:r>
          </w:p>
        </w:tc>
        <w:tc>
          <w:tcPr>
            <w:tcW w:w="18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6,055</w:t>
            </w:r>
          </w:p>
        </w:tc>
        <w:tc>
          <w:tcPr>
            <w:tcW w:w="206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5,052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w:t>
            </w:r>
          </w:p>
        </w:tc>
      </w:tr>
      <w:tr>
        <w:trPr>
          <w:trHeight w:val="234"/>
        </w:trPr>
        <w:tc>
          <w:tcPr>
            <w:tcW w:w="8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Pr>
          <w:p>
            <w:pPr>
              <w:jc w:val="right"/>
              <w:ind w:right="312"/>
              <w:spacing w:after="0"/>
              <w:rPr>
                <w:sz w:val="20"/>
                <w:szCs w:val="20"/>
                <w:color w:val="auto"/>
              </w:rPr>
            </w:pPr>
            <w:r>
              <w:rPr>
                <w:rFonts w:ascii="Arial" w:cs="Arial" w:eastAsia="Arial" w:hAnsi="Arial"/>
                <w:sz w:val="18"/>
                <w:szCs w:val="18"/>
                <w:b w:val="1"/>
                <w:bCs w:val="1"/>
                <w:color w:val="auto"/>
              </w:rPr>
              <w:t>49,149</w:t>
            </w:r>
          </w:p>
        </w:tc>
        <w:tc>
          <w:tcPr>
            <w:tcW w:w="2060" w:type="dxa"/>
            <w:vAlign w:val="bottom"/>
          </w:tcPr>
          <w:p>
            <w:pPr>
              <w:jc w:val="right"/>
              <w:ind w:right="354"/>
              <w:spacing w:after="0"/>
              <w:rPr>
                <w:sz w:val="20"/>
                <w:szCs w:val="20"/>
                <w:color w:val="auto"/>
              </w:rPr>
            </w:pPr>
            <w:r>
              <w:rPr>
                <w:rFonts w:ascii="Arial" w:cs="Arial" w:eastAsia="Arial" w:hAnsi="Arial"/>
                <w:sz w:val="18"/>
                <w:szCs w:val="18"/>
                <w:b w:val="1"/>
                <w:bCs w:val="1"/>
                <w:color w:val="auto"/>
              </w:rPr>
              <w:t>45,564</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35,901</w:t>
            </w:r>
          </w:p>
        </w:tc>
      </w:tr>
      <w:tr>
        <w:trPr>
          <w:trHeight w:val="346"/>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20" w:type="dxa"/>
            <w:vAlign w:val="bottom"/>
          </w:tcPr>
          <w:p>
            <w:pPr>
              <w:jc w:val="right"/>
              <w:ind w:right="652"/>
              <w:spacing w:after="0"/>
              <w:rPr>
                <w:sz w:val="20"/>
                <w:szCs w:val="20"/>
                <w:color w:val="auto"/>
              </w:rPr>
            </w:pPr>
            <w:r>
              <w:rPr>
                <w:rFonts w:ascii="Arial" w:cs="Arial" w:eastAsia="Arial" w:hAnsi="Arial"/>
                <w:sz w:val="18"/>
                <w:szCs w:val="18"/>
                <w:color w:val="auto"/>
              </w:rPr>
              <w:t>F-19</w:t>
            </w:r>
          </w:p>
        </w:tc>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Revenues from contracts with customers refer to the delivery of goods or the provision of services. They are recognized both at a point in time and, partially, over time. The deliveries comprise the sales of HAWK and CONDOR terminals. Services mainly consist of the provision of development and training services relating to the laser terminals manufactured by the Company.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is broken down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120" w:type="dxa"/>
            <w:vAlign w:val="bottom"/>
          </w:tcPr>
          <w:p>
            <w:pPr>
              <w:jc w:val="right"/>
              <w:ind w:right="415"/>
              <w:spacing w:after="0"/>
              <w:rPr>
                <w:sz w:val="20"/>
                <w:szCs w:val="20"/>
                <w:color w:val="auto"/>
              </w:rPr>
            </w:pPr>
            <w:r>
              <w:rPr>
                <w:rFonts w:ascii="Arial" w:cs="Arial" w:eastAsia="Arial" w:hAnsi="Arial"/>
                <w:sz w:val="14"/>
                <w:szCs w:val="14"/>
                <w:color w:val="auto"/>
              </w:rPr>
              <w:t>For the years ended</w:t>
            </w:r>
          </w:p>
        </w:tc>
        <w:tc>
          <w:tcPr>
            <w:tcW w:w="1680" w:type="dxa"/>
            <w:vAlign w:val="bottom"/>
          </w:tcPr>
          <w:p>
            <w:pPr>
              <w:spacing w:after="0"/>
              <w:rPr>
                <w:sz w:val="14"/>
                <w:szCs w:val="14"/>
                <w:color w:val="auto"/>
              </w:rPr>
            </w:pPr>
          </w:p>
        </w:tc>
      </w:tr>
      <w:tr>
        <w:trPr>
          <w:trHeight w:val="167"/>
        </w:trPr>
        <w:tc>
          <w:tcPr>
            <w:tcW w:w="2780" w:type="dxa"/>
            <w:vAlign w:val="bottom"/>
          </w:tcPr>
          <w:p>
            <w:pPr>
              <w:spacing w:after="0"/>
              <w:rPr>
                <w:sz w:val="20"/>
                <w:szCs w:val="20"/>
                <w:color w:val="auto"/>
              </w:rPr>
            </w:pPr>
            <w:r>
              <w:rPr>
                <w:rFonts w:ascii="Arial" w:cs="Arial" w:eastAsia="Arial" w:hAnsi="Arial"/>
                <w:sz w:val="14"/>
                <w:szCs w:val="14"/>
                <w:color w:val="auto"/>
              </w:rPr>
              <w:t>€ thousand</w:t>
            </w:r>
          </w:p>
        </w:tc>
        <w:tc>
          <w:tcPr>
            <w:tcW w:w="2680" w:type="dxa"/>
            <w:vAlign w:val="bottom"/>
          </w:tcPr>
          <w:p>
            <w:pPr>
              <w:jc w:val="right"/>
              <w:ind w:right="393"/>
              <w:spacing w:after="0"/>
              <w:rPr>
                <w:sz w:val="20"/>
                <w:szCs w:val="20"/>
                <w:color w:val="auto"/>
              </w:rPr>
            </w:pPr>
            <w:r>
              <w:rPr>
                <w:rFonts w:ascii="Arial" w:cs="Arial" w:eastAsia="Arial" w:hAnsi="Arial"/>
                <w:sz w:val="14"/>
                <w:szCs w:val="14"/>
                <w:color w:val="auto"/>
              </w:rPr>
              <w:t>December 31, 2022</w:t>
            </w:r>
          </w:p>
        </w:tc>
        <w:tc>
          <w:tcPr>
            <w:tcW w:w="2120" w:type="dxa"/>
            <w:vAlign w:val="bottom"/>
          </w:tcPr>
          <w:p>
            <w:pPr>
              <w:jc w:val="right"/>
              <w:ind w:right="415"/>
              <w:spacing w:after="0"/>
              <w:rPr>
                <w:sz w:val="20"/>
                <w:szCs w:val="20"/>
                <w:color w:val="auto"/>
              </w:rPr>
            </w:pPr>
            <w:r>
              <w:rPr>
                <w:rFonts w:ascii="Arial" w:cs="Arial" w:eastAsia="Arial" w:hAnsi="Arial"/>
                <w:sz w:val="14"/>
                <w:szCs w:val="14"/>
                <w:color w:val="auto"/>
              </w:rPr>
              <w:t>December 31, 2021</w:t>
            </w:r>
          </w:p>
        </w:tc>
        <w:tc>
          <w:tcPr>
            <w:tcW w:w="168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26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1,783</w:t>
            </w:r>
          </w:p>
        </w:tc>
        <w:tc>
          <w:tcPr>
            <w:tcW w:w="21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554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Services</w:t>
            </w:r>
          </w:p>
        </w:tc>
        <w:tc>
          <w:tcPr>
            <w:tcW w:w="2680" w:type="dxa"/>
            <w:vAlign w:val="bottom"/>
          </w:tcPr>
          <w:p>
            <w:pPr>
              <w:jc w:val="right"/>
              <w:ind w:right="393"/>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415"/>
              <w:spacing w:after="0"/>
              <w:rPr>
                <w:sz w:val="20"/>
                <w:szCs w:val="20"/>
                <w:color w:val="auto"/>
              </w:rPr>
            </w:pPr>
            <w:r>
              <w:rPr>
                <w:rFonts w:ascii="Arial" w:cs="Arial" w:eastAsia="Arial" w:hAnsi="Arial"/>
                <w:sz w:val="18"/>
                <w:szCs w:val="18"/>
                <w:color w:val="auto"/>
              </w:rPr>
              <w:t>1,801</w:t>
            </w: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income</w:t>
            </w:r>
          </w:p>
        </w:tc>
        <w:tc>
          <w:tcPr>
            <w:tcW w:w="26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50</w:t>
            </w:r>
          </w:p>
        </w:tc>
        <w:tc>
          <w:tcPr>
            <w:tcW w:w="21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2680" w:type="dxa"/>
            <w:vAlign w:val="bottom"/>
          </w:tcPr>
          <w:p>
            <w:pPr>
              <w:jc w:val="right"/>
              <w:ind w:right="393"/>
              <w:spacing w:after="0"/>
              <w:rPr>
                <w:sz w:val="20"/>
                <w:szCs w:val="20"/>
                <w:color w:val="auto"/>
              </w:rPr>
            </w:pPr>
            <w:r>
              <w:rPr>
                <w:rFonts w:ascii="Arial" w:cs="Arial" w:eastAsia="Arial" w:hAnsi="Arial"/>
                <w:sz w:val="18"/>
                <w:szCs w:val="18"/>
                <w:color w:val="auto"/>
              </w:rPr>
              <w:t>2,589</w:t>
            </w:r>
          </w:p>
        </w:tc>
        <w:tc>
          <w:tcPr>
            <w:tcW w:w="2120" w:type="dxa"/>
            <w:vAlign w:val="bottom"/>
          </w:tcPr>
          <w:p>
            <w:pPr>
              <w:jc w:val="right"/>
              <w:ind w:right="415"/>
              <w:spacing w:after="0"/>
              <w:rPr>
                <w:sz w:val="20"/>
                <w:szCs w:val="20"/>
                <w:color w:val="auto"/>
              </w:rPr>
            </w:pPr>
            <w:r>
              <w:rPr>
                <w:rFonts w:ascii="Arial" w:cs="Arial" w:eastAsia="Arial" w:hAnsi="Arial"/>
                <w:sz w:val="18"/>
                <w:szCs w:val="18"/>
                <w:color w:val="auto"/>
              </w:rPr>
              <w:t>0</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4,422</w:t>
            </w:r>
          </w:p>
        </w:tc>
        <w:tc>
          <w:tcPr>
            <w:tcW w:w="21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2,355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bl>
    <w:p>
      <w:pPr>
        <w:spacing w:after="0" w:line="20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One customer breeched two contracts and therefore, the Group terminated these contracts. The Group has received non-refundable prepayments on these contracts during the years ended December 31, 2021, and 2022 in the amount of €2,589 thousand. This amount was recognized as revenue according to IFRS 15.15 b) in the year ended December 31, 2022.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Revenue recognized from contract liabilities which existed as of December 31, 2021, amounts to €211 thousand in fiscal 2022 (2021: €933 thousand,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€0).</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makes use of the exemption according to IFRS 15.122 regarding the disclosure of the expected revenues for outstanding performance obligations as of December 31, 2022, as all revenues will be recognized within one year.</w:t>
      </w:r>
    </w:p>
    <w:p>
      <w:pPr>
        <w:spacing w:after="0" w:line="315"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income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other operating income:</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60" w:type="dxa"/>
            <w:vAlign w:val="bottom"/>
          </w:tcPr>
          <w:p>
            <w:pPr>
              <w:jc w:val="right"/>
              <w:ind w:right="435"/>
              <w:spacing w:after="0"/>
              <w:rPr>
                <w:sz w:val="20"/>
                <w:szCs w:val="20"/>
                <w:color w:val="auto"/>
              </w:rPr>
            </w:pPr>
            <w:r>
              <w:rPr>
                <w:rFonts w:ascii="Arial" w:cs="Arial" w:eastAsia="Arial" w:hAnsi="Arial"/>
                <w:sz w:val="14"/>
                <w:szCs w:val="14"/>
                <w:color w:val="auto"/>
              </w:rPr>
              <w:t>For the years ended</w:t>
            </w:r>
          </w:p>
        </w:tc>
        <w:tc>
          <w:tcPr>
            <w:tcW w:w="1700" w:type="dxa"/>
            <w:vAlign w:val="bottom"/>
          </w:tcPr>
          <w:p>
            <w:pPr>
              <w:spacing w:after="0"/>
              <w:rPr>
                <w:sz w:val="14"/>
                <w:szCs w:val="14"/>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 thousand</w:t>
            </w:r>
          </w:p>
        </w:tc>
        <w:tc>
          <w:tcPr>
            <w:tcW w:w="2160" w:type="dxa"/>
            <w:vAlign w:val="bottom"/>
          </w:tcPr>
          <w:p>
            <w:pPr>
              <w:jc w:val="right"/>
              <w:ind w:right="413"/>
              <w:spacing w:after="0"/>
              <w:rPr>
                <w:sz w:val="20"/>
                <w:szCs w:val="20"/>
                <w:color w:val="auto"/>
              </w:rPr>
            </w:pPr>
            <w:r>
              <w:rPr>
                <w:rFonts w:ascii="Arial" w:cs="Arial" w:eastAsia="Arial" w:hAnsi="Arial"/>
                <w:sz w:val="14"/>
                <w:szCs w:val="14"/>
                <w:color w:val="auto"/>
              </w:rPr>
              <w:t>December 31, 2022</w:t>
            </w:r>
          </w:p>
        </w:tc>
        <w:tc>
          <w:tcPr>
            <w:tcW w:w="2160" w:type="dxa"/>
            <w:vAlign w:val="bottom"/>
          </w:tcPr>
          <w:p>
            <w:pPr>
              <w:jc w:val="right"/>
              <w:ind w:right="435"/>
              <w:spacing w:after="0"/>
              <w:rPr>
                <w:sz w:val="20"/>
                <w:szCs w:val="20"/>
                <w:color w:val="auto"/>
              </w:rPr>
            </w:pPr>
            <w:r>
              <w:rPr>
                <w:rFonts w:ascii="Arial" w:cs="Arial" w:eastAsia="Arial" w:hAnsi="Arial"/>
                <w:sz w:val="14"/>
                <w:szCs w:val="14"/>
                <w:color w:val="auto"/>
              </w:rPr>
              <w:t>December 31, 2021</w:t>
            </w:r>
          </w:p>
        </w:tc>
        <w:tc>
          <w:tcPr>
            <w:tcW w:w="170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from grants</w:t>
            </w:r>
          </w:p>
        </w:tc>
        <w:tc>
          <w:tcPr>
            <w:tcW w:w="21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2,091</w:t>
            </w:r>
          </w:p>
        </w:tc>
        <w:tc>
          <w:tcPr>
            <w:tcW w:w="21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279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Income from the reversal of liabilities</w:t>
            </w:r>
          </w:p>
        </w:tc>
        <w:tc>
          <w:tcPr>
            <w:tcW w:w="2160" w:type="dxa"/>
            <w:vAlign w:val="bottom"/>
          </w:tcPr>
          <w:p>
            <w:pPr>
              <w:jc w:val="right"/>
              <w:ind w:right="413"/>
              <w:spacing w:after="0"/>
              <w:rPr>
                <w:sz w:val="20"/>
                <w:szCs w:val="20"/>
                <w:color w:val="auto"/>
              </w:rPr>
            </w:pPr>
            <w:r>
              <w:rPr>
                <w:rFonts w:ascii="Arial" w:cs="Arial" w:eastAsia="Arial" w:hAnsi="Arial"/>
                <w:sz w:val="18"/>
                <w:szCs w:val="18"/>
                <w:color w:val="auto"/>
              </w:rPr>
              <w:t>0</w:t>
            </w:r>
          </w:p>
        </w:tc>
        <w:tc>
          <w:tcPr>
            <w:tcW w:w="2160" w:type="dxa"/>
            <w:vAlign w:val="bottom"/>
          </w:tcPr>
          <w:p>
            <w:pPr>
              <w:jc w:val="right"/>
              <w:ind w:right="435"/>
              <w:spacing w:after="0"/>
              <w:rPr>
                <w:sz w:val="20"/>
                <w:szCs w:val="20"/>
                <w:color w:val="auto"/>
              </w:rPr>
            </w:pPr>
            <w:r>
              <w:rPr>
                <w:rFonts w:ascii="Arial" w:cs="Arial" w:eastAsia="Arial" w:hAnsi="Arial"/>
                <w:sz w:val="18"/>
                <w:szCs w:val="18"/>
                <w:color w:val="auto"/>
              </w:rPr>
              <w:t>90</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from related parties</w:t>
            </w:r>
          </w:p>
        </w:tc>
        <w:tc>
          <w:tcPr>
            <w:tcW w:w="21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0</w:t>
            </w:r>
          </w:p>
        </w:tc>
        <w:tc>
          <w:tcPr>
            <w:tcW w:w="21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jc w:val="right"/>
              <w:ind w:right="413"/>
              <w:spacing w:after="0"/>
              <w:rPr>
                <w:sz w:val="20"/>
                <w:szCs w:val="20"/>
                <w:color w:val="auto"/>
              </w:rPr>
            </w:pPr>
            <w:r>
              <w:rPr>
                <w:rFonts w:ascii="Arial" w:cs="Arial" w:eastAsia="Arial" w:hAnsi="Arial"/>
                <w:sz w:val="18"/>
                <w:szCs w:val="18"/>
                <w:color w:val="auto"/>
              </w:rPr>
              <w:t>285</w:t>
            </w:r>
          </w:p>
        </w:tc>
        <w:tc>
          <w:tcPr>
            <w:tcW w:w="2160" w:type="dxa"/>
            <w:vAlign w:val="bottom"/>
          </w:tcPr>
          <w:p>
            <w:pPr>
              <w:jc w:val="right"/>
              <w:ind w:right="435"/>
              <w:spacing w:after="0"/>
              <w:rPr>
                <w:sz w:val="20"/>
                <w:szCs w:val="20"/>
                <w:color w:val="auto"/>
              </w:rPr>
            </w:pPr>
            <w:r>
              <w:rPr>
                <w:rFonts w:ascii="Arial" w:cs="Arial" w:eastAsia="Arial" w:hAnsi="Arial"/>
                <w:sz w:val="18"/>
                <w:szCs w:val="18"/>
                <w:color w:val="auto"/>
              </w:rPr>
              <w:t>39</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2,376</w:t>
            </w:r>
          </w:p>
        </w:tc>
        <w:tc>
          <w:tcPr>
            <w:tcW w:w="21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435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365"/>
        </w:trPr>
        <w:tc>
          <w:tcPr>
            <w:tcW w:w="3240" w:type="dxa"/>
            <w:vAlign w:val="bottom"/>
          </w:tcPr>
          <w:p>
            <w:pPr>
              <w:spacing w:after="0"/>
              <w:rPr>
                <w:sz w:val="24"/>
                <w:szCs w:val="24"/>
                <w:color w:val="auto"/>
              </w:rPr>
            </w:pPr>
          </w:p>
        </w:tc>
        <w:tc>
          <w:tcPr>
            <w:tcW w:w="2160" w:type="dxa"/>
            <w:vAlign w:val="bottom"/>
          </w:tcPr>
          <w:p>
            <w:pPr>
              <w:jc w:val="right"/>
              <w:ind w:right="513"/>
              <w:spacing w:after="0"/>
              <w:rPr>
                <w:sz w:val="20"/>
                <w:szCs w:val="20"/>
                <w:color w:val="auto"/>
              </w:rPr>
            </w:pPr>
            <w:r>
              <w:rPr>
                <w:rFonts w:ascii="Arial" w:cs="Arial" w:eastAsia="Arial" w:hAnsi="Arial"/>
                <w:sz w:val="18"/>
                <w:szCs w:val="18"/>
                <w:color w:val="auto"/>
              </w:rPr>
              <w:t>F-20</w:t>
            </w: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Cost of materials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cost of materials: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80" w:type="dxa"/>
            <w:vAlign w:val="bottom"/>
          </w:tcPr>
          <w:p>
            <w:pPr>
              <w:jc w:val="right"/>
              <w:ind w:right="377"/>
              <w:spacing w:after="0"/>
              <w:rPr>
                <w:sz w:val="20"/>
                <w:szCs w:val="20"/>
                <w:color w:val="auto"/>
              </w:rPr>
            </w:pPr>
            <w:r>
              <w:rPr>
                <w:rFonts w:ascii="Arial" w:cs="Arial" w:eastAsia="Arial" w:hAnsi="Arial"/>
                <w:sz w:val="14"/>
                <w:szCs w:val="14"/>
                <w:color w:val="auto"/>
              </w:rPr>
              <w:t>For the years ended</w:t>
            </w:r>
          </w:p>
        </w:tc>
        <w:tc>
          <w:tcPr>
            <w:tcW w:w="168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Arial" w:cs="Arial" w:eastAsia="Arial" w:hAnsi="Arial"/>
                <w:sz w:val="14"/>
                <w:szCs w:val="14"/>
                <w:color w:val="auto"/>
              </w:rPr>
              <w:t>€ thousand</w:t>
            </w:r>
          </w:p>
        </w:tc>
        <w:tc>
          <w:tcPr>
            <w:tcW w:w="2200" w:type="dxa"/>
            <w:vAlign w:val="bottom"/>
          </w:tcPr>
          <w:p>
            <w:pPr>
              <w:jc w:val="right"/>
              <w:ind w:right="375"/>
              <w:spacing w:after="0"/>
              <w:rPr>
                <w:sz w:val="20"/>
                <w:szCs w:val="20"/>
                <w:color w:val="auto"/>
              </w:rPr>
            </w:pPr>
            <w:r>
              <w:rPr>
                <w:rFonts w:ascii="Arial" w:cs="Arial" w:eastAsia="Arial" w:hAnsi="Arial"/>
                <w:sz w:val="14"/>
                <w:szCs w:val="14"/>
                <w:color w:val="auto"/>
              </w:rPr>
              <w:t>December 31, 2022</w:t>
            </w:r>
          </w:p>
        </w:tc>
        <w:tc>
          <w:tcPr>
            <w:tcW w:w="2080" w:type="dxa"/>
            <w:vAlign w:val="bottom"/>
          </w:tcPr>
          <w:p>
            <w:pPr>
              <w:jc w:val="right"/>
              <w:ind w:right="377"/>
              <w:spacing w:after="0"/>
              <w:rPr>
                <w:sz w:val="20"/>
                <w:szCs w:val="20"/>
                <w:color w:val="auto"/>
              </w:rPr>
            </w:pPr>
            <w:r>
              <w:rPr>
                <w:rFonts w:ascii="Arial" w:cs="Arial" w:eastAsia="Arial" w:hAnsi="Arial"/>
                <w:sz w:val="14"/>
                <w:szCs w:val="14"/>
                <w:color w:val="auto"/>
              </w:rPr>
              <w:t>December 31, 2021</w:t>
            </w:r>
          </w:p>
        </w:tc>
        <w:tc>
          <w:tcPr>
            <w:tcW w:w="168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consumables used</w:t>
            </w:r>
          </w:p>
        </w:tc>
        <w:tc>
          <w:tcPr>
            <w:tcW w:w="22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13,007</w:t>
            </w:r>
          </w:p>
        </w:tc>
        <w:tc>
          <w:tcPr>
            <w:tcW w:w="208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7,736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Costs for services purchased</w:t>
            </w:r>
          </w:p>
        </w:tc>
        <w:tc>
          <w:tcPr>
            <w:tcW w:w="2200" w:type="dxa"/>
            <w:vAlign w:val="bottom"/>
          </w:tcPr>
          <w:p>
            <w:pPr>
              <w:jc w:val="right"/>
              <w:ind w:right="375"/>
              <w:spacing w:after="0"/>
              <w:rPr>
                <w:sz w:val="20"/>
                <w:szCs w:val="20"/>
                <w:color w:val="auto"/>
              </w:rPr>
            </w:pPr>
            <w:r>
              <w:rPr>
                <w:rFonts w:ascii="Arial" w:cs="Arial" w:eastAsia="Arial" w:hAnsi="Arial"/>
                <w:sz w:val="18"/>
                <w:szCs w:val="18"/>
                <w:color w:val="auto"/>
              </w:rPr>
              <w:t>2,427</w:t>
            </w:r>
          </w:p>
        </w:tc>
        <w:tc>
          <w:tcPr>
            <w:tcW w:w="2080" w:type="dxa"/>
            <w:vAlign w:val="bottom"/>
          </w:tcPr>
          <w:p>
            <w:pPr>
              <w:jc w:val="right"/>
              <w:ind w:right="377"/>
              <w:spacing w:after="0"/>
              <w:rPr>
                <w:sz w:val="20"/>
                <w:szCs w:val="20"/>
                <w:color w:val="auto"/>
              </w:rPr>
            </w:pPr>
            <w:r>
              <w:rPr>
                <w:rFonts w:ascii="Arial" w:cs="Arial" w:eastAsia="Arial" w:hAnsi="Arial"/>
                <w:sz w:val="18"/>
                <w:szCs w:val="18"/>
                <w:color w:val="auto"/>
              </w:rPr>
              <w:t>2,888</w:t>
            </w:r>
          </w:p>
        </w:tc>
        <w:tc>
          <w:tcPr>
            <w:tcW w:w="16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15,434</w:t>
            </w:r>
          </w:p>
        </w:tc>
        <w:tc>
          <w:tcPr>
            <w:tcW w:w="208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10,624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Included in the cost of materials are write downs for the year ended December 31, 2022, in the amount of €5,601 thousand (2021: €2,039 thousand,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€0).</w:t>
      </w:r>
    </w:p>
    <w:p>
      <w:pPr>
        <w:spacing w:after="0" w:line="21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write-downs for the year ended December 31, 2022, refer to materials relevant for production of CONDOR Mk1, CONDOR Mk2 and CONDOR MEO. The write-downs for the year ended December 31, 2021, refer to materials relevant for production of CONDOR Mk1 and CONDOR Mk2. The corresponding raw materials were written down to their recoverable amount.</w:t>
      </w:r>
    </w:p>
    <w:p>
      <w:pPr>
        <w:spacing w:after="0" w:line="328"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Personnel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personnel costs: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tcPr>
          <w:p>
            <w:pPr>
              <w:jc w:val="right"/>
              <w:ind w:right="376"/>
              <w:spacing w:after="0"/>
              <w:rPr>
                <w:sz w:val="20"/>
                <w:szCs w:val="20"/>
                <w:color w:val="auto"/>
              </w:rPr>
            </w:pPr>
            <w:r>
              <w:rPr>
                <w:rFonts w:ascii="Arial" w:cs="Arial" w:eastAsia="Arial" w:hAnsi="Arial"/>
                <w:sz w:val="14"/>
                <w:szCs w:val="14"/>
                <w:color w:val="auto"/>
              </w:rPr>
              <w:t>For the years ended</w:t>
            </w:r>
          </w:p>
        </w:tc>
        <w:tc>
          <w:tcPr>
            <w:tcW w:w="1640" w:type="dxa"/>
            <w:vAlign w:val="bottom"/>
          </w:tcPr>
          <w:p>
            <w:pPr>
              <w:spacing w:after="0"/>
              <w:rPr>
                <w:sz w:val="14"/>
                <w:szCs w:val="14"/>
                <w:color w:val="auto"/>
              </w:rPr>
            </w:pPr>
          </w:p>
        </w:tc>
      </w:tr>
      <w:tr>
        <w:trPr>
          <w:trHeight w:val="167"/>
        </w:trPr>
        <w:tc>
          <w:tcPr>
            <w:tcW w:w="3580" w:type="dxa"/>
            <w:vAlign w:val="bottom"/>
          </w:tcPr>
          <w:p>
            <w:pPr>
              <w:spacing w:after="0"/>
              <w:rPr>
                <w:sz w:val="20"/>
                <w:szCs w:val="20"/>
                <w:color w:val="auto"/>
              </w:rPr>
            </w:pPr>
            <w:r>
              <w:rPr>
                <w:rFonts w:ascii="Arial" w:cs="Arial" w:eastAsia="Arial" w:hAnsi="Arial"/>
                <w:sz w:val="14"/>
                <w:szCs w:val="14"/>
                <w:color w:val="auto"/>
              </w:rPr>
              <w:t>€ thousand</w:t>
            </w:r>
          </w:p>
        </w:tc>
        <w:tc>
          <w:tcPr>
            <w:tcW w:w="2020" w:type="dxa"/>
            <w:vAlign w:val="bottom"/>
          </w:tcPr>
          <w:p>
            <w:pPr>
              <w:jc w:val="right"/>
              <w:ind w:right="374"/>
              <w:spacing w:after="0"/>
              <w:rPr>
                <w:sz w:val="20"/>
                <w:szCs w:val="20"/>
                <w:color w:val="auto"/>
              </w:rPr>
            </w:pPr>
            <w:r>
              <w:rPr>
                <w:rFonts w:ascii="Arial" w:cs="Arial" w:eastAsia="Arial" w:hAnsi="Arial"/>
                <w:sz w:val="14"/>
                <w:szCs w:val="14"/>
                <w:color w:val="auto"/>
              </w:rPr>
              <w:t>December 31, 2022</w:t>
            </w:r>
          </w:p>
        </w:tc>
        <w:tc>
          <w:tcPr>
            <w:tcW w:w="2020" w:type="dxa"/>
            <w:vAlign w:val="bottom"/>
          </w:tcPr>
          <w:p>
            <w:pPr>
              <w:jc w:val="right"/>
              <w:ind w:right="376"/>
              <w:spacing w:after="0"/>
              <w:rPr>
                <w:sz w:val="20"/>
                <w:szCs w:val="20"/>
                <w:color w:val="auto"/>
              </w:rPr>
            </w:pPr>
            <w:r>
              <w:rPr>
                <w:rFonts w:ascii="Arial" w:cs="Arial" w:eastAsia="Arial" w:hAnsi="Arial"/>
                <w:sz w:val="14"/>
                <w:szCs w:val="14"/>
                <w:color w:val="auto"/>
              </w:rPr>
              <w:t>December 31, 2021</w:t>
            </w:r>
          </w:p>
        </w:tc>
        <w:tc>
          <w:tcPr>
            <w:tcW w:w="164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26,318</w:t>
            </w:r>
          </w:p>
        </w:tc>
        <w:tc>
          <w:tcPr>
            <w:tcW w:w="202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18,185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 based payments</w:t>
            </w:r>
          </w:p>
        </w:tc>
        <w:tc>
          <w:tcPr>
            <w:tcW w:w="2020" w:type="dxa"/>
            <w:vAlign w:val="bottom"/>
          </w:tcPr>
          <w:p>
            <w:pPr>
              <w:jc w:val="right"/>
              <w:ind w:right="374"/>
              <w:spacing w:after="0"/>
              <w:rPr>
                <w:sz w:val="20"/>
                <w:szCs w:val="20"/>
                <w:color w:val="auto"/>
              </w:rPr>
            </w:pPr>
            <w:r>
              <w:rPr>
                <w:rFonts w:ascii="Arial" w:cs="Arial" w:eastAsia="Arial" w:hAnsi="Arial"/>
                <w:sz w:val="18"/>
                <w:szCs w:val="18"/>
                <w:color w:val="auto"/>
              </w:rPr>
              <w:t>6,133</w:t>
            </w:r>
          </w:p>
        </w:tc>
        <w:tc>
          <w:tcPr>
            <w:tcW w:w="2020" w:type="dxa"/>
            <w:vAlign w:val="bottom"/>
          </w:tcPr>
          <w:p>
            <w:pPr>
              <w:jc w:val="right"/>
              <w:ind w:right="376"/>
              <w:spacing w:after="0"/>
              <w:rPr>
                <w:sz w:val="20"/>
                <w:szCs w:val="20"/>
                <w:color w:val="auto"/>
              </w:rPr>
            </w:pPr>
            <w:r>
              <w:rPr>
                <w:rFonts w:ascii="Arial" w:cs="Arial" w:eastAsia="Arial" w:hAnsi="Arial"/>
                <w:sz w:val="18"/>
                <w:szCs w:val="18"/>
                <w:color w:val="auto"/>
              </w:rPr>
              <w:t>1,942</w:t>
            </w:r>
          </w:p>
        </w:tc>
        <w:tc>
          <w:tcPr>
            <w:tcW w:w="164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Social security contributions, pensions, and</w:t>
            </w:r>
          </w:p>
        </w:tc>
        <w:tc>
          <w:tcPr>
            <w:tcW w:w="20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employee benefits</w:t>
            </w:r>
          </w:p>
        </w:tc>
        <w:tc>
          <w:tcPr>
            <w:tcW w:w="20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4,959</w:t>
            </w:r>
          </w:p>
        </w:tc>
        <w:tc>
          <w:tcPr>
            <w:tcW w:w="202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3,238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2020" w:type="dxa"/>
            <w:vAlign w:val="bottom"/>
          </w:tcPr>
          <w:p>
            <w:pPr>
              <w:jc w:val="right"/>
              <w:ind w:right="374"/>
              <w:spacing w:after="0"/>
              <w:rPr>
                <w:sz w:val="20"/>
                <w:szCs w:val="20"/>
                <w:color w:val="auto"/>
              </w:rPr>
            </w:pPr>
            <w:r>
              <w:rPr>
                <w:rFonts w:ascii="Arial" w:cs="Arial" w:eastAsia="Arial" w:hAnsi="Arial"/>
                <w:sz w:val="18"/>
                <w:szCs w:val="18"/>
                <w:color w:val="auto"/>
              </w:rPr>
              <w:t>37,410</w:t>
            </w:r>
          </w:p>
        </w:tc>
        <w:tc>
          <w:tcPr>
            <w:tcW w:w="2020" w:type="dxa"/>
            <w:vAlign w:val="bottom"/>
          </w:tcPr>
          <w:p>
            <w:pPr>
              <w:jc w:val="right"/>
              <w:ind w:right="376"/>
              <w:spacing w:after="0"/>
              <w:rPr>
                <w:sz w:val="20"/>
                <w:szCs w:val="20"/>
                <w:color w:val="auto"/>
              </w:rPr>
            </w:pPr>
            <w:r>
              <w:rPr>
                <w:rFonts w:ascii="Arial" w:cs="Arial" w:eastAsia="Arial" w:hAnsi="Arial"/>
                <w:sz w:val="18"/>
                <w:szCs w:val="18"/>
                <w:color w:val="auto"/>
              </w:rPr>
              <w:t>23,365</w:t>
            </w:r>
          </w:p>
        </w:tc>
        <w:tc>
          <w:tcPr>
            <w:tcW w:w="1640" w:type="dxa"/>
            <w:vAlign w:val="bottom"/>
          </w:tcPr>
          <w:p>
            <w:pPr>
              <w:jc w:val="right"/>
              <w:spacing w:after="0"/>
              <w:rPr>
                <w:sz w:val="20"/>
                <w:szCs w:val="20"/>
                <w:color w:val="auto"/>
              </w:rPr>
            </w:pPr>
            <w:r>
              <w:rPr>
                <w:rFonts w:ascii="Arial" w:cs="Arial" w:eastAsia="Arial" w:hAnsi="Arial"/>
                <w:sz w:val="18"/>
                <w:szCs w:val="18"/>
                <w:color w:val="auto"/>
              </w:rPr>
              <w:t>16,834</w:t>
            </w:r>
          </w:p>
        </w:tc>
      </w:tr>
    </w:tbl>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Under defined contribution pension plans, the Company paid contributions to governmental pension schemes for the year ended December 31, 2022, in the amount of €1,799 thousand (2021: €1,301 thousand, 2020: €872).</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Equity-settled share-based payment under Stock Option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Stock Option Plan</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Stock Option Plan</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86" w:right="4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Granting of stock options to Mr. Altan</w:t>
      </w:r>
    </w:p>
    <w:p>
      <w:pPr>
        <w:spacing w:after="0" w:line="11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32 a) Related party transactions for more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Plan</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 fiscal year 2021, Mynaric granted stock options to selected employees under the 2021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Stock Option Plan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During the year ended December 31, 2022, the Company granted 108,000 stock options to selected employees under the 2022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five years after the expiration of the vesting period provided that the performance target has been achieved. The first performance target is linked to the absolute price performance of the Company shares during the vesting period. The second performance target relates to the achievement of ESG (Environment, Social, Governance) targets (Diversity target and employee engagement target, both measured on a company level). The share price performance target is weighted at 80% and the ESG performance target is weighted at 20%. The target achievement of both performance targets is between 0% and 100% which means that the number of exercisable options is adjusted based on the corresponding target achievement. Furthermore, the stock options can only be exercised to the extent that the maximum compensation of the respective beneficiary for the corresponding period is not exceeded which means that in case the maximum compensation would be exceeded, the number of exercisable options is reduced. A total of 40,000 options from the 2021 I tranche were waived by the beneficiary, which was compensated by granting of 33,000 new stock options from the 2022 I tranche. The waive and grant of new stock options was treated as replacement according to IFRS 2 and therefore as a modification within the meaning of IFRS 2. The fair value of the original grant and the new grant were both measured at the modification date and the incremental fair value (€ 58.378) of the new grant is recorded in P&amp;L.</w:t>
      </w:r>
    </w:p>
    <w:p>
      <w:pPr>
        <w:spacing w:after="0" w:line="17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stock option grants under the 2017, 2019 2020, 2021, 2022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86" w:right="4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options changed as follows in fiscal year 2022 (Tranches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Arial" w:cs="Arial" w:eastAsia="Arial" w:hAnsi="Arial"/>
                <w:sz w:val="14"/>
                <w:szCs w:val="14"/>
                <w:color w:val="auto"/>
              </w:rPr>
              <w:t>Tranche</w:t>
            </w:r>
          </w:p>
        </w:tc>
        <w:tc>
          <w:tcPr>
            <w:tcW w:w="740" w:type="dxa"/>
            <w:vAlign w:val="bottom"/>
          </w:tcPr>
          <w:p>
            <w:pPr>
              <w:ind w:left="100"/>
              <w:spacing w:after="0"/>
              <w:rPr>
                <w:sz w:val="20"/>
                <w:szCs w:val="20"/>
                <w:color w:val="auto"/>
              </w:rPr>
            </w:pPr>
            <w:r>
              <w:rPr>
                <w:rFonts w:ascii="Arial" w:cs="Arial" w:eastAsia="Arial" w:hAnsi="Arial"/>
                <w:sz w:val="14"/>
                <w:szCs w:val="14"/>
                <w:color w:val="auto"/>
              </w:rPr>
              <w:t>Tranche</w:t>
            </w:r>
          </w:p>
        </w:tc>
        <w:tc>
          <w:tcPr>
            <w:tcW w:w="740" w:type="dxa"/>
            <w:vAlign w:val="bottom"/>
          </w:tcPr>
          <w:p>
            <w:pPr>
              <w:jc w:val="right"/>
              <w:ind w:right="74"/>
              <w:spacing w:after="0"/>
              <w:rPr>
                <w:sz w:val="20"/>
                <w:szCs w:val="20"/>
                <w:color w:val="auto"/>
              </w:rPr>
            </w:pPr>
            <w:r>
              <w:rPr>
                <w:rFonts w:ascii="Arial" w:cs="Arial" w:eastAsia="Arial" w:hAnsi="Arial"/>
                <w:sz w:val="14"/>
                <w:szCs w:val="14"/>
                <w:color w:val="auto"/>
              </w:rPr>
              <w:t>Tranche</w:t>
            </w:r>
          </w:p>
        </w:tc>
        <w:tc>
          <w:tcPr>
            <w:tcW w:w="740" w:type="dxa"/>
            <w:vAlign w:val="bottom"/>
          </w:tcPr>
          <w:p>
            <w:pPr>
              <w:ind w:left="100"/>
              <w:spacing w:after="0"/>
              <w:rPr>
                <w:sz w:val="20"/>
                <w:szCs w:val="20"/>
                <w:color w:val="auto"/>
              </w:rPr>
            </w:pPr>
            <w:r>
              <w:rPr>
                <w:rFonts w:ascii="Arial" w:cs="Arial" w:eastAsia="Arial" w:hAnsi="Arial"/>
                <w:sz w:val="14"/>
                <w:szCs w:val="14"/>
                <w:color w:val="auto"/>
              </w:rPr>
              <w:t>Tranche</w:t>
            </w:r>
          </w:p>
        </w:tc>
        <w:tc>
          <w:tcPr>
            <w:tcW w:w="720" w:type="dxa"/>
            <w:vAlign w:val="bottom"/>
          </w:tcPr>
          <w:p>
            <w:pPr>
              <w:jc w:val="right"/>
              <w:ind w:right="54"/>
              <w:spacing w:after="0"/>
              <w:rPr>
                <w:sz w:val="20"/>
                <w:szCs w:val="20"/>
                <w:color w:val="auto"/>
              </w:rPr>
            </w:pPr>
            <w:r>
              <w:rPr>
                <w:rFonts w:ascii="Arial" w:cs="Arial" w:eastAsia="Arial" w:hAnsi="Arial"/>
                <w:sz w:val="14"/>
                <w:szCs w:val="14"/>
                <w:color w:val="auto"/>
              </w:rPr>
              <w:t>Tranche</w:t>
            </w:r>
          </w:p>
        </w:tc>
        <w:tc>
          <w:tcPr>
            <w:tcW w:w="620" w:type="dxa"/>
            <w:vAlign w:val="bottom"/>
          </w:tcPr>
          <w:p>
            <w:pPr>
              <w:ind w:left="100"/>
              <w:spacing w:after="0"/>
              <w:rPr>
                <w:sz w:val="20"/>
                <w:szCs w:val="20"/>
                <w:color w:val="auto"/>
              </w:rPr>
            </w:pPr>
            <w:r>
              <w:rPr>
                <w:rFonts w:ascii="Arial" w:cs="Arial" w:eastAsia="Arial" w:hAnsi="Arial"/>
                <w:sz w:val="14"/>
                <w:szCs w:val="14"/>
                <w:color w:val="auto"/>
                <w:w w:val="97"/>
              </w:rPr>
              <w:t>Tranche</w:t>
            </w: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Tranche</w:t>
            </w:r>
          </w:p>
        </w:tc>
        <w:tc>
          <w:tcPr>
            <w:tcW w:w="700" w:type="dxa"/>
            <w:vAlign w:val="bottom"/>
          </w:tcPr>
          <w:p>
            <w:pPr>
              <w:ind w:left="140"/>
              <w:spacing w:after="0"/>
              <w:rPr>
                <w:sz w:val="20"/>
                <w:szCs w:val="20"/>
                <w:color w:val="auto"/>
              </w:rPr>
            </w:pPr>
            <w:r>
              <w:rPr>
                <w:rFonts w:ascii="Arial" w:cs="Arial" w:eastAsia="Arial" w:hAnsi="Arial"/>
                <w:sz w:val="14"/>
                <w:szCs w:val="14"/>
                <w:color w:val="auto"/>
              </w:rPr>
              <w:t>Tranche</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Tranche</w:t>
            </w: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Tranche</w:t>
            </w:r>
          </w:p>
        </w:tc>
      </w:tr>
      <w:tr>
        <w:trPr>
          <w:trHeight w:val="167"/>
        </w:trPr>
        <w:tc>
          <w:tcPr>
            <w:tcW w:w="3400" w:type="dxa"/>
            <w:vAlign w:val="bottom"/>
          </w:tcPr>
          <w:p>
            <w:pPr>
              <w:spacing w:after="0"/>
              <w:rPr>
                <w:sz w:val="14"/>
                <w:szCs w:val="14"/>
                <w:color w:val="auto"/>
              </w:rPr>
            </w:pPr>
          </w:p>
        </w:tc>
        <w:tc>
          <w:tcPr>
            <w:tcW w:w="1140" w:type="dxa"/>
            <w:vAlign w:val="bottom"/>
          </w:tcPr>
          <w:p>
            <w:pPr>
              <w:ind w:left="540"/>
              <w:spacing w:after="0"/>
              <w:rPr>
                <w:sz w:val="20"/>
                <w:szCs w:val="20"/>
                <w:color w:val="auto"/>
              </w:rPr>
            </w:pPr>
            <w:r>
              <w:rPr>
                <w:rFonts w:ascii="Arial" w:cs="Arial" w:eastAsia="Arial" w:hAnsi="Arial"/>
                <w:sz w:val="14"/>
                <w:szCs w:val="14"/>
                <w:color w:val="auto"/>
              </w:rPr>
              <w:t>2019 I</w:t>
            </w:r>
          </w:p>
        </w:tc>
        <w:tc>
          <w:tcPr>
            <w:tcW w:w="740" w:type="dxa"/>
            <w:vAlign w:val="bottom"/>
          </w:tcPr>
          <w:p>
            <w:pPr>
              <w:ind w:left="120"/>
              <w:spacing w:after="0"/>
              <w:rPr>
                <w:sz w:val="20"/>
                <w:szCs w:val="20"/>
                <w:color w:val="auto"/>
              </w:rPr>
            </w:pPr>
            <w:r>
              <w:rPr>
                <w:rFonts w:ascii="Arial" w:cs="Arial" w:eastAsia="Arial" w:hAnsi="Arial"/>
                <w:sz w:val="14"/>
                <w:szCs w:val="14"/>
                <w:color w:val="auto"/>
              </w:rPr>
              <w:t>2019 II</w:t>
            </w:r>
          </w:p>
        </w:tc>
        <w:tc>
          <w:tcPr>
            <w:tcW w:w="740" w:type="dxa"/>
            <w:vAlign w:val="bottom"/>
          </w:tcPr>
          <w:p>
            <w:pPr>
              <w:jc w:val="right"/>
              <w:ind w:right="74"/>
              <w:spacing w:after="0"/>
              <w:rPr>
                <w:sz w:val="20"/>
                <w:szCs w:val="20"/>
                <w:color w:val="auto"/>
              </w:rPr>
            </w:pPr>
            <w:r>
              <w:rPr>
                <w:rFonts w:ascii="Arial" w:cs="Arial" w:eastAsia="Arial" w:hAnsi="Arial"/>
                <w:sz w:val="14"/>
                <w:szCs w:val="14"/>
                <w:color w:val="auto"/>
              </w:rPr>
              <w:t>2019 III</w:t>
            </w:r>
          </w:p>
        </w:tc>
        <w:tc>
          <w:tcPr>
            <w:tcW w:w="740" w:type="dxa"/>
            <w:vAlign w:val="bottom"/>
          </w:tcPr>
          <w:p>
            <w:pPr>
              <w:ind w:left="100"/>
              <w:spacing w:after="0"/>
              <w:rPr>
                <w:sz w:val="20"/>
                <w:szCs w:val="20"/>
                <w:color w:val="auto"/>
              </w:rPr>
            </w:pPr>
            <w:r>
              <w:rPr>
                <w:rFonts w:ascii="Arial" w:cs="Arial" w:eastAsia="Arial" w:hAnsi="Arial"/>
                <w:sz w:val="14"/>
                <w:szCs w:val="14"/>
                <w:color w:val="auto"/>
              </w:rPr>
              <w:t>2019 IV</w:t>
            </w:r>
          </w:p>
        </w:tc>
        <w:tc>
          <w:tcPr>
            <w:tcW w:w="720" w:type="dxa"/>
            <w:vAlign w:val="bottom"/>
          </w:tcPr>
          <w:p>
            <w:pPr>
              <w:jc w:val="right"/>
              <w:ind w:right="74"/>
              <w:spacing w:after="0"/>
              <w:rPr>
                <w:sz w:val="20"/>
                <w:szCs w:val="20"/>
                <w:color w:val="auto"/>
              </w:rPr>
            </w:pPr>
            <w:r>
              <w:rPr>
                <w:rFonts w:ascii="Arial" w:cs="Arial" w:eastAsia="Arial" w:hAnsi="Arial"/>
                <w:sz w:val="14"/>
                <w:szCs w:val="14"/>
                <w:color w:val="auto"/>
              </w:rPr>
              <w:t>2019 V</w:t>
            </w:r>
          </w:p>
        </w:tc>
        <w:tc>
          <w:tcPr>
            <w:tcW w:w="620" w:type="dxa"/>
            <w:vAlign w:val="bottom"/>
          </w:tcPr>
          <w:p>
            <w:pPr>
              <w:ind w:left="100"/>
              <w:spacing w:after="0"/>
              <w:rPr>
                <w:sz w:val="20"/>
                <w:szCs w:val="20"/>
                <w:color w:val="auto"/>
              </w:rPr>
            </w:pPr>
            <w:r>
              <w:rPr>
                <w:rFonts w:ascii="Arial" w:cs="Arial" w:eastAsia="Arial" w:hAnsi="Arial"/>
                <w:sz w:val="14"/>
                <w:szCs w:val="14"/>
                <w:color w:val="auto"/>
              </w:rPr>
              <w:t>2019 VI</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2019 VII</w:t>
            </w:r>
          </w:p>
        </w:tc>
        <w:tc>
          <w:tcPr>
            <w:tcW w:w="700" w:type="dxa"/>
            <w:vAlign w:val="bottom"/>
          </w:tcPr>
          <w:p>
            <w:pPr>
              <w:ind w:left="100"/>
              <w:spacing w:after="0"/>
              <w:rPr>
                <w:sz w:val="20"/>
                <w:szCs w:val="20"/>
                <w:color w:val="auto"/>
              </w:rPr>
            </w:pPr>
            <w:r>
              <w:rPr>
                <w:rFonts w:ascii="Arial" w:cs="Arial" w:eastAsia="Arial" w:hAnsi="Arial"/>
                <w:sz w:val="14"/>
                <w:szCs w:val="14"/>
                <w:color w:val="auto"/>
              </w:rPr>
              <w:t>2019 VIII</w:t>
            </w:r>
          </w:p>
        </w:tc>
        <w:tc>
          <w:tcPr>
            <w:tcW w:w="740" w:type="dxa"/>
            <w:vAlign w:val="bottom"/>
          </w:tcPr>
          <w:p>
            <w:pPr>
              <w:jc w:val="center"/>
              <w:ind w:left="14"/>
              <w:spacing w:after="0"/>
              <w:rPr>
                <w:sz w:val="20"/>
                <w:szCs w:val="20"/>
                <w:color w:val="auto"/>
              </w:rPr>
            </w:pPr>
            <w:r>
              <w:rPr>
                <w:rFonts w:ascii="Arial" w:cs="Arial" w:eastAsia="Arial" w:hAnsi="Arial"/>
                <w:sz w:val="14"/>
                <w:szCs w:val="14"/>
                <w:color w:val="auto"/>
                <w:w w:val="99"/>
              </w:rPr>
              <w:t>2019 IX</w:t>
            </w:r>
          </w:p>
        </w:tc>
        <w:tc>
          <w:tcPr>
            <w:tcW w:w="700" w:type="dxa"/>
            <w:vAlign w:val="bottom"/>
          </w:tcPr>
          <w:p>
            <w:pPr>
              <w:ind w:left="140"/>
              <w:spacing w:after="0"/>
              <w:rPr>
                <w:sz w:val="20"/>
                <w:szCs w:val="20"/>
                <w:color w:val="auto"/>
              </w:rPr>
            </w:pPr>
            <w:r>
              <w:rPr>
                <w:rFonts w:ascii="Arial" w:cs="Arial" w:eastAsia="Arial" w:hAnsi="Arial"/>
                <w:sz w:val="14"/>
                <w:szCs w:val="14"/>
                <w:color w:val="auto"/>
              </w:rPr>
              <w:t>2019 X</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as of Jan. 1, 2022</w:t>
            </w: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93,800</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20,000</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12,500</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53,000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w:t>
            </w: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7,000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300</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5,100</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1,000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Options exercised</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Options outstanding as of Dec. 31, 2022</w:t>
            </w:r>
          </w:p>
        </w:tc>
        <w:tc>
          <w:tcPr>
            <w:tcW w:w="1140" w:type="dxa"/>
            <w:vAlign w:val="bottom"/>
          </w:tcPr>
          <w:p>
            <w:pPr>
              <w:ind w:left="520"/>
              <w:spacing w:after="0"/>
              <w:rPr>
                <w:sz w:val="20"/>
                <w:szCs w:val="20"/>
                <w:color w:val="auto"/>
              </w:rPr>
            </w:pPr>
            <w:r>
              <w:rPr>
                <w:rFonts w:ascii="Arial" w:cs="Arial" w:eastAsia="Arial" w:hAnsi="Arial"/>
                <w:sz w:val="18"/>
                <w:szCs w:val="18"/>
                <w:color w:val="auto"/>
              </w:rPr>
              <w:t>93,500</w:t>
            </w:r>
          </w:p>
        </w:tc>
        <w:tc>
          <w:tcPr>
            <w:tcW w:w="740" w:type="dxa"/>
            <w:vAlign w:val="bottom"/>
          </w:tcPr>
          <w:p>
            <w:pPr>
              <w:ind w:left="140"/>
              <w:spacing w:after="0"/>
              <w:rPr>
                <w:sz w:val="20"/>
                <w:szCs w:val="20"/>
                <w:color w:val="auto"/>
              </w:rPr>
            </w:pPr>
            <w:r>
              <w:rPr>
                <w:rFonts w:ascii="Arial" w:cs="Arial" w:eastAsia="Arial" w:hAnsi="Arial"/>
                <w:sz w:val="18"/>
                <w:szCs w:val="18"/>
                <w:color w:val="auto"/>
              </w:rPr>
              <w:t>20,000</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7,400</w:t>
            </w:r>
          </w:p>
        </w:tc>
        <w:tc>
          <w:tcPr>
            <w:tcW w:w="740" w:type="dxa"/>
            <w:vAlign w:val="bottom"/>
          </w:tcPr>
          <w:p>
            <w:pPr>
              <w:ind w:left="140"/>
              <w:spacing w:after="0"/>
              <w:rPr>
                <w:sz w:val="20"/>
                <w:szCs w:val="20"/>
                <w:color w:val="auto"/>
              </w:rPr>
            </w:pPr>
            <w:r>
              <w:rPr>
                <w:rFonts w:ascii="Arial" w:cs="Arial" w:eastAsia="Arial" w:hAnsi="Arial"/>
                <w:sz w:val="18"/>
                <w:szCs w:val="18"/>
                <w:color w:val="auto"/>
              </w:rPr>
              <w:t>53,000</w:t>
            </w:r>
          </w:p>
        </w:tc>
        <w:tc>
          <w:tcPr>
            <w:tcW w:w="720" w:type="dxa"/>
            <w:vAlign w:val="bottom"/>
          </w:tcPr>
          <w:p>
            <w:pPr>
              <w:jc w:val="right"/>
              <w:spacing w:after="0"/>
              <w:rPr>
                <w:sz w:val="20"/>
                <w:szCs w:val="20"/>
                <w:color w:val="auto"/>
              </w:rPr>
            </w:pPr>
            <w:r>
              <w:rPr>
                <w:rFonts w:ascii="Arial" w:cs="Arial" w:eastAsia="Arial" w:hAnsi="Arial"/>
                <w:sz w:val="18"/>
                <w:szCs w:val="18"/>
                <w:color w:val="auto"/>
              </w:rPr>
              <w:t>18,000</w:t>
            </w:r>
          </w:p>
        </w:tc>
        <w:tc>
          <w:tcPr>
            <w:tcW w:w="620" w:type="dxa"/>
            <w:vAlign w:val="bottom"/>
          </w:tcPr>
          <w:p>
            <w:pPr>
              <w:ind w:left="180"/>
              <w:spacing w:after="0"/>
              <w:rPr>
                <w:sz w:val="20"/>
                <w:szCs w:val="20"/>
                <w:color w:val="auto"/>
              </w:rPr>
            </w:pPr>
            <w:r>
              <w:rPr>
                <w:rFonts w:ascii="Arial" w:cs="Arial" w:eastAsia="Arial" w:hAnsi="Arial"/>
                <w:sz w:val="18"/>
                <w:szCs w:val="18"/>
                <w:color w:val="auto"/>
                <w:w w:val="93"/>
              </w:rPr>
              <w:t>6,000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6,000</w:t>
            </w:r>
          </w:p>
        </w:tc>
        <w:tc>
          <w:tcPr>
            <w:tcW w:w="700" w:type="dxa"/>
            <w:vAlign w:val="bottom"/>
          </w:tcPr>
          <w:p>
            <w:pPr>
              <w:jc w:val="right"/>
              <w:spacing w:after="0"/>
              <w:rPr>
                <w:sz w:val="20"/>
                <w:szCs w:val="20"/>
                <w:color w:val="auto"/>
              </w:rPr>
            </w:pPr>
            <w:r>
              <w:rPr>
                <w:rFonts w:ascii="Arial" w:cs="Arial" w:eastAsia="Arial" w:hAnsi="Arial"/>
                <w:sz w:val="18"/>
                <w:szCs w:val="18"/>
                <w:color w:val="auto"/>
              </w:rPr>
              <w:t>10,850</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7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 31, 2022</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432"/>
        </w:trPr>
        <w:tc>
          <w:tcPr>
            <w:tcW w:w="6020" w:type="dxa"/>
            <w:vAlign w:val="bottom"/>
            <w:gridSpan w:val="4"/>
          </w:tcPr>
          <w:p>
            <w:pPr>
              <w:spacing w:after="0"/>
              <w:rPr>
                <w:sz w:val="20"/>
                <w:szCs w:val="20"/>
                <w:color w:val="auto"/>
              </w:rPr>
            </w:pPr>
            <w:r>
              <w:rPr>
                <w:rFonts w:ascii="Arial" w:cs="Arial" w:eastAsia="Arial" w:hAnsi="Arial"/>
                <w:sz w:val="18"/>
                <w:szCs w:val="18"/>
                <w:color w:val="auto"/>
                <w:w w:val="99"/>
              </w:rPr>
              <w:t>The options changed as follows in fiscal year 2022 (Tranches 2020 - 2022):</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3"/>
        </w:trPr>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Arial" w:cs="Arial" w:eastAsia="Arial" w:hAnsi="Arial"/>
                <w:sz w:val="14"/>
                <w:szCs w:val="14"/>
                <w:color w:val="auto"/>
              </w:rPr>
              <w:t>Tranche</w:t>
            </w:r>
          </w:p>
        </w:tc>
        <w:tc>
          <w:tcPr>
            <w:tcW w:w="1120" w:type="dxa"/>
            <w:vAlign w:val="bottom"/>
            <w:gridSpan w:val="2"/>
          </w:tcPr>
          <w:p>
            <w:pPr>
              <w:jc w:val="center"/>
              <w:ind w:right="153"/>
              <w:spacing w:after="0"/>
              <w:rPr>
                <w:sz w:val="20"/>
                <w:szCs w:val="20"/>
                <w:color w:val="auto"/>
              </w:rPr>
            </w:pPr>
            <w:r>
              <w:rPr>
                <w:rFonts w:ascii="Arial" w:cs="Arial" w:eastAsia="Arial" w:hAnsi="Arial"/>
                <w:sz w:val="14"/>
                <w:szCs w:val="14"/>
                <w:color w:val="auto"/>
                <w:w w:val="93"/>
              </w:rPr>
              <w:t>Tranche</w:t>
            </w:r>
          </w:p>
        </w:tc>
        <w:tc>
          <w:tcPr>
            <w:tcW w:w="740" w:type="dxa"/>
            <w:vAlign w:val="bottom"/>
          </w:tcPr>
          <w:p>
            <w:pPr>
              <w:jc w:val="right"/>
              <w:ind w:right="194"/>
              <w:spacing w:after="0"/>
              <w:rPr>
                <w:sz w:val="20"/>
                <w:szCs w:val="20"/>
                <w:color w:val="auto"/>
              </w:rPr>
            </w:pPr>
            <w:r>
              <w:rPr>
                <w:rFonts w:ascii="Arial" w:cs="Arial" w:eastAsia="Arial" w:hAnsi="Arial"/>
                <w:sz w:val="14"/>
                <w:szCs w:val="14"/>
                <w:color w:val="auto"/>
                <w:w w:val="85"/>
              </w:rPr>
              <w:t>Tranche</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Tranche</w:t>
            </w:r>
          </w:p>
        </w:tc>
      </w:tr>
      <w:tr>
        <w:trPr>
          <w:trHeight w:val="167"/>
        </w:trPr>
        <w:tc>
          <w:tcPr>
            <w:tcW w:w="3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ind w:left="440"/>
              <w:spacing w:after="0"/>
              <w:rPr>
                <w:sz w:val="20"/>
                <w:szCs w:val="20"/>
                <w:color w:val="auto"/>
              </w:rPr>
            </w:pPr>
            <w:r>
              <w:rPr>
                <w:rFonts w:ascii="Arial" w:cs="Arial" w:eastAsia="Arial" w:hAnsi="Arial"/>
                <w:sz w:val="14"/>
                <w:szCs w:val="14"/>
                <w:color w:val="auto"/>
              </w:rPr>
              <w:t>2020 I</w:t>
            </w:r>
          </w:p>
        </w:tc>
        <w:tc>
          <w:tcPr>
            <w:tcW w:w="1120" w:type="dxa"/>
            <w:vAlign w:val="bottom"/>
            <w:gridSpan w:val="2"/>
          </w:tcPr>
          <w:p>
            <w:pPr>
              <w:jc w:val="center"/>
              <w:ind w:right="153"/>
              <w:spacing w:after="0"/>
              <w:rPr>
                <w:sz w:val="20"/>
                <w:szCs w:val="20"/>
                <w:color w:val="auto"/>
              </w:rPr>
            </w:pPr>
            <w:r>
              <w:rPr>
                <w:rFonts w:ascii="Arial" w:cs="Arial" w:eastAsia="Arial" w:hAnsi="Arial"/>
                <w:sz w:val="14"/>
                <w:szCs w:val="14"/>
                <w:color w:val="auto"/>
                <w:w w:val="92"/>
              </w:rPr>
              <w:t>2021 I</w:t>
            </w:r>
          </w:p>
        </w:tc>
        <w:tc>
          <w:tcPr>
            <w:tcW w:w="740" w:type="dxa"/>
            <w:vAlign w:val="bottom"/>
          </w:tcPr>
          <w:p>
            <w:pPr>
              <w:jc w:val="right"/>
              <w:ind w:right="234"/>
              <w:spacing w:after="0"/>
              <w:rPr>
                <w:sz w:val="20"/>
                <w:szCs w:val="20"/>
                <w:color w:val="auto"/>
              </w:rPr>
            </w:pPr>
            <w:r>
              <w:rPr>
                <w:rFonts w:ascii="Arial" w:cs="Arial" w:eastAsia="Arial" w:hAnsi="Arial"/>
                <w:sz w:val="14"/>
                <w:szCs w:val="14"/>
                <w:color w:val="auto"/>
              </w:rPr>
              <w:t>2022 I</w:t>
            </w:r>
          </w:p>
        </w:tc>
        <w:tc>
          <w:tcPr>
            <w:tcW w:w="700" w:type="dxa"/>
            <w:vAlign w:val="bottom"/>
          </w:tcPr>
          <w:p>
            <w:pPr>
              <w:ind w:left="160"/>
              <w:spacing w:after="0"/>
              <w:rPr>
                <w:sz w:val="20"/>
                <w:szCs w:val="20"/>
                <w:color w:val="auto"/>
              </w:rPr>
            </w:pPr>
            <w:r>
              <w:rPr>
                <w:rFonts w:ascii="Arial" w:cs="Arial" w:eastAsia="Arial" w:hAnsi="Arial"/>
                <w:sz w:val="14"/>
                <w:szCs w:val="14"/>
                <w:color w:val="auto"/>
              </w:rPr>
              <w:t>Altan</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as of Jan. 1, 2022</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14,000</w:t>
            </w:r>
          </w:p>
        </w:tc>
        <w:tc>
          <w:tcPr>
            <w:tcW w:w="112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Options granted</w:t>
            </w: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w w:val="86"/>
              </w:rPr>
              <w:t>108,000</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Options exercised</w:t>
            </w: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93"/>
              <w:spacing w:after="0" w:line="216" w:lineRule="exact"/>
              <w:rPr>
                <w:sz w:val="20"/>
                <w:szCs w:val="20"/>
                <w:color w:val="auto"/>
              </w:rPr>
            </w:pPr>
            <w:r>
              <w:rPr>
                <w:rFonts w:ascii="Arial" w:cs="Arial" w:eastAsia="Arial" w:hAnsi="Arial"/>
                <w:sz w:val="18"/>
                <w:szCs w:val="18"/>
                <w:color w:val="auto"/>
              </w:rPr>
              <w:t>40,000</w:t>
            </w:r>
            <w:r>
              <w:rPr>
                <w:rFonts w:ascii="Arial" w:cs="Arial" w:eastAsia="Arial" w:hAnsi="Arial"/>
                <w:sz w:val="22"/>
                <w:szCs w:val="22"/>
                <w:color w:val="auto"/>
                <w:vertAlign w:val="superscript"/>
              </w:rPr>
              <w:t>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Options outstanding as of Dec. 31, 2022</w:t>
            </w: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w w:val="98"/>
              </w:rPr>
              <w:t>14,000</w:t>
            </w:r>
          </w:p>
        </w:tc>
        <w:tc>
          <w:tcPr>
            <w:tcW w:w="1120" w:type="dxa"/>
            <w:vAlign w:val="bottom"/>
            <w:gridSpan w:val="2"/>
          </w:tcPr>
          <w:p>
            <w:pPr>
              <w:jc w:val="right"/>
              <w:ind w:right="253"/>
              <w:spacing w:after="0"/>
              <w:rPr>
                <w:sz w:val="20"/>
                <w:szCs w:val="20"/>
                <w:color w:val="auto"/>
              </w:rPr>
            </w:pPr>
            <w:r>
              <w:rPr>
                <w:rFonts w:ascii="Arial" w:cs="Arial" w:eastAsia="Arial" w:hAnsi="Arial"/>
                <w:sz w:val="18"/>
                <w:szCs w:val="18"/>
                <w:color w:val="auto"/>
              </w:rPr>
              <w:t>60,000</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w w:val="86"/>
              </w:rPr>
              <w:t>108,000</w:t>
            </w: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 31, 2022</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20" w:hanging="4"/>
        <w:spacing w:after="0" w:line="232" w:lineRule="auto"/>
        <w:tabs>
          <w:tab w:leader="none" w:pos="204" w:val="left"/>
        </w:tabs>
        <w:numPr>
          <w:ilvl w:val="0"/>
          <w:numId w:val="125"/>
        </w:numPr>
        <w:rPr>
          <w:rFonts w:ascii="Arial" w:cs="Arial" w:eastAsia="Arial" w:hAnsi="Arial"/>
          <w:sz w:val="22"/>
          <w:szCs w:val="22"/>
          <w:color w:val="auto"/>
          <w:vertAlign w:val="superscript"/>
        </w:rPr>
      </w:pPr>
      <w:r>
        <w:rPr>
          <w:rFonts w:ascii="Arial" w:cs="Arial" w:eastAsia="Arial" w:hAnsi="Arial"/>
          <w:sz w:val="18"/>
          <w:szCs w:val="18"/>
          <w:color w:val="auto"/>
        </w:rPr>
        <w:t>Note: A total of 40,000 options from the 2021 I tranche were waived, which was compensated for by the granting of 33,000 new options from the 2022 I tranche.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options changed as follows in fiscal year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color w:val="auto"/>
              </w:rPr>
              <w:t>Tranche</w:t>
            </w:r>
          </w:p>
        </w:tc>
        <w:tc>
          <w:tcPr>
            <w:tcW w:w="580" w:type="dxa"/>
            <w:vAlign w:val="bottom"/>
          </w:tcPr>
          <w:p>
            <w:pPr>
              <w:ind w:left="80"/>
              <w:spacing w:after="0"/>
              <w:rPr>
                <w:sz w:val="20"/>
                <w:szCs w:val="20"/>
                <w:color w:val="auto"/>
              </w:rPr>
            </w:pPr>
            <w:r>
              <w:rPr>
                <w:rFonts w:ascii="Arial" w:cs="Arial" w:eastAsia="Arial" w:hAnsi="Arial"/>
                <w:sz w:val="13"/>
                <w:szCs w:val="13"/>
                <w:color w:val="auto"/>
              </w:rPr>
              <w:t>Tranche</w:t>
            </w:r>
          </w:p>
        </w:tc>
        <w:tc>
          <w:tcPr>
            <w:tcW w:w="560" w:type="dxa"/>
            <w:vAlign w:val="bottom"/>
          </w:tcPr>
          <w:p>
            <w:pPr>
              <w:ind w:left="120"/>
              <w:spacing w:after="0"/>
              <w:rPr>
                <w:sz w:val="20"/>
                <w:szCs w:val="20"/>
                <w:color w:val="auto"/>
              </w:rPr>
            </w:pPr>
            <w:r>
              <w:rPr>
                <w:rFonts w:ascii="Arial" w:cs="Arial" w:eastAsia="Arial" w:hAnsi="Arial"/>
                <w:sz w:val="13"/>
                <w:szCs w:val="13"/>
                <w:color w:val="auto"/>
                <w:w w:val="87"/>
              </w:rPr>
              <w:t>Tranche</w:t>
            </w: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2"/>
              </w:rPr>
              <w:t>Tranche</w:t>
            </w:r>
          </w:p>
        </w:tc>
        <w:tc>
          <w:tcPr>
            <w:tcW w:w="660" w:type="dxa"/>
            <w:vAlign w:val="bottom"/>
          </w:tcPr>
          <w:p>
            <w:pPr>
              <w:ind w:left="80"/>
              <w:spacing w:after="0"/>
              <w:rPr>
                <w:sz w:val="20"/>
                <w:szCs w:val="20"/>
                <w:color w:val="auto"/>
              </w:rPr>
            </w:pPr>
            <w:r>
              <w:rPr>
                <w:rFonts w:ascii="Arial" w:cs="Arial" w:eastAsia="Arial" w:hAnsi="Arial"/>
                <w:sz w:val="13"/>
                <w:szCs w:val="13"/>
                <w:color w:val="auto"/>
              </w:rPr>
              <w:t>Tranche</w:t>
            </w: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Tranche   Tranche</w:t>
            </w:r>
          </w:p>
        </w:tc>
        <w:tc>
          <w:tcPr>
            <w:tcW w:w="740" w:type="dxa"/>
            <w:vAlign w:val="bottom"/>
            <w:gridSpan w:val="2"/>
          </w:tcPr>
          <w:p>
            <w:pPr>
              <w:ind w:left="160"/>
              <w:spacing w:after="0"/>
              <w:rPr>
                <w:sz w:val="20"/>
                <w:szCs w:val="20"/>
                <w:color w:val="auto"/>
              </w:rPr>
            </w:pPr>
            <w:r>
              <w:rPr>
                <w:rFonts w:ascii="Arial" w:cs="Arial" w:eastAsia="Arial" w:hAnsi="Arial"/>
                <w:sz w:val="13"/>
                <w:szCs w:val="13"/>
                <w:color w:val="auto"/>
              </w:rPr>
              <w:t>Tranche</w:t>
            </w:r>
          </w:p>
        </w:tc>
        <w:tc>
          <w:tcPr>
            <w:tcW w:w="560" w:type="dxa"/>
            <w:vAlign w:val="bottom"/>
          </w:tcPr>
          <w:p>
            <w:pPr>
              <w:jc w:val="right"/>
              <w:spacing w:after="0"/>
              <w:rPr>
                <w:sz w:val="20"/>
                <w:szCs w:val="20"/>
                <w:color w:val="auto"/>
              </w:rPr>
            </w:pPr>
            <w:r>
              <w:rPr>
                <w:rFonts w:ascii="Arial" w:cs="Arial" w:eastAsia="Arial" w:hAnsi="Arial"/>
                <w:sz w:val="13"/>
                <w:szCs w:val="13"/>
                <w:color w:val="auto"/>
              </w:rPr>
              <w:t>Tranche</w:t>
            </w:r>
          </w:p>
        </w:tc>
        <w:tc>
          <w:tcPr>
            <w:tcW w:w="16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auto"/>
              </w:rPr>
              <w:t>Tranche</w:t>
            </w:r>
          </w:p>
        </w:tc>
        <w:tc>
          <w:tcPr>
            <w:tcW w:w="720" w:type="dxa"/>
            <w:vAlign w:val="bottom"/>
          </w:tcPr>
          <w:p>
            <w:pPr>
              <w:jc w:val="center"/>
              <w:spacing w:after="0"/>
              <w:rPr>
                <w:sz w:val="20"/>
                <w:szCs w:val="20"/>
                <w:color w:val="auto"/>
              </w:rPr>
            </w:pPr>
            <w:r>
              <w:rPr>
                <w:rFonts w:ascii="Arial" w:cs="Arial" w:eastAsia="Arial" w:hAnsi="Arial"/>
                <w:sz w:val="13"/>
                <w:szCs w:val="13"/>
                <w:color w:val="auto"/>
                <w:w w:val="92"/>
              </w:rPr>
              <w:t>Tranche</w:t>
            </w:r>
          </w:p>
        </w:tc>
        <w:tc>
          <w:tcPr>
            <w:tcW w:w="740" w:type="dxa"/>
            <w:vAlign w:val="bottom"/>
          </w:tcPr>
          <w:p>
            <w:pPr>
              <w:ind w:left="160"/>
              <w:spacing w:after="0"/>
              <w:rPr>
                <w:sz w:val="20"/>
                <w:szCs w:val="20"/>
                <w:color w:val="auto"/>
              </w:rPr>
            </w:pPr>
            <w:r>
              <w:rPr>
                <w:rFonts w:ascii="Arial" w:cs="Arial" w:eastAsia="Arial" w:hAnsi="Arial"/>
                <w:sz w:val="13"/>
                <w:szCs w:val="13"/>
                <w:color w:val="auto"/>
              </w:rPr>
              <w:t>Tranche</w:t>
            </w:r>
          </w:p>
        </w:tc>
      </w:tr>
      <w:tr>
        <w:trPr>
          <w:trHeight w:val="159"/>
        </w:trPr>
        <w:tc>
          <w:tcPr>
            <w:tcW w:w="3060" w:type="dxa"/>
            <w:vAlign w:val="bottom"/>
          </w:tcPr>
          <w:p>
            <w:pPr>
              <w:spacing w:after="0"/>
              <w:rPr>
                <w:sz w:val="13"/>
                <w:szCs w:val="13"/>
                <w:color w:val="auto"/>
              </w:rPr>
            </w:pPr>
          </w:p>
        </w:tc>
        <w:tc>
          <w:tcPr>
            <w:tcW w:w="740" w:type="dxa"/>
            <w:vAlign w:val="bottom"/>
          </w:tcPr>
          <w:p>
            <w:pPr>
              <w:jc w:val="right"/>
              <w:ind w:right="109"/>
              <w:spacing w:after="0"/>
              <w:rPr>
                <w:sz w:val="20"/>
                <w:szCs w:val="20"/>
                <w:color w:val="auto"/>
              </w:rPr>
            </w:pPr>
            <w:r>
              <w:rPr>
                <w:rFonts w:ascii="Arial" w:cs="Arial" w:eastAsia="Arial" w:hAnsi="Arial"/>
                <w:sz w:val="13"/>
                <w:szCs w:val="13"/>
                <w:color w:val="auto"/>
              </w:rPr>
              <w:t>2019 I</w:t>
            </w:r>
          </w:p>
        </w:tc>
        <w:tc>
          <w:tcPr>
            <w:tcW w:w="580" w:type="dxa"/>
            <w:vAlign w:val="bottom"/>
          </w:tcPr>
          <w:p>
            <w:pPr>
              <w:ind w:left="120"/>
              <w:spacing w:after="0"/>
              <w:rPr>
                <w:sz w:val="20"/>
                <w:szCs w:val="20"/>
                <w:color w:val="auto"/>
              </w:rPr>
            </w:pPr>
            <w:r>
              <w:rPr>
                <w:rFonts w:ascii="Arial" w:cs="Arial" w:eastAsia="Arial" w:hAnsi="Arial"/>
                <w:sz w:val="13"/>
                <w:szCs w:val="13"/>
                <w:color w:val="auto"/>
              </w:rPr>
              <w:t>2019 II</w:t>
            </w:r>
          </w:p>
        </w:tc>
        <w:tc>
          <w:tcPr>
            <w:tcW w:w="560" w:type="dxa"/>
            <w:vAlign w:val="bottom"/>
          </w:tcPr>
          <w:p>
            <w:pPr>
              <w:ind w:left="120"/>
              <w:spacing w:after="0"/>
              <w:rPr>
                <w:sz w:val="20"/>
                <w:szCs w:val="20"/>
                <w:color w:val="auto"/>
              </w:rPr>
            </w:pPr>
            <w:r>
              <w:rPr>
                <w:rFonts w:ascii="Arial" w:cs="Arial" w:eastAsia="Arial" w:hAnsi="Arial"/>
                <w:sz w:val="13"/>
                <w:szCs w:val="13"/>
                <w:color w:val="auto"/>
                <w:w w:val="96"/>
              </w:rPr>
              <w:t>2019 III</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2019 IV</w:t>
            </w:r>
          </w:p>
        </w:tc>
        <w:tc>
          <w:tcPr>
            <w:tcW w:w="660" w:type="dxa"/>
            <w:vAlign w:val="bottom"/>
          </w:tcPr>
          <w:p>
            <w:pPr>
              <w:ind w:left="100"/>
              <w:spacing w:after="0"/>
              <w:rPr>
                <w:sz w:val="20"/>
                <w:szCs w:val="20"/>
                <w:color w:val="auto"/>
              </w:rPr>
            </w:pPr>
            <w:r>
              <w:rPr>
                <w:rFonts w:ascii="Arial" w:cs="Arial" w:eastAsia="Arial" w:hAnsi="Arial"/>
                <w:sz w:val="13"/>
                <w:szCs w:val="13"/>
                <w:color w:val="auto"/>
              </w:rPr>
              <w:t>2019 V</w:t>
            </w:r>
          </w:p>
        </w:tc>
        <w:tc>
          <w:tcPr>
            <w:tcW w:w="720" w:type="dxa"/>
            <w:vAlign w:val="bottom"/>
          </w:tcPr>
          <w:p>
            <w:pPr>
              <w:ind w:left="40"/>
              <w:spacing w:after="0"/>
              <w:rPr>
                <w:sz w:val="20"/>
                <w:szCs w:val="20"/>
                <w:color w:val="auto"/>
              </w:rPr>
            </w:pPr>
            <w:r>
              <w:rPr>
                <w:rFonts w:ascii="Arial" w:cs="Arial" w:eastAsia="Arial" w:hAnsi="Arial"/>
                <w:sz w:val="13"/>
                <w:szCs w:val="13"/>
                <w:color w:val="auto"/>
              </w:rPr>
              <w:t>2019 VI</w:t>
            </w:r>
          </w:p>
        </w:tc>
        <w:tc>
          <w:tcPr>
            <w:tcW w:w="440" w:type="dxa"/>
            <w:vAlign w:val="bottom"/>
          </w:tcPr>
          <w:p>
            <w:pPr>
              <w:spacing w:after="0"/>
              <w:rPr>
                <w:sz w:val="20"/>
                <w:szCs w:val="20"/>
                <w:color w:val="auto"/>
              </w:rPr>
            </w:pPr>
            <w:r>
              <w:rPr>
                <w:rFonts w:ascii="Arial" w:cs="Arial" w:eastAsia="Arial" w:hAnsi="Arial"/>
                <w:sz w:val="13"/>
                <w:szCs w:val="13"/>
                <w:color w:val="auto"/>
              </w:rPr>
              <w:t>2020 I</w:t>
            </w:r>
          </w:p>
        </w:tc>
        <w:tc>
          <w:tcPr>
            <w:tcW w:w="740" w:type="dxa"/>
            <w:vAlign w:val="bottom"/>
            <w:gridSpan w:val="2"/>
          </w:tcPr>
          <w:p>
            <w:pPr>
              <w:ind w:left="140"/>
              <w:spacing w:after="0"/>
              <w:rPr>
                <w:sz w:val="20"/>
                <w:szCs w:val="20"/>
                <w:color w:val="auto"/>
              </w:rPr>
            </w:pPr>
            <w:r>
              <w:rPr>
                <w:rFonts w:ascii="Arial" w:cs="Arial" w:eastAsia="Arial" w:hAnsi="Arial"/>
                <w:sz w:val="13"/>
                <w:szCs w:val="13"/>
                <w:color w:val="auto"/>
              </w:rPr>
              <w:t>2019 VII</w:t>
            </w:r>
          </w:p>
        </w:tc>
        <w:tc>
          <w:tcPr>
            <w:tcW w:w="720" w:type="dxa"/>
            <w:vAlign w:val="bottom"/>
            <w:gridSpan w:val="2"/>
          </w:tcPr>
          <w:p>
            <w:pPr>
              <w:jc w:val="right"/>
              <w:ind w:right="19"/>
              <w:spacing w:after="0"/>
              <w:rPr>
                <w:sz w:val="20"/>
                <w:szCs w:val="20"/>
                <w:color w:val="auto"/>
              </w:rPr>
            </w:pPr>
            <w:r>
              <w:rPr>
                <w:rFonts w:ascii="Arial" w:cs="Arial" w:eastAsia="Arial" w:hAnsi="Arial"/>
                <w:sz w:val="13"/>
                <w:szCs w:val="13"/>
                <w:color w:val="auto"/>
              </w:rPr>
              <w:t>2019 VIII</w:t>
            </w:r>
          </w:p>
        </w:tc>
        <w:tc>
          <w:tcPr>
            <w:tcW w:w="600" w:type="dxa"/>
            <w:vAlign w:val="bottom"/>
          </w:tcPr>
          <w:p>
            <w:pPr>
              <w:ind w:left="80"/>
              <w:spacing w:after="0"/>
              <w:rPr>
                <w:sz w:val="20"/>
                <w:szCs w:val="20"/>
                <w:color w:val="auto"/>
              </w:rPr>
            </w:pPr>
            <w:r>
              <w:rPr>
                <w:rFonts w:ascii="Arial" w:cs="Arial" w:eastAsia="Arial" w:hAnsi="Arial"/>
                <w:sz w:val="13"/>
                <w:szCs w:val="13"/>
                <w:color w:val="auto"/>
              </w:rPr>
              <w:t>2019 IX</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2021 I</w:t>
            </w:r>
          </w:p>
        </w:tc>
        <w:tc>
          <w:tcPr>
            <w:tcW w:w="740" w:type="dxa"/>
            <w:vAlign w:val="bottom"/>
          </w:tcPr>
          <w:p>
            <w:pPr>
              <w:ind w:left="120"/>
              <w:spacing w:after="0"/>
              <w:rPr>
                <w:sz w:val="20"/>
                <w:szCs w:val="20"/>
                <w:color w:val="auto"/>
              </w:rPr>
            </w:pPr>
            <w:r>
              <w:rPr>
                <w:rFonts w:ascii="Arial" w:cs="Arial" w:eastAsia="Arial" w:hAnsi="Arial"/>
                <w:sz w:val="13"/>
                <w:szCs w:val="13"/>
                <w:color w:val="auto"/>
              </w:rPr>
              <w:t>Mr. Altan</w:t>
            </w: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outstanding as of Jan. 1, 2021</w:t>
            </w: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107,100</w:t>
            </w:r>
          </w:p>
        </w:tc>
        <w:tc>
          <w:tcPr>
            <w:tcW w:w="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20,000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14,550</w:t>
            </w:r>
          </w:p>
        </w:tc>
        <w:tc>
          <w:tcPr>
            <w:tcW w:w="700" w:type="dxa"/>
            <w:vAlign w:val="bottom"/>
            <w:shd w:val="clear" w:color="auto" w:fill="CCEEFF"/>
          </w:tcPr>
          <w:p>
            <w:pPr>
              <w:jc w:val="right"/>
              <w:ind w:right="3"/>
              <w:spacing w:after="0" w:line="149" w:lineRule="exact"/>
              <w:rPr>
                <w:sz w:val="20"/>
                <w:szCs w:val="20"/>
                <w:color w:val="auto"/>
              </w:rPr>
            </w:pPr>
            <w:r>
              <w:rPr>
                <w:rFonts w:ascii="Arial" w:cs="Arial" w:eastAsia="Arial" w:hAnsi="Arial"/>
                <w:sz w:val="14"/>
                <w:szCs w:val="14"/>
                <w:color w:val="auto"/>
              </w:rPr>
              <w:t>53,000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26,600</w:t>
            </w:r>
          </w:p>
        </w:tc>
        <w:tc>
          <w:tcPr>
            <w:tcW w:w="720" w:type="dxa"/>
            <w:vAlign w:val="bottom"/>
            <w:shd w:val="clear" w:color="auto" w:fill="CCEEFF"/>
          </w:tcPr>
          <w:p>
            <w:pPr>
              <w:jc w:val="right"/>
              <w:ind w:right="122"/>
              <w:spacing w:after="0" w:line="149" w:lineRule="exact"/>
              <w:rPr>
                <w:sz w:val="20"/>
                <w:szCs w:val="20"/>
                <w:color w:val="auto"/>
              </w:rPr>
            </w:pPr>
            <w:r>
              <w:rPr>
                <w:rFonts w:ascii="Arial" w:cs="Arial" w:eastAsia="Arial" w:hAnsi="Arial"/>
                <w:sz w:val="14"/>
                <w:szCs w:val="14"/>
                <w:color w:val="auto"/>
              </w:rPr>
              <w:t>13,500</w:t>
            </w:r>
          </w:p>
        </w:tc>
        <w:tc>
          <w:tcPr>
            <w:tcW w:w="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14,000</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14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6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left="142"/>
              <w:spacing w:after="0" w:line="149" w:lineRule="exact"/>
              <w:rPr>
                <w:sz w:val="20"/>
                <w:szCs w:val="20"/>
                <w:color w:val="auto"/>
              </w:rPr>
            </w:pPr>
            <w:r>
              <w:rPr>
                <w:rFonts w:ascii="Arial" w:cs="Arial" w:eastAsia="Arial" w:hAnsi="Arial"/>
                <w:sz w:val="14"/>
                <w:szCs w:val="14"/>
                <w:color w:val="auto"/>
                <w:w w:val="93"/>
              </w:rPr>
              <w:t>56,700</w:t>
            </w: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color w:val="auto"/>
              </w:rPr>
              <w:t>Options granted</w:t>
            </w:r>
          </w:p>
        </w:tc>
        <w:tc>
          <w:tcPr>
            <w:tcW w:w="7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20" w:type="dxa"/>
            <w:vAlign w:val="bottom"/>
          </w:tcPr>
          <w:p>
            <w:pPr>
              <w:jc w:val="center"/>
              <w:ind w:right="5"/>
              <w:spacing w:after="0" w:line="149" w:lineRule="exact"/>
              <w:rPr>
                <w:sz w:val="20"/>
                <w:szCs w:val="20"/>
                <w:color w:val="auto"/>
              </w:rPr>
            </w:pPr>
            <w:r>
              <w:rPr>
                <w:rFonts w:ascii="Arial" w:cs="Arial" w:eastAsia="Arial" w:hAnsi="Arial"/>
                <w:sz w:val="14"/>
                <w:szCs w:val="14"/>
                <w:color w:val="auto"/>
                <w:w w:val="96"/>
              </w:rPr>
              <w:t>6,000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14,350</w:t>
            </w:r>
          </w:p>
        </w:tc>
        <w:tc>
          <w:tcPr>
            <w:tcW w:w="600" w:type="dxa"/>
            <w:vAlign w:val="bottom"/>
          </w:tcPr>
          <w:p>
            <w:pPr>
              <w:jc w:val="center"/>
              <w:ind w:left="122"/>
              <w:spacing w:after="0" w:line="149" w:lineRule="exact"/>
              <w:rPr>
                <w:sz w:val="20"/>
                <w:szCs w:val="20"/>
                <w:color w:val="auto"/>
              </w:rPr>
            </w:pPr>
            <w:r>
              <w:rPr>
                <w:rFonts w:ascii="Arial" w:cs="Arial" w:eastAsia="Arial" w:hAnsi="Arial"/>
                <w:sz w:val="14"/>
                <w:szCs w:val="14"/>
                <w:color w:val="auto"/>
                <w:w w:val="91"/>
              </w:rPr>
              <w:t>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74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forfeited</w:t>
            </w: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13,300</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700" w:type="dxa"/>
            <w:vAlign w:val="bottom"/>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2"/>
              <w:spacing w:after="0" w:line="149" w:lineRule="exact"/>
              <w:rPr>
                <w:sz w:val="20"/>
                <w:szCs w:val="20"/>
                <w:color w:val="auto"/>
              </w:rPr>
            </w:pPr>
            <w:r>
              <w:rPr>
                <w:rFonts w:ascii="Arial" w:cs="Arial" w:eastAsia="Arial" w:hAnsi="Arial"/>
                <w:sz w:val="14"/>
                <w:szCs w:val="14"/>
                <w:color w:val="auto"/>
              </w:rPr>
              <w:t>6,500</w:t>
            </w:r>
          </w:p>
        </w:tc>
        <w:tc>
          <w:tcPr>
            <w:tcW w:w="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600" w:type="dxa"/>
            <w:vAlign w:val="bottom"/>
            <w:shd w:val="clear" w:color="auto" w:fill="CCEEFF"/>
          </w:tcPr>
          <w:p>
            <w:pPr>
              <w:jc w:val="center"/>
              <w:ind w:left="14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6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7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center"/>
              <w:ind w:left="14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6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expired</w:t>
            </w:r>
          </w:p>
        </w:tc>
        <w:tc>
          <w:tcPr>
            <w:tcW w:w="7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14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6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Options outstanding as of Dec. 31, 2021</w:t>
            </w: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93,800</w:t>
            </w: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w w:val="97"/>
              </w:rPr>
              <w:t>20,000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700" w:type="dxa"/>
            <w:vAlign w:val="bottom"/>
          </w:tcPr>
          <w:p>
            <w:pPr>
              <w:jc w:val="right"/>
              <w:ind w:right="3"/>
              <w:spacing w:after="0" w:line="149" w:lineRule="exact"/>
              <w:rPr>
                <w:sz w:val="20"/>
                <w:szCs w:val="20"/>
                <w:color w:val="auto"/>
              </w:rPr>
            </w:pPr>
            <w:r>
              <w:rPr>
                <w:rFonts w:ascii="Arial" w:cs="Arial" w:eastAsia="Arial" w:hAnsi="Arial"/>
                <w:sz w:val="14"/>
                <w:szCs w:val="14"/>
                <w:color w:val="auto"/>
              </w:rPr>
              <w:t>53,000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26,600</w:t>
            </w:r>
          </w:p>
        </w:tc>
        <w:tc>
          <w:tcPr>
            <w:tcW w:w="72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7,000</w:t>
            </w:r>
          </w:p>
        </w:tc>
        <w:tc>
          <w:tcPr>
            <w:tcW w:w="440" w:type="dxa"/>
            <w:vAlign w:val="bottom"/>
          </w:tcPr>
          <w:p>
            <w:pPr>
              <w:ind w:left="20"/>
              <w:spacing w:after="0" w:line="149" w:lineRule="exact"/>
              <w:rPr>
                <w:sz w:val="20"/>
                <w:szCs w:val="20"/>
                <w:color w:val="auto"/>
              </w:rPr>
            </w:pPr>
            <w:r>
              <w:rPr>
                <w:rFonts w:ascii="Arial" w:cs="Arial" w:eastAsia="Arial" w:hAnsi="Arial"/>
                <w:sz w:val="14"/>
                <w:szCs w:val="14"/>
                <w:color w:val="auto"/>
                <w:w w:val="93"/>
              </w:rPr>
              <w:t>14,000</w:t>
            </w:r>
          </w:p>
        </w:tc>
        <w:tc>
          <w:tcPr>
            <w:tcW w:w="320" w:type="dxa"/>
            <w:vAlign w:val="bottom"/>
          </w:tcPr>
          <w:p>
            <w:pPr>
              <w:spacing w:after="0"/>
              <w:rPr>
                <w:sz w:val="12"/>
                <w:szCs w:val="12"/>
                <w:color w:val="auto"/>
              </w:rPr>
            </w:pPr>
          </w:p>
        </w:tc>
        <w:tc>
          <w:tcPr>
            <w:tcW w:w="420" w:type="dxa"/>
            <w:vAlign w:val="bottom"/>
          </w:tcPr>
          <w:p>
            <w:pPr>
              <w:jc w:val="center"/>
              <w:ind w:right="5"/>
              <w:spacing w:after="0" w:line="149" w:lineRule="exact"/>
              <w:rPr>
                <w:sz w:val="20"/>
                <w:szCs w:val="20"/>
                <w:color w:val="auto"/>
              </w:rPr>
            </w:pPr>
            <w:r>
              <w:rPr>
                <w:rFonts w:ascii="Arial" w:cs="Arial" w:eastAsia="Arial" w:hAnsi="Arial"/>
                <w:sz w:val="14"/>
                <w:szCs w:val="14"/>
                <w:color w:val="auto"/>
                <w:w w:val="96"/>
              </w:rPr>
              <w:t>6,000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12,350</w:t>
            </w:r>
          </w:p>
        </w:tc>
        <w:tc>
          <w:tcPr>
            <w:tcW w:w="600" w:type="dxa"/>
            <w:vAlign w:val="bottom"/>
          </w:tcPr>
          <w:p>
            <w:pPr>
              <w:jc w:val="center"/>
              <w:ind w:left="122"/>
              <w:spacing w:after="0" w:line="149" w:lineRule="exact"/>
              <w:rPr>
                <w:sz w:val="20"/>
                <w:szCs w:val="20"/>
                <w:color w:val="auto"/>
              </w:rPr>
            </w:pPr>
            <w:r>
              <w:rPr>
                <w:rFonts w:ascii="Arial" w:cs="Arial" w:eastAsia="Arial" w:hAnsi="Arial"/>
                <w:sz w:val="14"/>
                <w:szCs w:val="14"/>
                <w:color w:val="auto"/>
                <w:w w:val="91"/>
              </w:rPr>
              <w:t>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740" w:type="dxa"/>
            <w:vAlign w:val="bottom"/>
          </w:tcPr>
          <w:p>
            <w:pPr>
              <w:jc w:val="center"/>
              <w:ind w:left="142"/>
              <w:spacing w:after="0" w:line="149" w:lineRule="exact"/>
              <w:rPr>
                <w:sz w:val="20"/>
                <w:szCs w:val="20"/>
                <w:color w:val="auto"/>
              </w:rPr>
            </w:pPr>
            <w:r>
              <w:rPr>
                <w:rFonts w:ascii="Arial" w:cs="Arial" w:eastAsia="Arial" w:hAnsi="Arial"/>
                <w:sz w:val="14"/>
                <w:szCs w:val="14"/>
                <w:color w:val="auto"/>
                <w:w w:val="93"/>
              </w:rPr>
              <w:t>56,700</w:t>
            </w: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exercisable as of Dec. 31, 2021</w:t>
            </w:r>
          </w:p>
        </w:tc>
        <w:tc>
          <w:tcPr>
            <w:tcW w:w="7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14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6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left="142"/>
              <w:spacing w:after="0" w:line="149" w:lineRule="exact"/>
              <w:rPr>
                <w:sz w:val="20"/>
                <w:szCs w:val="20"/>
                <w:color w:val="auto"/>
              </w:rPr>
            </w:pPr>
            <w:r>
              <w:rPr>
                <w:rFonts w:ascii="Arial" w:cs="Arial" w:eastAsia="Arial" w:hAnsi="Arial"/>
                <w:sz w:val="14"/>
                <w:szCs w:val="14"/>
                <w:color w:val="auto"/>
                <w:w w:val="93"/>
              </w:rPr>
              <w:t>56,700</w:t>
            </w: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w w:val="92"/>
              </w:rPr>
              <w:t>The options changed as follows in fiscal year 2020:</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8"/>
        </w:trPr>
        <w:tc>
          <w:tcPr>
            <w:tcW w:w="3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Arial" w:cs="Arial" w:eastAsia="Arial" w:hAnsi="Arial"/>
                <w:sz w:val="14"/>
                <w:szCs w:val="14"/>
                <w:color w:val="auto"/>
              </w:rPr>
              <w:t>Tranche</w:t>
            </w:r>
          </w:p>
        </w:tc>
        <w:tc>
          <w:tcPr>
            <w:tcW w:w="740" w:type="dxa"/>
            <w:vAlign w:val="bottom"/>
            <w:gridSpan w:val="2"/>
          </w:tcPr>
          <w:p>
            <w:pPr>
              <w:jc w:val="right"/>
              <w:ind w:right="183"/>
              <w:spacing w:after="0"/>
              <w:rPr>
                <w:sz w:val="20"/>
                <w:szCs w:val="20"/>
                <w:color w:val="auto"/>
              </w:rPr>
            </w:pPr>
            <w:r>
              <w:rPr>
                <w:rFonts w:ascii="Arial" w:cs="Arial" w:eastAsia="Arial" w:hAnsi="Arial"/>
                <w:sz w:val="14"/>
                <w:szCs w:val="14"/>
                <w:color w:val="auto"/>
                <w:w w:val="89"/>
              </w:rPr>
              <w:t>Tranche</w:t>
            </w:r>
          </w:p>
        </w:tc>
        <w:tc>
          <w:tcPr>
            <w:tcW w:w="660" w:type="dxa"/>
            <w:vAlign w:val="bottom"/>
          </w:tcPr>
          <w:p>
            <w:pPr>
              <w:ind w:left="80"/>
              <w:spacing w:after="0"/>
              <w:rPr>
                <w:sz w:val="20"/>
                <w:szCs w:val="20"/>
                <w:color w:val="auto"/>
              </w:rPr>
            </w:pPr>
            <w:r>
              <w:rPr>
                <w:rFonts w:ascii="Arial" w:cs="Arial" w:eastAsia="Arial" w:hAnsi="Arial"/>
                <w:sz w:val="14"/>
                <w:szCs w:val="14"/>
                <w:color w:val="auto"/>
              </w:rPr>
              <w:t>Tranche</w:t>
            </w:r>
          </w:p>
        </w:tc>
        <w:tc>
          <w:tcPr>
            <w:tcW w:w="720" w:type="dxa"/>
            <w:vAlign w:val="bottom"/>
          </w:tcPr>
          <w:p>
            <w:pPr>
              <w:ind w:left="180"/>
              <w:spacing w:after="0"/>
              <w:rPr>
                <w:sz w:val="20"/>
                <w:szCs w:val="20"/>
                <w:color w:val="auto"/>
              </w:rPr>
            </w:pPr>
            <w:r>
              <w:rPr>
                <w:rFonts w:ascii="Arial" w:cs="Arial" w:eastAsia="Arial" w:hAnsi="Arial"/>
                <w:sz w:val="14"/>
                <w:szCs w:val="14"/>
                <w:color w:val="auto"/>
              </w:rPr>
              <w:t>Tranche</w:t>
            </w:r>
          </w:p>
        </w:tc>
        <w:tc>
          <w:tcPr>
            <w:tcW w:w="760" w:type="dxa"/>
            <w:vAlign w:val="bottom"/>
            <w:gridSpan w:val="2"/>
          </w:tcPr>
          <w:p>
            <w:pPr>
              <w:ind w:left="220"/>
              <w:spacing w:after="0"/>
              <w:rPr>
                <w:sz w:val="20"/>
                <w:szCs w:val="20"/>
                <w:color w:val="auto"/>
              </w:rPr>
            </w:pPr>
            <w:r>
              <w:rPr>
                <w:rFonts w:ascii="Arial" w:cs="Arial" w:eastAsia="Arial" w:hAnsi="Arial"/>
                <w:sz w:val="14"/>
                <w:szCs w:val="14"/>
                <w:color w:val="auto"/>
              </w:rPr>
              <w:t>Tranche</w:t>
            </w:r>
          </w:p>
        </w:tc>
        <w:tc>
          <w:tcPr>
            <w:tcW w:w="980" w:type="dxa"/>
            <w:vAlign w:val="bottom"/>
            <w:gridSpan w:val="2"/>
          </w:tcPr>
          <w:p>
            <w:pPr>
              <w:jc w:val="right"/>
              <w:ind w:right="202"/>
              <w:spacing w:after="0"/>
              <w:rPr>
                <w:sz w:val="20"/>
                <w:szCs w:val="20"/>
                <w:color w:val="auto"/>
              </w:rPr>
            </w:pPr>
            <w:r>
              <w:rPr>
                <w:rFonts w:ascii="Arial" w:cs="Arial" w:eastAsia="Arial" w:hAnsi="Arial"/>
                <w:sz w:val="14"/>
                <w:szCs w:val="14"/>
                <w:color w:val="auto"/>
              </w:rPr>
              <w:t>Tranche</w:t>
            </w:r>
          </w:p>
        </w:tc>
        <w:tc>
          <w:tcPr>
            <w:tcW w:w="760" w:type="dxa"/>
            <w:vAlign w:val="bottom"/>
            <w:gridSpan w:val="2"/>
          </w:tcPr>
          <w:p>
            <w:pPr>
              <w:jc w:val="right"/>
              <w:ind w:right="202"/>
              <w:spacing w:after="0"/>
              <w:rPr>
                <w:sz w:val="20"/>
                <w:szCs w:val="20"/>
                <w:color w:val="auto"/>
              </w:rPr>
            </w:pPr>
            <w:r>
              <w:rPr>
                <w:rFonts w:ascii="Arial" w:cs="Arial" w:eastAsia="Arial" w:hAnsi="Arial"/>
                <w:sz w:val="14"/>
                <w:szCs w:val="14"/>
                <w:color w:val="auto"/>
                <w:w w:val="89"/>
              </w:rPr>
              <w:t>Tranche</w:t>
            </w:r>
          </w:p>
        </w:tc>
        <w:tc>
          <w:tcPr>
            <w:tcW w:w="720" w:type="dxa"/>
            <w:vAlign w:val="bottom"/>
          </w:tcPr>
          <w:p>
            <w:pPr>
              <w:jc w:val="right"/>
              <w:ind w:right="142"/>
              <w:spacing w:after="0"/>
              <w:rPr>
                <w:sz w:val="20"/>
                <w:szCs w:val="20"/>
                <w:color w:val="auto"/>
              </w:rPr>
            </w:pPr>
            <w:r>
              <w:rPr>
                <w:rFonts w:ascii="Arial" w:cs="Arial" w:eastAsia="Arial" w:hAnsi="Arial"/>
                <w:sz w:val="14"/>
                <w:szCs w:val="14"/>
                <w:color w:val="auto"/>
                <w:w w:val="93"/>
              </w:rPr>
              <w:t>Tranche</w:t>
            </w:r>
          </w:p>
        </w:tc>
        <w:tc>
          <w:tcPr>
            <w:tcW w:w="740" w:type="dxa"/>
            <w:vAlign w:val="bottom"/>
          </w:tcPr>
          <w:p>
            <w:pPr>
              <w:ind w:left="100"/>
              <w:spacing w:after="0"/>
              <w:rPr>
                <w:sz w:val="20"/>
                <w:szCs w:val="20"/>
                <w:color w:val="auto"/>
              </w:rPr>
            </w:pPr>
            <w:r>
              <w:rPr>
                <w:rFonts w:ascii="Arial" w:cs="Arial" w:eastAsia="Arial" w:hAnsi="Arial"/>
                <w:sz w:val="14"/>
                <w:szCs w:val="14"/>
                <w:color w:val="auto"/>
              </w:rPr>
              <w:t>Tranche</w:t>
            </w:r>
          </w:p>
        </w:tc>
      </w:tr>
      <w:tr>
        <w:trPr>
          <w:trHeight w:val="175"/>
        </w:trPr>
        <w:tc>
          <w:tcPr>
            <w:tcW w:w="3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2"/>
          </w:tcPr>
          <w:p>
            <w:pPr>
              <w:ind w:left="480"/>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5"/>
                <w:szCs w:val="15"/>
                <w:color w:val="auto"/>
              </w:rPr>
            </w:pPr>
          </w:p>
        </w:tc>
        <w:tc>
          <w:tcPr>
            <w:tcW w:w="700" w:type="dxa"/>
            <w:vAlign w:val="bottom"/>
          </w:tcPr>
          <w:p>
            <w:pPr>
              <w:jc w:val="right"/>
              <w:ind w:right="243"/>
              <w:spacing w:after="0"/>
              <w:rPr>
                <w:sz w:val="20"/>
                <w:szCs w:val="20"/>
                <w:color w:val="auto"/>
              </w:rPr>
            </w:pPr>
            <w:r>
              <w:rPr>
                <w:rFonts w:ascii="Arial" w:cs="Arial" w:eastAsia="Arial" w:hAnsi="Arial"/>
                <w:sz w:val="14"/>
                <w:szCs w:val="14"/>
                <w:color w:val="auto"/>
                <w:w w:val="92"/>
              </w:rPr>
              <w:t>2019 I</w:t>
            </w:r>
          </w:p>
        </w:tc>
        <w:tc>
          <w:tcPr>
            <w:tcW w:w="660" w:type="dxa"/>
            <w:vAlign w:val="bottom"/>
          </w:tcPr>
          <w:p>
            <w:pPr>
              <w:ind w:left="100"/>
              <w:spacing w:after="0"/>
              <w:rPr>
                <w:sz w:val="20"/>
                <w:szCs w:val="20"/>
                <w:color w:val="auto"/>
              </w:rPr>
            </w:pPr>
            <w:r>
              <w:rPr>
                <w:rFonts w:ascii="Arial" w:cs="Arial" w:eastAsia="Arial" w:hAnsi="Arial"/>
                <w:sz w:val="14"/>
                <w:szCs w:val="14"/>
                <w:color w:val="auto"/>
              </w:rPr>
              <w:t>2019 II</w:t>
            </w:r>
          </w:p>
        </w:tc>
        <w:tc>
          <w:tcPr>
            <w:tcW w:w="720" w:type="dxa"/>
            <w:vAlign w:val="bottom"/>
          </w:tcPr>
          <w:p>
            <w:pPr>
              <w:ind w:left="180"/>
              <w:spacing w:after="0"/>
              <w:rPr>
                <w:sz w:val="20"/>
                <w:szCs w:val="20"/>
                <w:color w:val="auto"/>
              </w:rPr>
            </w:pPr>
            <w:r>
              <w:rPr>
                <w:rFonts w:ascii="Arial" w:cs="Arial" w:eastAsia="Arial" w:hAnsi="Arial"/>
                <w:sz w:val="14"/>
                <w:szCs w:val="14"/>
                <w:color w:val="auto"/>
              </w:rPr>
              <w:t>2019 III</w:t>
            </w:r>
          </w:p>
        </w:tc>
        <w:tc>
          <w:tcPr>
            <w:tcW w:w="760" w:type="dxa"/>
            <w:vAlign w:val="bottom"/>
            <w:gridSpan w:val="2"/>
          </w:tcPr>
          <w:p>
            <w:pPr>
              <w:ind w:left="220"/>
              <w:spacing w:after="0"/>
              <w:rPr>
                <w:sz w:val="20"/>
                <w:szCs w:val="20"/>
                <w:color w:val="auto"/>
              </w:rPr>
            </w:pPr>
            <w:r>
              <w:rPr>
                <w:rFonts w:ascii="Arial" w:cs="Arial" w:eastAsia="Arial" w:hAnsi="Arial"/>
                <w:sz w:val="14"/>
                <w:szCs w:val="14"/>
                <w:color w:val="auto"/>
              </w:rPr>
              <w:t>2019 IV</w:t>
            </w:r>
          </w:p>
        </w:tc>
        <w:tc>
          <w:tcPr>
            <w:tcW w:w="980" w:type="dxa"/>
            <w:vAlign w:val="bottom"/>
            <w:gridSpan w:val="2"/>
          </w:tcPr>
          <w:p>
            <w:pPr>
              <w:jc w:val="right"/>
              <w:ind w:right="222"/>
              <w:spacing w:after="0"/>
              <w:rPr>
                <w:sz w:val="20"/>
                <w:szCs w:val="20"/>
                <w:color w:val="auto"/>
              </w:rPr>
            </w:pPr>
            <w:r>
              <w:rPr>
                <w:rFonts w:ascii="Arial" w:cs="Arial" w:eastAsia="Arial" w:hAnsi="Arial"/>
                <w:sz w:val="14"/>
                <w:szCs w:val="14"/>
                <w:color w:val="auto"/>
              </w:rPr>
              <w:t>2019 V</w:t>
            </w:r>
          </w:p>
        </w:tc>
        <w:tc>
          <w:tcPr>
            <w:tcW w:w="760" w:type="dxa"/>
            <w:vAlign w:val="bottom"/>
            <w:gridSpan w:val="2"/>
          </w:tcPr>
          <w:p>
            <w:pPr>
              <w:jc w:val="right"/>
              <w:ind w:right="202"/>
              <w:spacing w:after="0"/>
              <w:rPr>
                <w:sz w:val="20"/>
                <w:szCs w:val="20"/>
                <w:color w:val="auto"/>
              </w:rPr>
            </w:pPr>
            <w:r>
              <w:rPr>
                <w:rFonts w:ascii="Arial" w:cs="Arial" w:eastAsia="Arial" w:hAnsi="Arial"/>
                <w:sz w:val="14"/>
                <w:szCs w:val="14"/>
                <w:color w:val="auto"/>
                <w:w w:val="95"/>
              </w:rPr>
              <w:t>2019 VI</w:t>
            </w:r>
          </w:p>
        </w:tc>
        <w:tc>
          <w:tcPr>
            <w:tcW w:w="720" w:type="dxa"/>
            <w:vAlign w:val="bottom"/>
          </w:tcPr>
          <w:p>
            <w:pPr>
              <w:jc w:val="right"/>
              <w:ind w:right="202"/>
              <w:spacing w:after="0"/>
              <w:rPr>
                <w:sz w:val="20"/>
                <w:szCs w:val="20"/>
                <w:color w:val="auto"/>
              </w:rPr>
            </w:pPr>
            <w:r>
              <w:rPr>
                <w:rFonts w:ascii="Arial" w:cs="Arial" w:eastAsia="Arial" w:hAnsi="Arial"/>
                <w:sz w:val="14"/>
                <w:szCs w:val="14"/>
                <w:color w:val="auto"/>
              </w:rPr>
              <w:t>2020 I</w:t>
            </w:r>
          </w:p>
        </w:tc>
        <w:tc>
          <w:tcPr>
            <w:tcW w:w="740" w:type="dxa"/>
            <w:vAlign w:val="bottom"/>
          </w:tcPr>
          <w:p>
            <w:pPr>
              <w:ind w:left="60"/>
              <w:spacing w:after="0"/>
              <w:rPr>
                <w:sz w:val="20"/>
                <w:szCs w:val="20"/>
                <w:color w:val="auto"/>
              </w:rPr>
            </w:pPr>
            <w:r>
              <w:rPr>
                <w:rFonts w:ascii="Arial" w:cs="Arial" w:eastAsia="Arial" w:hAnsi="Arial"/>
                <w:sz w:val="14"/>
                <w:szCs w:val="14"/>
                <w:color w:val="auto"/>
              </w:rPr>
              <w:t>Mr. Altan</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8"/>
              </w:rPr>
              <w:t>Options outstanding as of Jan. 1, 2020</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106"/>
              <w:spacing w:after="0"/>
              <w:rPr>
                <w:sz w:val="20"/>
                <w:szCs w:val="20"/>
                <w:color w:val="auto"/>
              </w:rPr>
            </w:pPr>
            <w:r>
              <w:rPr>
                <w:rFonts w:ascii="Arial" w:cs="Arial" w:eastAsia="Arial" w:hAnsi="Arial"/>
                <w:sz w:val="18"/>
                <w:szCs w:val="18"/>
                <w:color w:val="auto"/>
                <w:w w:val="88"/>
              </w:rPr>
              <w:t>2,200</w:t>
            </w:r>
          </w:p>
        </w:tc>
        <w:tc>
          <w:tcPr>
            <w:tcW w:w="7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89"/>
              </w:rPr>
              <w:t>107,400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56,700</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Options granted</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center"/>
              <w:ind w:right="26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19,850</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87"/>
              </w:rPr>
              <w:t>53,000</w:t>
            </w: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26,600</w:t>
            </w:r>
          </w:p>
        </w:tc>
        <w:tc>
          <w:tcPr>
            <w:tcW w:w="760" w:type="dxa"/>
            <w:vAlign w:val="bottom"/>
            <w:gridSpan w:val="2"/>
          </w:tcPr>
          <w:p>
            <w:pPr>
              <w:jc w:val="right"/>
              <w:ind w:right="122"/>
              <w:spacing w:after="0"/>
              <w:rPr>
                <w:sz w:val="20"/>
                <w:szCs w:val="20"/>
                <w:color w:val="auto"/>
              </w:rPr>
            </w:pPr>
            <w:r>
              <w:rPr>
                <w:rFonts w:ascii="Arial" w:cs="Arial" w:eastAsia="Arial" w:hAnsi="Arial"/>
                <w:sz w:val="18"/>
                <w:szCs w:val="18"/>
                <w:color w:val="auto"/>
                <w:w w:val="98"/>
              </w:rPr>
              <w:t>13,500</w:t>
            </w:r>
          </w:p>
        </w:tc>
        <w:tc>
          <w:tcPr>
            <w:tcW w:w="720" w:type="dxa"/>
            <w:vAlign w:val="bottom"/>
          </w:tcPr>
          <w:p>
            <w:pPr>
              <w:jc w:val="right"/>
              <w:ind w:right="62"/>
              <w:spacing w:after="0"/>
              <w:rPr>
                <w:sz w:val="20"/>
                <w:szCs w:val="20"/>
                <w:color w:val="auto"/>
              </w:rPr>
            </w:pPr>
            <w:r>
              <w:rPr>
                <w:rFonts w:ascii="Arial" w:cs="Arial" w:eastAsia="Arial" w:hAnsi="Arial"/>
                <w:sz w:val="18"/>
                <w:szCs w:val="18"/>
                <w:color w:val="auto"/>
              </w:rPr>
              <w:t>14,000</w:t>
            </w:r>
          </w:p>
        </w:tc>
        <w:tc>
          <w:tcPr>
            <w:tcW w:w="740" w:type="dxa"/>
            <w:vAlign w:val="bottom"/>
          </w:tcPr>
          <w:p>
            <w:pPr>
              <w:jc w:val="center"/>
              <w:ind w:left="162"/>
              <w:spacing w:after="0"/>
              <w:rPr>
                <w:sz w:val="20"/>
                <w:szCs w:val="20"/>
                <w:color w:val="auto"/>
              </w:rPr>
            </w:pPr>
            <w:r>
              <w:rPr>
                <w:rFonts w:ascii="Arial" w:cs="Arial" w:eastAsia="Arial" w:hAnsi="Arial"/>
                <w:sz w:val="18"/>
                <w:szCs w:val="18"/>
                <w:color w:val="auto"/>
                <w:w w:val="99"/>
              </w:rPr>
              <w:t>—</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106"/>
              <w:spacing w:after="0"/>
              <w:rPr>
                <w:sz w:val="20"/>
                <w:szCs w:val="20"/>
                <w:color w:val="auto"/>
              </w:rPr>
            </w:pPr>
            <w:r>
              <w:rPr>
                <w:rFonts w:ascii="Arial" w:cs="Arial" w:eastAsia="Arial" w:hAnsi="Arial"/>
                <w:sz w:val="18"/>
                <w:szCs w:val="18"/>
                <w:color w:val="auto"/>
                <w:w w:val="88"/>
              </w:rPr>
              <w:t>2,200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5,300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99"/>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Options exercised</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center"/>
              <w:ind w:right="26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6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ind w:left="162"/>
              <w:spacing w:after="0"/>
              <w:rPr>
                <w:sz w:val="20"/>
                <w:szCs w:val="20"/>
                <w:color w:val="auto"/>
              </w:rPr>
            </w:pPr>
            <w:r>
              <w:rPr>
                <w:rFonts w:ascii="Arial" w:cs="Arial" w:eastAsia="Arial" w:hAnsi="Arial"/>
                <w:sz w:val="18"/>
                <w:szCs w:val="18"/>
                <w:color w:val="auto"/>
                <w:w w:val="99"/>
              </w:rPr>
              <w:t>—</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262"/>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99"/>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w w:val="94"/>
              </w:rPr>
              <w:t>Options outstanding as of Dec. 31, 2020</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center"/>
              <w:ind w:right="262"/>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3"/>
              <w:spacing w:after="0"/>
              <w:rPr>
                <w:sz w:val="20"/>
                <w:szCs w:val="20"/>
                <w:color w:val="auto"/>
              </w:rPr>
            </w:pPr>
            <w:r>
              <w:rPr>
                <w:rFonts w:ascii="Arial" w:cs="Arial" w:eastAsia="Arial" w:hAnsi="Arial"/>
                <w:sz w:val="18"/>
                <w:szCs w:val="18"/>
                <w:color w:val="auto"/>
                <w:w w:val="89"/>
              </w:rPr>
              <w:t>107,100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720" w:type="dxa"/>
            <w:vAlign w:val="bottom"/>
          </w:tcPr>
          <w:p>
            <w:pPr>
              <w:ind w:left="200"/>
              <w:spacing w:after="0"/>
              <w:rPr>
                <w:sz w:val="20"/>
                <w:szCs w:val="20"/>
                <w:color w:val="auto"/>
              </w:rPr>
            </w:pPr>
            <w:r>
              <w:rPr>
                <w:rFonts w:ascii="Arial" w:cs="Arial" w:eastAsia="Arial" w:hAnsi="Arial"/>
                <w:sz w:val="18"/>
                <w:szCs w:val="18"/>
                <w:color w:val="auto"/>
                <w:w w:val="90"/>
              </w:rPr>
              <w:t>14,550</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87"/>
              </w:rPr>
              <w:t>53,000</w:t>
            </w: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26,600</w:t>
            </w:r>
          </w:p>
        </w:tc>
        <w:tc>
          <w:tcPr>
            <w:tcW w:w="760" w:type="dxa"/>
            <w:vAlign w:val="bottom"/>
            <w:gridSpan w:val="2"/>
          </w:tcPr>
          <w:p>
            <w:pPr>
              <w:jc w:val="right"/>
              <w:ind w:right="122"/>
              <w:spacing w:after="0"/>
              <w:rPr>
                <w:sz w:val="20"/>
                <w:szCs w:val="20"/>
                <w:color w:val="auto"/>
              </w:rPr>
            </w:pPr>
            <w:r>
              <w:rPr>
                <w:rFonts w:ascii="Arial" w:cs="Arial" w:eastAsia="Arial" w:hAnsi="Arial"/>
                <w:sz w:val="18"/>
                <w:szCs w:val="18"/>
                <w:color w:val="auto"/>
                <w:w w:val="98"/>
              </w:rPr>
              <w:t>13,500</w:t>
            </w:r>
          </w:p>
        </w:tc>
        <w:tc>
          <w:tcPr>
            <w:tcW w:w="720" w:type="dxa"/>
            <w:vAlign w:val="bottom"/>
          </w:tcPr>
          <w:p>
            <w:pPr>
              <w:jc w:val="right"/>
              <w:ind w:right="62"/>
              <w:spacing w:after="0"/>
              <w:rPr>
                <w:sz w:val="20"/>
                <w:szCs w:val="20"/>
                <w:color w:val="auto"/>
              </w:rPr>
            </w:pPr>
            <w:r>
              <w:rPr>
                <w:rFonts w:ascii="Arial" w:cs="Arial" w:eastAsia="Arial" w:hAnsi="Arial"/>
                <w:sz w:val="18"/>
                <w:szCs w:val="18"/>
                <w:color w:val="auto"/>
              </w:rPr>
              <w:t>14,000</w:t>
            </w:r>
          </w:p>
        </w:tc>
        <w:tc>
          <w:tcPr>
            <w:tcW w:w="740" w:type="dxa"/>
            <w:vAlign w:val="bottom"/>
          </w:tcPr>
          <w:p>
            <w:pPr>
              <w:ind w:left="160"/>
              <w:spacing w:after="0"/>
              <w:rPr>
                <w:sz w:val="20"/>
                <w:szCs w:val="20"/>
                <w:color w:val="auto"/>
              </w:rPr>
            </w:pPr>
            <w:r>
              <w:rPr>
                <w:rFonts w:ascii="Arial" w:cs="Arial" w:eastAsia="Arial" w:hAnsi="Arial"/>
                <w:sz w:val="18"/>
                <w:szCs w:val="18"/>
                <w:color w:val="auto"/>
              </w:rPr>
              <w:t>56,700</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5"/>
              </w:rPr>
              <w:t>Options exercisable as of Dec. 31, 2020</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262"/>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56,700</w:t>
            </w:r>
          </w:p>
        </w:tc>
      </w:tr>
    </w:tbl>
    <w:p>
      <w:pPr>
        <w:spacing w:after="0" w:line="20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options were exercised in during the year ended December 31, 2022. The table below shows the contractual terms of the respective tranches outstanding as of December 31, 2022.</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86" w:right="4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model and inputs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measurement of the existing stock option plans was based on the Monte Carlo Simulation model or the Binomial model, considering the terms and conditions for the options. The table below shows the inputs used for the model as of December 31, 2022.</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760" w:type="dxa"/>
            <w:vAlign w:val="bottom"/>
          </w:tcPr>
          <w:p>
            <w:pPr>
              <w:jc w:val="center"/>
              <w:ind w:left="130"/>
              <w:spacing w:after="0"/>
              <w:rPr>
                <w:sz w:val="20"/>
                <w:szCs w:val="20"/>
                <w:color w:val="auto"/>
              </w:rPr>
            </w:pPr>
            <w:r>
              <w:rPr>
                <w:rFonts w:ascii="Arial" w:cs="Arial" w:eastAsia="Arial" w:hAnsi="Arial"/>
                <w:sz w:val="13"/>
                <w:szCs w:val="13"/>
                <w:color w:val="auto"/>
                <w:w w:val="83"/>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82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40" w:type="dxa"/>
            <w:vAlign w:val="bottom"/>
          </w:tcPr>
          <w:p>
            <w:pPr>
              <w:spacing w:after="0"/>
              <w:rPr>
                <w:sz w:val="13"/>
                <w:szCs w:val="13"/>
                <w:color w:val="auto"/>
              </w:rPr>
            </w:pPr>
          </w:p>
        </w:tc>
      </w:tr>
      <w:tr>
        <w:trPr>
          <w:trHeight w:val="135"/>
        </w:trPr>
        <w:tc>
          <w:tcPr>
            <w:tcW w:w="2640" w:type="dxa"/>
            <w:vAlign w:val="bottom"/>
          </w:tcPr>
          <w:p>
            <w:pPr>
              <w:spacing w:after="0"/>
              <w:rPr>
                <w:sz w:val="11"/>
                <w:szCs w:val="11"/>
                <w:color w:val="auto"/>
              </w:rPr>
            </w:pPr>
          </w:p>
        </w:tc>
        <w:tc>
          <w:tcPr>
            <w:tcW w:w="760" w:type="dxa"/>
            <w:vAlign w:val="bottom"/>
          </w:tcPr>
          <w:p>
            <w:pPr>
              <w:jc w:val="center"/>
              <w:ind w:left="130"/>
              <w:spacing w:after="0" w:line="135" w:lineRule="exact"/>
              <w:rPr>
                <w:sz w:val="20"/>
                <w:szCs w:val="20"/>
                <w:color w:val="auto"/>
              </w:rPr>
            </w:pPr>
            <w:r>
              <w:rPr>
                <w:rFonts w:ascii="Arial" w:cs="Arial" w:eastAsia="Arial" w:hAnsi="Arial"/>
                <w:sz w:val="13"/>
                <w:szCs w:val="13"/>
                <w:color w:val="auto"/>
                <w:w w:val="82"/>
              </w:rPr>
              <w:t>2019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2020</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2021</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2"/>
              </w:rPr>
              <w:t>2022</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w w:val="96"/>
              </w:rPr>
              <w:t>Tranche</w:t>
            </w:r>
          </w:p>
        </w:tc>
      </w:tr>
      <w:tr>
        <w:trPr>
          <w:trHeight w:val="162"/>
        </w:trPr>
        <w:tc>
          <w:tcPr>
            <w:tcW w:w="2640" w:type="dxa"/>
            <w:vAlign w:val="bottom"/>
          </w:tcPr>
          <w:p>
            <w:pPr>
              <w:spacing w:after="0"/>
              <w:rPr>
                <w:sz w:val="14"/>
                <w:szCs w:val="14"/>
                <w:color w:val="auto"/>
              </w:rPr>
            </w:pPr>
          </w:p>
        </w:tc>
        <w:tc>
          <w:tcPr>
            <w:tcW w:w="760" w:type="dxa"/>
            <w:vAlign w:val="bottom"/>
          </w:tcPr>
          <w:p>
            <w:pPr>
              <w:jc w:val="center"/>
              <w:ind w:left="130"/>
              <w:spacing w:after="0"/>
              <w:rPr>
                <w:sz w:val="20"/>
                <w:szCs w:val="20"/>
                <w:color w:val="auto"/>
              </w:rPr>
            </w:pPr>
            <w:r>
              <w:rPr>
                <w:rFonts w:ascii="Arial" w:cs="Arial" w:eastAsia="Arial" w:hAnsi="Arial"/>
                <w:sz w:val="13"/>
                <w:szCs w:val="13"/>
                <w:color w:val="auto"/>
              </w:rPr>
              <w:t>I</w:t>
            </w:r>
          </w:p>
        </w:tc>
        <w:tc>
          <w:tcPr>
            <w:tcW w:w="580" w:type="dxa"/>
            <w:vAlign w:val="bottom"/>
          </w:tcPr>
          <w:p>
            <w:pPr>
              <w:jc w:val="center"/>
              <w:spacing w:after="0"/>
              <w:rPr>
                <w:sz w:val="20"/>
                <w:szCs w:val="20"/>
                <w:color w:val="auto"/>
              </w:rPr>
            </w:pPr>
            <w:r>
              <w:rPr>
                <w:rFonts w:ascii="Arial" w:cs="Arial" w:eastAsia="Arial" w:hAnsi="Arial"/>
                <w:sz w:val="13"/>
                <w:szCs w:val="13"/>
                <w:color w:val="auto"/>
              </w:rPr>
              <w:t>II</w:t>
            </w:r>
          </w:p>
        </w:tc>
        <w:tc>
          <w:tcPr>
            <w:tcW w:w="560" w:type="dxa"/>
            <w:vAlign w:val="bottom"/>
          </w:tcPr>
          <w:p>
            <w:pPr>
              <w:jc w:val="center"/>
              <w:spacing w:after="0"/>
              <w:rPr>
                <w:sz w:val="20"/>
                <w:szCs w:val="20"/>
                <w:color w:val="auto"/>
              </w:rPr>
            </w:pPr>
            <w:r>
              <w:rPr>
                <w:rFonts w:ascii="Arial" w:cs="Arial" w:eastAsia="Arial" w:hAnsi="Arial"/>
                <w:sz w:val="13"/>
                <w:szCs w:val="13"/>
                <w:color w:val="auto"/>
              </w:rPr>
              <w:t>III</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IV</w:t>
            </w:r>
          </w:p>
        </w:tc>
        <w:tc>
          <w:tcPr>
            <w:tcW w:w="580" w:type="dxa"/>
            <w:vAlign w:val="bottom"/>
          </w:tcPr>
          <w:p>
            <w:pPr>
              <w:jc w:val="center"/>
              <w:spacing w:after="0"/>
              <w:rPr>
                <w:sz w:val="20"/>
                <w:szCs w:val="20"/>
                <w:color w:val="auto"/>
              </w:rPr>
            </w:pPr>
            <w:r>
              <w:rPr>
                <w:rFonts w:ascii="Arial" w:cs="Arial" w:eastAsia="Arial" w:hAnsi="Arial"/>
                <w:sz w:val="13"/>
                <w:szCs w:val="13"/>
                <w:color w:val="auto"/>
              </w:rPr>
              <w:t>V</w:t>
            </w:r>
          </w:p>
        </w:tc>
        <w:tc>
          <w:tcPr>
            <w:tcW w:w="560" w:type="dxa"/>
            <w:vAlign w:val="bottom"/>
          </w:tcPr>
          <w:p>
            <w:pPr>
              <w:jc w:val="center"/>
              <w:spacing w:after="0"/>
              <w:rPr>
                <w:sz w:val="20"/>
                <w:szCs w:val="20"/>
                <w:color w:val="auto"/>
              </w:rPr>
            </w:pPr>
            <w:r>
              <w:rPr>
                <w:rFonts w:ascii="Arial" w:cs="Arial" w:eastAsia="Arial" w:hAnsi="Arial"/>
                <w:sz w:val="13"/>
                <w:szCs w:val="13"/>
                <w:color w:val="auto"/>
              </w:rPr>
              <w:t>VI</w:t>
            </w:r>
          </w:p>
        </w:tc>
        <w:tc>
          <w:tcPr>
            <w:tcW w:w="560" w:type="dxa"/>
            <w:vAlign w:val="bottom"/>
          </w:tcPr>
          <w:p>
            <w:pPr>
              <w:jc w:val="center"/>
              <w:spacing w:after="0"/>
              <w:rPr>
                <w:sz w:val="20"/>
                <w:szCs w:val="20"/>
                <w:color w:val="auto"/>
              </w:rPr>
            </w:pPr>
            <w:r>
              <w:rPr>
                <w:rFonts w:ascii="Arial" w:cs="Arial" w:eastAsia="Arial" w:hAnsi="Arial"/>
                <w:sz w:val="13"/>
                <w:szCs w:val="13"/>
                <w:color w:val="auto"/>
              </w:rPr>
              <w:t>I</w:t>
            </w:r>
          </w:p>
        </w:tc>
        <w:tc>
          <w:tcPr>
            <w:tcW w:w="580" w:type="dxa"/>
            <w:vAlign w:val="bottom"/>
          </w:tcPr>
          <w:p>
            <w:pPr>
              <w:jc w:val="center"/>
              <w:spacing w:after="0"/>
              <w:rPr>
                <w:sz w:val="20"/>
                <w:szCs w:val="20"/>
                <w:color w:val="auto"/>
              </w:rPr>
            </w:pPr>
            <w:r>
              <w:rPr>
                <w:rFonts w:ascii="Arial" w:cs="Arial" w:eastAsia="Arial" w:hAnsi="Arial"/>
                <w:sz w:val="13"/>
                <w:szCs w:val="13"/>
                <w:color w:val="auto"/>
              </w:rPr>
              <w:t>VII</w:t>
            </w:r>
          </w:p>
        </w:tc>
        <w:tc>
          <w:tcPr>
            <w:tcW w:w="560" w:type="dxa"/>
            <w:vAlign w:val="bottom"/>
          </w:tcPr>
          <w:p>
            <w:pPr>
              <w:jc w:val="center"/>
              <w:spacing w:after="0"/>
              <w:rPr>
                <w:sz w:val="20"/>
                <w:szCs w:val="20"/>
                <w:color w:val="auto"/>
              </w:rPr>
            </w:pPr>
            <w:r>
              <w:rPr>
                <w:rFonts w:ascii="Arial" w:cs="Arial" w:eastAsia="Arial" w:hAnsi="Arial"/>
                <w:sz w:val="13"/>
                <w:szCs w:val="13"/>
                <w:color w:val="auto"/>
              </w:rPr>
              <w:t>VIII</w:t>
            </w:r>
          </w:p>
        </w:tc>
        <w:tc>
          <w:tcPr>
            <w:tcW w:w="580" w:type="dxa"/>
            <w:vAlign w:val="bottom"/>
          </w:tcPr>
          <w:p>
            <w:pPr>
              <w:jc w:val="center"/>
              <w:spacing w:after="0"/>
              <w:rPr>
                <w:sz w:val="20"/>
                <w:szCs w:val="20"/>
                <w:color w:val="auto"/>
              </w:rPr>
            </w:pPr>
            <w:r>
              <w:rPr>
                <w:rFonts w:ascii="Arial" w:cs="Arial" w:eastAsia="Arial" w:hAnsi="Arial"/>
                <w:sz w:val="13"/>
                <w:szCs w:val="13"/>
                <w:color w:val="auto"/>
              </w:rPr>
              <w:t>IX</w:t>
            </w:r>
          </w:p>
        </w:tc>
        <w:tc>
          <w:tcPr>
            <w:tcW w:w="560" w:type="dxa"/>
            <w:vAlign w:val="bottom"/>
          </w:tcPr>
          <w:p>
            <w:pPr>
              <w:jc w:val="center"/>
              <w:spacing w:after="0"/>
              <w:rPr>
                <w:sz w:val="20"/>
                <w:szCs w:val="20"/>
                <w:color w:val="auto"/>
              </w:rPr>
            </w:pPr>
            <w:r>
              <w:rPr>
                <w:rFonts w:ascii="Arial" w:cs="Arial" w:eastAsia="Arial" w:hAnsi="Arial"/>
                <w:sz w:val="13"/>
                <w:szCs w:val="13"/>
                <w:color w:val="auto"/>
              </w:rPr>
              <w:t>X</w:t>
            </w:r>
          </w:p>
        </w:tc>
        <w:tc>
          <w:tcPr>
            <w:tcW w:w="580" w:type="dxa"/>
            <w:vAlign w:val="bottom"/>
          </w:tcPr>
          <w:p>
            <w:pPr>
              <w:jc w:val="center"/>
              <w:spacing w:after="0"/>
              <w:rPr>
                <w:sz w:val="20"/>
                <w:szCs w:val="20"/>
                <w:color w:val="auto"/>
              </w:rPr>
            </w:pPr>
            <w:r>
              <w:rPr>
                <w:rFonts w:ascii="Arial" w:cs="Arial" w:eastAsia="Arial" w:hAnsi="Arial"/>
                <w:sz w:val="13"/>
                <w:szCs w:val="13"/>
                <w:color w:val="auto"/>
              </w:rPr>
              <w:t>I</w:t>
            </w:r>
          </w:p>
        </w:tc>
        <w:tc>
          <w:tcPr>
            <w:tcW w:w="820" w:type="dxa"/>
            <w:vAlign w:val="bottom"/>
          </w:tcPr>
          <w:p>
            <w:pPr>
              <w:jc w:val="center"/>
              <w:spacing w:after="0"/>
              <w:rPr>
                <w:sz w:val="20"/>
                <w:szCs w:val="20"/>
                <w:color w:val="auto"/>
              </w:rPr>
            </w:pPr>
            <w:r>
              <w:rPr>
                <w:rFonts w:ascii="Arial" w:cs="Arial" w:eastAsia="Arial" w:hAnsi="Arial"/>
                <w:sz w:val="13"/>
                <w:szCs w:val="13"/>
                <w:color w:val="auto"/>
              </w:rPr>
              <w:t>I</w:t>
            </w:r>
          </w:p>
        </w:tc>
        <w:tc>
          <w:tcPr>
            <w:tcW w:w="540" w:type="dxa"/>
            <w:vAlign w:val="bottom"/>
          </w:tcPr>
          <w:p>
            <w:pPr>
              <w:jc w:val="right"/>
              <w:ind w:right="50"/>
              <w:spacing w:after="0"/>
              <w:rPr>
                <w:sz w:val="20"/>
                <w:szCs w:val="20"/>
                <w:color w:val="auto"/>
              </w:rPr>
            </w:pPr>
            <w:r>
              <w:rPr>
                <w:rFonts w:ascii="Arial" w:cs="Arial" w:eastAsia="Arial" w:hAnsi="Arial"/>
                <w:sz w:val="13"/>
                <w:szCs w:val="13"/>
                <w:color w:val="auto"/>
              </w:rPr>
              <w:t>Altan</w:t>
            </w:r>
          </w:p>
        </w:tc>
      </w:tr>
      <w:tr>
        <w:trPr>
          <w:trHeight w:val="148"/>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price (in €)</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41.03</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46.50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61.27</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66.49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61.27</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68.97</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71.15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70.31</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37.31</w:t>
            </w:r>
          </w:p>
        </w:tc>
        <w:tc>
          <w:tcPr>
            <w:tcW w:w="58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71.15</w:t>
            </w:r>
          </w:p>
        </w:tc>
        <w:tc>
          <w:tcPr>
            <w:tcW w:w="8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32.90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color w:val="auto"/>
              </w:rPr>
              <w:t>Term in years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30"/>
              <w:spacing w:after="0" w:line="149" w:lineRule="exact"/>
              <w:rPr>
                <w:sz w:val="20"/>
                <w:szCs w:val="20"/>
                <w:color w:val="auto"/>
              </w:rPr>
            </w:pPr>
            <w:r>
              <w:rPr>
                <w:rFonts w:ascii="Arial" w:cs="Arial" w:eastAsia="Arial" w:hAnsi="Arial"/>
                <w:sz w:val="14"/>
                <w:szCs w:val="14"/>
                <w:color w:val="auto"/>
              </w:rPr>
              <w:t>7</w:t>
            </w:r>
          </w:p>
        </w:tc>
        <w:tc>
          <w:tcPr>
            <w:tcW w:w="8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r>
      <w:tr>
        <w:trPr>
          <w:trHeight w:val="148"/>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Remaining term in years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4.25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4.75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5.25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5.50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5.75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6.50</w:t>
            </w:r>
          </w:p>
        </w:tc>
        <w:tc>
          <w:tcPr>
            <w:tcW w:w="58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8.75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color w:val="auto"/>
              </w:rPr>
              <w:t>Share price as of the valuation date (in €)</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38.00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38.50</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35.20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51.00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75.46</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73.20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75.46</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64.20</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80.20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64.80</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27.55</w:t>
            </w:r>
          </w:p>
        </w:tc>
        <w:tc>
          <w:tcPr>
            <w:tcW w:w="580" w:type="dxa"/>
            <w:vAlign w:val="bottom"/>
          </w:tcPr>
          <w:p>
            <w:pPr>
              <w:jc w:val="right"/>
              <w:ind w:right="30"/>
              <w:spacing w:after="0" w:line="149" w:lineRule="exact"/>
              <w:rPr>
                <w:sz w:val="20"/>
                <w:szCs w:val="20"/>
                <w:color w:val="auto"/>
              </w:rPr>
            </w:pPr>
            <w:r>
              <w:rPr>
                <w:rFonts w:ascii="Arial" w:cs="Arial" w:eastAsia="Arial" w:hAnsi="Arial"/>
                <w:sz w:val="14"/>
                <w:szCs w:val="14"/>
                <w:color w:val="auto"/>
              </w:rPr>
              <w:t>80.20</w:t>
            </w:r>
          </w:p>
        </w:tc>
        <w:tc>
          <w:tcPr>
            <w:tcW w:w="8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19.76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43.39</w:t>
            </w: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dividend yield (in %)</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0.00</w:t>
            </w:r>
          </w:p>
        </w:tc>
        <w:tc>
          <w:tcPr>
            <w:tcW w:w="8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color w:val="auto"/>
              </w:rPr>
              <w:t>Expected volatility (in %)</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45.91</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45.66</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48.32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48.45</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36.39</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36.63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36.39</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36.67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36.90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37.56</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38.46</w:t>
            </w:r>
          </w:p>
        </w:tc>
        <w:tc>
          <w:tcPr>
            <w:tcW w:w="580" w:type="dxa"/>
            <w:vAlign w:val="bottom"/>
          </w:tcPr>
          <w:p>
            <w:pPr>
              <w:jc w:val="right"/>
              <w:ind w:right="30"/>
              <w:spacing w:after="0" w:line="149" w:lineRule="exact"/>
              <w:rPr>
                <w:sz w:val="20"/>
                <w:szCs w:val="20"/>
                <w:color w:val="auto"/>
              </w:rPr>
            </w:pPr>
            <w:r>
              <w:rPr>
                <w:rFonts w:ascii="Arial" w:cs="Arial" w:eastAsia="Arial" w:hAnsi="Arial"/>
                <w:sz w:val="14"/>
                <w:szCs w:val="14"/>
                <w:color w:val="auto"/>
              </w:rPr>
              <w:t>36.90</w:t>
            </w:r>
          </w:p>
        </w:tc>
        <w:tc>
          <w:tcPr>
            <w:tcW w:w="8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35.31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51.31</w:t>
            </w:r>
          </w:p>
        </w:tc>
      </w:tr>
      <w:tr>
        <w:trPr>
          <w:trHeight w:val="148"/>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 (in %)</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-0.39</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-0.53</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-0.40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-0.40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1.12</w:t>
            </w:r>
          </w:p>
        </w:tc>
        <w:tc>
          <w:tcPr>
            <w:tcW w:w="58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-0.40</w:t>
            </w:r>
          </w:p>
        </w:tc>
        <w:tc>
          <w:tcPr>
            <w:tcW w:w="8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2.02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-0.82</w:t>
            </w:r>
          </w:p>
        </w:tc>
      </w:tr>
      <w:tr>
        <w:trPr>
          <w:trHeight w:val="182"/>
        </w:trPr>
        <w:tc>
          <w:tcPr>
            <w:tcW w:w="2640" w:type="dxa"/>
            <w:vAlign w:val="bottom"/>
          </w:tcPr>
          <w:p>
            <w:pPr>
              <w:spacing w:after="0"/>
              <w:rPr>
                <w:sz w:val="20"/>
                <w:szCs w:val="20"/>
                <w:color w:val="auto"/>
              </w:rPr>
            </w:pPr>
            <w:r>
              <w:rPr>
                <w:rFonts w:ascii="Arial" w:cs="Arial" w:eastAsia="Arial" w:hAnsi="Arial"/>
                <w:sz w:val="14"/>
                <w:szCs w:val="14"/>
                <w:color w:val="auto"/>
              </w:rPr>
              <w:t>Option value (in €)</w:t>
            </w:r>
          </w:p>
        </w:tc>
        <w:tc>
          <w:tcPr>
            <w:tcW w:w="760" w:type="dxa"/>
            <w:vAlign w:val="bottom"/>
          </w:tcPr>
          <w:p>
            <w:pPr>
              <w:jc w:val="right"/>
              <w:spacing w:after="0"/>
              <w:rPr>
                <w:sz w:val="20"/>
                <w:szCs w:val="20"/>
                <w:color w:val="auto"/>
              </w:rPr>
            </w:pPr>
            <w:r>
              <w:rPr>
                <w:rFonts w:ascii="Arial" w:cs="Arial" w:eastAsia="Arial" w:hAnsi="Arial"/>
                <w:sz w:val="14"/>
                <w:szCs w:val="14"/>
                <w:color w:val="auto"/>
              </w:rPr>
              <w:t>11.53</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12.42</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9.43</w:t>
            </w:r>
          </w:p>
        </w:tc>
        <w:tc>
          <w:tcPr>
            <w:tcW w:w="560" w:type="dxa"/>
            <w:vAlign w:val="bottom"/>
          </w:tcPr>
          <w:p>
            <w:pPr>
              <w:jc w:val="right"/>
              <w:spacing w:after="0"/>
              <w:rPr>
                <w:sz w:val="20"/>
                <w:szCs w:val="20"/>
                <w:color w:val="auto"/>
              </w:rPr>
            </w:pPr>
            <w:r>
              <w:rPr>
                <w:rFonts w:ascii="Arial" w:cs="Arial" w:eastAsia="Arial" w:hAnsi="Arial"/>
                <w:sz w:val="14"/>
                <w:szCs w:val="14"/>
                <w:color w:val="auto"/>
              </w:rPr>
              <w:t>19.55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26.14</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23.25</w:t>
            </w:r>
          </w:p>
        </w:tc>
        <w:tc>
          <w:tcPr>
            <w:tcW w:w="560" w:type="dxa"/>
            <w:vAlign w:val="bottom"/>
          </w:tcPr>
          <w:p>
            <w:pPr>
              <w:jc w:val="right"/>
              <w:spacing w:after="0"/>
              <w:rPr>
                <w:sz w:val="20"/>
                <w:szCs w:val="20"/>
                <w:color w:val="auto"/>
              </w:rPr>
            </w:pPr>
            <w:r>
              <w:rPr>
                <w:rFonts w:ascii="Arial" w:cs="Arial" w:eastAsia="Arial" w:hAnsi="Arial"/>
                <w:sz w:val="14"/>
                <w:szCs w:val="14"/>
                <w:color w:val="auto"/>
              </w:rPr>
              <w:t>26.14</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14.18</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25.17</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16.28</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5.72</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25.17</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1.97 – 2.01</w:t>
            </w:r>
          </w:p>
        </w:tc>
        <w:tc>
          <w:tcPr>
            <w:tcW w:w="540" w:type="dxa"/>
            <w:vAlign w:val="bottom"/>
          </w:tcPr>
          <w:p>
            <w:pPr>
              <w:jc w:val="right"/>
              <w:spacing w:after="0"/>
              <w:rPr>
                <w:sz w:val="20"/>
                <w:szCs w:val="20"/>
                <w:color w:val="auto"/>
              </w:rPr>
            </w:pPr>
            <w:r>
              <w:rPr>
                <w:rFonts w:ascii="Arial" w:cs="Arial" w:eastAsia="Arial" w:hAnsi="Arial"/>
                <w:sz w:val="14"/>
                <w:szCs w:val="14"/>
                <w:color w:val="auto"/>
              </w:rPr>
              <w:t>20.40</w:t>
            </w:r>
          </w:p>
        </w:tc>
      </w:tr>
    </w:tbl>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inputs used for the model as of December 31, 2021.</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80" w:type="dxa"/>
            <w:vAlign w:val="bottom"/>
          </w:tcPr>
          <w:p>
            <w:pPr>
              <w:jc w:val="center"/>
              <w:ind w:left="810"/>
              <w:spacing w:after="0"/>
              <w:rPr>
                <w:sz w:val="20"/>
                <w:szCs w:val="20"/>
                <w:color w:val="auto"/>
              </w:rPr>
            </w:pPr>
            <w:r>
              <w:rPr>
                <w:rFonts w:ascii="Arial" w:cs="Arial" w:eastAsia="Arial" w:hAnsi="Arial"/>
                <w:sz w:val="13"/>
                <w:szCs w:val="13"/>
                <w:color w:val="auto"/>
                <w:w w:val="83"/>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Tranche</w:t>
            </w:r>
          </w:p>
        </w:tc>
        <w:tc>
          <w:tcPr>
            <w:tcW w:w="560" w:type="dxa"/>
            <w:vAlign w:val="bottom"/>
          </w:tcPr>
          <w:p>
            <w:pPr>
              <w:jc w:val="center"/>
              <w:spacing w:after="0"/>
              <w:rPr>
                <w:sz w:val="20"/>
                <w:szCs w:val="20"/>
                <w:color w:val="auto"/>
              </w:rPr>
            </w:pPr>
            <w:r>
              <w:rPr>
                <w:rFonts w:ascii="Arial" w:cs="Arial" w:eastAsia="Arial" w:hAnsi="Arial"/>
                <w:sz w:val="13"/>
                <w:szCs w:val="13"/>
                <w:color w:val="auto"/>
                <w:w w:val="83"/>
              </w:rPr>
              <w:t>Tranche</w:t>
            </w:r>
          </w:p>
        </w:tc>
        <w:tc>
          <w:tcPr>
            <w:tcW w:w="540" w:type="dxa"/>
            <w:vAlign w:val="bottom"/>
          </w:tcPr>
          <w:p>
            <w:pPr>
              <w:spacing w:after="0"/>
              <w:rPr>
                <w:sz w:val="13"/>
                <w:szCs w:val="13"/>
                <w:color w:val="auto"/>
              </w:rPr>
            </w:pPr>
          </w:p>
        </w:tc>
      </w:tr>
      <w:tr>
        <w:trPr>
          <w:trHeight w:val="135"/>
        </w:trPr>
        <w:tc>
          <w:tcPr>
            <w:tcW w:w="3340" w:type="dxa"/>
            <w:vAlign w:val="bottom"/>
          </w:tcPr>
          <w:p>
            <w:pPr>
              <w:spacing w:after="0"/>
              <w:rPr>
                <w:sz w:val="11"/>
                <w:szCs w:val="11"/>
                <w:color w:val="auto"/>
              </w:rPr>
            </w:pPr>
          </w:p>
        </w:tc>
        <w:tc>
          <w:tcPr>
            <w:tcW w:w="1480" w:type="dxa"/>
            <w:vAlign w:val="bottom"/>
          </w:tcPr>
          <w:p>
            <w:pPr>
              <w:jc w:val="center"/>
              <w:ind w:left="830"/>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2020</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2"/>
              </w:rPr>
              <w:t>2019</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2019</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2021</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w w:val="96"/>
              </w:rPr>
              <w:t>Tranche</w:t>
            </w:r>
          </w:p>
        </w:tc>
      </w:tr>
      <w:tr>
        <w:trPr>
          <w:trHeight w:val="162"/>
        </w:trPr>
        <w:tc>
          <w:tcPr>
            <w:tcW w:w="3340" w:type="dxa"/>
            <w:vAlign w:val="bottom"/>
          </w:tcPr>
          <w:p>
            <w:pPr>
              <w:spacing w:after="0"/>
              <w:rPr>
                <w:sz w:val="14"/>
                <w:szCs w:val="14"/>
                <w:color w:val="auto"/>
              </w:rPr>
            </w:pPr>
          </w:p>
        </w:tc>
        <w:tc>
          <w:tcPr>
            <w:tcW w:w="1480" w:type="dxa"/>
            <w:vAlign w:val="bottom"/>
          </w:tcPr>
          <w:p>
            <w:pPr>
              <w:jc w:val="center"/>
              <w:ind w:left="810"/>
              <w:spacing w:after="0"/>
              <w:rPr>
                <w:sz w:val="20"/>
                <w:szCs w:val="20"/>
                <w:color w:val="auto"/>
              </w:rPr>
            </w:pPr>
            <w:r>
              <w:rPr>
                <w:rFonts w:ascii="Arial" w:cs="Arial" w:eastAsia="Arial" w:hAnsi="Arial"/>
                <w:sz w:val="13"/>
                <w:szCs w:val="13"/>
                <w:color w:val="auto"/>
              </w:rPr>
              <w:t>I</w:t>
            </w:r>
          </w:p>
        </w:tc>
        <w:tc>
          <w:tcPr>
            <w:tcW w:w="560" w:type="dxa"/>
            <w:vAlign w:val="bottom"/>
          </w:tcPr>
          <w:p>
            <w:pPr>
              <w:jc w:val="center"/>
              <w:spacing w:after="0"/>
              <w:rPr>
                <w:sz w:val="20"/>
                <w:szCs w:val="20"/>
                <w:color w:val="auto"/>
              </w:rPr>
            </w:pPr>
            <w:r>
              <w:rPr>
                <w:rFonts w:ascii="Arial" w:cs="Arial" w:eastAsia="Arial" w:hAnsi="Arial"/>
                <w:sz w:val="13"/>
                <w:szCs w:val="13"/>
                <w:color w:val="auto"/>
              </w:rPr>
              <w:t>II</w:t>
            </w:r>
          </w:p>
        </w:tc>
        <w:tc>
          <w:tcPr>
            <w:tcW w:w="560" w:type="dxa"/>
            <w:vAlign w:val="bottom"/>
          </w:tcPr>
          <w:p>
            <w:pPr>
              <w:jc w:val="center"/>
              <w:spacing w:after="0"/>
              <w:rPr>
                <w:sz w:val="20"/>
                <w:szCs w:val="20"/>
                <w:color w:val="auto"/>
              </w:rPr>
            </w:pPr>
            <w:r>
              <w:rPr>
                <w:rFonts w:ascii="Arial" w:cs="Arial" w:eastAsia="Arial" w:hAnsi="Arial"/>
                <w:sz w:val="13"/>
                <w:szCs w:val="13"/>
                <w:color w:val="auto"/>
              </w:rPr>
              <w:t>III</w:t>
            </w:r>
          </w:p>
        </w:tc>
        <w:tc>
          <w:tcPr>
            <w:tcW w:w="580" w:type="dxa"/>
            <w:vAlign w:val="bottom"/>
          </w:tcPr>
          <w:p>
            <w:pPr>
              <w:jc w:val="center"/>
              <w:spacing w:after="0"/>
              <w:rPr>
                <w:sz w:val="20"/>
                <w:szCs w:val="20"/>
                <w:color w:val="auto"/>
              </w:rPr>
            </w:pPr>
            <w:r>
              <w:rPr>
                <w:rFonts w:ascii="Arial" w:cs="Arial" w:eastAsia="Arial" w:hAnsi="Arial"/>
                <w:sz w:val="13"/>
                <w:szCs w:val="13"/>
                <w:color w:val="auto"/>
              </w:rPr>
              <w:t>IV</w:t>
            </w:r>
          </w:p>
        </w:tc>
        <w:tc>
          <w:tcPr>
            <w:tcW w:w="560" w:type="dxa"/>
            <w:vAlign w:val="bottom"/>
          </w:tcPr>
          <w:p>
            <w:pPr>
              <w:jc w:val="center"/>
              <w:spacing w:after="0"/>
              <w:rPr>
                <w:sz w:val="20"/>
                <w:szCs w:val="20"/>
                <w:color w:val="auto"/>
              </w:rPr>
            </w:pPr>
            <w:r>
              <w:rPr>
                <w:rFonts w:ascii="Arial" w:cs="Arial" w:eastAsia="Arial" w:hAnsi="Arial"/>
                <w:sz w:val="13"/>
                <w:szCs w:val="13"/>
                <w:color w:val="auto"/>
              </w:rPr>
              <w:t>V</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VI</w:t>
            </w:r>
          </w:p>
        </w:tc>
        <w:tc>
          <w:tcPr>
            <w:tcW w:w="580" w:type="dxa"/>
            <w:vAlign w:val="bottom"/>
          </w:tcPr>
          <w:p>
            <w:pPr>
              <w:jc w:val="center"/>
              <w:spacing w:after="0"/>
              <w:rPr>
                <w:sz w:val="20"/>
                <w:szCs w:val="20"/>
                <w:color w:val="auto"/>
              </w:rPr>
            </w:pPr>
            <w:r>
              <w:rPr>
                <w:rFonts w:ascii="Arial" w:cs="Arial" w:eastAsia="Arial" w:hAnsi="Arial"/>
                <w:sz w:val="13"/>
                <w:szCs w:val="13"/>
                <w:color w:val="auto"/>
              </w:rPr>
              <w:t>I</w:t>
            </w:r>
          </w:p>
        </w:tc>
        <w:tc>
          <w:tcPr>
            <w:tcW w:w="560" w:type="dxa"/>
            <w:vAlign w:val="bottom"/>
          </w:tcPr>
          <w:p>
            <w:pPr>
              <w:jc w:val="center"/>
              <w:spacing w:after="0"/>
              <w:rPr>
                <w:sz w:val="20"/>
                <w:szCs w:val="20"/>
                <w:color w:val="auto"/>
              </w:rPr>
            </w:pPr>
            <w:r>
              <w:rPr>
                <w:rFonts w:ascii="Arial" w:cs="Arial" w:eastAsia="Arial" w:hAnsi="Arial"/>
                <w:sz w:val="13"/>
                <w:szCs w:val="13"/>
                <w:color w:val="auto"/>
              </w:rPr>
              <w:t>VII</w:t>
            </w:r>
          </w:p>
        </w:tc>
        <w:tc>
          <w:tcPr>
            <w:tcW w:w="560" w:type="dxa"/>
            <w:vAlign w:val="bottom"/>
          </w:tcPr>
          <w:p>
            <w:pPr>
              <w:jc w:val="center"/>
              <w:spacing w:after="0"/>
              <w:rPr>
                <w:sz w:val="20"/>
                <w:szCs w:val="20"/>
                <w:color w:val="auto"/>
              </w:rPr>
            </w:pPr>
            <w:r>
              <w:rPr>
                <w:rFonts w:ascii="Arial" w:cs="Arial" w:eastAsia="Arial" w:hAnsi="Arial"/>
                <w:sz w:val="13"/>
                <w:szCs w:val="13"/>
                <w:color w:val="auto"/>
              </w:rPr>
              <w:t>VIII</w:t>
            </w:r>
          </w:p>
        </w:tc>
        <w:tc>
          <w:tcPr>
            <w:tcW w:w="580" w:type="dxa"/>
            <w:vAlign w:val="bottom"/>
          </w:tcPr>
          <w:p>
            <w:pPr>
              <w:jc w:val="center"/>
              <w:spacing w:after="0"/>
              <w:rPr>
                <w:sz w:val="20"/>
                <w:szCs w:val="20"/>
                <w:color w:val="auto"/>
              </w:rPr>
            </w:pPr>
            <w:r>
              <w:rPr>
                <w:rFonts w:ascii="Arial" w:cs="Arial" w:eastAsia="Arial" w:hAnsi="Arial"/>
                <w:sz w:val="13"/>
                <w:szCs w:val="13"/>
                <w:color w:val="auto"/>
              </w:rPr>
              <w:t>IX</w:t>
            </w:r>
          </w:p>
        </w:tc>
        <w:tc>
          <w:tcPr>
            <w:tcW w:w="560" w:type="dxa"/>
            <w:vAlign w:val="bottom"/>
          </w:tcPr>
          <w:p>
            <w:pPr>
              <w:jc w:val="center"/>
              <w:spacing w:after="0"/>
              <w:rPr>
                <w:sz w:val="20"/>
                <w:szCs w:val="20"/>
                <w:color w:val="auto"/>
              </w:rPr>
            </w:pPr>
            <w:r>
              <w:rPr>
                <w:rFonts w:ascii="Arial" w:cs="Arial" w:eastAsia="Arial" w:hAnsi="Arial"/>
                <w:sz w:val="13"/>
                <w:szCs w:val="13"/>
                <w:color w:val="auto"/>
              </w:rPr>
              <w:t>I</w:t>
            </w:r>
          </w:p>
        </w:tc>
        <w:tc>
          <w:tcPr>
            <w:tcW w:w="540" w:type="dxa"/>
            <w:vAlign w:val="bottom"/>
          </w:tcPr>
          <w:p>
            <w:pPr>
              <w:jc w:val="right"/>
              <w:ind w:right="50"/>
              <w:spacing w:after="0"/>
              <w:rPr>
                <w:sz w:val="20"/>
                <w:szCs w:val="20"/>
                <w:color w:val="auto"/>
              </w:rPr>
            </w:pPr>
            <w:r>
              <w:rPr>
                <w:rFonts w:ascii="Arial" w:cs="Arial" w:eastAsia="Arial" w:hAnsi="Arial"/>
                <w:sz w:val="13"/>
                <w:szCs w:val="13"/>
                <w:color w:val="auto"/>
              </w:rPr>
              <w:t>Altan</w:t>
            </w: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price (in €)</w:t>
            </w:r>
          </w:p>
        </w:tc>
        <w:tc>
          <w:tcPr>
            <w:tcW w:w="14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42.46</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41.03</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46.50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47.25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61.27</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66.49</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61.27</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68.97</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70.31</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71.15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Term in years</w:t>
            </w:r>
          </w:p>
        </w:tc>
        <w:tc>
          <w:tcPr>
            <w:tcW w:w="14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Remaining term in years</w:t>
            </w:r>
          </w:p>
        </w:tc>
        <w:tc>
          <w:tcPr>
            <w:tcW w:w="14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4.75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5.25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5.50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5.75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5.75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6.25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6.75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Share price as of the valuation date (in €)</w:t>
            </w:r>
          </w:p>
        </w:tc>
        <w:tc>
          <w:tcPr>
            <w:tcW w:w="14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38.00</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38.50</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35.20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51.00</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75.46</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73.20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75.46</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64.20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80.20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64.80</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80.20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43.39</w:t>
            </w: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dividend yield (in %)</w:t>
            </w:r>
          </w:p>
        </w:tc>
        <w:tc>
          <w:tcPr>
            <w:tcW w:w="14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Expected volatility (in %)</w:t>
            </w:r>
          </w:p>
        </w:tc>
        <w:tc>
          <w:tcPr>
            <w:tcW w:w="14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45.91</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45.66</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48.32</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48.45</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36.39</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36.63</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36.39</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36.67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36.90</w:t>
            </w:r>
          </w:p>
        </w:tc>
        <w:tc>
          <w:tcPr>
            <w:tcW w:w="5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37.56</w:t>
            </w:r>
          </w:p>
        </w:tc>
        <w:tc>
          <w:tcPr>
            <w:tcW w:w="5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36.90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51.31</w:t>
            </w: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 (in %)</w:t>
            </w:r>
          </w:p>
        </w:tc>
        <w:tc>
          <w:tcPr>
            <w:tcW w:w="14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-0.74</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-0.39</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-0.62</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-0.69</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-0.65</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-0.53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5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-0.40</w:t>
            </w:r>
          </w:p>
        </w:tc>
        <w:tc>
          <w:tcPr>
            <w:tcW w:w="56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-0.40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-0.82</w:t>
            </w:r>
          </w:p>
        </w:tc>
      </w:tr>
      <w:tr>
        <w:trPr>
          <w:trHeight w:val="182"/>
        </w:trPr>
        <w:tc>
          <w:tcPr>
            <w:tcW w:w="3340" w:type="dxa"/>
            <w:vAlign w:val="bottom"/>
          </w:tcPr>
          <w:p>
            <w:pPr>
              <w:spacing w:after="0"/>
              <w:rPr>
                <w:sz w:val="20"/>
                <w:szCs w:val="20"/>
                <w:color w:val="auto"/>
              </w:rPr>
            </w:pPr>
            <w:r>
              <w:rPr>
                <w:rFonts w:ascii="Arial" w:cs="Arial" w:eastAsia="Arial" w:hAnsi="Arial"/>
                <w:sz w:val="14"/>
                <w:szCs w:val="14"/>
                <w:color w:val="auto"/>
              </w:rPr>
              <w:t>Option value (in €)</w:t>
            </w:r>
          </w:p>
        </w:tc>
        <w:tc>
          <w:tcPr>
            <w:tcW w:w="1480" w:type="dxa"/>
            <w:vAlign w:val="bottom"/>
          </w:tcPr>
          <w:p>
            <w:pPr>
              <w:jc w:val="right"/>
              <w:ind w:right="10"/>
              <w:spacing w:after="0"/>
              <w:rPr>
                <w:sz w:val="20"/>
                <w:szCs w:val="20"/>
                <w:color w:val="auto"/>
              </w:rPr>
            </w:pPr>
            <w:r>
              <w:rPr>
                <w:rFonts w:ascii="Arial" w:cs="Arial" w:eastAsia="Arial" w:hAnsi="Arial"/>
                <w:sz w:val="14"/>
                <w:szCs w:val="14"/>
                <w:color w:val="auto"/>
              </w:rPr>
              <w:t>11.53</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12.42</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9.43</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19.55</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26.14</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23.25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26.14</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14.18</w:t>
            </w:r>
          </w:p>
        </w:tc>
        <w:tc>
          <w:tcPr>
            <w:tcW w:w="560" w:type="dxa"/>
            <w:vAlign w:val="bottom"/>
          </w:tcPr>
          <w:p>
            <w:pPr>
              <w:jc w:val="right"/>
              <w:spacing w:after="0"/>
              <w:rPr>
                <w:sz w:val="20"/>
                <w:szCs w:val="20"/>
                <w:color w:val="auto"/>
              </w:rPr>
            </w:pPr>
            <w:r>
              <w:rPr>
                <w:rFonts w:ascii="Arial" w:cs="Arial" w:eastAsia="Arial" w:hAnsi="Arial"/>
                <w:sz w:val="14"/>
                <w:szCs w:val="14"/>
                <w:color w:val="auto"/>
              </w:rPr>
              <w:t>25.17</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16.28</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25.17</w:t>
            </w:r>
          </w:p>
        </w:tc>
        <w:tc>
          <w:tcPr>
            <w:tcW w:w="540" w:type="dxa"/>
            <w:vAlign w:val="bottom"/>
          </w:tcPr>
          <w:p>
            <w:pPr>
              <w:jc w:val="right"/>
              <w:spacing w:after="0"/>
              <w:rPr>
                <w:sz w:val="20"/>
                <w:szCs w:val="20"/>
                <w:color w:val="auto"/>
              </w:rPr>
            </w:pPr>
            <w:r>
              <w:rPr>
                <w:rFonts w:ascii="Arial" w:cs="Arial" w:eastAsia="Arial" w:hAnsi="Arial"/>
                <w:sz w:val="14"/>
                <w:szCs w:val="14"/>
                <w:color w:val="auto"/>
              </w:rPr>
              <w:t>20.40</w:t>
            </w:r>
          </w:p>
        </w:tc>
      </w:tr>
    </w:tbl>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inputs used for the model as of December 31, 2020.</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Tranche</w:t>
            </w:r>
          </w:p>
        </w:tc>
        <w:tc>
          <w:tcPr>
            <w:tcW w:w="7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Tranche</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Tranche</w:t>
            </w:r>
          </w:p>
        </w:tc>
        <w:tc>
          <w:tcPr>
            <w:tcW w:w="720" w:type="dxa"/>
            <w:vAlign w:val="bottom"/>
          </w:tcPr>
          <w:p>
            <w:pPr>
              <w:spacing w:after="0"/>
              <w:rPr>
                <w:sz w:val="13"/>
                <w:szCs w:val="13"/>
                <w:color w:val="auto"/>
              </w:rPr>
            </w:pPr>
          </w:p>
        </w:tc>
      </w:tr>
      <w:tr>
        <w:trPr>
          <w:trHeight w:val="149"/>
        </w:trPr>
        <w:tc>
          <w:tcPr>
            <w:tcW w:w="4020" w:type="dxa"/>
            <w:vAlign w:val="bottom"/>
          </w:tcPr>
          <w:p>
            <w:pPr>
              <w:spacing w:after="0"/>
              <w:rPr>
                <w:sz w:val="12"/>
                <w:szCs w:val="12"/>
                <w:color w:val="auto"/>
              </w:rPr>
            </w:pPr>
          </w:p>
        </w:tc>
        <w:tc>
          <w:tcPr>
            <w:tcW w:w="16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Tranche</w:t>
            </w:r>
          </w:p>
        </w:tc>
        <w:tc>
          <w:tcPr>
            <w:tcW w:w="7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Tranche</w:t>
            </w:r>
          </w:p>
        </w:tc>
        <w:tc>
          <w:tcPr>
            <w:tcW w:w="780" w:type="dxa"/>
            <w:vAlign w:val="bottom"/>
          </w:tcPr>
          <w:p>
            <w:pPr>
              <w:jc w:val="right"/>
              <w:ind w:right="74"/>
              <w:spacing w:after="0" w:line="149" w:lineRule="exact"/>
              <w:rPr>
                <w:sz w:val="20"/>
                <w:szCs w:val="20"/>
                <w:color w:val="auto"/>
              </w:rPr>
            </w:pPr>
            <w:r>
              <w:rPr>
                <w:rFonts w:ascii="Arial" w:cs="Arial" w:eastAsia="Arial" w:hAnsi="Arial"/>
                <w:sz w:val="14"/>
                <w:szCs w:val="14"/>
                <w:color w:val="auto"/>
              </w:rPr>
              <w:t>Tranche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780" w:type="dxa"/>
            <w:vAlign w:val="bottom"/>
          </w:tcPr>
          <w:p>
            <w:pPr>
              <w:jc w:val="right"/>
              <w:ind w:right="74"/>
              <w:spacing w:after="0" w:line="149" w:lineRule="exact"/>
              <w:rPr>
                <w:sz w:val="20"/>
                <w:szCs w:val="20"/>
                <w:color w:val="auto"/>
              </w:rPr>
            </w:pPr>
            <w:r>
              <w:rPr>
                <w:rFonts w:ascii="Arial" w:cs="Arial" w:eastAsia="Arial" w:hAnsi="Arial"/>
                <w:sz w:val="14"/>
                <w:szCs w:val="14"/>
                <w:color w:val="auto"/>
              </w:rPr>
              <w:t>Tranche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2019</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7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Tranche</w:t>
            </w:r>
          </w:p>
        </w:tc>
      </w:tr>
      <w:tr>
        <w:trPr>
          <w:trHeight w:val="175"/>
        </w:trPr>
        <w:tc>
          <w:tcPr>
            <w:tcW w:w="4020" w:type="dxa"/>
            <w:vAlign w:val="bottom"/>
          </w:tcPr>
          <w:p>
            <w:pPr>
              <w:spacing w:after="0"/>
              <w:rPr>
                <w:sz w:val="15"/>
                <w:szCs w:val="15"/>
                <w:color w:val="auto"/>
              </w:rPr>
            </w:pPr>
          </w:p>
        </w:tc>
        <w:tc>
          <w:tcPr>
            <w:tcW w:w="1660" w:type="dxa"/>
            <w:vAlign w:val="bottom"/>
          </w:tcPr>
          <w:p>
            <w:pPr>
              <w:jc w:val="right"/>
              <w:ind w:right="114"/>
              <w:spacing w:after="0"/>
              <w:rPr>
                <w:sz w:val="20"/>
                <w:szCs w:val="20"/>
                <w:color w:val="auto"/>
              </w:rPr>
            </w:pPr>
            <w:r>
              <w:rPr>
                <w:rFonts w:ascii="Arial" w:cs="Arial" w:eastAsia="Arial" w:hAnsi="Arial"/>
                <w:sz w:val="14"/>
                <w:szCs w:val="14"/>
                <w:color w:val="auto"/>
              </w:rPr>
              <w:t>2019 I</w:t>
            </w:r>
          </w:p>
        </w:tc>
        <w:tc>
          <w:tcPr>
            <w:tcW w:w="760" w:type="dxa"/>
            <w:vAlign w:val="bottom"/>
          </w:tcPr>
          <w:p>
            <w:pPr>
              <w:jc w:val="right"/>
              <w:ind w:right="94"/>
              <w:spacing w:after="0"/>
              <w:rPr>
                <w:sz w:val="20"/>
                <w:szCs w:val="20"/>
                <w:color w:val="auto"/>
              </w:rPr>
            </w:pPr>
            <w:r>
              <w:rPr>
                <w:rFonts w:ascii="Arial" w:cs="Arial" w:eastAsia="Arial" w:hAnsi="Arial"/>
                <w:sz w:val="14"/>
                <w:szCs w:val="14"/>
                <w:color w:val="auto"/>
              </w:rPr>
              <w:t>2019 II</w:t>
            </w:r>
          </w:p>
        </w:tc>
        <w:tc>
          <w:tcPr>
            <w:tcW w:w="780" w:type="dxa"/>
            <w:vAlign w:val="bottom"/>
          </w:tcPr>
          <w:p>
            <w:pPr>
              <w:jc w:val="right"/>
              <w:ind w:right="74"/>
              <w:spacing w:after="0"/>
              <w:rPr>
                <w:sz w:val="20"/>
                <w:szCs w:val="20"/>
                <w:color w:val="auto"/>
              </w:rPr>
            </w:pPr>
            <w:r>
              <w:rPr>
                <w:rFonts w:ascii="Arial" w:cs="Arial" w:eastAsia="Arial" w:hAnsi="Arial"/>
                <w:sz w:val="14"/>
                <w:szCs w:val="14"/>
                <w:color w:val="auto"/>
              </w:rPr>
              <w:t>2019 III</w:t>
            </w:r>
          </w:p>
        </w:tc>
        <w:tc>
          <w:tcPr>
            <w:tcW w:w="760" w:type="dxa"/>
            <w:vAlign w:val="bottom"/>
          </w:tcPr>
          <w:p>
            <w:pPr>
              <w:jc w:val="center"/>
              <w:spacing w:after="0"/>
              <w:rPr>
                <w:sz w:val="20"/>
                <w:szCs w:val="20"/>
                <w:color w:val="auto"/>
              </w:rPr>
            </w:pPr>
            <w:r>
              <w:rPr>
                <w:rFonts w:ascii="Arial" w:cs="Arial" w:eastAsia="Arial" w:hAnsi="Arial"/>
                <w:sz w:val="14"/>
                <w:szCs w:val="14"/>
                <w:color w:val="auto"/>
              </w:rPr>
              <w:t>IV</w:t>
            </w:r>
          </w:p>
        </w:tc>
        <w:tc>
          <w:tcPr>
            <w:tcW w:w="780" w:type="dxa"/>
            <w:vAlign w:val="bottom"/>
          </w:tcPr>
          <w:p>
            <w:pPr>
              <w:jc w:val="right"/>
              <w:ind w:right="94"/>
              <w:spacing w:after="0"/>
              <w:rPr>
                <w:sz w:val="20"/>
                <w:szCs w:val="20"/>
                <w:color w:val="auto"/>
              </w:rPr>
            </w:pPr>
            <w:r>
              <w:rPr>
                <w:rFonts w:ascii="Arial" w:cs="Arial" w:eastAsia="Arial" w:hAnsi="Arial"/>
                <w:sz w:val="14"/>
                <w:szCs w:val="14"/>
                <w:color w:val="auto"/>
              </w:rPr>
              <w:t>2019 V</w:t>
            </w:r>
          </w:p>
        </w:tc>
        <w:tc>
          <w:tcPr>
            <w:tcW w:w="760" w:type="dxa"/>
            <w:vAlign w:val="bottom"/>
          </w:tcPr>
          <w:p>
            <w:pPr>
              <w:jc w:val="center"/>
              <w:spacing w:after="0"/>
              <w:rPr>
                <w:sz w:val="20"/>
                <w:szCs w:val="20"/>
                <w:color w:val="auto"/>
              </w:rPr>
            </w:pPr>
            <w:r>
              <w:rPr>
                <w:rFonts w:ascii="Arial" w:cs="Arial" w:eastAsia="Arial" w:hAnsi="Arial"/>
                <w:sz w:val="14"/>
                <w:szCs w:val="14"/>
                <w:color w:val="auto"/>
              </w:rPr>
              <w:t>VI</w:t>
            </w:r>
          </w:p>
        </w:tc>
        <w:tc>
          <w:tcPr>
            <w:tcW w:w="780" w:type="dxa"/>
            <w:vAlign w:val="bottom"/>
          </w:tcPr>
          <w:p>
            <w:pPr>
              <w:jc w:val="center"/>
              <w:spacing w:after="0"/>
              <w:rPr>
                <w:sz w:val="20"/>
                <w:szCs w:val="20"/>
                <w:color w:val="auto"/>
              </w:rPr>
            </w:pPr>
            <w:r>
              <w:rPr>
                <w:rFonts w:ascii="Arial" w:cs="Arial" w:eastAsia="Arial" w:hAnsi="Arial"/>
                <w:sz w:val="14"/>
                <w:szCs w:val="14"/>
                <w:color w:val="auto"/>
              </w:rPr>
              <w:t>I</w:t>
            </w:r>
          </w:p>
        </w:tc>
        <w:tc>
          <w:tcPr>
            <w:tcW w:w="720" w:type="dxa"/>
            <w:vAlign w:val="bottom"/>
          </w:tcPr>
          <w:p>
            <w:pPr>
              <w:jc w:val="right"/>
              <w:ind w:right="94"/>
              <w:spacing w:after="0"/>
              <w:rPr>
                <w:sz w:val="20"/>
                <w:szCs w:val="20"/>
                <w:color w:val="auto"/>
              </w:rPr>
            </w:pPr>
            <w:r>
              <w:rPr>
                <w:rFonts w:ascii="Arial" w:cs="Arial" w:eastAsia="Arial" w:hAnsi="Arial"/>
                <w:sz w:val="14"/>
                <w:szCs w:val="14"/>
                <w:color w:val="auto"/>
              </w:rPr>
              <w:t>Altan</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42.46</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41.03</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46.50</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47.25</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61.27</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66.49</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61.27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Term in years</w:t>
            </w: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7</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7</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7</w:t>
            </w: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5.75</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6.00</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6.25</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6.50</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6.75</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7.00</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Share price as of the valuation date (in €)</w:t>
            </w: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38.00</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38.50</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35.20</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51.00</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75.46</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73.20</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75.46</w:t>
            </w:r>
          </w:p>
        </w:tc>
        <w:tc>
          <w:tcPr>
            <w:tcW w:w="720" w:type="dxa"/>
            <w:vAlign w:val="bottom"/>
          </w:tcPr>
          <w:p>
            <w:pPr>
              <w:jc w:val="right"/>
              <w:spacing w:after="0"/>
              <w:rPr>
                <w:sz w:val="20"/>
                <w:szCs w:val="20"/>
                <w:color w:val="auto"/>
              </w:rPr>
            </w:pPr>
            <w:r>
              <w:rPr>
                <w:rFonts w:ascii="Arial" w:cs="Arial" w:eastAsia="Arial" w:hAnsi="Arial"/>
                <w:sz w:val="18"/>
                <w:szCs w:val="18"/>
                <w:color w:val="auto"/>
              </w:rPr>
              <w:t>43.39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(in %)</w:t>
            </w: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0.00</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0.00</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Expected volatility (in %)</w:t>
            </w: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45.91</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45.66</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48.32</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48.45</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36.39</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36.63</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36.39</w:t>
            </w:r>
          </w:p>
        </w:tc>
        <w:tc>
          <w:tcPr>
            <w:tcW w:w="720" w:type="dxa"/>
            <w:vAlign w:val="bottom"/>
          </w:tcPr>
          <w:p>
            <w:pPr>
              <w:jc w:val="right"/>
              <w:spacing w:after="0"/>
              <w:rPr>
                <w:sz w:val="20"/>
                <w:szCs w:val="20"/>
                <w:color w:val="auto"/>
              </w:rPr>
            </w:pPr>
            <w:r>
              <w:rPr>
                <w:rFonts w:ascii="Arial" w:cs="Arial" w:eastAsia="Arial" w:hAnsi="Arial"/>
                <w:sz w:val="18"/>
                <w:szCs w:val="18"/>
                <w:color w:val="auto"/>
              </w:rPr>
              <w:t>51.31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(in %)</w:t>
            </w: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-0.74</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-0.39</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-0.62</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-0.60</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-0.65</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-0.69</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Option value (in €)</w:t>
            </w: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11.53</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12.42</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9.43</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19.55</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26.14</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23.25</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26.14</w:t>
            </w:r>
          </w:p>
        </w:tc>
        <w:tc>
          <w:tcPr>
            <w:tcW w:w="720" w:type="dxa"/>
            <w:vAlign w:val="bottom"/>
          </w:tcPr>
          <w:p>
            <w:pPr>
              <w:jc w:val="right"/>
              <w:spacing w:after="0"/>
              <w:rPr>
                <w:sz w:val="20"/>
                <w:szCs w:val="20"/>
                <w:color w:val="auto"/>
              </w:rPr>
            </w:pPr>
            <w:r>
              <w:rPr>
                <w:rFonts w:ascii="Arial" w:cs="Arial" w:eastAsia="Arial" w:hAnsi="Arial"/>
                <w:sz w:val="18"/>
                <w:szCs w:val="18"/>
                <w:color w:val="auto"/>
              </w:rPr>
              <w:t>20.40</w:t>
            </w:r>
          </w:p>
        </w:tc>
      </w:tr>
    </w:tbl>
    <w:p>
      <w:pPr>
        <w:spacing w:after="0" w:line="18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term of the options as well as the possibility of early exercise were considered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the Company´s peer group. The expected volatility considered assumes that it is possible to derive future trends from historic volatility, and thus the actual volatility may deviate from the assumptions made.</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total expense for equity-settled share-based payments recognized in the year ended December 31, 2022, under the Stock Option Plans is €2,300 thousand (2021: €513 thousand, 2020: €1,125 thousand). The equity-settled share-based payment recognized in the capital reserve amount to €5,116 thousand as of December 31, 2022 (2021: €2,815 thousand, 2020: €2,303 thousand).</w:t>
      </w:r>
    </w:p>
    <w:p>
      <w:pPr>
        <w:spacing w:after="0" w:line="32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Equity-settled share-based payment under Restricted Stock Unit Plan (RSUP)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RSUP 2021</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the financial year 2021, subscription rights in the form of restricted stock units (RSUs) were granted to selected employees. An RSU grants an entitlement to a cash settlement or shares in the company, whereby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86" w:right="4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choice of settlement form lies solely with the company. The value of an RSU corresponds to the value of the volume-weighted six-month average price of the Company shares on the primary stock exchange (XETRA).</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vesting period of the RSUs is four years after the grant date of the subscription rights. The vested entitlement is settled once a year within 40 trading days after publication of the annual financial statements of Mynaric AG.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grant of RSUs under the RSUP 2021 has been classified and measured as equity-settled share-based payment in accordance with IFRS 2.</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provides an overview of outstanding, granted, forfeited, exercised and forfeited RSUs.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RSUs developed as follows in the financial year 2022:</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0" w:type="dxa"/>
            <w:vAlign w:val="bottom"/>
          </w:tcPr>
          <w:p>
            <w:pPr>
              <w:ind w:left="1160"/>
              <w:spacing w:after="0"/>
              <w:rPr>
                <w:sz w:val="20"/>
                <w:szCs w:val="20"/>
                <w:color w:val="auto"/>
              </w:rPr>
            </w:pPr>
            <w:r>
              <w:rPr>
                <w:rFonts w:ascii="Arial" w:cs="Arial" w:eastAsia="Arial" w:hAnsi="Arial"/>
                <w:sz w:val="14"/>
                <w:szCs w:val="14"/>
                <w:color w:val="auto"/>
              </w:rPr>
              <w:t>Tranche</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Tranche</w:t>
            </w: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Tranche</w:t>
            </w:r>
          </w:p>
        </w:tc>
        <w:tc>
          <w:tcPr>
            <w:tcW w:w="700" w:type="dxa"/>
            <w:vAlign w:val="bottom"/>
          </w:tcPr>
          <w:p>
            <w:pPr>
              <w:jc w:val="right"/>
              <w:spacing w:after="0"/>
              <w:rPr>
                <w:sz w:val="20"/>
                <w:szCs w:val="20"/>
                <w:color w:val="auto"/>
              </w:rPr>
            </w:pPr>
            <w:r>
              <w:rPr>
                <w:rFonts w:ascii="Arial" w:cs="Arial" w:eastAsia="Arial" w:hAnsi="Arial"/>
                <w:sz w:val="14"/>
                <w:szCs w:val="14"/>
                <w:color w:val="auto"/>
              </w:rPr>
              <w:t>Tranche</w:t>
            </w:r>
          </w:p>
        </w:tc>
        <w:tc>
          <w:tcPr>
            <w:tcW w:w="900" w:type="dxa"/>
            <w:vAlign w:val="bottom"/>
            <w:gridSpan w:val="2"/>
          </w:tcPr>
          <w:p>
            <w:pPr>
              <w:jc w:val="right"/>
              <w:ind w:right="90"/>
              <w:spacing w:after="0"/>
              <w:rPr>
                <w:sz w:val="20"/>
                <w:szCs w:val="20"/>
                <w:color w:val="auto"/>
              </w:rPr>
            </w:pPr>
            <w:r>
              <w:rPr>
                <w:rFonts w:ascii="Arial" w:cs="Arial" w:eastAsia="Arial" w:hAnsi="Arial"/>
                <w:sz w:val="14"/>
                <w:szCs w:val="14"/>
                <w:color w:val="auto"/>
              </w:rPr>
              <w:t>Tranche</w:t>
            </w:r>
          </w:p>
        </w:tc>
        <w:tc>
          <w:tcPr>
            <w:tcW w:w="760" w:type="dxa"/>
            <w:vAlign w:val="bottom"/>
          </w:tcPr>
          <w:p>
            <w:pPr>
              <w:jc w:val="right"/>
              <w:ind w:right="74"/>
              <w:spacing w:after="0"/>
              <w:rPr>
                <w:sz w:val="20"/>
                <w:szCs w:val="20"/>
                <w:color w:val="auto"/>
              </w:rPr>
            </w:pPr>
            <w:r>
              <w:rPr>
                <w:rFonts w:ascii="Arial" w:cs="Arial" w:eastAsia="Arial" w:hAnsi="Arial"/>
                <w:sz w:val="14"/>
                <w:szCs w:val="14"/>
                <w:color w:val="auto"/>
              </w:rPr>
              <w:t>Tranche</w:t>
            </w:r>
          </w:p>
        </w:tc>
      </w:tr>
      <w:tr>
        <w:trPr>
          <w:trHeight w:val="167"/>
        </w:trPr>
        <w:tc>
          <w:tcPr>
            <w:tcW w:w="1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0" w:type="dxa"/>
            <w:vAlign w:val="bottom"/>
          </w:tcPr>
          <w:p>
            <w:pPr>
              <w:ind w:left="1200"/>
              <w:spacing w:after="0"/>
              <w:rPr>
                <w:sz w:val="20"/>
                <w:szCs w:val="20"/>
                <w:color w:val="auto"/>
              </w:rPr>
            </w:pPr>
            <w:r>
              <w:rPr>
                <w:rFonts w:ascii="Arial" w:cs="Arial" w:eastAsia="Arial" w:hAnsi="Arial"/>
                <w:sz w:val="14"/>
                <w:szCs w:val="14"/>
                <w:color w:val="auto"/>
              </w:rPr>
              <w:t>2021 I</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2021 II</w:t>
            </w:r>
          </w:p>
        </w:tc>
        <w:tc>
          <w:tcPr>
            <w:tcW w:w="680" w:type="dxa"/>
            <w:vAlign w:val="bottom"/>
          </w:tcPr>
          <w:p>
            <w:pPr>
              <w:jc w:val="right"/>
              <w:ind w:right="94"/>
              <w:spacing w:after="0"/>
              <w:rPr>
                <w:sz w:val="20"/>
                <w:szCs w:val="20"/>
                <w:color w:val="auto"/>
              </w:rPr>
            </w:pPr>
            <w:r>
              <w:rPr>
                <w:rFonts w:ascii="Arial" w:cs="Arial" w:eastAsia="Arial" w:hAnsi="Arial"/>
                <w:sz w:val="14"/>
                <w:szCs w:val="14"/>
                <w:color w:val="auto"/>
              </w:rPr>
              <w:t>2022 I</w:t>
            </w:r>
          </w:p>
        </w:tc>
        <w:tc>
          <w:tcPr>
            <w:tcW w:w="700" w:type="dxa"/>
            <w:vAlign w:val="bottom"/>
          </w:tcPr>
          <w:p>
            <w:pPr>
              <w:jc w:val="right"/>
              <w:spacing w:after="0"/>
              <w:rPr>
                <w:sz w:val="20"/>
                <w:szCs w:val="20"/>
                <w:color w:val="auto"/>
              </w:rPr>
            </w:pPr>
            <w:r>
              <w:rPr>
                <w:rFonts w:ascii="Arial" w:cs="Arial" w:eastAsia="Arial" w:hAnsi="Arial"/>
                <w:sz w:val="14"/>
                <w:szCs w:val="14"/>
                <w:color w:val="auto"/>
              </w:rPr>
              <w:t>2022 II</w:t>
            </w:r>
          </w:p>
        </w:tc>
        <w:tc>
          <w:tcPr>
            <w:tcW w:w="900" w:type="dxa"/>
            <w:vAlign w:val="bottom"/>
            <w:gridSpan w:val="2"/>
          </w:tcPr>
          <w:p>
            <w:pPr>
              <w:jc w:val="right"/>
              <w:ind w:right="90"/>
              <w:spacing w:after="0"/>
              <w:rPr>
                <w:sz w:val="20"/>
                <w:szCs w:val="20"/>
                <w:color w:val="auto"/>
              </w:rPr>
            </w:pPr>
            <w:r>
              <w:rPr>
                <w:rFonts w:ascii="Arial" w:cs="Arial" w:eastAsia="Arial" w:hAnsi="Arial"/>
                <w:sz w:val="14"/>
                <w:szCs w:val="14"/>
                <w:color w:val="auto"/>
              </w:rPr>
              <w:t>2022 III</w:t>
            </w:r>
          </w:p>
        </w:tc>
        <w:tc>
          <w:tcPr>
            <w:tcW w:w="760" w:type="dxa"/>
            <w:vAlign w:val="bottom"/>
          </w:tcPr>
          <w:p>
            <w:pPr>
              <w:jc w:val="right"/>
              <w:ind w:right="74"/>
              <w:spacing w:after="0"/>
              <w:rPr>
                <w:sz w:val="20"/>
                <w:szCs w:val="20"/>
                <w:color w:val="auto"/>
              </w:rPr>
            </w:pPr>
            <w:r>
              <w:rPr>
                <w:rFonts w:ascii="Arial" w:cs="Arial" w:eastAsia="Arial" w:hAnsi="Arial"/>
                <w:sz w:val="14"/>
                <w:szCs w:val="14"/>
                <w:color w:val="auto"/>
              </w:rPr>
              <w:t>2022 IV</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outstanding as of Jan. 1, 2022</w:t>
            </w:r>
          </w:p>
        </w:tc>
        <w:tc>
          <w:tcPr>
            <w:tcW w:w="18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67,773</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32,423</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RSUs granted</w:t>
            </w:r>
          </w:p>
        </w:tc>
        <w:tc>
          <w:tcPr>
            <w:tcW w:w="1800" w:type="dxa"/>
            <w:vAlign w:val="bottom"/>
          </w:tcPr>
          <w:p>
            <w:pPr>
              <w:ind w:left="14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26,430</w:t>
            </w:r>
          </w:p>
        </w:tc>
        <w:tc>
          <w:tcPr>
            <w:tcW w:w="700" w:type="dxa"/>
            <w:vAlign w:val="bottom"/>
          </w:tcPr>
          <w:p>
            <w:pPr>
              <w:jc w:val="right"/>
              <w:spacing w:after="0"/>
              <w:rPr>
                <w:sz w:val="20"/>
                <w:szCs w:val="20"/>
                <w:color w:val="auto"/>
              </w:rPr>
            </w:pPr>
            <w:r>
              <w:rPr>
                <w:rFonts w:ascii="Arial" w:cs="Arial" w:eastAsia="Arial" w:hAnsi="Arial"/>
                <w:sz w:val="18"/>
                <w:szCs w:val="18"/>
                <w:color w:val="auto"/>
              </w:rPr>
              <w:t>28,518</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50,342</w:t>
            </w:r>
          </w:p>
        </w:tc>
        <w:tc>
          <w:tcPr>
            <w:tcW w:w="760" w:type="dxa"/>
            <w:vAlign w:val="bottom"/>
          </w:tcPr>
          <w:p>
            <w:pPr>
              <w:jc w:val="right"/>
              <w:spacing w:after="0"/>
              <w:rPr>
                <w:sz w:val="20"/>
                <w:szCs w:val="20"/>
                <w:color w:val="auto"/>
              </w:rPr>
            </w:pPr>
            <w:r>
              <w:rPr>
                <w:rFonts w:ascii="Arial" w:cs="Arial" w:eastAsia="Arial" w:hAnsi="Arial"/>
                <w:sz w:val="18"/>
                <w:szCs w:val="18"/>
                <w:color w:val="auto"/>
              </w:rPr>
              <w:t>13,261</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forfeited</w:t>
            </w:r>
          </w:p>
        </w:tc>
        <w:tc>
          <w:tcPr>
            <w:tcW w:w="18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13,536</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1,537</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RSUs exercised</w:t>
            </w:r>
          </w:p>
        </w:tc>
        <w:tc>
          <w:tcPr>
            <w:tcW w:w="1800" w:type="dxa"/>
            <w:vAlign w:val="bottom"/>
          </w:tcPr>
          <w:p>
            <w:pPr>
              <w:ind w:left="1180"/>
              <w:spacing w:after="0"/>
              <w:rPr>
                <w:sz w:val="20"/>
                <w:szCs w:val="20"/>
                <w:color w:val="auto"/>
              </w:rPr>
            </w:pPr>
            <w:r>
              <w:rPr>
                <w:rFonts w:ascii="Arial" w:cs="Arial" w:eastAsia="Arial" w:hAnsi="Arial"/>
                <w:sz w:val="18"/>
                <w:szCs w:val="18"/>
                <w:color w:val="auto"/>
              </w:rPr>
              <w:t>16,149</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expired</w:t>
            </w:r>
          </w:p>
        </w:tc>
        <w:tc>
          <w:tcPr>
            <w:tcW w:w="18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RSUs outstanding as of Dec. 31, 2022</w:t>
            </w:r>
          </w:p>
        </w:tc>
        <w:tc>
          <w:tcPr>
            <w:tcW w:w="1800" w:type="dxa"/>
            <w:vAlign w:val="bottom"/>
          </w:tcPr>
          <w:p>
            <w:pPr>
              <w:ind w:left="1180"/>
              <w:spacing w:after="0"/>
              <w:rPr>
                <w:sz w:val="20"/>
                <w:szCs w:val="20"/>
                <w:color w:val="auto"/>
              </w:rPr>
            </w:pPr>
            <w:r>
              <w:rPr>
                <w:rFonts w:ascii="Arial" w:cs="Arial" w:eastAsia="Arial" w:hAnsi="Arial"/>
                <w:sz w:val="18"/>
                <w:szCs w:val="18"/>
                <w:color w:val="auto"/>
              </w:rPr>
              <w:t>37,887</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28,675</w:t>
            </w:r>
          </w:p>
        </w:tc>
        <w:tc>
          <w:tcPr>
            <w:tcW w:w="680" w:type="dxa"/>
            <w:vAlign w:val="bottom"/>
          </w:tcPr>
          <w:p>
            <w:pPr>
              <w:jc w:val="right"/>
              <w:spacing w:after="0"/>
              <w:rPr>
                <w:sz w:val="20"/>
                <w:szCs w:val="20"/>
                <w:color w:val="auto"/>
              </w:rPr>
            </w:pPr>
            <w:r>
              <w:rPr>
                <w:rFonts w:ascii="Arial" w:cs="Arial" w:eastAsia="Arial" w:hAnsi="Arial"/>
                <w:sz w:val="18"/>
                <w:szCs w:val="18"/>
                <w:color w:val="auto"/>
              </w:rPr>
              <w:t>24,375</w:t>
            </w:r>
          </w:p>
        </w:tc>
        <w:tc>
          <w:tcPr>
            <w:tcW w:w="700" w:type="dxa"/>
            <w:vAlign w:val="bottom"/>
          </w:tcPr>
          <w:p>
            <w:pPr>
              <w:jc w:val="right"/>
              <w:spacing w:after="0"/>
              <w:rPr>
                <w:sz w:val="20"/>
                <w:szCs w:val="20"/>
                <w:color w:val="auto"/>
              </w:rPr>
            </w:pPr>
            <w:r>
              <w:rPr>
                <w:rFonts w:ascii="Arial" w:cs="Arial" w:eastAsia="Arial" w:hAnsi="Arial"/>
                <w:sz w:val="18"/>
                <w:szCs w:val="18"/>
                <w:color w:val="auto"/>
              </w:rPr>
              <w:t>28,431</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48,805</w:t>
            </w:r>
          </w:p>
        </w:tc>
        <w:tc>
          <w:tcPr>
            <w:tcW w:w="760" w:type="dxa"/>
            <w:vAlign w:val="bottom"/>
          </w:tcPr>
          <w:p>
            <w:pPr>
              <w:jc w:val="right"/>
              <w:spacing w:after="0"/>
              <w:rPr>
                <w:sz w:val="20"/>
                <w:szCs w:val="20"/>
                <w:color w:val="auto"/>
              </w:rPr>
            </w:pPr>
            <w:r>
              <w:rPr>
                <w:rFonts w:ascii="Arial" w:cs="Arial" w:eastAsia="Arial" w:hAnsi="Arial"/>
                <w:sz w:val="18"/>
                <w:szCs w:val="18"/>
                <w:color w:val="auto"/>
              </w:rPr>
              <w:t>13,261</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exercisable as of Dec. 31, 2022</w:t>
            </w:r>
          </w:p>
        </w:tc>
        <w:tc>
          <w:tcPr>
            <w:tcW w:w="18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The RSUs developed as follows in the financial year 2021:</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80" w:type="dxa"/>
            <w:vAlign w:val="bottom"/>
            <w:gridSpan w:val="2"/>
          </w:tcPr>
          <w:p>
            <w:pPr>
              <w:jc w:val="right"/>
              <w:ind w:right="12"/>
              <w:spacing w:after="0"/>
              <w:rPr>
                <w:sz w:val="20"/>
                <w:szCs w:val="20"/>
                <w:color w:val="auto"/>
              </w:rPr>
            </w:pPr>
            <w:r>
              <w:rPr>
                <w:rFonts w:ascii="Arial" w:cs="Arial" w:eastAsia="Arial" w:hAnsi="Arial"/>
                <w:sz w:val="14"/>
                <w:szCs w:val="14"/>
                <w:color w:val="auto"/>
              </w:rPr>
              <w:t>Tranche 2021 I</w:t>
            </w:r>
          </w:p>
        </w:tc>
        <w:tc>
          <w:tcPr>
            <w:tcW w:w="680" w:type="dxa"/>
            <w:vAlign w:val="bottom"/>
          </w:tcPr>
          <w:p>
            <w:pPr>
              <w:spacing w:after="0"/>
              <w:rPr>
                <w:sz w:val="24"/>
                <w:szCs w:val="24"/>
                <w:color w:val="auto"/>
              </w:rPr>
            </w:pPr>
          </w:p>
        </w:tc>
        <w:tc>
          <w:tcPr>
            <w:tcW w:w="1600" w:type="dxa"/>
            <w:vAlign w:val="bottom"/>
            <w:gridSpan w:val="3"/>
          </w:tcPr>
          <w:p>
            <w:pPr>
              <w:jc w:val="right"/>
              <w:ind w:right="530"/>
              <w:spacing w:after="0"/>
              <w:rPr>
                <w:sz w:val="20"/>
                <w:szCs w:val="20"/>
                <w:color w:val="auto"/>
              </w:rPr>
            </w:pPr>
            <w:r>
              <w:rPr>
                <w:rFonts w:ascii="Arial" w:cs="Arial" w:eastAsia="Arial" w:hAnsi="Arial"/>
                <w:sz w:val="14"/>
                <w:szCs w:val="14"/>
                <w:color w:val="auto"/>
                <w:w w:val="97"/>
              </w:rPr>
              <w:t>Tranche 2021 II</w:t>
            </w:r>
          </w:p>
        </w:tc>
        <w:tc>
          <w:tcPr>
            <w:tcW w:w="760" w:type="dxa"/>
            <w:vAlign w:val="bottom"/>
          </w:tcPr>
          <w:p>
            <w:pPr>
              <w:spacing w:after="0"/>
              <w:rPr>
                <w:sz w:val="24"/>
                <w:szCs w:val="24"/>
                <w:color w:val="auto"/>
              </w:rPr>
            </w:pPr>
          </w:p>
        </w:tc>
      </w:tr>
      <w:tr>
        <w:trPr>
          <w:trHeight w:val="216"/>
        </w:trPr>
        <w:tc>
          <w:tcPr>
            <w:tcW w:w="13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as of Jan. 1, 2021</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RSUs granted</w:t>
            </w:r>
          </w:p>
        </w:tc>
        <w:tc>
          <w:tcPr>
            <w:tcW w:w="18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68,631</w:t>
            </w:r>
          </w:p>
        </w:tc>
        <w:tc>
          <w:tcPr>
            <w:tcW w:w="6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32,476</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RSUs forfeited</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858</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RSUs exercised</w:t>
            </w:r>
          </w:p>
        </w:tc>
        <w:tc>
          <w:tcPr>
            <w:tcW w:w="180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jc w:val="right"/>
              <w:ind w:right="54"/>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RSUs expired</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RSUs outstanding as of Dec. 31, 2021</w:t>
            </w:r>
          </w:p>
        </w:tc>
        <w:tc>
          <w:tcPr>
            <w:tcW w:w="18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67,773</w:t>
            </w:r>
          </w:p>
        </w:tc>
        <w:tc>
          <w:tcPr>
            <w:tcW w:w="6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32,423</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RSUs exercisable as of Dec. 31, 2021</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model and inputs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valuation of the present RSU program was performed using a binomial model considering the option terms. The table below shows the input parameters of the model as grant date as of December 31, 2022.</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440" w:type="dxa"/>
            <w:vAlign w:val="bottom"/>
          </w:tcPr>
          <w:p>
            <w:pPr>
              <w:jc w:val="right"/>
              <w:ind w:right="54"/>
              <w:spacing w:after="0"/>
              <w:rPr>
                <w:sz w:val="20"/>
                <w:szCs w:val="20"/>
                <w:color w:val="auto"/>
              </w:rPr>
            </w:pPr>
            <w:r>
              <w:rPr>
                <w:rFonts w:ascii="Arial" w:cs="Arial" w:eastAsia="Arial" w:hAnsi="Arial"/>
                <w:sz w:val="14"/>
                <w:szCs w:val="14"/>
                <w:color w:val="auto"/>
              </w:rPr>
              <w:t>Tranche</w:t>
            </w:r>
          </w:p>
        </w:tc>
        <w:tc>
          <w:tcPr>
            <w:tcW w:w="760" w:type="dxa"/>
            <w:vAlign w:val="bottom"/>
          </w:tcPr>
          <w:p>
            <w:pPr>
              <w:jc w:val="right"/>
              <w:ind w:right="74"/>
              <w:spacing w:after="0"/>
              <w:rPr>
                <w:sz w:val="20"/>
                <w:szCs w:val="20"/>
                <w:color w:val="auto"/>
              </w:rPr>
            </w:pPr>
            <w:r>
              <w:rPr>
                <w:rFonts w:ascii="Arial" w:cs="Arial" w:eastAsia="Arial" w:hAnsi="Arial"/>
                <w:sz w:val="14"/>
                <w:szCs w:val="14"/>
                <w:color w:val="auto"/>
              </w:rPr>
              <w:t>Tranche</w:t>
            </w:r>
          </w:p>
        </w:tc>
        <w:tc>
          <w:tcPr>
            <w:tcW w:w="780" w:type="dxa"/>
            <w:vAlign w:val="bottom"/>
          </w:tcPr>
          <w:p>
            <w:pPr>
              <w:jc w:val="right"/>
              <w:ind w:right="74"/>
              <w:spacing w:after="0"/>
              <w:rPr>
                <w:sz w:val="20"/>
                <w:szCs w:val="20"/>
                <w:color w:val="auto"/>
              </w:rPr>
            </w:pPr>
            <w:r>
              <w:rPr>
                <w:rFonts w:ascii="Arial" w:cs="Arial" w:eastAsia="Arial" w:hAnsi="Arial"/>
                <w:sz w:val="14"/>
                <w:szCs w:val="14"/>
                <w:color w:val="auto"/>
              </w:rPr>
              <w:t>Tranche</w:t>
            </w:r>
          </w:p>
        </w:tc>
        <w:tc>
          <w:tcPr>
            <w:tcW w:w="760" w:type="dxa"/>
            <w:vAlign w:val="bottom"/>
          </w:tcPr>
          <w:p>
            <w:pPr>
              <w:jc w:val="right"/>
              <w:ind w:right="74"/>
              <w:spacing w:after="0"/>
              <w:rPr>
                <w:sz w:val="20"/>
                <w:szCs w:val="20"/>
                <w:color w:val="auto"/>
              </w:rPr>
            </w:pPr>
            <w:r>
              <w:rPr>
                <w:rFonts w:ascii="Arial" w:cs="Arial" w:eastAsia="Arial" w:hAnsi="Arial"/>
                <w:sz w:val="14"/>
                <w:szCs w:val="14"/>
                <w:color w:val="auto"/>
              </w:rPr>
              <w:t>Tranche</w:t>
            </w:r>
          </w:p>
        </w:tc>
        <w:tc>
          <w:tcPr>
            <w:tcW w:w="780" w:type="dxa"/>
            <w:vAlign w:val="bottom"/>
          </w:tcPr>
          <w:p>
            <w:pPr>
              <w:jc w:val="right"/>
              <w:ind w:right="74"/>
              <w:spacing w:after="0"/>
              <w:rPr>
                <w:sz w:val="20"/>
                <w:szCs w:val="20"/>
                <w:color w:val="auto"/>
              </w:rPr>
            </w:pPr>
            <w:r>
              <w:rPr>
                <w:rFonts w:ascii="Arial" w:cs="Arial" w:eastAsia="Arial" w:hAnsi="Arial"/>
                <w:sz w:val="14"/>
                <w:szCs w:val="14"/>
                <w:color w:val="auto"/>
              </w:rPr>
              <w:t>Tranche</w:t>
            </w:r>
          </w:p>
        </w:tc>
        <w:tc>
          <w:tcPr>
            <w:tcW w:w="720" w:type="dxa"/>
            <w:vAlign w:val="bottom"/>
          </w:tcPr>
          <w:p>
            <w:pPr>
              <w:jc w:val="right"/>
              <w:ind w:right="14"/>
              <w:spacing w:after="0"/>
              <w:rPr>
                <w:sz w:val="20"/>
                <w:szCs w:val="20"/>
                <w:color w:val="auto"/>
              </w:rPr>
            </w:pPr>
            <w:r>
              <w:rPr>
                <w:rFonts w:ascii="Arial" w:cs="Arial" w:eastAsia="Arial" w:hAnsi="Arial"/>
                <w:sz w:val="14"/>
                <w:szCs w:val="14"/>
                <w:color w:val="auto"/>
              </w:rPr>
              <w:t>Tranche</w:t>
            </w:r>
          </w:p>
        </w:tc>
      </w:tr>
      <w:tr>
        <w:trPr>
          <w:trHeight w:val="167"/>
        </w:trPr>
        <w:tc>
          <w:tcPr>
            <w:tcW w:w="4780" w:type="dxa"/>
            <w:vAlign w:val="bottom"/>
          </w:tcPr>
          <w:p>
            <w:pPr>
              <w:spacing w:after="0"/>
              <w:rPr>
                <w:sz w:val="14"/>
                <w:szCs w:val="14"/>
                <w:color w:val="auto"/>
              </w:rPr>
            </w:pPr>
          </w:p>
        </w:tc>
        <w:tc>
          <w:tcPr>
            <w:tcW w:w="2440" w:type="dxa"/>
            <w:vAlign w:val="bottom"/>
          </w:tcPr>
          <w:p>
            <w:pPr>
              <w:jc w:val="right"/>
              <w:ind w:right="114"/>
              <w:spacing w:after="0"/>
              <w:rPr>
                <w:sz w:val="20"/>
                <w:szCs w:val="20"/>
                <w:color w:val="auto"/>
              </w:rPr>
            </w:pPr>
            <w:r>
              <w:rPr>
                <w:rFonts w:ascii="Arial" w:cs="Arial" w:eastAsia="Arial" w:hAnsi="Arial"/>
                <w:sz w:val="14"/>
                <w:szCs w:val="14"/>
                <w:color w:val="auto"/>
              </w:rPr>
              <w:t>2021 I</w:t>
            </w:r>
          </w:p>
        </w:tc>
        <w:tc>
          <w:tcPr>
            <w:tcW w:w="760" w:type="dxa"/>
            <w:vAlign w:val="bottom"/>
          </w:tcPr>
          <w:p>
            <w:pPr>
              <w:jc w:val="right"/>
              <w:ind w:right="94"/>
              <w:spacing w:after="0"/>
              <w:rPr>
                <w:sz w:val="20"/>
                <w:szCs w:val="20"/>
                <w:color w:val="auto"/>
              </w:rPr>
            </w:pPr>
            <w:r>
              <w:rPr>
                <w:rFonts w:ascii="Arial" w:cs="Arial" w:eastAsia="Arial" w:hAnsi="Arial"/>
                <w:sz w:val="14"/>
                <w:szCs w:val="14"/>
                <w:color w:val="auto"/>
              </w:rPr>
              <w:t>2021 II</w:t>
            </w:r>
          </w:p>
        </w:tc>
        <w:tc>
          <w:tcPr>
            <w:tcW w:w="780" w:type="dxa"/>
            <w:vAlign w:val="bottom"/>
          </w:tcPr>
          <w:p>
            <w:pPr>
              <w:jc w:val="right"/>
              <w:ind w:right="134"/>
              <w:spacing w:after="0"/>
              <w:rPr>
                <w:sz w:val="20"/>
                <w:szCs w:val="20"/>
                <w:color w:val="auto"/>
              </w:rPr>
            </w:pPr>
            <w:r>
              <w:rPr>
                <w:rFonts w:ascii="Arial" w:cs="Arial" w:eastAsia="Arial" w:hAnsi="Arial"/>
                <w:sz w:val="14"/>
                <w:szCs w:val="14"/>
                <w:color w:val="auto"/>
              </w:rPr>
              <w:t>2022 I</w:t>
            </w:r>
          </w:p>
        </w:tc>
        <w:tc>
          <w:tcPr>
            <w:tcW w:w="760" w:type="dxa"/>
            <w:vAlign w:val="bottom"/>
          </w:tcPr>
          <w:p>
            <w:pPr>
              <w:jc w:val="right"/>
              <w:ind w:right="94"/>
              <w:spacing w:after="0"/>
              <w:rPr>
                <w:sz w:val="20"/>
                <w:szCs w:val="20"/>
                <w:color w:val="auto"/>
              </w:rPr>
            </w:pPr>
            <w:r>
              <w:rPr>
                <w:rFonts w:ascii="Arial" w:cs="Arial" w:eastAsia="Arial" w:hAnsi="Arial"/>
                <w:sz w:val="14"/>
                <w:szCs w:val="14"/>
                <w:color w:val="auto"/>
              </w:rPr>
              <w:t>2022 II</w:t>
            </w:r>
          </w:p>
        </w:tc>
        <w:tc>
          <w:tcPr>
            <w:tcW w:w="780" w:type="dxa"/>
            <w:vAlign w:val="bottom"/>
          </w:tcPr>
          <w:p>
            <w:pPr>
              <w:jc w:val="right"/>
              <w:ind w:right="74"/>
              <w:spacing w:after="0"/>
              <w:rPr>
                <w:sz w:val="20"/>
                <w:szCs w:val="20"/>
                <w:color w:val="auto"/>
              </w:rPr>
            </w:pPr>
            <w:r>
              <w:rPr>
                <w:rFonts w:ascii="Arial" w:cs="Arial" w:eastAsia="Arial" w:hAnsi="Arial"/>
                <w:sz w:val="14"/>
                <w:szCs w:val="14"/>
                <w:color w:val="auto"/>
              </w:rPr>
              <w:t>2022 III</w:t>
            </w:r>
          </w:p>
        </w:tc>
        <w:tc>
          <w:tcPr>
            <w:tcW w:w="720" w:type="dxa"/>
            <w:vAlign w:val="bottom"/>
          </w:tcPr>
          <w:p>
            <w:pPr>
              <w:jc w:val="right"/>
              <w:ind w:right="14"/>
              <w:spacing w:after="0"/>
              <w:rPr>
                <w:sz w:val="20"/>
                <w:szCs w:val="20"/>
                <w:color w:val="auto"/>
              </w:rPr>
            </w:pPr>
            <w:r>
              <w:rPr>
                <w:rFonts w:ascii="Arial" w:cs="Arial" w:eastAsia="Arial" w:hAnsi="Arial"/>
                <w:sz w:val="14"/>
                <w:szCs w:val="14"/>
                <w:color w:val="auto"/>
              </w:rPr>
              <w:t>2022 IV</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2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Term in years</w:t>
            </w:r>
          </w:p>
        </w:tc>
        <w:tc>
          <w:tcPr>
            <w:tcW w:w="2440" w:type="dxa"/>
            <w:vAlign w:val="bottom"/>
          </w:tcPr>
          <w:p>
            <w:pPr>
              <w:jc w:val="right"/>
              <w:ind w:right="54"/>
              <w:spacing w:after="0"/>
              <w:rPr>
                <w:sz w:val="20"/>
                <w:szCs w:val="20"/>
                <w:color w:val="auto"/>
              </w:rPr>
            </w:pPr>
            <w:r>
              <w:rPr>
                <w:rFonts w:ascii="Arial" w:cs="Arial" w:eastAsia="Arial" w:hAnsi="Arial"/>
                <w:sz w:val="18"/>
                <w:szCs w:val="18"/>
                <w:color w:val="auto"/>
              </w:rPr>
              <w:t>4.77</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4.52</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5.26</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5.02</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4.77</w:t>
            </w:r>
          </w:p>
        </w:tc>
        <w:tc>
          <w:tcPr>
            <w:tcW w:w="7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2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3.27</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3.27</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4.27</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4.27</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 price as of the valuation date (in €)</w:t>
            </w:r>
          </w:p>
        </w:tc>
        <w:tc>
          <w:tcPr>
            <w:tcW w:w="2440" w:type="dxa"/>
            <w:vAlign w:val="bottom"/>
          </w:tcPr>
          <w:p>
            <w:pPr>
              <w:jc w:val="right"/>
              <w:ind w:right="54"/>
              <w:spacing w:after="0"/>
              <w:rPr>
                <w:sz w:val="20"/>
                <w:szCs w:val="20"/>
                <w:color w:val="auto"/>
              </w:rPr>
            </w:pPr>
            <w:r>
              <w:rPr>
                <w:rFonts w:ascii="Arial" w:cs="Arial" w:eastAsia="Arial" w:hAnsi="Arial"/>
                <w:sz w:val="18"/>
                <w:szCs w:val="18"/>
                <w:color w:val="auto"/>
              </w:rPr>
              <w:t>80.60</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62.90</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46.35</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40.65</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26.75</w:t>
            </w:r>
          </w:p>
        </w:tc>
        <w:tc>
          <w:tcPr>
            <w:tcW w:w="720" w:type="dxa"/>
            <w:vAlign w:val="bottom"/>
          </w:tcPr>
          <w:p>
            <w:pPr>
              <w:jc w:val="right"/>
              <w:spacing w:after="0"/>
              <w:rPr>
                <w:sz w:val="20"/>
                <w:szCs w:val="20"/>
                <w:color w:val="auto"/>
              </w:rPr>
            </w:pPr>
            <w:r>
              <w:rPr>
                <w:rFonts w:ascii="Arial" w:cs="Arial" w:eastAsia="Arial" w:hAnsi="Arial"/>
                <w:sz w:val="18"/>
                <w:szCs w:val="18"/>
                <w:color w:val="auto"/>
              </w:rPr>
              <w:t>19.76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(in %)</w:t>
            </w:r>
          </w:p>
        </w:tc>
        <w:tc>
          <w:tcPr>
            <w:tcW w:w="2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0.00</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0.00</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Expected volatility (in %)</w:t>
            </w:r>
          </w:p>
        </w:tc>
        <w:tc>
          <w:tcPr>
            <w:tcW w:w="2440" w:type="dxa"/>
            <w:vAlign w:val="bottom"/>
          </w:tcPr>
          <w:p>
            <w:pPr>
              <w:jc w:val="right"/>
              <w:ind w:right="54"/>
              <w:spacing w:after="0"/>
              <w:rPr>
                <w:sz w:val="20"/>
                <w:szCs w:val="20"/>
                <w:color w:val="auto"/>
              </w:rPr>
            </w:pPr>
            <w:r>
              <w:rPr>
                <w:rFonts w:ascii="Arial" w:cs="Arial" w:eastAsia="Arial" w:hAnsi="Arial"/>
                <w:sz w:val="18"/>
                <w:szCs w:val="18"/>
                <w:color w:val="auto"/>
              </w:rPr>
              <w:t>39.83</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39.75</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38.89</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39.14</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39.54</w:t>
            </w:r>
          </w:p>
        </w:tc>
        <w:tc>
          <w:tcPr>
            <w:tcW w:w="720" w:type="dxa"/>
            <w:vAlign w:val="bottom"/>
          </w:tcPr>
          <w:p>
            <w:pPr>
              <w:jc w:val="right"/>
              <w:spacing w:after="0"/>
              <w:rPr>
                <w:sz w:val="20"/>
                <w:szCs w:val="20"/>
                <w:color w:val="auto"/>
              </w:rPr>
            </w:pPr>
            <w:r>
              <w:rPr>
                <w:rFonts w:ascii="Arial" w:cs="Arial" w:eastAsia="Arial" w:hAnsi="Arial"/>
                <w:sz w:val="18"/>
                <w:szCs w:val="18"/>
                <w:color w:val="auto"/>
              </w:rPr>
              <w:t>45.59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(in %)</w:t>
            </w:r>
          </w:p>
        </w:tc>
        <w:tc>
          <w:tcPr>
            <w:tcW w:w="24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-0.60</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-0.62</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-0.45</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RSU-value (in €)</w:t>
            </w:r>
          </w:p>
        </w:tc>
        <w:tc>
          <w:tcPr>
            <w:tcW w:w="2440" w:type="dxa"/>
            <w:vAlign w:val="bottom"/>
          </w:tcPr>
          <w:p>
            <w:pPr>
              <w:jc w:val="right"/>
              <w:ind w:right="54"/>
              <w:spacing w:after="0"/>
              <w:rPr>
                <w:sz w:val="20"/>
                <w:szCs w:val="20"/>
                <w:color w:val="auto"/>
              </w:rPr>
            </w:pPr>
            <w:r>
              <w:rPr>
                <w:rFonts w:ascii="Arial" w:cs="Arial" w:eastAsia="Arial" w:hAnsi="Arial"/>
                <w:sz w:val="18"/>
                <w:szCs w:val="18"/>
                <w:color w:val="auto"/>
              </w:rPr>
              <w:t>80.60</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62.90</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46.35</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40.65</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26.75</w:t>
            </w:r>
          </w:p>
        </w:tc>
        <w:tc>
          <w:tcPr>
            <w:tcW w:w="720" w:type="dxa"/>
            <w:vAlign w:val="bottom"/>
          </w:tcPr>
          <w:p>
            <w:pPr>
              <w:jc w:val="right"/>
              <w:spacing w:after="0"/>
              <w:rPr>
                <w:sz w:val="20"/>
                <w:szCs w:val="20"/>
                <w:color w:val="auto"/>
              </w:rPr>
            </w:pPr>
            <w:r>
              <w:rPr>
                <w:rFonts w:ascii="Arial" w:cs="Arial" w:eastAsia="Arial" w:hAnsi="Arial"/>
                <w:sz w:val="18"/>
                <w:szCs w:val="18"/>
                <w:color w:val="auto"/>
              </w:rPr>
              <w:t>19.76</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input parameters of the model as grant date as of December 31, 2021.</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3440" w:type="dxa"/>
            <w:vAlign w:val="bottom"/>
          </w:tcPr>
          <w:p>
            <w:pPr>
              <w:jc w:val="right"/>
              <w:ind w:right="352"/>
              <w:spacing w:after="0"/>
              <w:rPr>
                <w:sz w:val="20"/>
                <w:szCs w:val="20"/>
                <w:color w:val="auto"/>
              </w:rPr>
            </w:pPr>
            <w:r>
              <w:rPr>
                <w:rFonts w:ascii="Arial" w:cs="Arial" w:eastAsia="Arial" w:hAnsi="Arial"/>
                <w:sz w:val="14"/>
                <w:szCs w:val="14"/>
                <w:color w:val="auto"/>
              </w:rPr>
              <w:t>Tranche 2021 I</w:t>
            </w:r>
          </w:p>
        </w:tc>
        <w:tc>
          <w:tcPr>
            <w:tcW w:w="1420" w:type="dxa"/>
            <w:vAlign w:val="bottom"/>
          </w:tcPr>
          <w:p>
            <w:pPr>
              <w:jc w:val="right"/>
              <w:spacing w:after="0"/>
              <w:rPr>
                <w:sz w:val="20"/>
                <w:szCs w:val="20"/>
                <w:color w:val="auto"/>
              </w:rPr>
            </w:pPr>
            <w:r>
              <w:rPr>
                <w:rFonts w:ascii="Arial" w:cs="Arial" w:eastAsia="Arial" w:hAnsi="Arial"/>
                <w:sz w:val="14"/>
                <w:szCs w:val="14"/>
                <w:color w:val="auto"/>
              </w:rPr>
              <w:t>Tranche 2021 II</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Term in years</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4.77</w:t>
            </w:r>
          </w:p>
        </w:tc>
        <w:tc>
          <w:tcPr>
            <w:tcW w:w="14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4.27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Share price as of the valuation date (in €)</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80.60</w:t>
            </w:r>
          </w:p>
        </w:tc>
        <w:tc>
          <w:tcPr>
            <w:tcW w:w="1420" w:type="dxa"/>
            <w:vAlign w:val="bottom"/>
          </w:tcPr>
          <w:p>
            <w:pPr>
              <w:jc w:val="right"/>
              <w:spacing w:after="0"/>
              <w:rPr>
                <w:sz w:val="20"/>
                <w:szCs w:val="20"/>
                <w:color w:val="auto"/>
              </w:rPr>
            </w:pPr>
            <w:r>
              <w:rPr>
                <w:rFonts w:ascii="Arial" w:cs="Arial" w:eastAsia="Arial" w:hAnsi="Arial"/>
                <w:sz w:val="18"/>
                <w:szCs w:val="18"/>
                <w:color w:val="auto"/>
              </w:rPr>
              <w:t>62.90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(in %)</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Expected volatility (in %)</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39.83</w:t>
            </w:r>
          </w:p>
        </w:tc>
        <w:tc>
          <w:tcPr>
            <w:tcW w:w="142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(in %)</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-0.60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RSU-value (in €)</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80.60</w:t>
            </w:r>
          </w:p>
        </w:tc>
        <w:tc>
          <w:tcPr>
            <w:tcW w:w="1420" w:type="dxa"/>
            <w:vAlign w:val="bottom"/>
          </w:tcPr>
          <w:p>
            <w:pPr>
              <w:jc w:val="right"/>
              <w:spacing w:after="0"/>
              <w:rPr>
                <w:sz w:val="20"/>
                <w:szCs w:val="20"/>
                <w:color w:val="auto"/>
              </w:rPr>
            </w:pPr>
            <w:r>
              <w:rPr>
                <w:rFonts w:ascii="Arial" w:cs="Arial" w:eastAsia="Arial" w:hAnsi="Arial"/>
                <w:sz w:val="18"/>
                <w:szCs w:val="18"/>
                <w:color w:val="auto"/>
              </w:rPr>
              <w:t>62.90</w:t>
            </w:r>
          </w:p>
        </w:tc>
      </w:tr>
      <w:tr>
        <w:trPr>
          <w:trHeight w:val="350"/>
        </w:trPr>
        <w:tc>
          <w:tcPr>
            <w:tcW w:w="3500" w:type="dxa"/>
            <w:vAlign w:val="bottom"/>
          </w:tcPr>
          <w:p>
            <w:pPr>
              <w:spacing w:after="0"/>
              <w:rPr>
                <w:sz w:val="24"/>
                <w:szCs w:val="24"/>
                <w:color w:val="auto"/>
              </w:rPr>
            </w:pPr>
          </w:p>
        </w:tc>
        <w:tc>
          <w:tcPr>
            <w:tcW w:w="3440" w:type="dxa"/>
            <w:vAlign w:val="bottom"/>
          </w:tcPr>
          <w:p>
            <w:pPr>
              <w:jc w:val="right"/>
              <w:ind w:right="2492"/>
              <w:spacing w:after="0"/>
              <w:rPr>
                <w:sz w:val="20"/>
                <w:szCs w:val="20"/>
                <w:color w:val="auto"/>
              </w:rPr>
            </w:pPr>
            <w:r>
              <w:rPr>
                <w:rFonts w:ascii="Arial" w:cs="Arial" w:eastAsia="Arial" w:hAnsi="Arial"/>
                <w:sz w:val="18"/>
                <w:szCs w:val="18"/>
                <w:color w:val="auto"/>
              </w:rPr>
              <w:t>F-25</w:t>
            </w:r>
          </w:p>
        </w:tc>
        <w:tc>
          <w:tcPr>
            <w:tcW w:w="14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implied yield of German government bonds with equivalent maturities was used to determine the risk-free interest rate. As the stock market history of Mynaric AG is shorter than the remaining term of the RSUs, the volatility was determined as maturity-equivalent historical volatility based on the peer group. The expected volatility considered is based on the assumption that future trends can be inferred from historical volatility, so that the volatility that actually occurs may differ from the assumptions made.</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total expense for equity-settled share-based payments recognized in the year ended December 31, 2022, under the RSU-Program is €3,832 thousand (2021: €1,429 thousand, 2020: €0). The equity-settled share-based payments recognized in the capital reserve amount to €5,261 thousand as of December 31, 2022 (2021: €1,429 thousand, 2020: €0).</w:t>
      </w:r>
    </w:p>
    <w:p>
      <w:pPr>
        <w:spacing w:after="0" w:line="328"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Amortization and Impairment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depreciation and impairment are summarized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60" w:type="dxa"/>
            <w:vAlign w:val="bottom"/>
          </w:tcPr>
          <w:p>
            <w:pPr>
              <w:jc w:val="right"/>
              <w:ind w:right="375"/>
              <w:spacing w:after="0"/>
              <w:rPr>
                <w:sz w:val="20"/>
                <w:szCs w:val="20"/>
                <w:color w:val="auto"/>
              </w:rPr>
            </w:pPr>
            <w:r>
              <w:rPr>
                <w:rFonts w:ascii="Arial" w:cs="Arial" w:eastAsia="Arial" w:hAnsi="Arial"/>
                <w:sz w:val="14"/>
                <w:szCs w:val="14"/>
                <w:color w:val="auto"/>
              </w:rPr>
              <w:t>For the years ended</w:t>
            </w:r>
          </w:p>
        </w:tc>
        <w:tc>
          <w:tcPr>
            <w:tcW w:w="16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Arial" w:cs="Arial" w:eastAsia="Arial" w:hAnsi="Arial"/>
                <w:sz w:val="14"/>
                <w:szCs w:val="14"/>
                <w:color w:val="auto"/>
              </w:rPr>
              <w:t>€ thousand</w:t>
            </w:r>
          </w:p>
        </w:tc>
        <w:tc>
          <w:tcPr>
            <w:tcW w:w="2280" w:type="dxa"/>
            <w:vAlign w:val="bottom"/>
          </w:tcPr>
          <w:p>
            <w:pPr>
              <w:jc w:val="right"/>
              <w:ind w:right="373"/>
              <w:spacing w:after="0"/>
              <w:rPr>
                <w:sz w:val="20"/>
                <w:szCs w:val="20"/>
                <w:color w:val="auto"/>
              </w:rPr>
            </w:pPr>
            <w:r>
              <w:rPr>
                <w:rFonts w:ascii="Arial" w:cs="Arial" w:eastAsia="Arial" w:hAnsi="Arial"/>
                <w:sz w:val="14"/>
                <w:szCs w:val="14"/>
                <w:color w:val="auto"/>
              </w:rPr>
              <w:t>December 31, 2022</w:t>
            </w:r>
          </w:p>
        </w:tc>
        <w:tc>
          <w:tcPr>
            <w:tcW w:w="2060" w:type="dxa"/>
            <w:vAlign w:val="bottom"/>
          </w:tcPr>
          <w:p>
            <w:pPr>
              <w:jc w:val="right"/>
              <w:ind w:right="375"/>
              <w:spacing w:after="0"/>
              <w:rPr>
                <w:sz w:val="20"/>
                <w:szCs w:val="20"/>
                <w:color w:val="auto"/>
              </w:rPr>
            </w:pPr>
            <w:r>
              <w:rPr>
                <w:rFonts w:ascii="Arial" w:cs="Arial" w:eastAsia="Arial" w:hAnsi="Arial"/>
                <w:sz w:val="14"/>
                <w:szCs w:val="14"/>
                <w:color w:val="auto"/>
              </w:rPr>
              <w:t>December 31, 2021</w:t>
            </w:r>
          </w:p>
        </w:tc>
        <w:tc>
          <w:tcPr>
            <w:tcW w:w="166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2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1,545</w:t>
            </w:r>
          </w:p>
        </w:tc>
        <w:tc>
          <w:tcPr>
            <w:tcW w:w="20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1,267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280" w:type="dxa"/>
            <w:vAlign w:val="bottom"/>
          </w:tcPr>
          <w:p>
            <w:pPr>
              <w:jc w:val="right"/>
              <w:ind w:right="373"/>
              <w:spacing w:after="0"/>
              <w:rPr>
                <w:sz w:val="20"/>
                <w:szCs w:val="20"/>
                <w:color w:val="auto"/>
              </w:rPr>
            </w:pPr>
            <w:r>
              <w:rPr>
                <w:rFonts w:ascii="Arial" w:cs="Arial" w:eastAsia="Arial" w:hAnsi="Arial"/>
                <w:sz w:val="18"/>
                <w:szCs w:val="18"/>
                <w:color w:val="auto"/>
              </w:rPr>
              <w:t>1,531</w:t>
            </w:r>
          </w:p>
        </w:tc>
        <w:tc>
          <w:tcPr>
            <w:tcW w:w="2060" w:type="dxa"/>
            <w:vAlign w:val="bottom"/>
          </w:tcPr>
          <w:p>
            <w:pPr>
              <w:jc w:val="right"/>
              <w:ind w:right="375"/>
              <w:spacing w:after="0"/>
              <w:rPr>
                <w:sz w:val="20"/>
                <w:szCs w:val="20"/>
                <w:color w:val="auto"/>
              </w:rPr>
            </w:pPr>
            <w:r>
              <w:rPr>
                <w:rFonts w:ascii="Arial" w:cs="Arial" w:eastAsia="Arial" w:hAnsi="Arial"/>
                <w:sz w:val="18"/>
                <w:szCs w:val="18"/>
                <w:color w:val="auto"/>
              </w:rPr>
              <w:t>0</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of property, plant, and</w:t>
            </w:r>
          </w:p>
        </w:tc>
        <w:tc>
          <w:tcPr>
            <w:tcW w:w="2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2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3,254</w:t>
            </w:r>
          </w:p>
        </w:tc>
        <w:tc>
          <w:tcPr>
            <w:tcW w:w="20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1,994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2280" w:type="dxa"/>
            <w:vAlign w:val="bottom"/>
          </w:tcPr>
          <w:p>
            <w:pPr>
              <w:jc w:val="right"/>
              <w:ind w:right="373"/>
              <w:spacing w:after="0"/>
              <w:rPr>
                <w:sz w:val="20"/>
                <w:szCs w:val="20"/>
                <w:color w:val="auto"/>
              </w:rPr>
            </w:pPr>
            <w:r>
              <w:rPr>
                <w:rFonts w:ascii="Arial" w:cs="Arial" w:eastAsia="Arial" w:hAnsi="Arial"/>
                <w:sz w:val="18"/>
                <w:szCs w:val="18"/>
                <w:color w:val="auto"/>
              </w:rPr>
              <w:t>1,659</w:t>
            </w:r>
          </w:p>
        </w:tc>
        <w:tc>
          <w:tcPr>
            <w:tcW w:w="2060" w:type="dxa"/>
            <w:vAlign w:val="bottom"/>
          </w:tcPr>
          <w:p>
            <w:pPr>
              <w:jc w:val="right"/>
              <w:ind w:right="375"/>
              <w:spacing w:after="0"/>
              <w:rPr>
                <w:sz w:val="20"/>
                <w:szCs w:val="20"/>
                <w:color w:val="auto"/>
              </w:rPr>
            </w:pPr>
            <w:r>
              <w:rPr>
                <w:rFonts w:ascii="Arial" w:cs="Arial" w:eastAsia="Arial" w:hAnsi="Arial"/>
                <w:sz w:val="18"/>
                <w:szCs w:val="18"/>
                <w:color w:val="auto"/>
              </w:rPr>
              <w:t>1,257</w:t>
            </w:r>
          </w:p>
        </w:tc>
        <w:tc>
          <w:tcPr>
            <w:tcW w:w="166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7,989</w:t>
            </w:r>
          </w:p>
        </w:tc>
        <w:tc>
          <w:tcPr>
            <w:tcW w:w="206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4,518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bl>
    <w:p>
      <w:pPr>
        <w:spacing w:after="0" w:line="20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During the year ended December 31, 2022, an impairment in the amount of €1,531 thousand (2021: €0, 2020: €0) was recognized for the capitalized development costs of the CONDOR MEO (refer to Note 17).</w:t>
      </w:r>
    </w:p>
    <w:p>
      <w:pPr>
        <w:spacing w:after="0" w:line="315"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Other Operating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operating costs can be broken down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80" w:type="dxa"/>
            <w:vAlign w:val="bottom"/>
          </w:tcPr>
          <w:p>
            <w:pPr>
              <w:jc w:val="right"/>
              <w:ind w:right="373"/>
              <w:spacing w:after="0"/>
              <w:rPr>
                <w:sz w:val="20"/>
                <w:szCs w:val="20"/>
                <w:color w:val="auto"/>
              </w:rPr>
            </w:pPr>
            <w:r>
              <w:rPr>
                <w:rFonts w:ascii="Arial" w:cs="Arial" w:eastAsia="Arial" w:hAnsi="Arial"/>
                <w:sz w:val="14"/>
                <w:szCs w:val="14"/>
                <w:color w:val="auto"/>
              </w:rPr>
              <w:t>For the years ended</w:t>
            </w:r>
          </w:p>
        </w:tc>
        <w:tc>
          <w:tcPr>
            <w:tcW w:w="1680" w:type="dxa"/>
            <w:vAlign w:val="bottom"/>
          </w:tcPr>
          <w:p>
            <w:pPr>
              <w:spacing w:after="0"/>
              <w:rPr>
                <w:sz w:val="14"/>
                <w:szCs w:val="14"/>
                <w:color w:val="auto"/>
              </w:rPr>
            </w:pPr>
          </w:p>
        </w:tc>
      </w:tr>
      <w:tr>
        <w:trPr>
          <w:trHeight w:val="167"/>
        </w:trPr>
        <w:tc>
          <w:tcPr>
            <w:tcW w:w="3380" w:type="dxa"/>
            <w:vAlign w:val="bottom"/>
          </w:tcPr>
          <w:p>
            <w:pPr>
              <w:spacing w:after="0"/>
              <w:rPr>
                <w:sz w:val="20"/>
                <w:szCs w:val="20"/>
                <w:color w:val="auto"/>
              </w:rPr>
            </w:pPr>
            <w:r>
              <w:rPr>
                <w:rFonts w:ascii="Arial" w:cs="Arial" w:eastAsia="Arial" w:hAnsi="Arial"/>
                <w:sz w:val="14"/>
                <w:szCs w:val="14"/>
                <w:color w:val="auto"/>
              </w:rPr>
              <w:t>€ thousand</w:t>
            </w:r>
          </w:p>
        </w:tc>
        <w:tc>
          <w:tcPr>
            <w:tcW w:w="2120" w:type="dxa"/>
            <w:vAlign w:val="bottom"/>
          </w:tcPr>
          <w:p>
            <w:pPr>
              <w:jc w:val="right"/>
              <w:ind w:right="372"/>
              <w:spacing w:after="0"/>
              <w:rPr>
                <w:sz w:val="20"/>
                <w:szCs w:val="20"/>
                <w:color w:val="auto"/>
              </w:rPr>
            </w:pPr>
            <w:r>
              <w:rPr>
                <w:rFonts w:ascii="Arial" w:cs="Arial" w:eastAsia="Arial" w:hAnsi="Arial"/>
                <w:sz w:val="14"/>
                <w:szCs w:val="14"/>
                <w:color w:val="auto"/>
              </w:rPr>
              <w:t>December 31, 2022</w:t>
            </w:r>
          </w:p>
        </w:tc>
        <w:tc>
          <w:tcPr>
            <w:tcW w:w="2080" w:type="dxa"/>
            <w:vAlign w:val="bottom"/>
          </w:tcPr>
          <w:p>
            <w:pPr>
              <w:jc w:val="right"/>
              <w:ind w:right="373"/>
              <w:spacing w:after="0"/>
              <w:rPr>
                <w:sz w:val="20"/>
                <w:szCs w:val="20"/>
                <w:color w:val="auto"/>
              </w:rPr>
            </w:pPr>
            <w:r>
              <w:rPr>
                <w:rFonts w:ascii="Arial" w:cs="Arial" w:eastAsia="Arial" w:hAnsi="Arial"/>
                <w:sz w:val="14"/>
                <w:szCs w:val="14"/>
                <w:color w:val="auto"/>
              </w:rPr>
              <w:t>December 31, 2021</w:t>
            </w:r>
          </w:p>
        </w:tc>
        <w:tc>
          <w:tcPr>
            <w:tcW w:w="168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Legal and consulting fees</w:t>
            </w:r>
          </w:p>
        </w:tc>
        <w:tc>
          <w:tcPr>
            <w:tcW w:w="21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6,955</w:t>
            </w:r>
          </w:p>
        </w:tc>
        <w:tc>
          <w:tcPr>
            <w:tcW w:w="20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2,477</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Insurance</w:t>
            </w:r>
          </w:p>
        </w:tc>
        <w:tc>
          <w:tcPr>
            <w:tcW w:w="2120" w:type="dxa"/>
            <w:vAlign w:val="bottom"/>
          </w:tcPr>
          <w:p>
            <w:pPr>
              <w:jc w:val="right"/>
              <w:ind w:right="372"/>
              <w:spacing w:after="0"/>
              <w:rPr>
                <w:sz w:val="20"/>
                <w:szCs w:val="20"/>
                <w:color w:val="auto"/>
              </w:rPr>
            </w:pPr>
            <w:r>
              <w:rPr>
                <w:rFonts w:ascii="Arial" w:cs="Arial" w:eastAsia="Arial" w:hAnsi="Arial"/>
                <w:sz w:val="18"/>
                <w:szCs w:val="18"/>
                <w:color w:val="auto"/>
              </w:rPr>
              <w:t>4,855</w:t>
            </w:r>
          </w:p>
        </w:tc>
        <w:tc>
          <w:tcPr>
            <w:tcW w:w="2080" w:type="dxa"/>
            <w:vAlign w:val="bottom"/>
          </w:tcPr>
          <w:p>
            <w:pPr>
              <w:jc w:val="right"/>
              <w:ind w:right="373"/>
              <w:spacing w:after="0"/>
              <w:rPr>
                <w:sz w:val="20"/>
                <w:szCs w:val="20"/>
                <w:color w:val="auto"/>
              </w:rPr>
            </w:pPr>
            <w:r>
              <w:rPr>
                <w:rFonts w:ascii="Arial" w:cs="Arial" w:eastAsia="Arial" w:hAnsi="Arial"/>
                <w:sz w:val="18"/>
                <w:szCs w:val="18"/>
                <w:color w:val="auto"/>
              </w:rPr>
              <w:t>803</w:t>
            </w:r>
          </w:p>
        </w:tc>
        <w:tc>
          <w:tcPr>
            <w:tcW w:w="1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Office and IT costs</w:t>
            </w:r>
          </w:p>
        </w:tc>
        <w:tc>
          <w:tcPr>
            <w:tcW w:w="21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4,236</w:t>
            </w:r>
          </w:p>
        </w:tc>
        <w:tc>
          <w:tcPr>
            <w:tcW w:w="20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3,282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Selling and travel costs</w:t>
            </w:r>
          </w:p>
        </w:tc>
        <w:tc>
          <w:tcPr>
            <w:tcW w:w="2120" w:type="dxa"/>
            <w:vAlign w:val="bottom"/>
          </w:tcPr>
          <w:p>
            <w:pPr>
              <w:jc w:val="right"/>
              <w:ind w:right="372"/>
              <w:spacing w:after="0"/>
              <w:rPr>
                <w:sz w:val="20"/>
                <w:szCs w:val="20"/>
                <w:color w:val="auto"/>
              </w:rPr>
            </w:pPr>
            <w:r>
              <w:rPr>
                <w:rFonts w:ascii="Arial" w:cs="Arial" w:eastAsia="Arial" w:hAnsi="Arial"/>
                <w:sz w:val="18"/>
                <w:szCs w:val="18"/>
                <w:color w:val="auto"/>
              </w:rPr>
              <w:t>2,279</w:t>
            </w:r>
          </w:p>
        </w:tc>
        <w:tc>
          <w:tcPr>
            <w:tcW w:w="2080" w:type="dxa"/>
            <w:vAlign w:val="bottom"/>
          </w:tcPr>
          <w:p>
            <w:pPr>
              <w:jc w:val="right"/>
              <w:ind w:right="373"/>
              <w:spacing w:after="0"/>
              <w:rPr>
                <w:sz w:val="20"/>
                <w:szCs w:val="20"/>
                <w:color w:val="auto"/>
              </w:rPr>
            </w:pPr>
            <w:r>
              <w:rPr>
                <w:rFonts w:ascii="Arial" w:cs="Arial" w:eastAsia="Arial" w:hAnsi="Arial"/>
                <w:sz w:val="18"/>
                <w:szCs w:val="18"/>
                <w:color w:val="auto"/>
              </w:rPr>
              <w:t>1,638</w:t>
            </w:r>
          </w:p>
        </w:tc>
        <w:tc>
          <w:tcPr>
            <w:tcW w:w="16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business supplies, equipment and</w:t>
            </w:r>
          </w:p>
        </w:tc>
        <w:tc>
          <w:tcPr>
            <w:tcW w:w="2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1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1,835</w:t>
            </w:r>
          </w:p>
        </w:tc>
        <w:tc>
          <w:tcPr>
            <w:tcW w:w="20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1,396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Incidental rental costs and maintenance</w:t>
            </w:r>
          </w:p>
        </w:tc>
        <w:tc>
          <w:tcPr>
            <w:tcW w:w="2120" w:type="dxa"/>
            <w:vAlign w:val="bottom"/>
          </w:tcPr>
          <w:p>
            <w:pPr>
              <w:jc w:val="right"/>
              <w:ind w:right="372"/>
              <w:spacing w:after="0"/>
              <w:rPr>
                <w:sz w:val="20"/>
                <w:szCs w:val="20"/>
                <w:color w:val="auto"/>
              </w:rPr>
            </w:pPr>
            <w:r>
              <w:rPr>
                <w:rFonts w:ascii="Arial" w:cs="Arial" w:eastAsia="Arial" w:hAnsi="Arial"/>
                <w:sz w:val="18"/>
                <w:szCs w:val="18"/>
                <w:color w:val="auto"/>
              </w:rPr>
              <w:t>814</w:t>
            </w:r>
          </w:p>
        </w:tc>
        <w:tc>
          <w:tcPr>
            <w:tcW w:w="2080" w:type="dxa"/>
            <w:vAlign w:val="bottom"/>
          </w:tcPr>
          <w:p>
            <w:pPr>
              <w:jc w:val="right"/>
              <w:ind w:right="373"/>
              <w:spacing w:after="0"/>
              <w:rPr>
                <w:sz w:val="20"/>
                <w:szCs w:val="20"/>
                <w:color w:val="auto"/>
              </w:rPr>
            </w:pPr>
            <w:r>
              <w:rPr>
                <w:rFonts w:ascii="Arial" w:cs="Arial" w:eastAsia="Arial" w:hAnsi="Arial"/>
                <w:sz w:val="18"/>
                <w:szCs w:val="18"/>
                <w:color w:val="auto"/>
              </w:rPr>
              <w:t>696</w:t>
            </w:r>
          </w:p>
        </w:tc>
        <w:tc>
          <w:tcPr>
            <w:tcW w:w="168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Onerous contracts</w:t>
            </w:r>
          </w:p>
        </w:tc>
        <w:tc>
          <w:tcPr>
            <w:tcW w:w="21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w:t>
            </w:r>
          </w:p>
        </w:tc>
        <w:tc>
          <w:tcPr>
            <w:tcW w:w="20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240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costs</w:t>
            </w:r>
          </w:p>
        </w:tc>
        <w:tc>
          <w:tcPr>
            <w:tcW w:w="2120" w:type="dxa"/>
            <w:vAlign w:val="bottom"/>
          </w:tcPr>
          <w:p>
            <w:pPr>
              <w:jc w:val="right"/>
              <w:ind w:right="372"/>
              <w:spacing w:after="0"/>
              <w:rPr>
                <w:sz w:val="20"/>
                <w:szCs w:val="20"/>
                <w:color w:val="auto"/>
              </w:rPr>
            </w:pPr>
            <w:r>
              <w:rPr>
                <w:rFonts w:ascii="Arial" w:cs="Arial" w:eastAsia="Arial" w:hAnsi="Arial"/>
                <w:sz w:val="18"/>
                <w:szCs w:val="18"/>
                <w:color w:val="auto"/>
              </w:rPr>
              <w:t>1,108</w:t>
            </w:r>
          </w:p>
        </w:tc>
        <w:tc>
          <w:tcPr>
            <w:tcW w:w="2080" w:type="dxa"/>
            <w:vAlign w:val="bottom"/>
          </w:tcPr>
          <w:p>
            <w:pPr>
              <w:jc w:val="right"/>
              <w:ind w:right="373"/>
              <w:spacing w:after="0"/>
              <w:rPr>
                <w:sz w:val="20"/>
                <w:szCs w:val="20"/>
                <w:color w:val="auto"/>
              </w:rPr>
            </w:pPr>
            <w:r>
              <w:rPr>
                <w:rFonts w:ascii="Arial" w:cs="Arial" w:eastAsia="Arial" w:hAnsi="Arial"/>
                <w:sz w:val="18"/>
                <w:szCs w:val="18"/>
                <w:color w:val="auto"/>
              </w:rPr>
              <w:t>1,298</w:t>
            </w:r>
          </w:p>
        </w:tc>
        <w:tc>
          <w:tcPr>
            <w:tcW w:w="168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22,082</w:t>
            </w:r>
          </w:p>
        </w:tc>
        <w:tc>
          <w:tcPr>
            <w:tcW w:w="20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11,830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r>
    </w:tbl>
    <w:p>
      <w:pPr>
        <w:spacing w:after="0" w:line="346"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Inventories of Finished Goods and Work in Progress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increase in inventories of finished goods and work in progress primarily results from the SPACE terminals, and HAWK terminals currently in the production phase. Changes in inventories are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40" w:type="dxa"/>
            <w:vAlign w:val="bottom"/>
          </w:tcPr>
          <w:p>
            <w:pPr>
              <w:jc w:val="right"/>
              <w:ind w:right="356"/>
              <w:spacing w:after="0"/>
              <w:rPr>
                <w:sz w:val="20"/>
                <w:szCs w:val="20"/>
                <w:color w:val="auto"/>
              </w:rPr>
            </w:pPr>
            <w:r>
              <w:rPr>
                <w:rFonts w:ascii="Arial" w:cs="Arial" w:eastAsia="Arial" w:hAnsi="Arial"/>
                <w:sz w:val="14"/>
                <w:szCs w:val="14"/>
                <w:color w:val="auto"/>
              </w:rPr>
              <w:t>For the years ended</w:t>
            </w:r>
          </w:p>
        </w:tc>
        <w:tc>
          <w:tcPr>
            <w:tcW w:w="1660" w:type="dxa"/>
            <w:vAlign w:val="bottom"/>
          </w:tcPr>
          <w:p>
            <w:pPr>
              <w:spacing w:after="0"/>
              <w:rPr>
                <w:sz w:val="14"/>
                <w:szCs w:val="14"/>
                <w:color w:val="auto"/>
              </w:rPr>
            </w:pPr>
          </w:p>
        </w:tc>
      </w:tr>
      <w:tr>
        <w:trPr>
          <w:trHeight w:val="167"/>
        </w:trPr>
        <w:tc>
          <w:tcPr>
            <w:tcW w:w="4400" w:type="dxa"/>
            <w:vAlign w:val="bottom"/>
          </w:tcPr>
          <w:p>
            <w:pPr>
              <w:spacing w:after="0"/>
              <w:rPr>
                <w:sz w:val="20"/>
                <w:szCs w:val="20"/>
                <w:color w:val="auto"/>
              </w:rPr>
            </w:pPr>
            <w:r>
              <w:rPr>
                <w:rFonts w:ascii="Arial" w:cs="Arial" w:eastAsia="Arial" w:hAnsi="Arial"/>
                <w:sz w:val="14"/>
                <w:szCs w:val="14"/>
                <w:color w:val="auto"/>
              </w:rPr>
              <w:t>€ thousand</w:t>
            </w:r>
          </w:p>
        </w:tc>
        <w:tc>
          <w:tcPr>
            <w:tcW w:w="2920" w:type="dxa"/>
            <w:vAlign w:val="bottom"/>
          </w:tcPr>
          <w:p>
            <w:pPr>
              <w:jc w:val="right"/>
              <w:ind w:right="374"/>
              <w:spacing w:after="0"/>
              <w:rPr>
                <w:sz w:val="20"/>
                <w:szCs w:val="20"/>
                <w:color w:val="auto"/>
              </w:rPr>
            </w:pPr>
            <w:r>
              <w:rPr>
                <w:rFonts w:ascii="Arial" w:cs="Arial" w:eastAsia="Arial" w:hAnsi="Arial"/>
                <w:sz w:val="14"/>
                <w:szCs w:val="14"/>
                <w:color w:val="auto"/>
              </w:rPr>
              <w:t>December 31, 2022</w:t>
            </w:r>
          </w:p>
        </w:tc>
        <w:tc>
          <w:tcPr>
            <w:tcW w:w="2040" w:type="dxa"/>
            <w:vAlign w:val="bottom"/>
          </w:tcPr>
          <w:p>
            <w:pPr>
              <w:jc w:val="right"/>
              <w:ind w:right="376"/>
              <w:spacing w:after="0"/>
              <w:rPr>
                <w:sz w:val="20"/>
                <w:szCs w:val="20"/>
                <w:color w:val="auto"/>
              </w:rPr>
            </w:pPr>
            <w:r>
              <w:rPr>
                <w:rFonts w:ascii="Arial" w:cs="Arial" w:eastAsia="Arial" w:hAnsi="Arial"/>
                <w:sz w:val="14"/>
                <w:szCs w:val="14"/>
                <w:color w:val="auto"/>
              </w:rPr>
              <w:t>December 31, 2021</w:t>
            </w:r>
          </w:p>
        </w:tc>
        <w:tc>
          <w:tcPr>
            <w:tcW w:w="166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 of work in progress</w:t>
            </w:r>
          </w:p>
        </w:tc>
        <w:tc>
          <w:tcPr>
            <w:tcW w:w="29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2,100</w:t>
            </w:r>
          </w:p>
        </w:tc>
        <w:tc>
          <w:tcPr>
            <w:tcW w:w="2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414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Increase in inventories of finished goods</w:t>
            </w:r>
          </w:p>
        </w:tc>
        <w:tc>
          <w:tcPr>
            <w:tcW w:w="2920" w:type="dxa"/>
            <w:vAlign w:val="bottom"/>
          </w:tcPr>
          <w:p>
            <w:pPr>
              <w:jc w:val="right"/>
              <w:ind w:right="374"/>
              <w:spacing w:after="0"/>
              <w:rPr>
                <w:sz w:val="20"/>
                <w:szCs w:val="20"/>
                <w:color w:val="auto"/>
              </w:rPr>
            </w:pPr>
            <w:r>
              <w:rPr>
                <w:rFonts w:ascii="Arial" w:cs="Arial" w:eastAsia="Arial" w:hAnsi="Arial"/>
                <w:sz w:val="18"/>
                <w:szCs w:val="18"/>
                <w:color w:val="auto"/>
              </w:rPr>
              <w:t>542</w:t>
            </w:r>
          </w:p>
        </w:tc>
        <w:tc>
          <w:tcPr>
            <w:tcW w:w="2040" w:type="dxa"/>
            <w:vAlign w:val="bottom"/>
          </w:tcPr>
          <w:p>
            <w:pPr>
              <w:jc w:val="right"/>
              <w:ind w:right="376"/>
              <w:spacing w:after="0"/>
              <w:rPr>
                <w:sz w:val="20"/>
                <w:szCs w:val="20"/>
                <w:color w:val="auto"/>
              </w:rPr>
            </w:pPr>
            <w:r>
              <w:rPr>
                <w:rFonts w:ascii="Arial" w:cs="Arial" w:eastAsia="Arial" w:hAnsi="Arial"/>
                <w:sz w:val="18"/>
                <w:szCs w:val="18"/>
                <w:color w:val="auto"/>
              </w:rPr>
              <w:t>616</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Write-downs</w:t>
            </w:r>
          </w:p>
        </w:tc>
        <w:tc>
          <w:tcPr>
            <w:tcW w:w="29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-1,882</w:t>
            </w:r>
          </w:p>
        </w:tc>
        <w:tc>
          <w:tcPr>
            <w:tcW w:w="2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-462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jc w:val="right"/>
              <w:ind w:right="374"/>
              <w:spacing w:after="0"/>
              <w:rPr>
                <w:sz w:val="20"/>
                <w:szCs w:val="20"/>
                <w:color w:val="auto"/>
              </w:rPr>
            </w:pPr>
            <w:r>
              <w:rPr>
                <w:rFonts w:ascii="Arial" w:cs="Arial" w:eastAsia="Arial" w:hAnsi="Arial"/>
                <w:sz w:val="18"/>
                <w:szCs w:val="18"/>
                <w:color w:val="auto"/>
              </w:rPr>
              <w:t>760</w:t>
            </w:r>
          </w:p>
        </w:tc>
        <w:tc>
          <w:tcPr>
            <w:tcW w:w="2040" w:type="dxa"/>
            <w:vAlign w:val="bottom"/>
          </w:tcPr>
          <w:p>
            <w:pPr>
              <w:jc w:val="right"/>
              <w:ind w:right="376"/>
              <w:spacing w:after="0"/>
              <w:rPr>
                <w:sz w:val="20"/>
                <w:szCs w:val="20"/>
                <w:color w:val="auto"/>
              </w:rPr>
            </w:pPr>
            <w:r>
              <w:rPr>
                <w:rFonts w:ascii="Arial" w:cs="Arial" w:eastAsia="Arial" w:hAnsi="Arial"/>
                <w:sz w:val="18"/>
                <w:szCs w:val="18"/>
                <w:color w:val="auto"/>
              </w:rPr>
              <w:t>568</w:t>
            </w:r>
          </w:p>
        </w:tc>
        <w:tc>
          <w:tcPr>
            <w:tcW w:w="1660" w:type="dxa"/>
            <w:vAlign w:val="bottom"/>
          </w:tcPr>
          <w:p>
            <w:pPr>
              <w:jc w:val="right"/>
              <w:spacing w:after="0"/>
              <w:rPr>
                <w:sz w:val="20"/>
                <w:szCs w:val="20"/>
                <w:color w:val="auto"/>
              </w:rPr>
            </w:pPr>
            <w:r>
              <w:rPr>
                <w:rFonts w:ascii="Arial" w:cs="Arial" w:eastAsia="Arial" w:hAnsi="Arial"/>
                <w:sz w:val="18"/>
                <w:szCs w:val="18"/>
                <w:color w:val="auto"/>
              </w:rPr>
              <w:t>637</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write-downs refer to CONDOR Mk2 and Mk1 terminals that were written down to their net realizable value.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86" w:right="4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Own Work Capitalized</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40" w:type="dxa"/>
            <w:vAlign w:val="bottom"/>
          </w:tcPr>
          <w:p>
            <w:pPr>
              <w:jc w:val="right"/>
              <w:ind w:right="376"/>
              <w:spacing w:after="0"/>
              <w:rPr>
                <w:sz w:val="20"/>
                <w:szCs w:val="20"/>
                <w:color w:val="auto"/>
              </w:rPr>
            </w:pPr>
            <w:r>
              <w:rPr>
                <w:rFonts w:ascii="Arial" w:cs="Arial" w:eastAsia="Arial" w:hAnsi="Arial"/>
                <w:sz w:val="14"/>
                <w:szCs w:val="14"/>
                <w:color w:val="auto"/>
              </w:rPr>
              <w:t>For the years ended</w:t>
            </w:r>
          </w:p>
        </w:tc>
        <w:tc>
          <w:tcPr>
            <w:tcW w:w="1660" w:type="dxa"/>
            <w:vAlign w:val="bottom"/>
          </w:tcPr>
          <w:p>
            <w:pPr>
              <w:spacing w:after="0"/>
              <w:rPr>
                <w:sz w:val="14"/>
                <w:szCs w:val="14"/>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 thousand</w:t>
            </w:r>
          </w:p>
        </w:tc>
        <w:tc>
          <w:tcPr>
            <w:tcW w:w="2040" w:type="dxa"/>
            <w:vAlign w:val="bottom"/>
          </w:tcPr>
          <w:p>
            <w:pPr>
              <w:jc w:val="right"/>
              <w:ind w:right="374"/>
              <w:spacing w:after="0"/>
              <w:rPr>
                <w:sz w:val="20"/>
                <w:szCs w:val="20"/>
                <w:color w:val="auto"/>
              </w:rPr>
            </w:pPr>
            <w:r>
              <w:rPr>
                <w:rFonts w:ascii="Arial" w:cs="Arial" w:eastAsia="Arial" w:hAnsi="Arial"/>
                <w:sz w:val="14"/>
                <w:szCs w:val="14"/>
                <w:color w:val="auto"/>
              </w:rPr>
              <w:t>December 31, 2022</w:t>
            </w:r>
          </w:p>
        </w:tc>
        <w:tc>
          <w:tcPr>
            <w:tcW w:w="2040" w:type="dxa"/>
            <w:vAlign w:val="bottom"/>
          </w:tcPr>
          <w:p>
            <w:pPr>
              <w:jc w:val="right"/>
              <w:ind w:right="376"/>
              <w:spacing w:after="0"/>
              <w:rPr>
                <w:sz w:val="20"/>
                <w:szCs w:val="20"/>
                <w:color w:val="auto"/>
              </w:rPr>
            </w:pPr>
            <w:r>
              <w:rPr>
                <w:rFonts w:ascii="Arial" w:cs="Arial" w:eastAsia="Arial" w:hAnsi="Arial"/>
                <w:sz w:val="14"/>
                <w:szCs w:val="14"/>
                <w:color w:val="auto"/>
              </w:rPr>
              <w:t>December 31, 2021</w:t>
            </w:r>
          </w:p>
        </w:tc>
        <w:tc>
          <w:tcPr>
            <w:tcW w:w="166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materials</w:t>
            </w:r>
          </w:p>
        </w:tc>
        <w:tc>
          <w:tcPr>
            <w:tcW w:w="2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689</w:t>
            </w:r>
          </w:p>
        </w:tc>
        <w:tc>
          <w:tcPr>
            <w:tcW w:w="2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1,995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Personnel expenses</w:t>
            </w:r>
          </w:p>
        </w:tc>
        <w:tc>
          <w:tcPr>
            <w:tcW w:w="2040" w:type="dxa"/>
            <w:vAlign w:val="bottom"/>
          </w:tcPr>
          <w:p>
            <w:pPr>
              <w:jc w:val="right"/>
              <w:ind w:right="374"/>
              <w:spacing w:after="0"/>
              <w:rPr>
                <w:sz w:val="20"/>
                <w:szCs w:val="20"/>
                <w:color w:val="auto"/>
              </w:rPr>
            </w:pPr>
            <w:r>
              <w:rPr>
                <w:rFonts w:ascii="Arial" w:cs="Arial" w:eastAsia="Arial" w:hAnsi="Arial"/>
                <w:sz w:val="18"/>
                <w:szCs w:val="18"/>
                <w:color w:val="auto"/>
              </w:rPr>
              <w:t>665</w:t>
            </w:r>
          </w:p>
        </w:tc>
        <w:tc>
          <w:tcPr>
            <w:tcW w:w="2040" w:type="dxa"/>
            <w:vAlign w:val="bottom"/>
          </w:tcPr>
          <w:p>
            <w:pPr>
              <w:jc w:val="right"/>
              <w:ind w:right="376"/>
              <w:spacing w:after="0"/>
              <w:rPr>
                <w:sz w:val="20"/>
                <w:szCs w:val="20"/>
                <w:color w:val="auto"/>
              </w:rPr>
            </w:pPr>
            <w:r>
              <w:rPr>
                <w:rFonts w:ascii="Arial" w:cs="Arial" w:eastAsia="Arial" w:hAnsi="Arial"/>
                <w:sz w:val="18"/>
                <w:szCs w:val="18"/>
                <w:color w:val="auto"/>
              </w:rPr>
              <w:t>1,906</w:t>
            </w:r>
          </w:p>
        </w:tc>
        <w:tc>
          <w:tcPr>
            <w:tcW w:w="1660" w:type="dxa"/>
            <w:vAlign w:val="bottom"/>
          </w:tcPr>
          <w:p>
            <w:pPr>
              <w:jc w:val="right"/>
              <w:spacing w:after="0"/>
              <w:rPr>
                <w:sz w:val="20"/>
                <w:szCs w:val="20"/>
                <w:color w:val="auto"/>
              </w:rPr>
            </w:pPr>
            <w:r>
              <w:rPr>
                <w:rFonts w:ascii="Arial" w:cs="Arial" w:eastAsia="Arial" w:hAnsi="Arial"/>
                <w:sz w:val="18"/>
                <w:szCs w:val="18"/>
                <w:color w:val="auto"/>
              </w:rPr>
              <w:t>3,921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112</w:t>
            </w:r>
          </w:p>
        </w:tc>
        <w:tc>
          <w:tcPr>
            <w:tcW w:w="2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287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040" w:type="dxa"/>
            <w:vAlign w:val="bottom"/>
          </w:tcPr>
          <w:p>
            <w:pPr>
              <w:jc w:val="right"/>
              <w:ind w:right="374"/>
              <w:spacing w:after="0"/>
              <w:rPr>
                <w:sz w:val="20"/>
                <w:szCs w:val="20"/>
                <w:color w:val="auto"/>
              </w:rPr>
            </w:pPr>
            <w:r>
              <w:rPr>
                <w:rFonts w:ascii="Arial" w:cs="Arial" w:eastAsia="Arial" w:hAnsi="Arial"/>
                <w:sz w:val="18"/>
                <w:szCs w:val="18"/>
                <w:color w:val="auto"/>
              </w:rPr>
              <w:t>101</w:t>
            </w:r>
          </w:p>
        </w:tc>
        <w:tc>
          <w:tcPr>
            <w:tcW w:w="2040" w:type="dxa"/>
            <w:vAlign w:val="bottom"/>
          </w:tcPr>
          <w:p>
            <w:pPr>
              <w:jc w:val="right"/>
              <w:ind w:right="376"/>
              <w:spacing w:after="0"/>
              <w:rPr>
                <w:sz w:val="20"/>
                <w:szCs w:val="20"/>
                <w:color w:val="auto"/>
              </w:rPr>
            </w:pPr>
            <w:r>
              <w:rPr>
                <w:rFonts w:ascii="Arial" w:cs="Arial" w:eastAsia="Arial" w:hAnsi="Arial"/>
                <w:sz w:val="18"/>
                <w:szCs w:val="18"/>
                <w:color w:val="auto"/>
              </w:rPr>
              <w:t>427</w:t>
            </w:r>
          </w:p>
        </w:tc>
        <w:tc>
          <w:tcPr>
            <w:tcW w:w="166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1,567</w:t>
            </w:r>
          </w:p>
        </w:tc>
        <w:tc>
          <w:tcPr>
            <w:tcW w:w="2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4,615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r>
      <w:tr>
        <w:trPr>
          <w:trHeight w:val="432"/>
        </w:trPr>
        <w:tc>
          <w:tcPr>
            <w:tcW w:w="5280" w:type="dxa"/>
            <w:vAlign w:val="bottom"/>
          </w:tcPr>
          <w:p>
            <w:pPr>
              <w:spacing w:after="0"/>
              <w:rPr>
                <w:sz w:val="20"/>
                <w:szCs w:val="20"/>
                <w:color w:val="auto"/>
              </w:rPr>
            </w:pPr>
            <w:r>
              <w:rPr>
                <w:rFonts w:ascii="Arial" w:cs="Arial" w:eastAsia="Arial" w:hAnsi="Arial"/>
                <w:sz w:val="18"/>
                <w:szCs w:val="18"/>
                <w:color w:val="auto"/>
              </w:rPr>
              <w:t>The following table shows the breakdown of own work capitalized:</w:t>
            </w: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3"/>
        </w:trPr>
        <w:tc>
          <w:tcPr>
            <w:tcW w:w="5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40" w:type="dxa"/>
            <w:vAlign w:val="bottom"/>
          </w:tcPr>
          <w:p>
            <w:pPr>
              <w:jc w:val="right"/>
              <w:ind w:right="376"/>
              <w:spacing w:after="0"/>
              <w:rPr>
                <w:sz w:val="20"/>
                <w:szCs w:val="20"/>
                <w:color w:val="auto"/>
              </w:rPr>
            </w:pPr>
            <w:r>
              <w:rPr>
                <w:rFonts w:ascii="Arial" w:cs="Arial" w:eastAsia="Arial" w:hAnsi="Arial"/>
                <w:sz w:val="14"/>
                <w:szCs w:val="14"/>
                <w:color w:val="auto"/>
              </w:rPr>
              <w:t>For the years ended</w:t>
            </w:r>
          </w:p>
        </w:tc>
        <w:tc>
          <w:tcPr>
            <w:tcW w:w="1660" w:type="dxa"/>
            <w:vAlign w:val="bottom"/>
          </w:tcPr>
          <w:p>
            <w:pPr>
              <w:spacing w:after="0"/>
              <w:rPr>
                <w:sz w:val="24"/>
                <w:szCs w:val="24"/>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 thousand</w:t>
            </w:r>
          </w:p>
        </w:tc>
        <w:tc>
          <w:tcPr>
            <w:tcW w:w="2040" w:type="dxa"/>
            <w:vAlign w:val="bottom"/>
          </w:tcPr>
          <w:p>
            <w:pPr>
              <w:jc w:val="right"/>
              <w:ind w:right="374"/>
              <w:spacing w:after="0"/>
              <w:rPr>
                <w:sz w:val="20"/>
                <w:szCs w:val="20"/>
                <w:color w:val="auto"/>
              </w:rPr>
            </w:pPr>
            <w:r>
              <w:rPr>
                <w:rFonts w:ascii="Arial" w:cs="Arial" w:eastAsia="Arial" w:hAnsi="Arial"/>
                <w:sz w:val="14"/>
                <w:szCs w:val="14"/>
                <w:color w:val="auto"/>
              </w:rPr>
              <w:t>December 31, 2022</w:t>
            </w:r>
          </w:p>
        </w:tc>
        <w:tc>
          <w:tcPr>
            <w:tcW w:w="2040" w:type="dxa"/>
            <w:vAlign w:val="bottom"/>
          </w:tcPr>
          <w:p>
            <w:pPr>
              <w:jc w:val="right"/>
              <w:ind w:right="376"/>
              <w:spacing w:after="0"/>
              <w:rPr>
                <w:sz w:val="20"/>
                <w:szCs w:val="20"/>
                <w:color w:val="auto"/>
              </w:rPr>
            </w:pPr>
            <w:r>
              <w:rPr>
                <w:rFonts w:ascii="Arial" w:cs="Arial" w:eastAsia="Arial" w:hAnsi="Arial"/>
                <w:sz w:val="14"/>
                <w:szCs w:val="14"/>
                <w:color w:val="auto"/>
              </w:rPr>
              <w:t>December 31, 2021</w:t>
            </w:r>
          </w:p>
        </w:tc>
        <w:tc>
          <w:tcPr>
            <w:tcW w:w="166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2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968</w:t>
            </w:r>
          </w:p>
        </w:tc>
        <w:tc>
          <w:tcPr>
            <w:tcW w:w="2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2,845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40" w:type="dxa"/>
            <w:vAlign w:val="bottom"/>
          </w:tcPr>
          <w:p>
            <w:pPr>
              <w:jc w:val="right"/>
              <w:ind w:right="374"/>
              <w:spacing w:after="0"/>
              <w:rPr>
                <w:sz w:val="20"/>
                <w:szCs w:val="20"/>
                <w:color w:val="auto"/>
              </w:rPr>
            </w:pPr>
            <w:r>
              <w:rPr>
                <w:rFonts w:ascii="Arial" w:cs="Arial" w:eastAsia="Arial" w:hAnsi="Arial"/>
                <w:sz w:val="18"/>
                <w:szCs w:val="18"/>
                <w:color w:val="auto"/>
              </w:rPr>
              <w:t>599</w:t>
            </w:r>
          </w:p>
        </w:tc>
        <w:tc>
          <w:tcPr>
            <w:tcW w:w="2040" w:type="dxa"/>
            <w:vAlign w:val="bottom"/>
          </w:tcPr>
          <w:p>
            <w:pPr>
              <w:jc w:val="right"/>
              <w:ind w:right="376"/>
              <w:spacing w:after="0"/>
              <w:rPr>
                <w:sz w:val="20"/>
                <w:szCs w:val="20"/>
                <w:color w:val="auto"/>
              </w:rPr>
            </w:pPr>
            <w:r>
              <w:rPr>
                <w:rFonts w:ascii="Arial" w:cs="Arial" w:eastAsia="Arial" w:hAnsi="Arial"/>
                <w:sz w:val="18"/>
                <w:szCs w:val="18"/>
                <w:color w:val="auto"/>
              </w:rPr>
              <w:t>1,770</w:t>
            </w:r>
          </w:p>
        </w:tc>
        <w:tc>
          <w:tcPr>
            <w:tcW w:w="166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1,567</w:t>
            </w:r>
          </w:p>
        </w:tc>
        <w:tc>
          <w:tcPr>
            <w:tcW w:w="2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4,615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14.</w:t>
        <w:tab/>
        <w:t>Net Finance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financial result is calculated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80" w:type="dxa"/>
            <w:vAlign w:val="bottom"/>
          </w:tcPr>
          <w:p>
            <w:pPr>
              <w:jc w:val="right"/>
              <w:ind w:right="334"/>
              <w:spacing w:after="0"/>
              <w:rPr>
                <w:sz w:val="20"/>
                <w:szCs w:val="20"/>
                <w:color w:val="auto"/>
              </w:rPr>
            </w:pPr>
            <w:r>
              <w:rPr>
                <w:rFonts w:ascii="Arial" w:cs="Arial" w:eastAsia="Arial" w:hAnsi="Arial"/>
                <w:sz w:val="14"/>
                <w:szCs w:val="14"/>
                <w:color w:val="auto"/>
              </w:rPr>
              <w:t>For the years ended</w:t>
            </w:r>
          </w:p>
        </w:tc>
        <w:tc>
          <w:tcPr>
            <w:tcW w:w="1620" w:type="dxa"/>
            <w:vAlign w:val="bottom"/>
          </w:tcPr>
          <w:p>
            <w:pPr>
              <w:spacing w:after="0"/>
              <w:rPr>
                <w:sz w:val="14"/>
                <w:szCs w:val="14"/>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 thousand</w:t>
            </w:r>
          </w:p>
        </w:tc>
        <w:tc>
          <w:tcPr>
            <w:tcW w:w="2500" w:type="dxa"/>
            <w:vAlign w:val="bottom"/>
          </w:tcPr>
          <w:p>
            <w:pPr>
              <w:jc w:val="right"/>
              <w:ind w:right="352"/>
              <w:spacing w:after="0"/>
              <w:rPr>
                <w:sz w:val="20"/>
                <w:szCs w:val="20"/>
                <w:color w:val="auto"/>
              </w:rPr>
            </w:pPr>
            <w:r>
              <w:rPr>
                <w:rFonts w:ascii="Arial" w:cs="Arial" w:eastAsia="Arial" w:hAnsi="Arial"/>
                <w:sz w:val="14"/>
                <w:szCs w:val="14"/>
                <w:color w:val="auto"/>
              </w:rPr>
              <w:t>December 31, 2022</w:t>
            </w:r>
          </w:p>
        </w:tc>
        <w:tc>
          <w:tcPr>
            <w:tcW w:w="1980" w:type="dxa"/>
            <w:vAlign w:val="bottom"/>
          </w:tcPr>
          <w:p>
            <w:pPr>
              <w:jc w:val="right"/>
              <w:ind w:right="334"/>
              <w:spacing w:after="0"/>
              <w:rPr>
                <w:sz w:val="20"/>
                <w:szCs w:val="20"/>
                <w:color w:val="auto"/>
              </w:rPr>
            </w:pPr>
            <w:r>
              <w:rPr>
                <w:rFonts w:ascii="Arial" w:cs="Arial" w:eastAsia="Arial" w:hAnsi="Arial"/>
                <w:sz w:val="14"/>
                <w:szCs w:val="14"/>
                <w:color w:val="auto"/>
              </w:rPr>
              <w:t>December 31, 2021</w:t>
            </w:r>
          </w:p>
        </w:tc>
        <w:tc>
          <w:tcPr>
            <w:tcW w:w="162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5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interest income from loans and receivables</w:t>
            </w:r>
          </w:p>
        </w:tc>
        <w:tc>
          <w:tcPr>
            <w:tcW w:w="250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1980" w:type="dxa"/>
            <w:vAlign w:val="bottom"/>
          </w:tcPr>
          <w:p>
            <w:pPr>
              <w:jc w:val="right"/>
              <w:ind w:right="334"/>
              <w:spacing w:after="0"/>
              <w:rPr>
                <w:sz w:val="20"/>
                <w:szCs w:val="20"/>
                <w:color w:val="auto"/>
              </w:rPr>
            </w:pPr>
            <w:r>
              <w:rPr>
                <w:rFonts w:ascii="Arial" w:cs="Arial" w:eastAsia="Arial" w:hAnsi="Arial"/>
                <w:sz w:val="18"/>
                <w:szCs w:val="18"/>
                <w:color w:val="auto"/>
              </w:rPr>
              <w:t>0</w:t>
            </w: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0</w:t>
            </w:r>
          </w:p>
        </w:tc>
        <w:tc>
          <w:tcPr>
            <w:tcW w:w="19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FINANCIAL EXPENSES</w:t>
            </w:r>
          </w:p>
        </w:tc>
        <w:tc>
          <w:tcPr>
            <w:tcW w:w="2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expenses on loans</w:t>
            </w:r>
          </w:p>
        </w:tc>
        <w:tc>
          <w:tcPr>
            <w:tcW w:w="25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-2,403</w:t>
            </w:r>
          </w:p>
        </w:tc>
        <w:tc>
          <w:tcPr>
            <w:tcW w:w="1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-2,196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on lease obligations</w:t>
            </w:r>
          </w:p>
        </w:tc>
        <w:tc>
          <w:tcPr>
            <w:tcW w:w="2500" w:type="dxa"/>
            <w:vAlign w:val="bottom"/>
          </w:tcPr>
          <w:p>
            <w:pPr>
              <w:jc w:val="right"/>
              <w:ind w:right="352"/>
              <w:spacing w:after="0"/>
              <w:rPr>
                <w:sz w:val="20"/>
                <w:szCs w:val="20"/>
                <w:color w:val="auto"/>
              </w:rPr>
            </w:pPr>
            <w:r>
              <w:rPr>
                <w:rFonts w:ascii="Arial" w:cs="Arial" w:eastAsia="Arial" w:hAnsi="Arial"/>
                <w:sz w:val="18"/>
                <w:szCs w:val="18"/>
                <w:color w:val="auto"/>
              </w:rPr>
              <w:t>-229</w:t>
            </w:r>
          </w:p>
        </w:tc>
        <w:tc>
          <w:tcPr>
            <w:tcW w:w="1980" w:type="dxa"/>
            <w:vAlign w:val="bottom"/>
          </w:tcPr>
          <w:p>
            <w:pPr>
              <w:jc w:val="right"/>
              <w:ind w:right="334"/>
              <w:spacing w:after="0"/>
              <w:rPr>
                <w:sz w:val="20"/>
                <w:szCs w:val="20"/>
                <w:color w:val="auto"/>
              </w:rPr>
            </w:pPr>
            <w:r>
              <w:rPr>
                <w:rFonts w:ascii="Arial" w:cs="Arial" w:eastAsia="Arial" w:hAnsi="Arial"/>
                <w:sz w:val="18"/>
                <w:szCs w:val="18"/>
                <w:color w:val="auto"/>
              </w:rPr>
              <w:t>-185</w:t>
            </w:r>
          </w:p>
        </w:tc>
        <w:tc>
          <w:tcPr>
            <w:tcW w:w="16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 capitalized in accordance with IAS 23</w:t>
            </w:r>
          </w:p>
        </w:tc>
        <w:tc>
          <w:tcPr>
            <w:tcW w:w="25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87</w:t>
            </w:r>
          </w:p>
        </w:tc>
        <w:tc>
          <w:tcPr>
            <w:tcW w:w="1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233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jc w:val="right"/>
              <w:ind w:right="352"/>
              <w:spacing w:after="0"/>
              <w:rPr>
                <w:sz w:val="20"/>
                <w:szCs w:val="20"/>
                <w:color w:val="auto"/>
              </w:rPr>
            </w:pPr>
            <w:r>
              <w:rPr>
                <w:rFonts w:ascii="Arial" w:cs="Arial" w:eastAsia="Arial" w:hAnsi="Arial"/>
                <w:sz w:val="18"/>
                <w:szCs w:val="18"/>
                <w:b w:val="1"/>
                <w:bCs w:val="1"/>
                <w:color w:val="auto"/>
              </w:rPr>
              <w:t>-2,545</w:t>
            </w:r>
          </w:p>
        </w:tc>
        <w:tc>
          <w:tcPr>
            <w:tcW w:w="1980" w:type="dxa"/>
            <w:vAlign w:val="bottom"/>
          </w:tcPr>
          <w:p>
            <w:pPr>
              <w:jc w:val="right"/>
              <w:ind w:right="334"/>
              <w:spacing w:after="0"/>
              <w:rPr>
                <w:sz w:val="20"/>
                <w:szCs w:val="20"/>
                <w:color w:val="auto"/>
              </w:rPr>
            </w:pPr>
            <w:r>
              <w:rPr>
                <w:rFonts w:ascii="Arial" w:cs="Arial" w:eastAsia="Arial" w:hAnsi="Arial"/>
                <w:sz w:val="18"/>
                <w:szCs w:val="18"/>
                <w:b w:val="1"/>
                <w:bCs w:val="1"/>
                <w:color w:val="auto"/>
              </w:rPr>
              <w:t>-2,148</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(loss)</w:t>
            </w:r>
          </w:p>
        </w:tc>
        <w:tc>
          <w:tcPr>
            <w:tcW w:w="25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2,574</w:t>
            </w:r>
          </w:p>
        </w:tc>
        <w:tc>
          <w:tcPr>
            <w:tcW w:w="19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826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jc w:val="right"/>
              <w:ind w:right="352"/>
              <w:spacing w:after="0"/>
              <w:rPr>
                <w:sz w:val="20"/>
                <w:szCs w:val="20"/>
                <w:color w:val="auto"/>
              </w:rPr>
            </w:pPr>
            <w:r>
              <w:rPr>
                <w:rFonts w:ascii="Arial" w:cs="Arial" w:eastAsia="Arial" w:hAnsi="Arial"/>
                <w:sz w:val="18"/>
                <w:szCs w:val="18"/>
                <w:b w:val="1"/>
                <w:bCs w:val="1"/>
                <w:color w:val="auto"/>
              </w:rPr>
              <w:t>29</w:t>
            </w:r>
          </w:p>
        </w:tc>
        <w:tc>
          <w:tcPr>
            <w:tcW w:w="1980" w:type="dxa"/>
            <w:vAlign w:val="bottom"/>
          </w:tcPr>
          <w:p>
            <w:pPr>
              <w:jc w:val="right"/>
              <w:ind w:right="334"/>
              <w:spacing w:after="0"/>
              <w:rPr>
                <w:sz w:val="20"/>
                <w:szCs w:val="20"/>
                <w:color w:val="auto"/>
              </w:rPr>
            </w:pPr>
            <w:r>
              <w:rPr>
                <w:rFonts w:ascii="Arial" w:cs="Arial" w:eastAsia="Arial" w:hAnsi="Arial"/>
                <w:sz w:val="18"/>
                <w:szCs w:val="18"/>
                <w:b w:val="1"/>
                <w:bCs w:val="1"/>
                <w:color w:val="auto"/>
              </w:rPr>
              <w:t>-1,322</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-513</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 costs capitalized as the cost in accordance with IAS 23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60" w:type="dxa"/>
            <w:vAlign w:val="bottom"/>
          </w:tcPr>
          <w:p>
            <w:pPr>
              <w:jc w:val="right"/>
              <w:ind w:right="516"/>
              <w:spacing w:after="0"/>
              <w:rPr>
                <w:sz w:val="20"/>
                <w:szCs w:val="20"/>
                <w:color w:val="auto"/>
              </w:rPr>
            </w:pPr>
            <w:r>
              <w:rPr>
                <w:rFonts w:ascii="Arial" w:cs="Arial" w:eastAsia="Arial" w:hAnsi="Arial"/>
                <w:sz w:val="14"/>
                <w:szCs w:val="14"/>
                <w:color w:val="auto"/>
              </w:rPr>
              <w:t>For the years ended</w:t>
            </w:r>
          </w:p>
        </w:tc>
        <w:tc>
          <w:tcPr>
            <w:tcW w:w="1780" w:type="dxa"/>
            <w:vAlign w:val="bottom"/>
          </w:tcPr>
          <w:p>
            <w:pPr>
              <w:spacing w:after="0"/>
              <w:rPr>
                <w:sz w:val="14"/>
                <w:szCs w:val="14"/>
                <w:color w:val="auto"/>
              </w:rPr>
            </w:pPr>
          </w:p>
        </w:tc>
      </w:tr>
      <w:tr>
        <w:trPr>
          <w:trHeight w:val="167"/>
        </w:trPr>
        <w:tc>
          <w:tcPr>
            <w:tcW w:w="3860" w:type="dxa"/>
            <w:vAlign w:val="bottom"/>
          </w:tcPr>
          <w:p>
            <w:pPr>
              <w:spacing w:after="0"/>
              <w:rPr>
                <w:sz w:val="20"/>
                <w:szCs w:val="20"/>
                <w:color w:val="auto"/>
              </w:rPr>
            </w:pPr>
            <w:r>
              <w:rPr>
                <w:rFonts w:ascii="Arial" w:cs="Arial" w:eastAsia="Arial" w:hAnsi="Arial"/>
                <w:sz w:val="14"/>
                <w:szCs w:val="14"/>
                <w:color w:val="auto"/>
              </w:rPr>
              <w:t>€ thousand</w:t>
            </w:r>
          </w:p>
        </w:tc>
        <w:tc>
          <w:tcPr>
            <w:tcW w:w="3220" w:type="dxa"/>
            <w:vAlign w:val="bottom"/>
          </w:tcPr>
          <w:p>
            <w:pPr>
              <w:jc w:val="right"/>
              <w:ind w:right="513"/>
              <w:spacing w:after="0"/>
              <w:rPr>
                <w:sz w:val="20"/>
                <w:szCs w:val="20"/>
                <w:color w:val="auto"/>
              </w:rPr>
            </w:pPr>
            <w:r>
              <w:rPr>
                <w:rFonts w:ascii="Arial" w:cs="Arial" w:eastAsia="Arial" w:hAnsi="Arial"/>
                <w:sz w:val="14"/>
                <w:szCs w:val="14"/>
                <w:color w:val="auto"/>
              </w:rPr>
              <w:t>December 31, 2022</w:t>
            </w:r>
          </w:p>
        </w:tc>
        <w:tc>
          <w:tcPr>
            <w:tcW w:w="2160" w:type="dxa"/>
            <w:vAlign w:val="bottom"/>
          </w:tcPr>
          <w:p>
            <w:pPr>
              <w:jc w:val="right"/>
              <w:ind w:right="516"/>
              <w:spacing w:after="0"/>
              <w:rPr>
                <w:sz w:val="20"/>
                <w:szCs w:val="20"/>
                <w:color w:val="auto"/>
              </w:rPr>
            </w:pPr>
            <w:r>
              <w:rPr>
                <w:rFonts w:ascii="Arial" w:cs="Arial" w:eastAsia="Arial" w:hAnsi="Arial"/>
                <w:sz w:val="14"/>
                <w:szCs w:val="14"/>
                <w:color w:val="auto"/>
              </w:rPr>
              <w:t>December 31, 2021</w:t>
            </w:r>
          </w:p>
        </w:tc>
        <w:tc>
          <w:tcPr>
            <w:tcW w:w="1780" w:type="dxa"/>
            <w:vAlign w:val="bottom"/>
          </w:tcPr>
          <w:p>
            <w:pPr>
              <w:jc w:val="right"/>
              <w:ind w:right="134"/>
              <w:spacing w:after="0"/>
              <w:rPr>
                <w:sz w:val="20"/>
                <w:szCs w:val="20"/>
                <w:color w:val="auto"/>
              </w:rPr>
            </w:pPr>
            <w:r>
              <w:rPr>
                <w:rFonts w:ascii="Arial" w:cs="Arial" w:eastAsia="Arial" w:hAnsi="Arial"/>
                <w:sz w:val="14"/>
                <w:szCs w:val="14"/>
                <w:color w:val="auto"/>
              </w:rPr>
              <w:t>December 31, 2020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finance expenses</w:t>
            </w:r>
          </w:p>
        </w:tc>
        <w:tc>
          <w:tcPr>
            <w:tcW w:w="32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2,632</w:t>
            </w:r>
          </w:p>
        </w:tc>
        <w:tc>
          <w:tcPr>
            <w:tcW w:w="216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2,381</w:t>
            </w:r>
          </w:p>
        </w:tc>
        <w:tc>
          <w:tcPr>
            <w:tcW w:w="1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1,055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Thereof capitalized as the cost of</w:t>
            </w:r>
          </w:p>
        </w:tc>
        <w:tc>
          <w:tcPr>
            <w:tcW w:w="3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projects</w:t>
            </w:r>
          </w:p>
        </w:tc>
        <w:tc>
          <w:tcPr>
            <w:tcW w:w="32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56</w:t>
            </w:r>
          </w:p>
        </w:tc>
        <w:tc>
          <w:tcPr>
            <w:tcW w:w="216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79</w:t>
            </w:r>
          </w:p>
        </w:tc>
        <w:tc>
          <w:tcPr>
            <w:tcW w:w="1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1,010</w:t>
            </w: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3220" w:type="dxa"/>
            <w:vAlign w:val="bottom"/>
          </w:tcPr>
          <w:p>
            <w:pPr>
              <w:jc w:val="right"/>
              <w:ind w:right="513"/>
              <w:spacing w:after="0"/>
              <w:rPr>
                <w:sz w:val="20"/>
                <w:szCs w:val="20"/>
                <w:color w:val="auto"/>
              </w:rPr>
            </w:pPr>
            <w:r>
              <w:rPr>
                <w:rFonts w:ascii="Arial" w:cs="Arial" w:eastAsia="Arial" w:hAnsi="Arial"/>
                <w:sz w:val="18"/>
                <w:szCs w:val="18"/>
                <w:color w:val="auto"/>
              </w:rPr>
              <w:t>32</w:t>
            </w:r>
          </w:p>
        </w:tc>
        <w:tc>
          <w:tcPr>
            <w:tcW w:w="2160" w:type="dxa"/>
            <w:vAlign w:val="bottom"/>
          </w:tcPr>
          <w:p>
            <w:pPr>
              <w:jc w:val="right"/>
              <w:ind w:right="516"/>
              <w:spacing w:after="0"/>
              <w:rPr>
                <w:sz w:val="20"/>
                <w:szCs w:val="20"/>
                <w:color w:val="auto"/>
              </w:rPr>
            </w:pPr>
            <w:r>
              <w:rPr>
                <w:rFonts w:ascii="Arial" w:cs="Arial" w:eastAsia="Arial" w:hAnsi="Arial"/>
                <w:sz w:val="18"/>
                <w:szCs w:val="18"/>
                <w:color w:val="auto"/>
              </w:rPr>
              <w:t>154</w:t>
            </w:r>
          </w:p>
        </w:tc>
        <w:tc>
          <w:tcPr>
            <w:tcW w:w="1780" w:type="dxa"/>
            <w:vAlign w:val="bottom"/>
          </w:tcPr>
          <w:p>
            <w:pPr>
              <w:jc w:val="right"/>
              <w:ind w:right="134"/>
              <w:spacing w:after="0"/>
              <w:rPr>
                <w:sz w:val="20"/>
                <w:szCs w:val="20"/>
                <w:color w:val="auto"/>
              </w:rPr>
            </w:pPr>
            <w:r>
              <w:rPr>
                <w:rFonts w:ascii="Arial" w:cs="Arial" w:eastAsia="Arial" w:hAnsi="Arial"/>
                <w:sz w:val="18"/>
                <w:szCs w:val="18"/>
                <w:color w:val="auto"/>
              </w:rPr>
              <w:t>45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rate p.a.</w:t>
            </w:r>
          </w:p>
        </w:tc>
        <w:tc>
          <w:tcPr>
            <w:tcW w:w="32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9.08%</w:t>
            </w:r>
          </w:p>
        </w:tc>
        <w:tc>
          <w:tcPr>
            <w:tcW w:w="21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22.06%</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365"/>
        </w:trPr>
        <w:tc>
          <w:tcPr>
            <w:tcW w:w="3860" w:type="dxa"/>
            <w:vAlign w:val="bottom"/>
          </w:tcPr>
          <w:p>
            <w:pPr>
              <w:spacing w:after="0"/>
              <w:rPr>
                <w:sz w:val="24"/>
                <w:szCs w:val="24"/>
                <w:color w:val="auto"/>
              </w:rPr>
            </w:pPr>
          </w:p>
        </w:tc>
        <w:tc>
          <w:tcPr>
            <w:tcW w:w="3220" w:type="dxa"/>
            <w:vAlign w:val="bottom"/>
          </w:tcPr>
          <w:p>
            <w:pPr>
              <w:jc w:val="right"/>
              <w:ind w:right="1313"/>
              <w:spacing w:after="0"/>
              <w:rPr>
                <w:sz w:val="20"/>
                <w:szCs w:val="20"/>
                <w:color w:val="auto"/>
              </w:rPr>
            </w:pPr>
            <w:r>
              <w:rPr>
                <w:rFonts w:ascii="Arial" w:cs="Arial" w:eastAsia="Arial" w:hAnsi="Arial"/>
                <w:sz w:val="18"/>
                <w:szCs w:val="18"/>
                <w:color w:val="auto"/>
              </w:rPr>
              <w:t>F-27</w:t>
            </w: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15.</w:t>
        <w:tab/>
        <w:t>Income Taxes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520" w:type="dxa"/>
            <w:vAlign w:val="bottom"/>
            <w:gridSpan w:val="2"/>
          </w:tcPr>
          <w:p>
            <w:pPr>
              <w:jc w:val="right"/>
              <w:ind w:right="912"/>
              <w:spacing w:after="0"/>
              <w:rPr>
                <w:sz w:val="20"/>
                <w:szCs w:val="20"/>
                <w:color w:val="auto"/>
              </w:rPr>
            </w:pPr>
            <w:r>
              <w:rPr>
                <w:rFonts w:ascii="Arial" w:cs="Arial" w:eastAsia="Arial" w:hAnsi="Arial"/>
                <w:sz w:val="14"/>
                <w:szCs w:val="14"/>
                <w:color w:val="auto"/>
              </w:rPr>
              <w:t>For the years ended</w:t>
            </w:r>
          </w:p>
        </w:tc>
      </w:tr>
      <w:tr>
        <w:trPr>
          <w:trHeight w:val="167"/>
        </w:trPr>
        <w:tc>
          <w:tcPr>
            <w:tcW w:w="7500" w:type="dxa"/>
            <w:vAlign w:val="bottom"/>
          </w:tcPr>
          <w:p>
            <w:pPr>
              <w:spacing w:after="0"/>
              <w:rPr>
                <w:sz w:val="20"/>
                <w:szCs w:val="20"/>
                <w:color w:val="auto"/>
              </w:rPr>
            </w:pPr>
            <w:r>
              <w:rPr>
                <w:rFonts w:ascii="Arial" w:cs="Arial" w:eastAsia="Arial" w:hAnsi="Arial"/>
                <w:sz w:val="14"/>
                <w:szCs w:val="14"/>
                <w:color w:val="auto"/>
              </w:rPr>
              <w:t>€ thousand</w:t>
            </w:r>
          </w:p>
        </w:tc>
        <w:tc>
          <w:tcPr>
            <w:tcW w:w="1940" w:type="dxa"/>
            <w:vAlign w:val="bottom"/>
          </w:tcPr>
          <w:p>
            <w:pPr>
              <w:jc w:val="right"/>
              <w:ind w:right="293"/>
              <w:spacing w:after="0"/>
              <w:rPr>
                <w:sz w:val="20"/>
                <w:szCs w:val="20"/>
                <w:color w:val="auto"/>
              </w:rPr>
            </w:pPr>
            <w:r>
              <w:rPr>
                <w:rFonts w:ascii="Arial" w:cs="Arial" w:eastAsia="Arial" w:hAnsi="Arial"/>
                <w:sz w:val="14"/>
                <w:szCs w:val="14"/>
                <w:color w:val="auto"/>
              </w:rPr>
              <w:t>December 31, 2022</w:t>
            </w:r>
          </w:p>
        </w:tc>
        <w:tc>
          <w:tcPr>
            <w:tcW w:w="1580" w:type="dxa"/>
            <w:vAlign w:val="bottom"/>
          </w:tcPr>
          <w:p>
            <w:pPr>
              <w:jc w:val="right"/>
              <w:spacing w:after="0"/>
              <w:rPr>
                <w:sz w:val="20"/>
                <w:szCs w:val="20"/>
                <w:color w:val="auto"/>
              </w:rPr>
            </w:pPr>
            <w:r>
              <w:rPr>
                <w:rFonts w:ascii="Arial" w:cs="Arial" w:eastAsia="Arial" w:hAnsi="Arial"/>
                <w:sz w:val="14"/>
                <w:szCs w:val="14"/>
                <w:color w:val="auto"/>
              </w:rPr>
              <w:t>December 31, 2021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-73,806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-43,686</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Expected taxes applying the domestic tax rate of 27.725% (previous year: 27.725%)</w:t>
            </w:r>
          </w:p>
        </w:tc>
        <w:tc>
          <w:tcPr>
            <w:tcW w:w="1940" w:type="dxa"/>
            <w:vAlign w:val="bottom"/>
          </w:tcPr>
          <w:p>
            <w:pPr>
              <w:jc w:val="right"/>
              <w:ind w:right="293"/>
              <w:spacing w:after="0"/>
              <w:rPr>
                <w:sz w:val="20"/>
                <w:szCs w:val="20"/>
                <w:color w:val="auto"/>
              </w:rPr>
            </w:pPr>
            <w:r>
              <w:rPr>
                <w:rFonts w:ascii="Arial" w:cs="Arial" w:eastAsia="Arial" w:hAnsi="Arial"/>
                <w:sz w:val="18"/>
                <w:szCs w:val="18"/>
                <w:color w:val="auto"/>
              </w:rPr>
              <w:t>-20,463</w:t>
            </w:r>
          </w:p>
        </w:tc>
        <w:tc>
          <w:tcPr>
            <w:tcW w:w="1580" w:type="dxa"/>
            <w:vAlign w:val="bottom"/>
          </w:tcPr>
          <w:p>
            <w:pPr>
              <w:jc w:val="right"/>
              <w:spacing w:after="0"/>
              <w:rPr>
                <w:sz w:val="20"/>
                <w:szCs w:val="20"/>
                <w:color w:val="auto"/>
              </w:rPr>
            </w:pPr>
            <w:r>
              <w:rPr>
                <w:rFonts w:ascii="Arial" w:cs="Arial" w:eastAsia="Arial" w:hAnsi="Arial"/>
                <w:sz w:val="18"/>
                <w:szCs w:val="18"/>
                <w:color w:val="auto"/>
              </w:rPr>
              <w:t>-12,112</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Tax effect of expenses that are not deductible for tax purposes / tax adjustments</w:t>
            </w:r>
          </w:p>
        </w:tc>
        <w:tc>
          <w:tcPr>
            <w:tcW w:w="1940" w:type="dxa"/>
            <w:vAlign w:val="bottom"/>
          </w:tcPr>
          <w:p>
            <w:pPr>
              <w:jc w:val="right"/>
              <w:ind w:right="293"/>
              <w:spacing w:after="0"/>
              <w:rPr>
                <w:sz w:val="20"/>
                <w:szCs w:val="20"/>
                <w:color w:val="auto"/>
              </w:rPr>
            </w:pPr>
            <w:r>
              <w:rPr>
                <w:rFonts w:ascii="Arial" w:cs="Arial" w:eastAsia="Arial" w:hAnsi="Arial"/>
                <w:sz w:val="18"/>
                <w:szCs w:val="18"/>
                <w:color w:val="auto"/>
              </w:rPr>
              <w:t>267</w:t>
            </w:r>
          </w:p>
        </w:tc>
        <w:tc>
          <w:tcPr>
            <w:tcW w:w="15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02"/>
        </w:trPr>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Tax effect from losses incurred in the current year and deductible temporary differences for which</w:t>
            </w:r>
          </w:p>
        </w:tc>
        <w:tc>
          <w:tcPr>
            <w:tcW w:w="19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deferred taxes were recognized</w:t>
            </w:r>
          </w:p>
        </w:tc>
        <w:tc>
          <w:tcPr>
            <w:tcW w:w="1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18,160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w:t>
            </w:r>
          </w:p>
        </w:tc>
      </w:tr>
      <w:tr>
        <w:trPr>
          <w:trHeight w:val="202"/>
        </w:trPr>
        <w:tc>
          <w:tcPr>
            <w:tcW w:w="7500" w:type="dxa"/>
            <w:vAlign w:val="bottom"/>
          </w:tcPr>
          <w:p>
            <w:pPr>
              <w:spacing w:after="0" w:line="201" w:lineRule="exact"/>
              <w:rPr>
                <w:sz w:val="20"/>
                <w:szCs w:val="20"/>
                <w:color w:val="auto"/>
              </w:rPr>
            </w:pPr>
            <w:r>
              <w:rPr>
                <w:rFonts w:ascii="Arial" w:cs="Arial" w:eastAsia="Arial" w:hAnsi="Arial"/>
                <w:sz w:val="18"/>
                <w:szCs w:val="18"/>
                <w:color w:val="auto"/>
                <w:w w:val="95"/>
              </w:rPr>
              <w:t>Recognition of previously unrecognized deferred tax assets from deductible temporary differences</w:t>
            </w: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w w:val="98"/>
              </w:rPr>
              <w:t>and on loss carryforwards and reversal of deductible temporary differences / utilization of loss</w:t>
            </w: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carryforwards for which no deferred taxes were previously recognized</w:t>
            </w:r>
          </w:p>
        </w:tc>
        <w:tc>
          <w:tcPr>
            <w:tcW w:w="1940" w:type="dxa"/>
            <w:vAlign w:val="bottom"/>
          </w:tcPr>
          <w:p>
            <w:pPr>
              <w:jc w:val="right"/>
              <w:ind w:right="293"/>
              <w:spacing w:after="0"/>
              <w:rPr>
                <w:sz w:val="20"/>
                <w:szCs w:val="20"/>
                <w:color w:val="auto"/>
              </w:rPr>
            </w:pPr>
            <w:r>
              <w:rPr>
                <w:rFonts w:ascii="Arial" w:cs="Arial" w:eastAsia="Arial" w:hAnsi="Arial"/>
                <w:sz w:val="18"/>
                <w:szCs w:val="18"/>
                <w:color w:val="auto"/>
              </w:rPr>
              <w:t>-448</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Write-up/-down of deferred tax assets</w:t>
            </w:r>
          </w:p>
        </w:tc>
        <w:tc>
          <w:tcPr>
            <w:tcW w:w="1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451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Effect of equity-settled share-based payments</w:t>
            </w:r>
          </w:p>
        </w:tc>
        <w:tc>
          <w:tcPr>
            <w:tcW w:w="1940" w:type="dxa"/>
            <w:vAlign w:val="bottom"/>
          </w:tcPr>
          <w:p>
            <w:pPr>
              <w:jc w:val="right"/>
              <w:ind w:right="293"/>
              <w:spacing w:after="0"/>
              <w:rPr>
                <w:sz w:val="20"/>
                <w:szCs w:val="20"/>
                <w:color w:val="auto"/>
              </w:rPr>
            </w:pPr>
            <w:r>
              <w:rPr>
                <w:rFonts w:ascii="Arial" w:cs="Arial" w:eastAsia="Arial" w:hAnsi="Arial"/>
                <w:sz w:val="18"/>
                <w:szCs w:val="18"/>
                <w:color w:val="auto"/>
              </w:rPr>
              <w:t>1,629</w:t>
            </w:r>
          </w:p>
        </w:tc>
        <w:tc>
          <w:tcPr>
            <w:tcW w:w="15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399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Tax expense for the fiscal year</w:t>
            </w:r>
          </w:p>
        </w:tc>
        <w:tc>
          <w:tcPr>
            <w:tcW w:w="1940" w:type="dxa"/>
            <w:vAlign w:val="bottom"/>
          </w:tcPr>
          <w:p>
            <w:pPr>
              <w:jc w:val="right"/>
              <w:ind w:right="293"/>
              <w:spacing w:after="0"/>
              <w:rPr>
                <w:sz w:val="20"/>
                <w:szCs w:val="20"/>
                <w:color w:val="auto"/>
              </w:rPr>
            </w:pPr>
            <w:r>
              <w:rPr>
                <w:rFonts w:ascii="Arial" w:cs="Arial" w:eastAsia="Arial" w:hAnsi="Arial"/>
                <w:sz w:val="18"/>
                <w:szCs w:val="18"/>
                <w:color w:val="auto"/>
              </w:rPr>
              <w:t>-24</w:t>
            </w:r>
          </w:p>
        </w:tc>
        <w:tc>
          <w:tcPr>
            <w:tcW w:w="1580" w:type="dxa"/>
            <w:vAlign w:val="bottom"/>
          </w:tcPr>
          <w:p>
            <w:pPr>
              <w:jc w:val="right"/>
              <w:spacing w:after="0"/>
              <w:rPr>
                <w:sz w:val="20"/>
                <w:szCs w:val="20"/>
                <w:color w:val="auto"/>
              </w:rPr>
            </w:pPr>
            <w:r>
              <w:rPr>
                <w:rFonts w:ascii="Arial" w:cs="Arial" w:eastAsia="Arial" w:hAnsi="Arial"/>
                <w:sz w:val="18"/>
                <w:szCs w:val="18"/>
                <w:color w:val="auto"/>
              </w:rPr>
              <w:t>1,791</w:t>
            </w:r>
          </w:p>
        </w:tc>
      </w:tr>
    </w:tbl>
    <w:p>
      <w:pPr>
        <w:spacing w:after="0" w:line="18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Due to the previous start-up losses, deferred tax assets were recognized, only to the extent of taxable temporary differences. Accordingly, no deferred taxes were recognized for corporation tax loss carryforwards in Germany in the amount of €157,043 thousand (2021: €97,469 thousand) and for trade tax loss carryforwards in Germany in the amount of €154,986 thousand (2021: €96,320 thousand). The same applies to foreign tax loss carryforwards in the amount of €17,552 thousand (2021: €6,843 thousand). Deductible temporary differences were not recognized in the amount of €1,699 thousand (2021: €1,519 thousand). The utilization of the tax loss carryforwards and deductible temporary differences is ensured to the extent that sufficient taxable temporary differences will be available after the deduction of amounts corresponding to minimum taxation legislation in Germany for each particular year of usage.</w:t>
      </w:r>
    </w:p>
    <w:p>
      <w:pPr>
        <w:spacing w:after="0" w:line="19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of December 31, 2022, domestic loss carryforwards totaled €168,538 thousand for corporation tax and €166,481 thousand for trade tax (2021: €109,662 thousand and €108,514 thousand, respectively). These loss carryforwards do not expire. Foreign tax loss carryforwards in the amount of €648 thousand will expire in 2037 if not used (2021: €648 thousand). Foreign tax loss carryforwards in the amount of €16,904 thousand (2021: €6,195 thousand) do not expire.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of deferred tax assets and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right"/>
              <w:ind w:right="275"/>
              <w:spacing w:after="0"/>
              <w:rPr>
                <w:sz w:val="20"/>
                <w:szCs w:val="20"/>
                <w:color w:val="auto"/>
              </w:rPr>
            </w:pPr>
            <w:r>
              <w:rPr>
                <w:rFonts w:ascii="Arial" w:cs="Arial" w:eastAsia="Arial" w:hAnsi="Arial"/>
                <w:sz w:val="14"/>
                <w:szCs w:val="14"/>
                <w:color w:val="auto"/>
              </w:rPr>
              <w:t>Jan. 1 –</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Jan. 1 –</w:t>
            </w:r>
          </w:p>
        </w:tc>
      </w:tr>
      <w:tr>
        <w:trPr>
          <w:trHeight w:val="162"/>
        </w:trPr>
        <w:tc>
          <w:tcPr>
            <w:tcW w:w="3660" w:type="dxa"/>
            <w:vAlign w:val="bottom"/>
          </w:tcPr>
          <w:p>
            <w:pPr>
              <w:spacing w:after="0"/>
              <w:rPr>
                <w:sz w:val="14"/>
                <w:szCs w:val="14"/>
                <w:color w:val="auto"/>
              </w:rPr>
            </w:pPr>
          </w:p>
        </w:tc>
        <w:tc>
          <w:tcPr>
            <w:tcW w:w="2940" w:type="dxa"/>
            <w:vAlign w:val="bottom"/>
            <w:gridSpan w:val="2"/>
          </w:tcPr>
          <w:p>
            <w:pPr>
              <w:jc w:val="right"/>
              <w:ind w:right="593"/>
              <w:spacing w:after="0"/>
              <w:rPr>
                <w:sz w:val="20"/>
                <w:szCs w:val="20"/>
                <w:color w:val="auto"/>
              </w:rPr>
            </w:pPr>
            <w:r>
              <w:rPr>
                <w:rFonts w:ascii="Arial" w:cs="Arial" w:eastAsia="Arial" w:hAnsi="Arial"/>
                <w:sz w:val="14"/>
                <w:szCs w:val="14"/>
                <w:color w:val="auto"/>
              </w:rPr>
              <w:t>Dec. 31, 2022</w:t>
            </w:r>
          </w:p>
        </w:tc>
        <w:tc>
          <w:tcPr>
            <w:tcW w:w="2200" w:type="dxa"/>
            <w:vAlign w:val="bottom"/>
            <w:gridSpan w:val="2"/>
          </w:tcPr>
          <w:p>
            <w:pPr>
              <w:jc w:val="right"/>
              <w:ind w:right="613"/>
              <w:spacing w:after="0"/>
              <w:rPr>
                <w:sz w:val="20"/>
                <w:szCs w:val="20"/>
                <w:color w:val="auto"/>
              </w:rPr>
            </w:pPr>
            <w:r>
              <w:rPr>
                <w:rFonts w:ascii="Arial" w:cs="Arial" w:eastAsia="Arial" w:hAnsi="Arial"/>
                <w:sz w:val="14"/>
                <w:szCs w:val="14"/>
                <w:color w:val="auto"/>
              </w:rPr>
              <w:t>Dec. 31, 2021</w:t>
            </w:r>
          </w:p>
        </w:tc>
        <w:tc>
          <w:tcPr>
            <w:tcW w:w="1160" w:type="dxa"/>
            <w:vAlign w:val="bottom"/>
          </w:tcPr>
          <w:p>
            <w:pPr>
              <w:jc w:val="right"/>
              <w:ind w:right="95"/>
              <w:spacing w:after="0"/>
              <w:rPr>
                <w:sz w:val="20"/>
                <w:szCs w:val="20"/>
                <w:color w:val="auto"/>
              </w:rPr>
            </w:pPr>
            <w:r>
              <w:rPr>
                <w:rFonts w:ascii="Arial" w:cs="Arial" w:eastAsia="Arial" w:hAnsi="Arial"/>
                <w:sz w:val="14"/>
                <w:szCs w:val="14"/>
                <w:color w:val="auto"/>
              </w:rPr>
              <w:t>Dec. 31, 2022</w:t>
            </w:r>
          </w:p>
        </w:tc>
        <w:tc>
          <w:tcPr>
            <w:tcW w:w="1060" w:type="dxa"/>
            <w:vAlign w:val="bottom"/>
          </w:tcPr>
          <w:p>
            <w:pPr>
              <w:jc w:val="right"/>
              <w:spacing w:after="0"/>
              <w:rPr>
                <w:sz w:val="20"/>
                <w:szCs w:val="20"/>
                <w:color w:val="auto"/>
              </w:rPr>
            </w:pPr>
            <w:r>
              <w:rPr>
                <w:rFonts w:ascii="Arial" w:cs="Arial" w:eastAsia="Arial" w:hAnsi="Arial"/>
                <w:sz w:val="14"/>
                <w:szCs w:val="14"/>
                <w:color w:val="auto"/>
              </w:rPr>
              <w:t>Dec. 31, 2021</w:t>
            </w:r>
          </w:p>
        </w:tc>
      </w:tr>
      <w:tr>
        <w:trPr>
          <w:trHeight w:val="149"/>
        </w:trPr>
        <w:tc>
          <w:tcPr>
            <w:tcW w:w="3660" w:type="dxa"/>
            <w:vAlign w:val="bottom"/>
          </w:tcPr>
          <w:p>
            <w:pPr>
              <w:spacing w:after="0"/>
              <w:rPr>
                <w:sz w:val="12"/>
                <w:szCs w:val="12"/>
                <w:color w:val="auto"/>
              </w:rPr>
            </w:pPr>
          </w:p>
        </w:tc>
        <w:tc>
          <w:tcPr>
            <w:tcW w:w="186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Deferred tax</w:t>
            </w:r>
          </w:p>
        </w:tc>
        <w:tc>
          <w:tcPr>
            <w:tcW w:w="1080" w:type="dxa"/>
            <w:vAlign w:val="bottom"/>
          </w:tcPr>
          <w:p>
            <w:pPr>
              <w:jc w:val="right"/>
              <w:ind w:right="93"/>
              <w:spacing w:after="0" w:line="149" w:lineRule="exact"/>
              <w:rPr>
                <w:sz w:val="20"/>
                <w:szCs w:val="20"/>
                <w:color w:val="auto"/>
              </w:rPr>
            </w:pPr>
            <w:r>
              <w:rPr>
                <w:rFonts w:ascii="Arial" w:cs="Arial" w:eastAsia="Arial" w:hAnsi="Arial"/>
                <w:sz w:val="14"/>
                <w:szCs w:val="14"/>
                <w:color w:val="auto"/>
              </w:rPr>
              <w:t>Deferred tax</w:t>
            </w:r>
          </w:p>
        </w:tc>
        <w:tc>
          <w:tcPr>
            <w:tcW w:w="1100" w:type="dxa"/>
            <w:vAlign w:val="bottom"/>
          </w:tcPr>
          <w:p>
            <w:pPr>
              <w:jc w:val="right"/>
              <w:ind w:right="94"/>
              <w:spacing w:after="0" w:line="149" w:lineRule="exact"/>
              <w:rPr>
                <w:sz w:val="20"/>
                <w:szCs w:val="20"/>
                <w:color w:val="auto"/>
              </w:rPr>
            </w:pPr>
            <w:r>
              <w:rPr>
                <w:rFonts w:ascii="Arial" w:cs="Arial" w:eastAsia="Arial" w:hAnsi="Arial"/>
                <w:sz w:val="14"/>
                <w:szCs w:val="14"/>
                <w:color w:val="auto"/>
              </w:rPr>
              <w:t>Deferred tax</w:t>
            </w:r>
          </w:p>
        </w:tc>
        <w:tc>
          <w:tcPr>
            <w:tcW w:w="11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Deferred tax</w:t>
            </w:r>
          </w:p>
        </w:tc>
        <w:tc>
          <w:tcPr>
            <w:tcW w:w="222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Changes recognized in profit</w:t>
            </w:r>
          </w:p>
        </w:tc>
      </w:tr>
      <w:tr>
        <w:trPr>
          <w:trHeight w:val="167"/>
        </w:trPr>
        <w:tc>
          <w:tcPr>
            <w:tcW w:w="3660" w:type="dxa"/>
            <w:vAlign w:val="bottom"/>
          </w:tcPr>
          <w:p>
            <w:pPr>
              <w:spacing w:after="0"/>
              <w:rPr>
                <w:sz w:val="20"/>
                <w:szCs w:val="20"/>
                <w:color w:val="auto"/>
              </w:rPr>
            </w:pPr>
            <w:r>
              <w:rPr>
                <w:rFonts w:ascii="Arial" w:cs="Arial" w:eastAsia="Arial" w:hAnsi="Arial"/>
                <w:sz w:val="14"/>
                <w:szCs w:val="14"/>
                <w:color w:val="auto"/>
              </w:rPr>
              <w:t>€ thousand</w:t>
            </w:r>
          </w:p>
        </w:tc>
        <w:tc>
          <w:tcPr>
            <w:tcW w:w="1860" w:type="dxa"/>
            <w:vAlign w:val="bottom"/>
          </w:tcPr>
          <w:p>
            <w:pPr>
              <w:jc w:val="right"/>
              <w:ind w:right="294"/>
              <w:spacing w:after="0"/>
              <w:rPr>
                <w:sz w:val="20"/>
                <w:szCs w:val="20"/>
                <w:color w:val="auto"/>
              </w:rPr>
            </w:pPr>
            <w:r>
              <w:rPr>
                <w:rFonts w:ascii="Arial" w:cs="Arial" w:eastAsia="Arial" w:hAnsi="Arial"/>
                <w:sz w:val="14"/>
                <w:szCs w:val="14"/>
                <w:color w:val="auto"/>
              </w:rPr>
              <w:t>assets</w:t>
            </w: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liabilities</w:t>
            </w:r>
          </w:p>
        </w:tc>
        <w:tc>
          <w:tcPr>
            <w:tcW w:w="1100" w:type="dxa"/>
            <w:vAlign w:val="bottom"/>
          </w:tcPr>
          <w:p>
            <w:pPr>
              <w:jc w:val="right"/>
              <w:ind w:right="294"/>
              <w:spacing w:after="0"/>
              <w:rPr>
                <w:sz w:val="20"/>
                <w:szCs w:val="20"/>
                <w:color w:val="auto"/>
              </w:rPr>
            </w:pPr>
            <w:r>
              <w:rPr>
                <w:rFonts w:ascii="Arial" w:cs="Arial" w:eastAsia="Arial" w:hAnsi="Arial"/>
                <w:sz w:val="14"/>
                <w:szCs w:val="14"/>
                <w:color w:val="auto"/>
              </w:rPr>
              <w:t>assets</w:t>
            </w:r>
          </w:p>
        </w:tc>
        <w:tc>
          <w:tcPr>
            <w:tcW w:w="1100" w:type="dxa"/>
            <w:vAlign w:val="bottom"/>
          </w:tcPr>
          <w:p>
            <w:pPr>
              <w:jc w:val="right"/>
              <w:ind w:right="193"/>
              <w:spacing w:after="0"/>
              <w:rPr>
                <w:sz w:val="20"/>
                <w:szCs w:val="20"/>
                <w:color w:val="auto"/>
              </w:rPr>
            </w:pPr>
            <w:r>
              <w:rPr>
                <w:rFonts w:ascii="Arial" w:cs="Arial" w:eastAsia="Arial" w:hAnsi="Arial"/>
                <w:sz w:val="14"/>
                <w:szCs w:val="14"/>
                <w:color w:val="auto"/>
              </w:rPr>
              <w:t>liabilities</w:t>
            </w:r>
          </w:p>
        </w:tc>
        <w:tc>
          <w:tcPr>
            <w:tcW w:w="2220" w:type="dxa"/>
            <w:vAlign w:val="bottom"/>
            <w:gridSpan w:val="2"/>
          </w:tcPr>
          <w:p>
            <w:pPr>
              <w:jc w:val="right"/>
              <w:ind w:right="773"/>
              <w:spacing w:after="0"/>
              <w:rPr>
                <w:sz w:val="20"/>
                <w:szCs w:val="20"/>
                <w:color w:val="auto"/>
              </w:rPr>
            </w:pPr>
            <w:r>
              <w:rPr>
                <w:rFonts w:ascii="Arial" w:cs="Arial" w:eastAsia="Arial" w:hAnsi="Arial"/>
                <w:sz w:val="14"/>
                <w:szCs w:val="14"/>
                <w:color w:val="auto"/>
              </w:rPr>
              <w:t>or loss</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4,901</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5,419</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529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Leases</w:t>
            </w:r>
          </w:p>
        </w:tc>
        <w:tc>
          <w:tcPr>
            <w:tcW w:w="1860" w:type="dxa"/>
            <w:vAlign w:val="bottom"/>
          </w:tcPr>
          <w:p>
            <w:pPr>
              <w:jc w:val="right"/>
              <w:ind w:right="114"/>
              <w:spacing w:after="0"/>
              <w:rPr>
                <w:sz w:val="20"/>
                <w:szCs w:val="20"/>
                <w:color w:val="auto"/>
              </w:rPr>
            </w:pPr>
            <w:r>
              <w:rPr>
                <w:rFonts w:ascii="Arial" w:cs="Arial" w:eastAsia="Arial" w:hAnsi="Arial"/>
                <w:sz w:val="18"/>
                <w:szCs w:val="18"/>
                <w:color w:val="auto"/>
              </w:rPr>
              <w:t>29</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27</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292</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101</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non-financial assets</w:t>
            </w:r>
          </w:p>
        </w:tc>
        <w:tc>
          <w:tcPr>
            <w:tcW w:w="186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48</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-48</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Provisions</w:t>
            </w:r>
          </w:p>
        </w:tc>
        <w:tc>
          <w:tcPr>
            <w:tcW w:w="1860" w:type="dxa"/>
            <w:vAlign w:val="bottom"/>
          </w:tcPr>
          <w:p>
            <w:pPr>
              <w:jc w:val="right"/>
              <w:ind w:right="114"/>
              <w:spacing w:after="0"/>
              <w:rPr>
                <w:sz w:val="20"/>
                <w:szCs w:val="20"/>
                <w:color w:val="auto"/>
              </w:rPr>
            </w:pPr>
            <w:r>
              <w:rPr>
                <w:rFonts w:ascii="Arial" w:cs="Arial" w:eastAsia="Arial" w:hAnsi="Arial"/>
                <w:sz w:val="18"/>
                <w:szCs w:val="18"/>
                <w:color w:val="auto"/>
              </w:rPr>
              <w:t>56</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110</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23</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-32</w:t>
            </w: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financial and</w:t>
            </w:r>
          </w:p>
        </w:tc>
        <w:tc>
          <w:tcPr>
            <w:tcW w:w="1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non-financial liabilities</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273</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-251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 loss carryforwards and tax credits</w:t>
            </w:r>
          </w:p>
        </w:tc>
        <w:tc>
          <w:tcPr>
            <w:tcW w:w="1860" w:type="dxa"/>
            <w:vAlign w:val="bottom"/>
          </w:tcPr>
          <w:p>
            <w:pPr>
              <w:jc w:val="right"/>
              <w:ind w:right="114"/>
              <w:spacing w:after="0"/>
              <w:rPr>
                <w:sz w:val="20"/>
                <w:szCs w:val="20"/>
                <w:color w:val="auto"/>
              </w:rPr>
            </w:pPr>
            <w:r>
              <w:rPr>
                <w:rFonts w:ascii="Arial" w:cs="Arial" w:eastAsia="Arial" w:hAnsi="Arial"/>
                <w:sz w:val="18"/>
                <w:szCs w:val="18"/>
                <w:color w:val="auto"/>
              </w:rPr>
              <w:t>3,187</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3,380</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-193</w:t>
            </w:r>
          </w:p>
        </w:tc>
        <w:tc>
          <w:tcPr>
            <w:tcW w:w="106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Offsetting</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-3,577</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-3,577</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-3,673</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-3,673</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ind w:right="114"/>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1,767</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1,791</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24</w:t>
            </w:r>
          </w:p>
        </w:tc>
        <w:tc>
          <w:tcPr>
            <w:tcW w:w="1060" w:type="dxa"/>
            <w:vAlign w:val="bottom"/>
          </w:tcPr>
          <w:p>
            <w:pPr>
              <w:jc w:val="right"/>
              <w:spacing w:after="0"/>
              <w:rPr>
                <w:sz w:val="20"/>
                <w:szCs w:val="20"/>
                <w:color w:val="auto"/>
              </w:rPr>
            </w:pPr>
            <w:r>
              <w:rPr>
                <w:rFonts w:ascii="Arial" w:cs="Arial" w:eastAsia="Arial" w:hAnsi="Arial"/>
                <w:sz w:val="18"/>
                <w:szCs w:val="18"/>
                <w:color w:val="auto"/>
              </w:rPr>
              <w:t>-1,791</w:t>
            </w:r>
          </w:p>
        </w:tc>
      </w:tr>
    </w:tbl>
    <w:p>
      <w:pPr>
        <w:spacing w:after="0" w:line="332"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Basic earnings per share is calculated by dividing earnings after taxes attributable to the shares by the number of participating shares. Diluted earnings per share is calculated by considering the potential increase in the Group’s ordinary shares as the result of granted stock options, restricted stock units and convertible bonds.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86" w:right="4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Earnings per share were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jc w:val="right"/>
              <w:ind w:right="277"/>
              <w:spacing w:after="0"/>
              <w:rPr>
                <w:sz w:val="20"/>
                <w:szCs w:val="20"/>
                <w:color w:val="auto"/>
              </w:rPr>
            </w:pPr>
            <w:r>
              <w:rPr>
                <w:rFonts w:ascii="Arial" w:cs="Arial" w:eastAsia="Arial" w:hAnsi="Arial"/>
                <w:sz w:val="14"/>
                <w:szCs w:val="14"/>
                <w:color w:val="auto"/>
              </w:rPr>
              <w:t>for the years ended</w:t>
            </w:r>
          </w:p>
        </w:tc>
        <w:tc>
          <w:tcPr>
            <w:tcW w:w="1520" w:type="dxa"/>
            <w:vAlign w:val="bottom"/>
          </w:tcPr>
          <w:p>
            <w:pPr>
              <w:spacing w:after="0"/>
              <w:rPr>
                <w:sz w:val="14"/>
                <w:szCs w:val="14"/>
                <w:color w:val="auto"/>
              </w:rPr>
            </w:pPr>
          </w:p>
        </w:tc>
      </w:tr>
      <w:tr>
        <w:trPr>
          <w:trHeight w:val="167"/>
        </w:trPr>
        <w:tc>
          <w:tcPr>
            <w:tcW w:w="5400" w:type="dxa"/>
            <w:vAlign w:val="bottom"/>
          </w:tcPr>
          <w:p>
            <w:pPr>
              <w:spacing w:after="0"/>
              <w:rPr>
                <w:sz w:val="14"/>
                <w:szCs w:val="14"/>
                <w:color w:val="auto"/>
              </w:rPr>
            </w:pPr>
          </w:p>
        </w:tc>
        <w:tc>
          <w:tcPr>
            <w:tcW w:w="2300" w:type="dxa"/>
            <w:vAlign w:val="bottom"/>
          </w:tcPr>
          <w:p>
            <w:pPr>
              <w:jc w:val="right"/>
              <w:ind w:right="255"/>
              <w:spacing w:after="0"/>
              <w:rPr>
                <w:sz w:val="20"/>
                <w:szCs w:val="20"/>
                <w:color w:val="auto"/>
              </w:rPr>
            </w:pPr>
            <w:r>
              <w:rPr>
                <w:rFonts w:ascii="Arial" w:cs="Arial" w:eastAsia="Arial" w:hAnsi="Arial"/>
                <w:sz w:val="14"/>
                <w:szCs w:val="14"/>
                <w:color w:val="auto"/>
              </w:rPr>
              <w:t>December 31, 2022</w:t>
            </w:r>
          </w:p>
        </w:tc>
        <w:tc>
          <w:tcPr>
            <w:tcW w:w="1800" w:type="dxa"/>
            <w:vAlign w:val="bottom"/>
          </w:tcPr>
          <w:p>
            <w:pPr>
              <w:jc w:val="right"/>
              <w:ind w:right="257"/>
              <w:spacing w:after="0"/>
              <w:rPr>
                <w:sz w:val="20"/>
                <w:szCs w:val="20"/>
                <w:color w:val="auto"/>
              </w:rPr>
            </w:pPr>
            <w:r>
              <w:rPr>
                <w:rFonts w:ascii="Arial" w:cs="Arial" w:eastAsia="Arial" w:hAnsi="Arial"/>
                <w:sz w:val="14"/>
                <w:szCs w:val="14"/>
                <w:color w:val="auto"/>
              </w:rPr>
              <w:t>December 31, 2021</w:t>
            </w:r>
          </w:p>
        </w:tc>
        <w:tc>
          <w:tcPr>
            <w:tcW w:w="152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profit/loss in € thousand</w:t>
            </w:r>
          </w:p>
        </w:tc>
        <w:tc>
          <w:tcPr>
            <w:tcW w:w="23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-73,782</w:t>
            </w:r>
          </w:p>
        </w:tc>
        <w:tc>
          <w:tcPr>
            <w:tcW w:w="18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-45,477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Weighted-average number of ordinary shares, basic and diluted</w:t>
            </w:r>
          </w:p>
        </w:tc>
        <w:tc>
          <w:tcPr>
            <w:tcW w:w="2300" w:type="dxa"/>
            <w:vAlign w:val="bottom"/>
          </w:tcPr>
          <w:p>
            <w:pPr>
              <w:jc w:val="right"/>
              <w:ind w:right="255"/>
              <w:spacing w:after="0"/>
              <w:rPr>
                <w:sz w:val="20"/>
                <w:szCs w:val="20"/>
                <w:color w:val="auto"/>
              </w:rPr>
            </w:pPr>
            <w:r>
              <w:rPr>
                <w:rFonts w:ascii="Arial" w:cs="Arial" w:eastAsia="Arial" w:hAnsi="Arial"/>
                <w:sz w:val="18"/>
                <w:szCs w:val="18"/>
                <w:color w:val="auto"/>
              </w:rPr>
              <w:t>5,435,839</w:t>
            </w:r>
          </w:p>
        </w:tc>
        <w:tc>
          <w:tcPr>
            <w:tcW w:w="1800" w:type="dxa"/>
            <w:vAlign w:val="bottom"/>
          </w:tcPr>
          <w:p>
            <w:pPr>
              <w:jc w:val="right"/>
              <w:ind w:right="257"/>
              <w:spacing w:after="0"/>
              <w:rPr>
                <w:sz w:val="20"/>
                <w:szCs w:val="20"/>
                <w:color w:val="auto"/>
              </w:rPr>
            </w:pPr>
            <w:r>
              <w:rPr>
                <w:rFonts w:ascii="Arial" w:cs="Arial" w:eastAsia="Arial" w:hAnsi="Arial"/>
                <w:sz w:val="18"/>
                <w:szCs w:val="18"/>
                <w:color w:val="auto"/>
              </w:rPr>
              <w:t>4,250,135</w:t>
            </w:r>
          </w:p>
        </w:tc>
        <w:tc>
          <w:tcPr>
            <w:tcW w:w="1520" w:type="dxa"/>
            <w:vAlign w:val="bottom"/>
          </w:tcPr>
          <w:p>
            <w:pPr>
              <w:jc w:val="right"/>
              <w:spacing w:after="0"/>
              <w:rPr>
                <w:sz w:val="20"/>
                <w:szCs w:val="20"/>
                <w:color w:val="auto"/>
              </w:rPr>
            </w:pPr>
            <w:r>
              <w:rPr>
                <w:rFonts w:ascii="Arial" w:cs="Arial" w:eastAsia="Arial" w:hAnsi="Arial"/>
                <w:sz w:val="18"/>
                <w:szCs w:val="18"/>
                <w:color w:val="auto"/>
              </w:rPr>
              <w:t>3,349,403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in €</w:t>
            </w:r>
          </w:p>
        </w:tc>
        <w:tc>
          <w:tcPr>
            <w:tcW w:w="23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-13.57</w:t>
            </w:r>
          </w:p>
        </w:tc>
        <w:tc>
          <w:tcPr>
            <w:tcW w:w="180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-10.70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bl>
    <w:p>
      <w:pPr>
        <w:spacing w:after="0" w:line="202"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As of December 31, 2022, 45,794 RSU´s (2021: 4,289 RSU´s, 2020: 0 RSU’s) and no stock options (2021: 152,610 stock options, 2020: 104,831 stock options) were excluded from the diluted weighted average number of ordinary shares calculation because their effect would have been anti-dilutive.</w:t>
      </w:r>
    </w:p>
    <w:p>
      <w:pPr>
        <w:spacing w:after="0" w:line="12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average market value of the Company’s shares for the purpose of calculating the dilutive effect of share options was based on quoted market prices for the year during which the options were outstanding.</w:t>
      </w:r>
    </w:p>
    <w:p>
      <w:pPr>
        <w:spacing w:after="0" w:line="315"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80" w:type="dxa"/>
            <w:vAlign w:val="bottom"/>
          </w:tcPr>
          <w:p>
            <w:pPr>
              <w:jc w:val="right"/>
              <w:ind w:right="494"/>
              <w:spacing w:after="0"/>
              <w:rPr>
                <w:sz w:val="20"/>
                <w:szCs w:val="20"/>
                <w:color w:val="auto"/>
              </w:rPr>
            </w:pPr>
            <w:r>
              <w:rPr>
                <w:rFonts w:ascii="Arial" w:cs="Arial" w:eastAsia="Arial" w:hAnsi="Arial"/>
                <w:sz w:val="14"/>
                <w:szCs w:val="14"/>
                <w:color w:val="auto"/>
              </w:rPr>
              <w:t>Development</w:t>
            </w:r>
          </w:p>
        </w:tc>
        <w:tc>
          <w:tcPr>
            <w:tcW w:w="1440" w:type="dxa"/>
            <w:vAlign w:val="bottom"/>
          </w:tcPr>
          <w:p>
            <w:pPr>
              <w:jc w:val="right"/>
              <w:ind w:right="494"/>
              <w:spacing w:after="0"/>
              <w:rPr>
                <w:sz w:val="20"/>
                <w:szCs w:val="20"/>
                <w:color w:val="auto"/>
              </w:rPr>
            </w:pPr>
            <w:r>
              <w:rPr>
                <w:rFonts w:ascii="Arial" w:cs="Arial" w:eastAsia="Arial" w:hAnsi="Arial"/>
                <w:sz w:val="14"/>
                <w:szCs w:val="14"/>
                <w:color w:val="auto"/>
              </w:rPr>
              <w:t>Software and</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 thousand</w:t>
            </w:r>
          </w:p>
        </w:tc>
        <w:tc>
          <w:tcPr>
            <w:tcW w:w="2680" w:type="dxa"/>
            <w:vAlign w:val="bottom"/>
          </w:tcPr>
          <w:p>
            <w:pPr>
              <w:jc w:val="right"/>
              <w:ind w:right="734"/>
              <w:spacing w:after="0"/>
              <w:rPr>
                <w:sz w:val="20"/>
                <w:szCs w:val="20"/>
                <w:color w:val="auto"/>
              </w:rPr>
            </w:pPr>
            <w:r>
              <w:rPr>
                <w:rFonts w:ascii="Arial" w:cs="Arial" w:eastAsia="Arial" w:hAnsi="Arial"/>
                <w:sz w:val="14"/>
                <w:szCs w:val="14"/>
                <w:color w:val="auto"/>
              </w:rPr>
              <w:t>costs</w:t>
            </w:r>
          </w:p>
        </w:tc>
        <w:tc>
          <w:tcPr>
            <w:tcW w:w="1440" w:type="dxa"/>
            <w:vAlign w:val="bottom"/>
          </w:tcPr>
          <w:p>
            <w:pPr>
              <w:jc w:val="right"/>
              <w:ind w:right="654"/>
              <w:spacing w:after="0"/>
              <w:rPr>
                <w:sz w:val="20"/>
                <w:szCs w:val="20"/>
                <w:color w:val="auto"/>
              </w:rPr>
            </w:pPr>
            <w:r>
              <w:rPr>
                <w:rFonts w:ascii="Arial" w:cs="Arial" w:eastAsia="Arial" w:hAnsi="Arial"/>
                <w:sz w:val="14"/>
                <w:szCs w:val="14"/>
                <w:color w:val="auto"/>
              </w:rPr>
              <w:t>licenses</w:t>
            </w:r>
          </w:p>
        </w:tc>
        <w:tc>
          <w:tcPr>
            <w:tcW w:w="1140" w:type="dxa"/>
            <w:vAlign w:val="bottom"/>
            <w:gridSpan w:val="2"/>
          </w:tcPr>
          <w:p>
            <w:pPr>
              <w:jc w:val="right"/>
              <w:ind w:right="640"/>
              <w:spacing w:after="0"/>
              <w:rPr>
                <w:sz w:val="20"/>
                <w:szCs w:val="20"/>
                <w:color w:val="auto"/>
              </w:rPr>
            </w:pPr>
            <w:r>
              <w:rPr>
                <w:rFonts w:ascii="Arial" w:cs="Arial" w:eastAsia="Arial" w:hAnsi="Arial"/>
                <w:sz w:val="14"/>
                <w:szCs w:val="14"/>
                <w:color w:val="auto"/>
              </w:rPr>
              <w:t>Total</w:t>
            </w: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 1, 2020</w:t>
            </w:r>
          </w:p>
        </w:tc>
        <w:tc>
          <w:tcPr>
            <w:tcW w:w="2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8,695</w:t>
            </w:r>
          </w:p>
        </w:tc>
        <w:tc>
          <w:tcPr>
            <w:tcW w:w="14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286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Additions</w:t>
            </w:r>
          </w:p>
        </w:tc>
        <w:tc>
          <w:tcPr>
            <w:tcW w:w="2680" w:type="dxa"/>
            <w:vAlign w:val="bottom"/>
          </w:tcPr>
          <w:p>
            <w:pPr>
              <w:jc w:val="right"/>
              <w:ind w:right="494"/>
              <w:spacing w:after="0"/>
              <w:rPr>
                <w:sz w:val="20"/>
                <w:szCs w:val="20"/>
                <w:color w:val="auto"/>
              </w:rPr>
            </w:pPr>
            <w:r>
              <w:rPr>
                <w:rFonts w:ascii="Arial" w:cs="Arial" w:eastAsia="Arial" w:hAnsi="Arial"/>
                <w:sz w:val="18"/>
                <w:szCs w:val="18"/>
                <w:color w:val="auto"/>
              </w:rPr>
              <w:t>9,258</w:t>
            </w:r>
          </w:p>
        </w:tc>
        <w:tc>
          <w:tcPr>
            <w:tcW w:w="1440" w:type="dxa"/>
            <w:vAlign w:val="bottom"/>
          </w:tcPr>
          <w:p>
            <w:pPr>
              <w:jc w:val="right"/>
              <w:ind w:right="494"/>
              <w:spacing w:after="0"/>
              <w:rPr>
                <w:sz w:val="20"/>
                <w:szCs w:val="20"/>
                <w:color w:val="auto"/>
              </w:rPr>
            </w:pPr>
            <w:r>
              <w:rPr>
                <w:rFonts w:ascii="Arial" w:cs="Arial" w:eastAsia="Arial" w:hAnsi="Arial"/>
                <w:sz w:val="18"/>
                <w:szCs w:val="18"/>
                <w:color w:val="auto"/>
              </w:rPr>
              <w:t>61</w:t>
            </w:r>
          </w:p>
        </w:tc>
        <w:tc>
          <w:tcPr>
            <w:tcW w:w="680" w:type="dxa"/>
            <w:vAlign w:val="bottom"/>
          </w:tcPr>
          <w:p>
            <w:pPr>
              <w:jc w:val="right"/>
              <w:spacing w:after="0"/>
              <w:rPr>
                <w:sz w:val="20"/>
                <w:szCs w:val="20"/>
                <w:color w:val="auto"/>
              </w:rPr>
            </w:pPr>
            <w:r>
              <w:rPr>
                <w:rFonts w:ascii="Arial" w:cs="Arial" w:eastAsia="Arial" w:hAnsi="Arial"/>
                <w:sz w:val="18"/>
                <w:szCs w:val="18"/>
                <w:color w:val="auto"/>
              </w:rPr>
              <w:t>9,319</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 31, 2020</w:t>
            </w:r>
          </w:p>
        </w:tc>
        <w:tc>
          <w:tcPr>
            <w:tcW w:w="2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17,953</w:t>
            </w:r>
          </w:p>
        </w:tc>
        <w:tc>
          <w:tcPr>
            <w:tcW w:w="14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347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Additions</w:t>
            </w:r>
          </w:p>
        </w:tc>
        <w:tc>
          <w:tcPr>
            <w:tcW w:w="2680" w:type="dxa"/>
            <w:vAlign w:val="bottom"/>
          </w:tcPr>
          <w:p>
            <w:pPr>
              <w:jc w:val="right"/>
              <w:ind w:right="494"/>
              <w:spacing w:after="0"/>
              <w:rPr>
                <w:sz w:val="20"/>
                <w:szCs w:val="20"/>
                <w:color w:val="auto"/>
              </w:rPr>
            </w:pPr>
            <w:r>
              <w:rPr>
                <w:rFonts w:ascii="Arial" w:cs="Arial" w:eastAsia="Arial" w:hAnsi="Arial"/>
                <w:sz w:val="18"/>
                <w:szCs w:val="18"/>
                <w:color w:val="auto"/>
              </w:rPr>
              <w:t>2,924</w:t>
            </w:r>
          </w:p>
        </w:tc>
        <w:tc>
          <w:tcPr>
            <w:tcW w:w="1440" w:type="dxa"/>
            <w:vAlign w:val="bottom"/>
          </w:tcPr>
          <w:p>
            <w:pPr>
              <w:jc w:val="right"/>
              <w:ind w:right="494"/>
              <w:spacing w:after="0"/>
              <w:rPr>
                <w:sz w:val="20"/>
                <w:szCs w:val="20"/>
                <w:color w:val="auto"/>
              </w:rPr>
            </w:pPr>
            <w:r>
              <w:rPr>
                <w:rFonts w:ascii="Arial" w:cs="Arial" w:eastAsia="Arial" w:hAnsi="Arial"/>
                <w:sz w:val="18"/>
                <w:szCs w:val="18"/>
                <w:color w:val="auto"/>
              </w:rPr>
              <w:t>436</w:t>
            </w:r>
          </w:p>
        </w:tc>
        <w:tc>
          <w:tcPr>
            <w:tcW w:w="680" w:type="dxa"/>
            <w:vAlign w:val="bottom"/>
          </w:tcPr>
          <w:p>
            <w:pPr>
              <w:jc w:val="right"/>
              <w:spacing w:after="0"/>
              <w:rPr>
                <w:sz w:val="20"/>
                <w:szCs w:val="20"/>
                <w:color w:val="auto"/>
              </w:rPr>
            </w:pPr>
            <w:r>
              <w:rPr>
                <w:rFonts w:ascii="Arial" w:cs="Arial" w:eastAsia="Arial" w:hAnsi="Arial"/>
                <w:sz w:val="18"/>
                <w:szCs w:val="18"/>
                <w:color w:val="auto"/>
              </w:rPr>
              <w:t>3,360</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Balance as of Dec. 31, 2021</w:t>
            </w:r>
          </w:p>
        </w:tc>
        <w:tc>
          <w:tcPr>
            <w:tcW w:w="2680" w:type="dxa"/>
            <w:vAlign w:val="bottom"/>
          </w:tcPr>
          <w:p>
            <w:pPr>
              <w:jc w:val="right"/>
              <w:ind w:right="494"/>
              <w:spacing w:after="0"/>
              <w:rPr>
                <w:sz w:val="20"/>
                <w:szCs w:val="20"/>
                <w:color w:val="auto"/>
              </w:rPr>
            </w:pPr>
            <w:r>
              <w:rPr>
                <w:rFonts w:ascii="Arial" w:cs="Arial" w:eastAsia="Arial" w:hAnsi="Arial"/>
                <w:sz w:val="18"/>
                <w:szCs w:val="18"/>
                <w:color w:val="auto"/>
              </w:rPr>
              <w:t>20,877</w:t>
            </w:r>
          </w:p>
        </w:tc>
        <w:tc>
          <w:tcPr>
            <w:tcW w:w="1440" w:type="dxa"/>
            <w:vAlign w:val="bottom"/>
          </w:tcPr>
          <w:p>
            <w:pPr>
              <w:jc w:val="right"/>
              <w:ind w:right="494"/>
              <w:spacing w:after="0"/>
              <w:rPr>
                <w:sz w:val="20"/>
                <w:szCs w:val="20"/>
                <w:color w:val="auto"/>
              </w:rPr>
            </w:pPr>
            <w:r>
              <w:rPr>
                <w:rFonts w:ascii="Arial" w:cs="Arial" w:eastAsia="Arial" w:hAnsi="Arial"/>
                <w:sz w:val="18"/>
                <w:szCs w:val="18"/>
                <w:color w:val="auto"/>
              </w:rPr>
              <w:t>774</w:t>
            </w:r>
          </w:p>
        </w:tc>
        <w:tc>
          <w:tcPr>
            <w:tcW w:w="680" w:type="dxa"/>
            <w:vAlign w:val="bottom"/>
          </w:tcPr>
          <w:p>
            <w:pPr>
              <w:jc w:val="right"/>
              <w:spacing w:after="0"/>
              <w:rPr>
                <w:sz w:val="20"/>
                <w:szCs w:val="20"/>
                <w:color w:val="auto"/>
              </w:rPr>
            </w:pPr>
            <w:r>
              <w:rPr>
                <w:rFonts w:ascii="Arial" w:cs="Arial" w:eastAsia="Arial" w:hAnsi="Arial"/>
                <w:sz w:val="18"/>
                <w:szCs w:val="18"/>
                <w:color w:val="auto"/>
              </w:rPr>
              <w:t>21,651</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1,023</w:t>
            </w:r>
          </w:p>
        </w:tc>
        <w:tc>
          <w:tcPr>
            <w:tcW w:w="14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4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Balance as of Dec. 31, 2022</w:t>
            </w:r>
          </w:p>
        </w:tc>
        <w:tc>
          <w:tcPr>
            <w:tcW w:w="2680" w:type="dxa"/>
            <w:vAlign w:val="bottom"/>
          </w:tcPr>
          <w:p>
            <w:pPr>
              <w:jc w:val="right"/>
              <w:ind w:right="494"/>
              <w:spacing w:after="0"/>
              <w:rPr>
                <w:sz w:val="20"/>
                <w:szCs w:val="20"/>
                <w:color w:val="auto"/>
              </w:rPr>
            </w:pPr>
            <w:r>
              <w:rPr>
                <w:rFonts w:ascii="Arial" w:cs="Arial" w:eastAsia="Arial" w:hAnsi="Arial"/>
                <w:sz w:val="18"/>
                <w:szCs w:val="18"/>
                <w:color w:val="auto"/>
              </w:rPr>
              <w:t>21,900</w:t>
            </w:r>
          </w:p>
        </w:tc>
        <w:tc>
          <w:tcPr>
            <w:tcW w:w="1440" w:type="dxa"/>
            <w:vAlign w:val="bottom"/>
          </w:tcPr>
          <w:p>
            <w:pPr>
              <w:jc w:val="right"/>
              <w:ind w:right="494"/>
              <w:spacing w:after="0"/>
              <w:rPr>
                <w:sz w:val="20"/>
                <w:szCs w:val="20"/>
                <w:color w:val="auto"/>
              </w:rPr>
            </w:pPr>
            <w:r>
              <w:rPr>
                <w:rFonts w:ascii="Arial" w:cs="Arial" w:eastAsia="Arial" w:hAnsi="Arial"/>
                <w:sz w:val="18"/>
                <w:szCs w:val="18"/>
                <w:color w:val="auto"/>
              </w:rPr>
              <w:t>916</w:t>
            </w:r>
          </w:p>
        </w:tc>
        <w:tc>
          <w:tcPr>
            <w:tcW w:w="680" w:type="dxa"/>
            <w:vAlign w:val="bottom"/>
          </w:tcPr>
          <w:p>
            <w:pPr>
              <w:jc w:val="right"/>
              <w:spacing w:after="0"/>
              <w:rPr>
                <w:sz w:val="20"/>
                <w:szCs w:val="20"/>
                <w:color w:val="auto"/>
              </w:rPr>
            </w:pPr>
            <w:r>
              <w:rPr>
                <w:rFonts w:ascii="Arial" w:cs="Arial" w:eastAsia="Arial" w:hAnsi="Arial"/>
                <w:sz w:val="18"/>
                <w:szCs w:val="18"/>
                <w:color w:val="auto"/>
              </w:rPr>
              <w:t>22,816</w:t>
            </w:r>
          </w:p>
        </w:tc>
        <w:tc>
          <w:tcPr>
            <w:tcW w:w="460" w:type="dxa"/>
            <w:vAlign w:val="bottom"/>
          </w:tcPr>
          <w:p>
            <w:pPr>
              <w:spacing w:after="0"/>
              <w:rPr>
                <w:sz w:val="20"/>
                <w:szCs w:val="20"/>
                <w:color w:val="auto"/>
              </w:rPr>
            </w:pPr>
          </w:p>
        </w:tc>
      </w:tr>
      <w:tr>
        <w:trPr>
          <w:trHeight w:val="526"/>
        </w:trPr>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Amortization and Impairment</w:t>
            </w:r>
          </w:p>
        </w:tc>
        <w:tc>
          <w:tcPr>
            <w:tcW w:w="2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73"/>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80" w:type="dxa"/>
            <w:vAlign w:val="bottom"/>
          </w:tcPr>
          <w:p>
            <w:pPr>
              <w:jc w:val="right"/>
              <w:ind w:right="374"/>
              <w:spacing w:after="0"/>
              <w:rPr>
                <w:sz w:val="20"/>
                <w:szCs w:val="20"/>
                <w:color w:val="auto"/>
              </w:rPr>
            </w:pPr>
            <w:r>
              <w:rPr>
                <w:rFonts w:ascii="Arial" w:cs="Arial" w:eastAsia="Arial" w:hAnsi="Arial"/>
                <w:sz w:val="14"/>
                <w:szCs w:val="14"/>
                <w:color w:val="auto"/>
              </w:rPr>
              <w:t>Development</w:t>
            </w:r>
          </w:p>
        </w:tc>
        <w:tc>
          <w:tcPr>
            <w:tcW w:w="1440" w:type="dxa"/>
            <w:vAlign w:val="bottom"/>
          </w:tcPr>
          <w:p>
            <w:pPr>
              <w:jc w:val="right"/>
              <w:ind w:right="394"/>
              <w:spacing w:after="0"/>
              <w:rPr>
                <w:sz w:val="20"/>
                <w:szCs w:val="20"/>
                <w:color w:val="auto"/>
              </w:rPr>
            </w:pPr>
            <w:r>
              <w:rPr>
                <w:rFonts w:ascii="Arial" w:cs="Arial" w:eastAsia="Arial" w:hAnsi="Arial"/>
                <w:sz w:val="14"/>
                <w:szCs w:val="14"/>
                <w:color w:val="auto"/>
              </w:rPr>
              <w:t>Software and</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 thousand</w:t>
            </w:r>
          </w:p>
        </w:tc>
        <w:tc>
          <w:tcPr>
            <w:tcW w:w="2680" w:type="dxa"/>
            <w:vAlign w:val="bottom"/>
          </w:tcPr>
          <w:p>
            <w:pPr>
              <w:jc w:val="right"/>
              <w:ind w:right="634"/>
              <w:spacing w:after="0"/>
              <w:rPr>
                <w:sz w:val="20"/>
                <w:szCs w:val="20"/>
                <w:color w:val="auto"/>
              </w:rPr>
            </w:pPr>
            <w:r>
              <w:rPr>
                <w:rFonts w:ascii="Arial" w:cs="Arial" w:eastAsia="Arial" w:hAnsi="Arial"/>
                <w:sz w:val="14"/>
                <w:szCs w:val="14"/>
                <w:color w:val="auto"/>
              </w:rPr>
              <w:t>costs</w:t>
            </w:r>
          </w:p>
        </w:tc>
        <w:tc>
          <w:tcPr>
            <w:tcW w:w="1440" w:type="dxa"/>
            <w:vAlign w:val="bottom"/>
          </w:tcPr>
          <w:p>
            <w:pPr>
              <w:jc w:val="right"/>
              <w:ind w:right="554"/>
              <w:spacing w:after="0"/>
              <w:rPr>
                <w:sz w:val="20"/>
                <w:szCs w:val="20"/>
                <w:color w:val="auto"/>
              </w:rPr>
            </w:pPr>
            <w:r>
              <w:rPr>
                <w:rFonts w:ascii="Arial" w:cs="Arial" w:eastAsia="Arial" w:hAnsi="Arial"/>
                <w:sz w:val="14"/>
                <w:szCs w:val="14"/>
                <w:color w:val="auto"/>
              </w:rPr>
              <w:t>licenses</w:t>
            </w:r>
          </w:p>
        </w:tc>
        <w:tc>
          <w:tcPr>
            <w:tcW w:w="1140" w:type="dxa"/>
            <w:vAlign w:val="bottom"/>
            <w:gridSpan w:val="2"/>
          </w:tcPr>
          <w:p>
            <w:pPr>
              <w:jc w:val="right"/>
              <w:ind w:right="580"/>
              <w:spacing w:after="0"/>
              <w:rPr>
                <w:sz w:val="20"/>
                <w:szCs w:val="20"/>
                <w:color w:val="auto"/>
              </w:rPr>
            </w:pPr>
            <w:r>
              <w:rPr>
                <w:rFonts w:ascii="Arial" w:cs="Arial" w:eastAsia="Arial" w:hAnsi="Arial"/>
                <w:sz w:val="14"/>
                <w:szCs w:val="14"/>
                <w:color w:val="auto"/>
              </w:rPr>
              <w:t>Total</w:t>
            </w: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 1, 2020</w:t>
            </w:r>
          </w:p>
        </w:tc>
        <w:tc>
          <w:tcPr>
            <w:tcW w:w="26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Amortization for the year</w:t>
            </w:r>
          </w:p>
        </w:tc>
        <w:tc>
          <w:tcPr>
            <w:tcW w:w="2680" w:type="dxa"/>
            <w:vAlign w:val="bottom"/>
          </w:tcPr>
          <w:p>
            <w:pPr>
              <w:jc w:val="right"/>
              <w:ind w:right="374"/>
              <w:spacing w:after="0"/>
              <w:rPr>
                <w:sz w:val="20"/>
                <w:szCs w:val="20"/>
                <w:color w:val="auto"/>
              </w:rPr>
            </w:pPr>
            <w:r>
              <w:rPr>
                <w:rFonts w:ascii="Arial" w:cs="Arial" w:eastAsia="Arial" w:hAnsi="Arial"/>
                <w:sz w:val="18"/>
                <w:szCs w:val="18"/>
                <w:color w:val="auto"/>
              </w:rPr>
              <w:t>158</w:t>
            </w:r>
          </w:p>
        </w:tc>
        <w:tc>
          <w:tcPr>
            <w:tcW w:w="1440" w:type="dxa"/>
            <w:vAlign w:val="bottom"/>
          </w:tcPr>
          <w:p>
            <w:pPr>
              <w:jc w:val="right"/>
              <w:ind w:right="394"/>
              <w:spacing w:after="0"/>
              <w:rPr>
                <w:sz w:val="20"/>
                <w:szCs w:val="20"/>
                <w:color w:val="auto"/>
              </w:rPr>
            </w:pPr>
            <w:r>
              <w:rPr>
                <w:rFonts w:ascii="Arial" w:cs="Arial" w:eastAsia="Arial" w:hAnsi="Arial"/>
                <w:sz w:val="18"/>
                <w:szCs w:val="18"/>
                <w:color w:val="auto"/>
              </w:rPr>
              <w:t>57</w:t>
            </w: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 31, 2020</w:t>
            </w:r>
          </w:p>
        </w:tc>
        <w:tc>
          <w:tcPr>
            <w:tcW w:w="26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158</w:t>
            </w:r>
          </w:p>
        </w:tc>
        <w:tc>
          <w:tcPr>
            <w:tcW w:w="14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Amortization for the year</w:t>
            </w:r>
          </w:p>
        </w:tc>
        <w:tc>
          <w:tcPr>
            <w:tcW w:w="2680" w:type="dxa"/>
            <w:vAlign w:val="bottom"/>
          </w:tcPr>
          <w:p>
            <w:pPr>
              <w:jc w:val="right"/>
              <w:ind w:right="374"/>
              <w:spacing w:after="0"/>
              <w:rPr>
                <w:sz w:val="20"/>
                <w:szCs w:val="20"/>
                <w:color w:val="auto"/>
              </w:rPr>
            </w:pPr>
            <w:r>
              <w:rPr>
                <w:rFonts w:ascii="Arial" w:cs="Arial" w:eastAsia="Arial" w:hAnsi="Arial"/>
                <w:sz w:val="18"/>
                <w:szCs w:val="18"/>
                <w:color w:val="auto"/>
              </w:rPr>
              <w:t>1,174</w:t>
            </w:r>
          </w:p>
        </w:tc>
        <w:tc>
          <w:tcPr>
            <w:tcW w:w="1440" w:type="dxa"/>
            <w:vAlign w:val="bottom"/>
          </w:tcPr>
          <w:p>
            <w:pPr>
              <w:jc w:val="right"/>
              <w:ind w:right="394"/>
              <w:spacing w:after="0"/>
              <w:rPr>
                <w:sz w:val="20"/>
                <w:szCs w:val="20"/>
                <w:color w:val="auto"/>
              </w:rPr>
            </w:pPr>
            <w:r>
              <w:rPr>
                <w:rFonts w:ascii="Arial" w:cs="Arial" w:eastAsia="Arial" w:hAnsi="Arial"/>
                <w:sz w:val="18"/>
                <w:szCs w:val="18"/>
                <w:color w:val="auto"/>
              </w:rPr>
              <w:t>93</w:t>
            </w:r>
          </w:p>
        </w:tc>
        <w:tc>
          <w:tcPr>
            <w:tcW w:w="680" w:type="dxa"/>
            <w:vAlign w:val="bottom"/>
          </w:tcPr>
          <w:p>
            <w:pPr>
              <w:jc w:val="right"/>
              <w:spacing w:after="0"/>
              <w:rPr>
                <w:sz w:val="20"/>
                <w:szCs w:val="20"/>
                <w:color w:val="auto"/>
              </w:rPr>
            </w:pPr>
            <w:r>
              <w:rPr>
                <w:rFonts w:ascii="Arial" w:cs="Arial" w:eastAsia="Arial" w:hAnsi="Arial"/>
                <w:sz w:val="18"/>
                <w:szCs w:val="18"/>
                <w:color w:val="auto"/>
              </w:rPr>
              <w:t>1,267</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Balance as of Dec. 31, 2021</w:t>
            </w:r>
          </w:p>
        </w:tc>
        <w:tc>
          <w:tcPr>
            <w:tcW w:w="2680" w:type="dxa"/>
            <w:vAlign w:val="bottom"/>
          </w:tcPr>
          <w:p>
            <w:pPr>
              <w:jc w:val="right"/>
              <w:ind w:right="374"/>
              <w:spacing w:after="0"/>
              <w:rPr>
                <w:sz w:val="20"/>
                <w:szCs w:val="20"/>
                <w:color w:val="auto"/>
              </w:rPr>
            </w:pPr>
            <w:r>
              <w:rPr>
                <w:rFonts w:ascii="Arial" w:cs="Arial" w:eastAsia="Arial" w:hAnsi="Arial"/>
                <w:sz w:val="18"/>
                <w:szCs w:val="18"/>
                <w:color w:val="auto"/>
              </w:rPr>
              <w:t>1,332</w:t>
            </w:r>
          </w:p>
        </w:tc>
        <w:tc>
          <w:tcPr>
            <w:tcW w:w="1440" w:type="dxa"/>
            <w:vAlign w:val="bottom"/>
          </w:tcPr>
          <w:p>
            <w:pPr>
              <w:jc w:val="right"/>
              <w:ind w:right="394"/>
              <w:spacing w:after="0"/>
              <w:rPr>
                <w:sz w:val="20"/>
                <w:szCs w:val="20"/>
                <w:color w:val="auto"/>
              </w:rPr>
            </w:pPr>
            <w:r>
              <w:rPr>
                <w:rFonts w:ascii="Arial" w:cs="Arial" w:eastAsia="Arial" w:hAnsi="Arial"/>
                <w:sz w:val="18"/>
                <w:szCs w:val="18"/>
                <w:color w:val="auto"/>
              </w:rPr>
              <w:t>350</w:t>
            </w:r>
          </w:p>
        </w:tc>
        <w:tc>
          <w:tcPr>
            <w:tcW w:w="680" w:type="dxa"/>
            <w:vAlign w:val="bottom"/>
          </w:tcPr>
          <w:p>
            <w:pPr>
              <w:jc w:val="right"/>
              <w:spacing w:after="0"/>
              <w:rPr>
                <w:sz w:val="20"/>
                <w:szCs w:val="20"/>
                <w:color w:val="auto"/>
              </w:rPr>
            </w:pPr>
            <w:r>
              <w:rPr>
                <w:rFonts w:ascii="Arial" w:cs="Arial" w:eastAsia="Arial" w:hAnsi="Arial"/>
                <w:sz w:val="18"/>
                <w:szCs w:val="18"/>
                <w:color w:val="auto"/>
              </w:rPr>
              <w:t>1,682</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for the year</w:t>
            </w:r>
          </w:p>
        </w:tc>
        <w:tc>
          <w:tcPr>
            <w:tcW w:w="26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1,359</w:t>
            </w:r>
          </w:p>
        </w:tc>
        <w:tc>
          <w:tcPr>
            <w:tcW w:w="14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Impairment for the year</w:t>
            </w:r>
          </w:p>
        </w:tc>
        <w:tc>
          <w:tcPr>
            <w:tcW w:w="2680" w:type="dxa"/>
            <w:vAlign w:val="bottom"/>
          </w:tcPr>
          <w:p>
            <w:pPr>
              <w:jc w:val="right"/>
              <w:ind w:right="374"/>
              <w:spacing w:after="0"/>
              <w:rPr>
                <w:sz w:val="20"/>
                <w:szCs w:val="20"/>
                <w:color w:val="auto"/>
              </w:rPr>
            </w:pPr>
            <w:r>
              <w:rPr>
                <w:rFonts w:ascii="Arial" w:cs="Arial" w:eastAsia="Arial" w:hAnsi="Arial"/>
                <w:sz w:val="18"/>
                <w:szCs w:val="18"/>
                <w:color w:val="auto"/>
              </w:rPr>
              <w:t>1,531</w:t>
            </w:r>
          </w:p>
        </w:tc>
        <w:tc>
          <w:tcPr>
            <w:tcW w:w="1440" w:type="dxa"/>
            <w:vAlign w:val="bottom"/>
          </w:tcPr>
          <w:p>
            <w:pPr>
              <w:jc w:val="right"/>
              <w:ind w:right="394"/>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1,531</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 31, 2022</w:t>
            </w:r>
          </w:p>
        </w:tc>
        <w:tc>
          <w:tcPr>
            <w:tcW w:w="26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4,222</w:t>
            </w:r>
          </w:p>
        </w:tc>
        <w:tc>
          <w:tcPr>
            <w:tcW w:w="14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460" w:type="dxa"/>
            <w:vAlign w:val="bottom"/>
          </w:tcPr>
          <w:p>
            <w:pPr>
              <w:spacing w:after="0"/>
              <w:rPr>
                <w:sz w:val="18"/>
                <w:szCs w:val="18"/>
                <w:color w:val="auto"/>
              </w:rPr>
            </w:pPr>
          </w:p>
        </w:tc>
      </w:tr>
      <w:tr>
        <w:trPr>
          <w:trHeight w:val="540"/>
        </w:trPr>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2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73"/>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80" w:type="dxa"/>
            <w:vAlign w:val="bottom"/>
          </w:tcPr>
          <w:p>
            <w:pPr>
              <w:jc w:val="right"/>
              <w:ind w:right="14"/>
              <w:spacing w:after="0"/>
              <w:rPr>
                <w:sz w:val="20"/>
                <w:szCs w:val="20"/>
                <w:color w:val="auto"/>
              </w:rPr>
            </w:pPr>
            <w:r>
              <w:rPr>
                <w:rFonts w:ascii="Arial" w:cs="Arial" w:eastAsia="Arial" w:hAnsi="Arial"/>
                <w:sz w:val="14"/>
                <w:szCs w:val="14"/>
                <w:color w:val="auto"/>
              </w:rPr>
              <w:t>Development</w:t>
            </w: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Software and</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7"/>
        </w:trPr>
        <w:tc>
          <w:tcPr>
            <w:tcW w:w="4880" w:type="dxa"/>
            <w:vAlign w:val="bottom"/>
            <w:gridSpan w:val="3"/>
          </w:tcPr>
          <w:p>
            <w:pPr>
              <w:ind w:left="880"/>
              <w:spacing w:after="0"/>
              <w:rPr>
                <w:sz w:val="20"/>
                <w:szCs w:val="20"/>
                <w:color w:val="auto"/>
              </w:rPr>
            </w:pPr>
            <w:r>
              <w:rPr>
                <w:rFonts w:ascii="Arial" w:cs="Arial" w:eastAsia="Arial" w:hAnsi="Arial"/>
                <w:sz w:val="14"/>
                <w:szCs w:val="14"/>
                <w:color w:val="auto"/>
              </w:rPr>
              <w:t>€ thousand</w:t>
            </w:r>
          </w:p>
        </w:tc>
        <w:tc>
          <w:tcPr>
            <w:tcW w:w="2680" w:type="dxa"/>
            <w:vAlign w:val="bottom"/>
          </w:tcPr>
          <w:p>
            <w:pPr>
              <w:jc w:val="right"/>
              <w:ind w:right="274"/>
              <w:spacing w:after="0"/>
              <w:rPr>
                <w:sz w:val="20"/>
                <w:szCs w:val="20"/>
                <w:color w:val="auto"/>
              </w:rPr>
            </w:pPr>
            <w:r>
              <w:rPr>
                <w:rFonts w:ascii="Arial" w:cs="Arial" w:eastAsia="Arial" w:hAnsi="Arial"/>
                <w:sz w:val="14"/>
                <w:szCs w:val="14"/>
                <w:color w:val="auto"/>
              </w:rPr>
              <w:t>costs</w:t>
            </w:r>
          </w:p>
        </w:tc>
        <w:tc>
          <w:tcPr>
            <w:tcW w:w="1440" w:type="dxa"/>
            <w:vAlign w:val="bottom"/>
          </w:tcPr>
          <w:p>
            <w:pPr>
              <w:jc w:val="right"/>
              <w:ind w:right="194"/>
              <w:spacing w:after="0"/>
              <w:rPr>
                <w:sz w:val="20"/>
                <w:szCs w:val="20"/>
                <w:color w:val="auto"/>
              </w:rPr>
            </w:pPr>
            <w:r>
              <w:rPr>
                <w:rFonts w:ascii="Arial" w:cs="Arial" w:eastAsia="Arial" w:hAnsi="Arial"/>
                <w:sz w:val="14"/>
                <w:szCs w:val="14"/>
                <w:color w:val="auto"/>
              </w:rPr>
              <w:t>licenses</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r>
      <w:tr>
        <w:trPr>
          <w:trHeight w:val="216"/>
        </w:trPr>
        <w:tc>
          <w:tcPr>
            <w:tcW w:w="88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as of Dec. 31, 2020</w:t>
            </w:r>
          </w:p>
        </w:tc>
        <w:tc>
          <w:tcPr>
            <w:tcW w:w="2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17,795</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17,884</w:t>
            </w:r>
          </w:p>
        </w:tc>
      </w:tr>
      <w:tr>
        <w:trPr>
          <w:trHeight w:val="216"/>
        </w:trPr>
        <w:tc>
          <w:tcPr>
            <w:tcW w:w="8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Carrying amount as of Dec. 31, 2021</w:t>
            </w:r>
          </w:p>
        </w:tc>
        <w:tc>
          <w:tcPr>
            <w:tcW w:w="2680" w:type="dxa"/>
            <w:vAlign w:val="bottom"/>
          </w:tcPr>
          <w:p>
            <w:pPr>
              <w:jc w:val="right"/>
              <w:ind w:right="14"/>
              <w:spacing w:after="0"/>
              <w:rPr>
                <w:sz w:val="20"/>
                <w:szCs w:val="20"/>
                <w:color w:val="auto"/>
              </w:rPr>
            </w:pPr>
            <w:r>
              <w:rPr>
                <w:rFonts w:ascii="Arial" w:cs="Arial" w:eastAsia="Arial" w:hAnsi="Arial"/>
                <w:sz w:val="18"/>
                <w:szCs w:val="18"/>
                <w:color w:val="auto"/>
              </w:rPr>
              <w:t>19,545</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19,969</w:t>
            </w:r>
          </w:p>
        </w:tc>
      </w:tr>
      <w:tr>
        <w:trPr>
          <w:trHeight w:val="216"/>
        </w:trPr>
        <w:tc>
          <w:tcPr>
            <w:tcW w:w="88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as of Dec. 31, 2022</w:t>
            </w:r>
          </w:p>
        </w:tc>
        <w:tc>
          <w:tcPr>
            <w:tcW w:w="2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17,678</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18,058</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year ended December 31, 2022, development costs in the amount of €18,019 thousand (2021: €17,830 thousand, 2020: €6,203 thousand)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were recognized as an expense since the criteria set out in IAS 38.57 were not met. Of the total amount of €18,986 thousand (2021: €20,675 thousand,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€14,449 thousand), development costs of €967 thousand (2021: €2,845 thousand, 2020: €8,248 thousand) were capitalized.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Capitalized development costs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Group mainly capitalized development costs for the development of the CONDOR MEO in the year ended December 31, 2022. However, the CONDOR MEO technology was subsequently impaired in the amount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86" w:right="4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€1,531 thousand. In the year ended December 31, 2021, the group capitalized costs for the development of the basic SPACE technology, which represent the technological foundation for the CONDOR products, as well as for the development of the CONDOR MEO.</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further development of the CONDOR MEO technology is since October 2022 under re-evaluation. The development of this adaption of the CONDOR technology was developed in connection with a customer’s contract. This contract was breached by the customer and therefore terminated by Mynaric. In this context, Mynaric re-evaluated the scenarios regarding the technology’s future and the completion of the development of the CONDOR MEO product variant. Result of the re-evaluation was to focus the currently available resources on the other products and to prioritize the completion of the development of these existing products and ramp up their serial production. Subsequently, the total capitalized costs in the amount of €1,531 thousand were impaired.</w:t>
      </w:r>
    </w:p>
    <w:p>
      <w:pPr>
        <w:spacing w:after="0" w:line="19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 year ended December 31, 2022, finance expenses in the amount of €56 thousand (2021: €79 thousand, 2020: €1,010 thousand) were capitalized as the cost of the development projects in accordance with IAS 23.</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amounts of the capitalized development projects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 thousand</w:t>
            </w:r>
          </w:p>
        </w:tc>
        <w:tc>
          <w:tcPr>
            <w:tcW w:w="3060" w:type="dxa"/>
            <w:vAlign w:val="bottom"/>
          </w:tcPr>
          <w:p>
            <w:pPr>
              <w:jc w:val="right"/>
              <w:ind w:right="215"/>
              <w:spacing w:after="0"/>
              <w:rPr>
                <w:sz w:val="20"/>
                <w:szCs w:val="20"/>
                <w:color w:val="auto"/>
              </w:rPr>
            </w:pPr>
            <w:r>
              <w:rPr>
                <w:rFonts w:ascii="Arial" w:cs="Arial" w:eastAsia="Arial" w:hAnsi="Arial"/>
                <w:sz w:val="14"/>
                <w:szCs w:val="14"/>
                <w:color w:val="auto"/>
              </w:rPr>
              <w:t>Space</w:t>
            </w:r>
          </w:p>
        </w:tc>
        <w:tc>
          <w:tcPr>
            <w:tcW w:w="800" w:type="dxa"/>
            <w:vAlign w:val="bottom"/>
          </w:tcPr>
          <w:p>
            <w:pPr>
              <w:jc w:val="right"/>
              <w:ind w:right="235"/>
              <w:spacing w:after="0"/>
              <w:rPr>
                <w:sz w:val="20"/>
                <w:szCs w:val="20"/>
                <w:color w:val="auto"/>
              </w:rPr>
            </w:pPr>
            <w:r>
              <w:rPr>
                <w:rFonts w:ascii="Arial" w:cs="Arial" w:eastAsia="Arial" w:hAnsi="Arial"/>
                <w:sz w:val="14"/>
                <w:szCs w:val="14"/>
                <w:color w:val="auto"/>
              </w:rPr>
              <w:t>Air</w:t>
            </w:r>
          </w:p>
        </w:tc>
        <w:tc>
          <w:tcPr>
            <w:tcW w:w="1380" w:type="dxa"/>
            <w:vAlign w:val="bottom"/>
          </w:tcPr>
          <w:p>
            <w:pPr>
              <w:jc w:val="right"/>
              <w:ind w:right="135"/>
              <w:spacing w:after="0"/>
              <w:rPr>
                <w:sz w:val="20"/>
                <w:szCs w:val="20"/>
                <w:color w:val="auto"/>
              </w:rPr>
            </w:pPr>
            <w:r>
              <w:rPr>
                <w:rFonts w:ascii="Arial" w:cs="Arial" w:eastAsia="Arial" w:hAnsi="Arial"/>
                <w:sz w:val="14"/>
                <w:szCs w:val="14"/>
                <w:color w:val="auto"/>
              </w:rPr>
              <w:t>CONDOR MEO</w:t>
            </w: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Total</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 31, 2020</w:t>
            </w:r>
          </w:p>
        </w:tc>
        <w:tc>
          <w:tcPr>
            <w:tcW w:w="3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13,552</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4,243</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Carrying amount as of Dec. 31, 2021</w:t>
            </w:r>
          </w:p>
        </w:tc>
        <w:tc>
          <w:tcPr>
            <w:tcW w:w="3060" w:type="dxa"/>
            <w:vAlign w:val="bottom"/>
          </w:tcPr>
          <w:p>
            <w:pPr>
              <w:jc w:val="right"/>
              <w:ind w:right="115"/>
              <w:spacing w:after="0"/>
              <w:rPr>
                <w:sz w:val="20"/>
                <w:szCs w:val="20"/>
                <w:color w:val="auto"/>
              </w:rPr>
            </w:pPr>
            <w:r>
              <w:rPr>
                <w:rFonts w:ascii="Arial" w:cs="Arial" w:eastAsia="Arial" w:hAnsi="Arial"/>
                <w:sz w:val="18"/>
                <w:szCs w:val="18"/>
                <w:color w:val="auto"/>
              </w:rPr>
              <w:t>15,072</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3,965</w:t>
            </w: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508</w:t>
            </w:r>
          </w:p>
        </w:tc>
        <w:tc>
          <w:tcPr>
            <w:tcW w:w="760" w:type="dxa"/>
            <w:vAlign w:val="bottom"/>
          </w:tcPr>
          <w:p>
            <w:pPr>
              <w:jc w:val="right"/>
              <w:spacing w:after="0"/>
              <w:rPr>
                <w:sz w:val="20"/>
                <w:szCs w:val="20"/>
                <w:color w:val="auto"/>
              </w:rPr>
            </w:pPr>
            <w:r>
              <w:rPr>
                <w:rFonts w:ascii="Arial" w:cs="Arial" w:eastAsia="Arial" w:hAnsi="Arial"/>
                <w:sz w:val="18"/>
                <w:szCs w:val="18"/>
                <w:color w:val="auto"/>
              </w:rPr>
              <w:t>19,545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 31, 2022</w:t>
            </w:r>
          </w:p>
        </w:tc>
        <w:tc>
          <w:tcPr>
            <w:tcW w:w="3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13,998</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3,681</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remaining useful life of the capitalized development projects were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620" w:type="dxa"/>
            <w:vAlign w:val="bottom"/>
          </w:tcPr>
          <w:p>
            <w:pPr>
              <w:spacing w:after="0"/>
              <w:rPr>
                <w:sz w:val="20"/>
                <w:szCs w:val="20"/>
                <w:color w:val="auto"/>
              </w:rPr>
            </w:pPr>
            <w:r>
              <w:rPr>
                <w:rFonts w:ascii="Arial" w:cs="Arial" w:eastAsia="Arial" w:hAnsi="Arial"/>
                <w:sz w:val="14"/>
                <w:szCs w:val="14"/>
                <w:color w:val="auto"/>
              </w:rPr>
              <w:t>in years</w:t>
            </w:r>
          </w:p>
        </w:tc>
        <w:tc>
          <w:tcPr>
            <w:tcW w:w="2320" w:type="dxa"/>
            <w:vAlign w:val="bottom"/>
          </w:tcPr>
          <w:p>
            <w:pPr>
              <w:jc w:val="right"/>
              <w:ind w:right="275"/>
              <w:spacing w:after="0"/>
              <w:rPr>
                <w:sz w:val="20"/>
                <w:szCs w:val="20"/>
                <w:color w:val="auto"/>
              </w:rPr>
            </w:pPr>
            <w:r>
              <w:rPr>
                <w:rFonts w:ascii="Arial" w:cs="Arial" w:eastAsia="Arial" w:hAnsi="Arial"/>
                <w:sz w:val="14"/>
                <w:szCs w:val="14"/>
                <w:color w:val="auto"/>
              </w:rPr>
              <w:t>Space</w:t>
            </w:r>
          </w:p>
        </w:tc>
        <w:tc>
          <w:tcPr>
            <w:tcW w:w="980" w:type="dxa"/>
            <w:vAlign w:val="bottom"/>
          </w:tcPr>
          <w:p>
            <w:pPr>
              <w:jc w:val="right"/>
              <w:ind w:right="335"/>
              <w:spacing w:after="0"/>
              <w:rPr>
                <w:sz w:val="20"/>
                <w:szCs w:val="20"/>
                <w:color w:val="auto"/>
              </w:rPr>
            </w:pPr>
            <w:r>
              <w:rPr>
                <w:rFonts w:ascii="Arial" w:cs="Arial" w:eastAsia="Arial" w:hAnsi="Arial"/>
                <w:sz w:val="14"/>
                <w:szCs w:val="14"/>
                <w:color w:val="auto"/>
              </w:rPr>
              <w:t>Air</w:t>
            </w:r>
          </w:p>
        </w:tc>
        <w:tc>
          <w:tcPr>
            <w:tcW w:w="1340" w:type="dxa"/>
            <w:vAlign w:val="bottom"/>
          </w:tcPr>
          <w:p>
            <w:pPr>
              <w:jc w:val="right"/>
              <w:spacing w:after="0"/>
              <w:rPr>
                <w:sz w:val="20"/>
                <w:szCs w:val="20"/>
                <w:color w:val="auto"/>
              </w:rPr>
            </w:pPr>
            <w:r>
              <w:rPr>
                <w:rFonts w:ascii="Arial" w:cs="Arial" w:eastAsia="Arial" w:hAnsi="Arial"/>
                <w:sz w:val="14"/>
                <w:szCs w:val="14"/>
                <w:color w:val="auto"/>
              </w:rPr>
              <w:t>CONDOR MEO</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Remaining useful life as of Dec. 31, 2020</w:t>
            </w:r>
          </w:p>
        </w:tc>
        <w:tc>
          <w:tcPr>
            <w:tcW w:w="23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14.5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Remaining useful life as of Dec. 31, 2021</w:t>
            </w:r>
          </w:p>
        </w:tc>
        <w:tc>
          <w:tcPr>
            <w:tcW w:w="2320" w:type="dxa"/>
            <w:vAlign w:val="bottom"/>
          </w:tcPr>
          <w:p>
            <w:pPr>
              <w:jc w:val="right"/>
              <w:ind w:right="255"/>
              <w:spacing w:after="0"/>
              <w:rPr>
                <w:sz w:val="20"/>
                <w:szCs w:val="20"/>
                <w:color w:val="auto"/>
              </w:rPr>
            </w:pPr>
            <w:r>
              <w:rPr>
                <w:rFonts w:ascii="Arial" w:cs="Arial" w:eastAsia="Arial" w:hAnsi="Arial"/>
                <w:sz w:val="18"/>
                <w:szCs w:val="18"/>
                <w:color w:val="auto"/>
              </w:rPr>
              <w:t>14.2</w:t>
            </w:r>
          </w:p>
        </w:tc>
        <w:tc>
          <w:tcPr>
            <w:tcW w:w="980" w:type="dxa"/>
            <w:vAlign w:val="bottom"/>
          </w:tcPr>
          <w:p>
            <w:pPr>
              <w:jc w:val="right"/>
              <w:ind w:right="235"/>
              <w:spacing w:after="0"/>
              <w:rPr>
                <w:sz w:val="20"/>
                <w:szCs w:val="20"/>
                <w:color w:val="auto"/>
              </w:rPr>
            </w:pPr>
            <w:r>
              <w:rPr>
                <w:rFonts w:ascii="Arial" w:cs="Arial" w:eastAsia="Arial" w:hAnsi="Arial"/>
                <w:sz w:val="18"/>
                <w:szCs w:val="18"/>
                <w:color w:val="auto"/>
              </w:rPr>
              <w:t>13.5</w:t>
            </w:r>
          </w:p>
        </w:tc>
        <w:tc>
          <w:tcPr>
            <w:tcW w:w="13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Remaining useful life as of Dec. 31, 2022</w:t>
            </w:r>
          </w:p>
        </w:tc>
        <w:tc>
          <w:tcPr>
            <w:tcW w:w="23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13.2</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12.5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test of capitalized development costs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Management identified events that might trigger an impairment for the Space and Air base technology, mainly due to the facts that sales revenues have delayed to later years as compared to last year’s planning.</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recoverable amount of the intangible assets is based on fair value less costs of disposal, estimated using discounted cash flows. The fair value measurement was categorized as a Level 3 fair value based on the inputs in the valuation technique used.</w:t>
      </w:r>
    </w:p>
    <w:p>
      <w:pPr>
        <w:spacing w:after="0" w:line="170"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The key assumptions for determining the fair value less costs of disposal are the discount rates, expected number of sold terminals and the respective selling prices and direct costs during the period. Management estimates discount rates using post-tax rates that reflect current market assessments of the time value of money and the risks specific to each CGU, which are identical to the report segments. The Company prepares cash flow forecasts derived from the most recent financial budgets approved by management for the next 5 years and extrapolates these cash flows. Management estimates the cash flows generated by the sale of terminal equipment based on internal expectations, which in turn are based in part on external market studies, expected profits in tendered projects from private and public customers, and potential new business areas. The planned costs consider the number of terminals expect to be sold and the general growth of other operating expenses and estimated price increases.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uses post-tax discount rates of 19.07% for both segment CGUs (2021: 17.66% for both CGUs, 2020: 17.25% for both CGUs) based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historical industry weighted average cost of capital, with a possible debt leveraging of 14.6% (2021: 17.0%, 2020: 25.1%), a market premium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7.5% (2021: 8%, 2020: 8%) and a risk premium of 10.0% (2021: 11%, 2020: 10%).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86" w:right="4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Other plant,</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8"/>
        </w:trPr>
        <w:tc>
          <w:tcPr>
            <w:tcW w:w="4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auto"/>
              </w:rPr>
              <w:t>furniture,</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fixtures,</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26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Land and</w:t>
            </w:r>
          </w:p>
        </w:tc>
        <w:tc>
          <w:tcPr>
            <w:tcW w:w="104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and office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Construction</w:t>
            </w:r>
          </w:p>
        </w:tc>
        <w:tc>
          <w:tcPr>
            <w:tcW w:w="760" w:type="dxa"/>
            <w:vAlign w:val="bottom"/>
          </w:tcPr>
          <w:p>
            <w:pPr>
              <w:spacing w:after="0"/>
              <w:rPr>
                <w:sz w:val="12"/>
                <w:szCs w:val="12"/>
                <w:color w:val="auto"/>
              </w:rPr>
            </w:pPr>
          </w:p>
        </w:tc>
      </w:tr>
      <w:tr>
        <w:trPr>
          <w:trHeight w:val="167"/>
        </w:trPr>
        <w:tc>
          <w:tcPr>
            <w:tcW w:w="4380" w:type="dxa"/>
            <w:vAlign w:val="bottom"/>
          </w:tcPr>
          <w:p>
            <w:pPr>
              <w:spacing w:after="0"/>
              <w:rPr>
                <w:sz w:val="20"/>
                <w:szCs w:val="20"/>
                <w:color w:val="auto"/>
              </w:rPr>
            </w:pPr>
            <w:r>
              <w:rPr>
                <w:rFonts w:ascii="Arial" w:cs="Arial" w:eastAsia="Arial" w:hAnsi="Arial"/>
                <w:sz w:val="14"/>
                <w:szCs w:val="14"/>
                <w:color w:val="auto"/>
              </w:rPr>
              <w:t>€ thousand</w:t>
            </w:r>
          </w:p>
        </w:tc>
        <w:tc>
          <w:tcPr>
            <w:tcW w:w="2600" w:type="dxa"/>
            <w:vAlign w:val="bottom"/>
          </w:tcPr>
          <w:p>
            <w:pPr>
              <w:jc w:val="right"/>
              <w:ind w:right="73"/>
              <w:spacing w:after="0"/>
              <w:rPr>
                <w:sz w:val="20"/>
                <w:szCs w:val="20"/>
                <w:color w:val="auto"/>
              </w:rPr>
            </w:pPr>
            <w:r>
              <w:rPr>
                <w:rFonts w:ascii="Arial" w:cs="Arial" w:eastAsia="Arial" w:hAnsi="Arial"/>
                <w:sz w:val="14"/>
                <w:szCs w:val="14"/>
                <w:color w:val="auto"/>
              </w:rPr>
              <w:t>buildings</w:t>
            </w: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Machinery</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equipment</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in progress</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Total</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 1, 2020</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1,180</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2,099</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865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-12</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1,790</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1,977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Reclassifications</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542</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490</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-1,032</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-128</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-169</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Balance as of Dec. 31, 2020</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1,256</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4,303</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3,151</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2,717</w:t>
            </w:r>
          </w:p>
        </w:tc>
        <w:tc>
          <w:tcPr>
            <w:tcW w:w="760" w:type="dxa"/>
            <w:vAlign w:val="bottom"/>
          </w:tcPr>
          <w:p>
            <w:pPr>
              <w:jc w:val="right"/>
              <w:spacing w:after="0"/>
              <w:rPr>
                <w:sz w:val="20"/>
                <w:szCs w:val="20"/>
                <w:color w:val="auto"/>
              </w:rPr>
            </w:pPr>
            <w:r>
              <w:rPr>
                <w:rFonts w:ascii="Arial" w:cs="Arial" w:eastAsia="Arial" w:hAnsi="Arial"/>
                <w:sz w:val="18"/>
                <w:szCs w:val="18"/>
                <w:color w:val="auto"/>
              </w:rPr>
              <w:t>11,426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Additions</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1,107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2,437</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2,654</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2,397</w:t>
            </w:r>
          </w:p>
        </w:tc>
        <w:tc>
          <w:tcPr>
            <w:tcW w:w="760" w:type="dxa"/>
            <w:vAlign w:val="bottom"/>
          </w:tcPr>
          <w:p>
            <w:pPr>
              <w:jc w:val="right"/>
              <w:spacing w:after="0"/>
              <w:rPr>
                <w:sz w:val="20"/>
                <w:szCs w:val="20"/>
                <w:color w:val="auto"/>
              </w:rPr>
            </w:pPr>
            <w:r>
              <w:rPr>
                <w:rFonts w:ascii="Arial" w:cs="Arial" w:eastAsia="Arial" w:hAnsi="Arial"/>
                <w:sz w:val="18"/>
                <w:szCs w:val="18"/>
                <w:color w:val="auto"/>
              </w:rPr>
              <w:t>8,594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562</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2,014</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311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Disposals</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-283</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 31, 2021</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2,966</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8,754</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5,867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41</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438</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1,239</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2,356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Reclassifications</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136</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4,331</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105</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-4,572</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Balance as of Dec. 31, 2022</w:t>
            </w:r>
          </w:p>
        </w:tc>
        <w:tc>
          <w:tcPr>
            <w:tcW w:w="2600" w:type="dxa"/>
            <w:vAlign w:val="bottom"/>
          </w:tcPr>
          <w:p>
            <w:pPr>
              <w:jc w:val="right"/>
              <w:ind w:right="73"/>
              <w:spacing w:after="0"/>
              <w:rPr>
                <w:sz w:val="20"/>
                <w:szCs w:val="20"/>
                <w:color w:val="auto"/>
              </w:rPr>
            </w:pPr>
            <w:r>
              <w:rPr>
                <w:rFonts w:ascii="Arial" w:cs="Arial" w:eastAsia="Arial" w:hAnsi="Arial"/>
                <w:sz w:val="18"/>
                <w:szCs w:val="18"/>
                <w:color w:val="auto"/>
              </w:rPr>
              <w:t>3,610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14,314</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8,108</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2,383</w:t>
            </w:r>
          </w:p>
        </w:tc>
        <w:tc>
          <w:tcPr>
            <w:tcW w:w="760" w:type="dxa"/>
            <w:vAlign w:val="bottom"/>
          </w:tcPr>
          <w:p>
            <w:pPr>
              <w:jc w:val="right"/>
              <w:spacing w:after="0"/>
              <w:rPr>
                <w:sz w:val="20"/>
                <w:szCs w:val="20"/>
                <w:color w:val="auto"/>
              </w:rPr>
            </w:pPr>
            <w:r>
              <w:rPr>
                <w:rFonts w:ascii="Arial" w:cs="Arial" w:eastAsia="Arial" w:hAnsi="Arial"/>
                <w:sz w:val="18"/>
                <w:szCs w:val="18"/>
                <w:color w:val="auto"/>
              </w:rPr>
              <w:t>28,415</w:t>
            </w:r>
          </w:p>
        </w:tc>
      </w:tr>
      <w:tr>
        <w:trPr>
          <w:trHeight w:val="526"/>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Depreciation</w:t>
            </w: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3"/>
        </w:trPr>
        <w:tc>
          <w:tcPr>
            <w:tcW w:w="4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jc w:val="center"/>
              <w:ind w:right="16"/>
              <w:spacing w:after="0"/>
              <w:rPr>
                <w:sz w:val="20"/>
                <w:szCs w:val="20"/>
                <w:color w:val="auto"/>
              </w:rPr>
            </w:pPr>
            <w:r>
              <w:rPr>
                <w:rFonts w:ascii="Arial" w:cs="Arial" w:eastAsia="Arial" w:hAnsi="Arial"/>
                <w:sz w:val="14"/>
                <w:szCs w:val="14"/>
                <w:color w:val="auto"/>
                <w:w w:val="95"/>
              </w:rPr>
              <w:t>Other plant,</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8"/>
        </w:trPr>
        <w:tc>
          <w:tcPr>
            <w:tcW w:w="4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7"/>
              </w:rPr>
              <w:t>furniture,</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4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auto"/>
              </w:rPr>
              <w:t>fixtures,</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260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Land and</w:t>
            </w:r>
          </w:p>
        </w:tc>
        <w:tc>
          <w:tcPr>
            <w:tcW w:w="1040" w:type="dxa"/>
            <w:vAlign w:val="bottom"/>
          </w:tcPr>
          <w:p>
            <w:pPr>
              <w:spacing w:after="0"/>
              <w:rPr>
                <w:sz w:val="12"/>
                <w:szCs w:val="12"/>
                <w:color w:val="auto"/>
              </w:rPr>
            </w:pPr>
          </w:p>
        </w:tc>
        <w:tc>
          <w:tcPr>
            <w:tcW w:w="108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5"/>
              </w:rPr>
              <w:t>and office</w:t>
            </w:r>
          </w:p>
        </w:tc>
        <w:tc>
          <w:tcPr>
            <w:tcW w:w="11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Construction</w:t>
            </w:r>
          </w:p>
        </w:tc>
        <w:tc>
          <w:tcPr>
            <w:tcW w:w="760" w:type="dxa"/>
            <w:vAlign w:val="bottom"/>
          </w:tcPr>
          <w:p>
            <w:pPr>
              <w:spacing w:after="0"/>
              <w:rPr>
                <w:sz w:val="12"/>
                <w:szCs w:val="12"/>
                <w:color w:val="auto"/>
              </w:rPr>
            </w:pPr>
          </w:p>
        </w:tc>
      </w:tr>
      <w:tr>
        <w:trPr>
          <w:trHeight w:val="167"/>
        </w:trPr>
        <w:tc>
          <w:tcPr>
            <w:tcW w:w="4380" w:type="dxa"/>
            <w:vAlign w:val="bottom"/>
          </w:tcPr>
          <w:p>
            <w:pPr>
              <w:spacing w:after="0"/>
              <w:rPr>
                <w:sz w:val="20"/>
                <w:szCs w:val="20"/>
                <w:color w:val="auto"/>
              </w:rPr>
            </w:pPr>
            <w:r>
              <w:rPr>
                <w:rFonts w:ascii="Arial" w:cs="Arial" w:eastAsia="Arial" w:hAnsi="Arial"/>
                <w:sz w:val="14"/>
                <w:szCs w:val="14"/>
                <w:color w:val="auto"/>
              </w:rPr>
              <w:t>€ thousand</w:t>
            </w:r>
          </w:p>
        </w:tc>
        <w:tc>
          <w:tcPr>
            <w:tcW w:w="2600" w:type="dxa"/>
            <w:vAlign w:val="bottom"/>
          </w:tcPr>
          <w:p>
            <w:pPr>
              <w:jc w:val="right"/>
              <w:ind w:right="253"/>
              <w:spacing w:after="0"/>
              <w:rPr>
                <w:sz w:val="20"/>
                <w:szCs w:val="20"/>
                <w:color w:val="auto"/>
              </w:rPr>
            </w:pPr>
            <w:r>
              <w:rPr>
                <w:rFonts w:ascii="Arial" w:cs="Arial" w:eastAsia="Arial" w:hAnsi="Arial"/>
                <w:sz w:val="14"/>
                <w:szCs w:val="14"/>
                <w:color w:val="auto"/>
              </w:rPr>
              <w:t>buildings</w:t>
            </w:r>
          </w:p>
        </w:tc>
        <w:tc>
          <w:tcPr>
            <w:tcW w:w="1040" w:type="dxa"/>
            <w:vAlign w:val="bottom"/>
          </w:tcPr>
          <w:p>
            <w:pPr>
              <w:jc w:val="right"/>
              <w:ind w:right="212"/>
              <w:spacing w:after="0"/>
              <w:rPr>
                <w:sz w:val="20"/>
                <w:szCs w:val="20"/>
                <w:color w:val="auto"/>
              </w:rPr>
            </w:pPr>
            <w:r>
              <w:rPr>
                <w:rFonts w:ascii="Arial" w:cs="Arial" w:eastAsia="Arial" w:hAnsi="Arial"/>
                <w:sz w:val="14"/>
                <w:szCs w:val="14"/>
                <w:color w:val="auto"/>
              </w:rPr>
              <w:t>Machinery</w:t>
            </w:r>
          </w:p>
        </w:tc>
        <w:tc>
          <w:tcPr>
            <w:tcW w:w="1080" w:type="dxa"/>
            <w:vAlign w:val="bottom"/>
          </w:tcPr>
          <w:p>
            <w:pPr>
              <w:jc w:val="center"/>
              <w:ind w:right="16"/>
              <w:spacing w:after="0"/>
              <w:rPr>
                <w:sz w:val="20"/>
                <w:szCs w:val="20"/>
                <w:color w:val="auto"/>
              </w:rPr>
            </w:pPr>
            <w:r>
              <w:rPr>
                <w:rFonts w:ascii="Arial" w:cs="Arial" w:eastAsia="Arial" w:hAnsi="Arial"/>
                <w:sz w:val="14"/>
                <w:szCs w:val="14"/>
                <w:color w:val="auto"/>
                <w:w w:val="94"/>
              </w:rPr>
              <w:t>equipment</w:t>
            </w:r>
          </w:p>
        </w:tc>
        <w:tc>
          <w:tcPr>
            <w:tcW w:w="1160" w:type="dxa"/>
            <w:vAlign w:val="bottom"/>
          </w:tcPr>
          <w:p>
            <w:pPr>
              <w:jc w:val="right"/>
              <w:ind w:right="173"/>
              <w:spacing w:after="0"/>
              <w:rPr>
                <w:sz w:val="20"/>
                <w:szCs w:val="20"/>
                <w:color w:val="auto"/>
              </w:rPr>
            </w:pPr>
            <w:r>
              <w:rPr>
                <w:rFonts w:ascii="Arial" w:cs="Arial" w:eastAsia="Arial" w:hAnsi="Arial"/>
                <w:sz w:val="14"/>
                <w:szCs w:val="14"/>
                <w:color w:val="auto"/>
              </w:rPr>
              <w:t>in progress</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Total</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 1, 2020</w:t>
            </w:r>
          </w:p>
        </w:tc>
        <w:tc>
          <w:tcPr>
            <w:tcW w:w="26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86</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458</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232</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for the year</w:t>
            </w:r>
          </w:p>
        </w:tc>
        <w:tc>
          <w:tcPr>
            <w:tcW w:w="2600" w:type="dxa"/>
            <w:vAlign w:val="bottom"/>
          </w:tcPr>
          <w:p>
            <w:pPr>
              <w:jc w:val="right"/>
              <w:ind w:right="253"/>
              <w:spacing w:after="0"/>
              <w:rPr>
                <w:sz w:val="20"/>
                <w:szCs w:val="20"/>
                <w:color w:val="auto"/>
              </w:rPr>
            </w:pPr>
            <w:r>
              <w:rPr>
                <w:rFonts w:ascii="Arial" w:cs="Arial" w:eastAsia="Arial" w:hAnsi="Arial"/>
                <w:sz w:val="18"/>
                <w:szCs w:val="18"/>
                <w:color w:val="auto"/>
              </w:rPr>
              <w:t>120</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288</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415</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-116</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-131</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Balance as of Dec. 31, 2020</w:t>
            </w:r>
          </w:p>
        </w:tc>
        <w:tc>
          <w:tcPr>
            <w:tcW w:w="2600" w:type="dxa"/>
            <w:vAlign w:val="bottom"/>
          </w:tcPr>
          <w:p>
            <w:pPr>
              <w:jc w:val="right"/>
              <w:ind w:right="253"/>
              <w:spacing w:after="0"/>
              <w:rPr>
                <w:sz w:val="20"/>
                <w:szCs w:val="20"/>
                <w:color w:val="auto"/>
              </w:rPr>
            </w:pPr>
            <w:r>
              <w:rPr>
                <w:rFonts w:ascii="Arial" w:cs="Arial" w:eastAsia="Arial" w:hAnsi="Arial"/>
                <w:sz w:val="18"/>
                <w:szCs w:val="18"/>
                <w:color w:val="auto"/>
              </w:rPr>
              <w:t>206</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630</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516</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6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for the year</w:t>
            </w:r>
          </w:p>
        </w:tc>
        <w:tc>
          <w:tcPr>
            <w:tcW w:w="2600" w:type="dxa"/>
            <w:vAlign w:val="bottom"/>
          </w:tcPr>
          <w:p>
            <w:pPr>
              <w:jc w:val="right"/>
              <w:ind w:right="253"/>
              <w:spacing w:after="0"/>
              <w:rPr>
                <w:sz w:val="20"/>
                <w:szCs w:val="20"/>
                <w:color w:val="auto"/>
              </w:rPr>
            </w:pPr>
            <w:r>
              <w:rPr>
                <w:rFonts w:ascii="Arial" w:cs="Arial" w:eastAsia="Arial" w:hAnsi="Arial"/>
                <w:sz w:val="18"/>
                <w:szCs w:val="18"/>
                <w:color w:val="auto"/>
              </w:rPr>
              <w:t>304</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773</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916</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-283</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Balance as of Dec. 31, 2021</w:t>
            </w:r>
          </w:p>
        </w:tc>
        <w:tc>
          <w:tcPr>
            <w:tcW w:w="2600" w:type="dxa"/>
            <w:vAlign w:val="bottom"/>
          </w:tcPr>
          <w:p>
            <w:pPr>
              <w:jc w:val="right"/>
              <w:ind w:right="253"/>
              <w:spacing w:after="0"/>
              <w:rPr>
                <w:sz w:val="20"/>
                <w:szCs w:val="20"/>
                <w:color w:val="auto"/>
              </w:rPr>
            </w:pPr>
            <w:r>
              <w:rPr>
                <w:rFonts w:ascii="Arial" w:cs="Arial" w:eastAsia="Arial" w:hAnsi="Arial"/>
                <w:sz w:val="18"/>
                <w:szCs w:val="18"/>
                <w:color w:val="auto"/>
              </w:rPr>
              <w:t>514</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1,403</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1,151</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3,070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6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for the year</w:t>
            </w:r>
          </w:p>
        </w:tc>
        <w:tc>
          <w:tcPr>
            <w:tcW w:w="2600" w:type="dxa"/>
            <w:vAlign w:val="bottom"/>
          </w:tcPr>
          <w:p>
            <w:pPr>
              <w:jc w:val="right"/>
              <w:ind w:right="253"/>
              <w:spacing w:after="0"/>
              <w:rPr>
                <w:sz w:val="20"/>
                <w:szCs w:val="20"/>
                <w:color w:val="auto"/>
              </w:rPr>
            </w:pPr>
            <w:r>
              <w:rPr>
                <w:rFonts w:ascii="Arial" w:cs="Arial" w:eastAsia="Arial" w:hAnsi="Arial"/>
                <w:sz w:val="18"/>
                <w:szCs w:val="18"/>
                <w:color w:val="auto"/>
              </w:rPr>
              <w:t>526</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1,419</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1,309</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3,254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-219</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Balance as of Dec. 31, 2022</w:t>
            </w:r>
          </w:p>
        </w:tc>
        <w:tc>
          <w:tcPr>
            <w:tcW w:w="2600" w:type="dxa"/>
            <w:vAlign w:val="bottom"/>
          </w:tcPr>
          <w:p>
            <w:pPr>
              <w:jc w:val="right"/>
              <w:ind w:right="253"/>
              <w:spacing w:after="0"/>
              <w:rPr>
                <w:sz w:val="20"/>
                <w:szCs w:val="20"/>
                <w:color w:val="auto"/>
              </w:rPr>
            </w:pPr>
            <w:r>
              <w:rPr>
                <w:rFonts w:ascii="Arial" w:cs="Arial" w:eastAsia="Arial" w:hAnsi="Arial"/>
                <w:sz w:val="18"/>
                <w:szCs w:val="18"/>
                <w:color w:val="auto"/>
              </w:rPr>
              <w:t>1,041</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2,820</w:t>
            </w: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2,245</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6,106</w:t>
            </w:r>
          </w:p>
        </w:tc>
      </w:tr>
      <w:tr>
        <w:trPr>
          <w:trHeight w:val="526"/>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3"/>
        </w:trPr>
        <w:tc>
          <w:tcPr>
            <w:tcW w:w="4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Other plant,</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9"/>
        </w:trPr>
        <w:tc>
          <w:tcPr>
            <w:tcW w:w="4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7"/>
              </w:rPr>
              <w:t>furniture,</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7"/>
              </w:rPr>
              <w:t>fixtures,</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26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Land and</w:t>
            </w:r>
          </w:p>
        </w:tc>
        <w:tc>
          <w:tcPr>
            <w:tcW w:w="104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auto"/>
              </w:rPr>
              <w:t>and office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Construction</w:t>
            </w:r>
          </w:p>
        </w:tc>
        <w:tc>
          <w:tcPr>
            <w:tcW w:w="760" w:type="dxa"/>
            <w:vAlign w:val="bottom"/>
          </w:tcPr>
          <w:p>
            <w:pPr>
              <w:spacing w:after="0"/>
              <w:rPr>
                <w:sz w:val="12"/>
                <w:szCs w:val="12"/>
                <w:color w:val="auto"/>
              </w:rPr>
            </w:pPr>
          </w:p>
        </w:tc>
      </w:tr>
      <w:tr>
        <w:trPr>
          <w:trHeight w:val="167"/>
        </w:trPr>
        <w:tc>
          <w:tcPr>
            <w:tcW w:w="4380" w:type="dxa"/>
            <w:vAlign w:val="bottom"/>
          </w:tcPr>
          <w:p>
            <w:pPr>
              <w:spacing w:after="0"/>
              <w:rPr>
                <w:sz w:val="20"/>
                <w:szCs w:val="20"/>
                <w:color w:val="auto"/>
              </w:rPr>
            </w:pPr>
            <w:r>
              <w:rPr>
                <w:rFonts w:ascii="Arial" w:cs="Arial" w:eastAsia="Arial" w:hAnsi="Arial"/>
                <w:sz w:val="14"/>
                <w:szCs w:val="14"/>
                <w:color w:val="auto"/>
              </w:rPr>
              <w:t>€ thousand</w:t>
            </w:r>
          </w:p>
        </w:tc>
        <w:tc>
          <w:tcPr>
            <w:tcW w:w="2600" w:type="dxa"/>
            <w:vAlign w:val="bottom"/>
          </w:tcPr>
          <w:p>
            <w:pPr>
              <w:jc w:val="right"/>
              <w:ind w:right="33"/>
              <w:spacing w:after="0"/>
              <w:rPr>
                <w:sz w:val="20"/>
                <w:szCs w:val="20"/>
                <w:color w:val="auto"/>
              </w:rPr>
            </w:pPr>
            <w:r>
              <w:rPr>
                <w:rFonts w:ascii="Arial" w:cs="Arial" w:eastAsia="Arial" w:hAnsi="Arial"/>
                <w:sz w:val="14"/>
                <w:szCs w:val="14"/>
                <w:color w:val="auto"/>
              </w:rPr>
              <w:t>buildings</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Machinery</w:t>
            </w:r>
          </w:p>
        </w:tc>
        <w:tc>
          <w:tcPr>
            <w:tcW w:w="1080" w:type="dxa"/>
            <w:vAlign w:val="bottom"/>
          </w:tcPr>
          <w:p>
            <w:pPr>
              <w:ind w:left="260"/>
              <w:spacing w:after="0"/>
              <w:rPr>
                <w:sz w:val="20"/>
                <w:szCs w:val="20"/>
                <w:color w:val="auto"/>
              </w:rPr>
            </w:pPr>
            <w:r>
              <w:rPr>
                <w:rFonts w:ascii="Arial" w:cs="Arial" w:eastAsia="Arial" w:hAnsi="Arial"/>
                <w:sz w:val="14"/>
                <w:szCs w:val="14"/>
                <w:color w:val="auto"/>
              </w:rPr>
              <w:t>equipment</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in progress</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Total</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 31, 2020</w:t>
            </w:r>
          </w:p>
        </w:tc>
        <w:tc>
          <w:tcPr>
            <w:tcW w:w="2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1,050</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3,673</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2,635</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Carrying amount as of Dec. 31, 2021</w:t>
            </w:r>
          </w:p>
        </w:tc>
        <w:tc>
          <w:tcPr>
            <w:tcW w:w="2600" w:type="dxa"/>
            <w:vAlign w:val="bottom"/>
          </w:tcPr>
          <w:p>
            <w:pPr>
              <w:jc w:val="right"/>
              <w:ind w:right="33"/>
              <w:spacing w:after="0"/>
              <w:rPr>
                <w:sz w:val="20"/>
                <w:szCs w:val="20"/>
                <w:color w:val="auto"/>
              </w:rPr>
            </w:pPr>
            <w:r>
              <w:rPr>
                <w:rFonts w:ascii="Arial" w:cs="Arial" w:eastAsia="Arial" w:hAnsi="Arial"/>
                <w:sz w:val="18"/>
                <w:szCs w:val="18"/>
                <w:color w:val="auto"/>
              </w:rPr>
              <w:t>2,452</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7,351</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4,716</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2,250</w:t>
            </w:r>
          </w:p>
        </w:tc>
        <w:tc>
          <w:tcPr>
            <w:tcW w:w="760" w:type="dxa"/>
            <w:vAlign w:val="bottom"/>
          </w:tcPr>
          <w:p>
            <w:pPr>
              <w:jc w:val="right"/>
              <w:spacing w:after="0"/>
              <w:rPr>
                <w:sz w:val="20"/>
                <w:szCs w:val="20"/>
                <w:color w:val="auto"/>
              </w:rPr>
            </w:pPr>
            <w:r>
              <w:rPr>
                <w:rFonts w:ascii="Arial" w:cs="Arial" w:eastAsia="Arial" w:hAnsi="Arial"/>
                <w:sz w:val="18"/>
                <w:szCs w:val="18"/>
                <w:color w:val="auto"/>
              </w:rPr>
              <w:t>16,768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 31, 2022</w:t>
            </w:r>
          </w:p>
        </w:tc>
        <w:tc>
          <w:tcPr>
            <w:tcW w:w="2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2,569</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11,494</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5,863</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22,309</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Investments in property, plant, and equipment made during the year ended December 31, 2022, in the amount of €8,776 thousand (2021: €8,594,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€7,125) referred primarily to the expansion of production capacities. Other investments were made in IT infrastructure and office equipment.</w:t>
      </w:r>
    </w:p>
    <w:p>
      <w:pPr>
        <w:spacing w:after="0" w:line="22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the year ended December 31, 2022, finance expenses in the amount of €32 thousand (2021: €154 thousand, 2020: €45 thousand) were recorded as the cost of property, plant, and equipment in accordance with IAS 23.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86" w:right="4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19.</w:t>
        <w:tab/>
        <w:t>Right-of-Use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960" w:type="dxa"/>
            <w:vAlign w:val="bottom"/>
            <w:gridSpan w:val="2"/>
          </w:tcPr>
          <w:p>
            <w:pPr>
              <w:ind w:left="880"/>
              <w:spacing w:after="0"/>
              <w:rPr>
                <w:sz w:val="20"/>
                <w:szCs w:val="20"/>
                <w:color w:val="auto"/>
              </w:rPr>
            </w:pPr>
            <w:r>
              <w:rPr>
                <w:rFonts w:ascii="Arial" w:cs="Arial" w:eastAsia="Arial" w:hAnsi="Arial"/>
                <w:sz w:val="14"/>
                <w:szCs w:val="14"/>
                <w:color w:val="auto"/>
              </w:rPr>
              <w:t>€ thousand</w:t>
            </w:r>
          </w:p>
        </w:tc>
        <w:tc>
          <w:tcPr>
            <w:tcW w:w="2840" w:type="dxa"/>
            <w:vAlign w:val="bottom"/>
          </w:tcPr>
          <w:p>
            <w:pPr>
              <w:jc w:val="right"/>
              <w:ind w:right="332"/>
              <w:spacing w:after="0"/>
              <w:rPr>
                <w:sz w:val="20"/>
                <w:szCs w:val="20"/>
                <w:color w:val="auto"/>
              </w:rPr>
            </w:pPr>
            <w:r>
              <w:rPr>
                <w:rFonts w:ascii="Arial" w:cs="Arial" w:eastAsia="Arial" w:hAnsi="Arial"/>
                <w:sz w:val="14"/>
                <w:szCs w:val="14"/>
                <w:color w:val="auto"/>
              </w:rPr>
              <w:t>Real estate leases</w:t>
            </w:r>
          </w:p>
        </w:tc>
        <w:tc>
          <w:tcPr>
            <w:tcW w:w="1440" w:type="dxa"/>
            <w:vAlign w:val="bottom"/>
          </w:tcPr>
          <w:p>
            <w:pPr>
              <w:jc w:val="right"/>
              <w:ind w:right="352"/>
              <w:spacing w:after="0"/>
              <w:rPr>
                <w:sz w:val="20"/>
                <w:szCs w:val="20"/>
                <w:color w:val="auto"/>
              </w:rPr>
            </w:pPr>
            <w:r>
              <w:rPr>
                <w:rFonts w:ascii="Arial" w:cs="Arial" w:eastAsia="Arial" w:hAnsi="Arial"/>
                <w:sz w:val="14"/>
                <w:szCs w:val="14"/>
                <w:color w:val="auto"/>
              </w:rPr>
              <w:t>Other leases</w:t>
            </w:r>
          </w:p>
        </w:tc>
        <w:tc>
          <w:tcPr>
            <w:tcW w:w="900" w:type="dxa"/>
            <w:vAlign w:val="bottom"/>
          </w:tcPr>
          <w:p>
            <w:pPr>
              <w:jc w:val="right"/>
              <w:ind w:right="112"/>
              <w:spacing w:after="0"/>
              <w:rPr>
                <w:sz w:val="20"/>
                <w:szCs w:val="20"/>
                <w:color w:val="auto"/>
              </w:rPr>
            </w:pPr>
            <w:r>
              <w:rPr>
                <w:rFonts w:ascii="Arial" w:cs="Arial" w:eastAsia="Arial" w:hAnsi="Arial"/>
                <w:sz w:val="14"/>
                <w:szCs w:val="14"/>
                <w:color w:val="auto"/>
              </w:rPr>
              <w:t>Total</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 1, 2020</w:t>
            </w:r>
          </w:p>
        </w:tc>
        <w:tc>
          <w:tcPr>
            <w:tcW w:w="28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7,289</w:t>
            </w:r>
          </w:p>
        </w:tc>
        <w:tc>
          <w:tcPr>
            <w:tcW w:w="1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2840" w:type="dxa"/>
            <w:vAlign w:val="bottom"/>
          </w:tcPr>
          <w:p>
            <w:pPr>
              <w:jc w:val="right"/>
              <w:ind w:right="332"/>
              <w:spacing w:after="0"/>
              <w:rPr>
                <w:sz w:val="20"/>
                <w:szCs w:val="20"/>
                <w:color w:val="auto"/>
              </w:rPr>
            </w:pPr>
            <w:r>
              <w:rPr>
                <w:rFonts w:ascii="Arial" w:cs="Arial" w:eastAsia="Arial" w:hAnsi="Arial"/>
                <w:sz w:val="18"/>
                <w:szCs w:val="18"/>
                <w:color w:val="auto"/>
              </w:rPr>
              <w:t>-77</w:t>
            </w:r>
          </w:p>
        </w:tc>
        <w:tc>
          <w:tcPr>
            <w:tcW w:w="144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2,004</w:t>
            </w:r>
          </w:p>
        </w:tc>
        <w:tc>
          <w:tcPr>
            <w:tcW w:w="1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as of Dec. 31, 2020</w:t>
            </w:r>
          </w:p>
        </w:tc>
        <w:tc>
          <w:tcPr>
            <w:tcW w:w="2840" w:type="dxa"/>
            <w:vAlign w:val="bottom"/>
          </w:tcPr>
          <w:p>
            <w:pPr>
              <w:jc w:val="right"/>
              <w:ind w:right="332"/>
              <w:spacing w:after="0"/>
              <w:rPr>
                <w:sz w:val="20"/>
                <w:szCs w:val="20"/>
                <w:color w:val="auto"/>
              </w:rPr>
            </w:pPr>
            <w:r>
              <w:rPr>
                <w:rFonts w:ascii="Arial" w:cs="Arial" w:eastAsia="Arial" w:hAnsi="Arial"/>
                <w:sz w:val="18"/>
                <w:szCs w:val="18"/>
                <w:color w:val="auto"/>
              </w:rPr>
              <w:t>9,216</w:t>
            </w:r>
          </w:p>
        </w:tc>
        <w:tc>
          <w:tcPr>
            <w:tcW w:w="1440" w:type="dxa"/>
            <w:vAlign w:val="bottom"/>
          </w:tcPr>
          <w:p>
            <w:pPr>
              <w:jc w:val="right"/>
              <w:ind w:right="352"/>
              <w:spacing w:after="0"/>
              <w:rPr>
                <w:sz w:val="20"/>
                <w:szCs w:val="20"/>
                <w:color w:val="auto"/>
              </w:rPr>
            </w:pPr>
            <w:r>
              <w:rPr>
                <w:rFonts w:ascii="Arial" w:cs="Arial" w:eastAsia="Arial" w:hAnsi="Arial"/>
                <w:sz w:val="18"/>
                <w:szCs w:val="18"/>
                <w:color w:val="auto"/>
              </w:rPr>
              <w:t>19</w:t>
            </w:r>
          </w:p>
        </w:tc>
        <w:tc>
          <w:tcPr>
            <w:tcW w:w="900" w:type="dxa"/>
            <w:vAlign w:val="bottom"/>
          </w:tcPr>
          <w:p>
            <w:pPr>
              <w:jc w:val="right"/>
              <w:spacing w:after="0"/>
              <w:rPr>
                <w:sz w:val="20"/>
                <w:szCs w:val="20"/>
                <w:color w:val="auto"/>
              </w:rPr>
            </w:pPr>
            <w:r>
              <w:rPr>
                <w:rFonts w:ascii="Arial" w:cs="Arial" w:eastAsia="Arial" w:hAnsi="Arial"/>
                <w:sz w:val="18"/>
                <w:szCs w:val="18"/>
                <w:color w:val="auto"/>
              </w:rPr>
              <w:t>9,235</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8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168</w:t>
            </w:r>
          </w:p>
        </w:tc>
        <w:tc>
          <w:tcPr>
            <w:tcW w:w="1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Additions</w:t>
            </w:r>
          </w:p>
        </w:tc>
        <w:tc>
          <w:tcPr>
            <w:tcW w:w="2840" w:type="dxa"/>
            <w:vAlign w:val="bottom"/>
          </w:tcPr>
          <w:p>
            <w:pPr>
              <w:jc w:val="right"/>
              <w:ind w:right="332"/>
              <w:spacing w:after="0"/>
              <w:rPr>
                <w:sz w:val="20"/>
                <w:szCs w:val="20"/>
                <w:color w:val="auto"/>
              </w:rPr>
            </w:pPr>
            <w:r>
              <w:rPr>
                <w:rFonts w:ascii="Arial" w:cs="Arial" w:eastAsia="Arial" w:hAnsi="Arial"/>
                <w:sz w:val="18"/>
                <w:szCs w:val="18"/>
                <w:color w:val="auto"/>
              </w:rPr>
              <w:t>1,995</w:t>
            </w:r>
          </w:p>
        </w:tc>
        <w:tc>
          <w:tcPr>
            <w:tcW w:w="144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1,995</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-11</w:t>
            </w:r>
          </w:p>
        </w:tc>
        <w:tc>
          <w:tcPr>
            <w:tcW w:w="1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as of Dec. 31, 2021</w:t>
            </w:r>
          </w:p>
        </w:tc>
        <w:tc>
          <w:tcPr>
            <w:tcW w:w="2840" w:type="dxa"/>
            <w:vAlign w:val="bottom"/>
          </w:tcPr>
          <w:p>
            <w:pPr>
              <w:jc w:val="right"/>
              <w:ind w:right="332"/>
              <w:spacing w:after="0"/>
              <w:rPr>
                <w:sz w:val="20"/>
                <w:szCs w:val="20"/>
                <w:color w:val="auto"/>
              </w:rPr>
            </w:pPr>
            <w:r>
              <w:rPr>
                <w:rFonts w:ascii="Arial" w:cs="Arial" w:eastAsia="Arial" w:hAnsi="Arial"/>
                <w:sz w:val="18"/>
                <w:szCs w:val="18"/>
                <w:color w:val="auto"/>
              </w:rPr>
              <w:t>11,368</w:t>
            </w:r>
          </w:p>
        </w:tc>
        <w:tc>
          <w:tcPr>
            <w:tcW w:w="1440" w:type="dxa"/>
            <w:vAlign w:val="bottom"/>
          </w:tcPr>
          <w:p>
            <w:pPr>
              <w:jc w:val="right"/>
              <w:ind w:right="352"/>
              <w:spacing w:after="0"/>
              <w:rPr>
                <w:sz w:val="20"/>
                <w:szCs w:val="20"/>
                <w:color w:val="auto"/>
              </w:rPr>
            </w:pPr>
            <w:r>
              <w:rPr>
                <w:rFonts w:ascii="Arial" w:cs="Arial" w:eastAsia="Arial" w:hAnsi="Arial"/>
                <w:sz w:val="18"/>
                <w:szCs w:val="18"/>
                <w:color w:val="auto"/>
              </w:rPr>
              <w:t>19</w:t>
            </w:r>
          </w:p>
        </w:tc>
        <w:tc>
          <w:tcPr>
            <w:tcW w:w="900" w:type="dxa"/>
            <w:vAlign w:val="bottom"/>
          </w:tcPr>
          <w:p>
            <w:pPr>
              <w:jc w:val="right"/>
              <w:spacing w:after="0"/>
              <w:rPr>
                <w:sz w:val="20"/>
                <w:szCs w:val="20"/>
                <w:color w:val="auto"/>
              </w:rPr>
            </w:pPr>
            <w:r>
              <w:rPr>
                <w:rFonts w:ascii="Arial" w:cs="Arial" w:eastAsia="Arial" w:hAnsi="Arial"/>
                <w:sz w:val="18"/>
                <w:szCs w:val="18"/>
                <w:color w:val="auto"/>
              </w:rPr>
              <w:t>11,387</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8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196</w:t>
            </w:r>
          </w:p>
        </w:tc>
        <w:tc>
          <w:tcPr>
            <w:tcW w:w="1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Additions</w:t>
            </w:r>
          </w:p>
        </w:tc>
        <w:tc>
          <w:tcPr>
            <w:tcW w:w="2840" w:type="dxa"/>
            <w:vAlign w:val="bottom"/>
          </w:tcPr>
          <w:p>
            <w:pPr>
              <w:jc w:val="right"/>
              <w:ind w:right="332"/>
              <w:spacing w:after="0"/>
              <w:rPr>
                <w:sz w:val="20"/>
                <w:szCs w:val="20"/>
                <w:color w:val="auto"/>
              </w:rPr>
            </w:pPr>
            <w:r>
              <w:rPr>
                <w:rFonts w:ascii="Arial" w:cs="Arial" w:eastAsia="Arial" w:hAnsi="Arial"/>
                <w:sz w:val="18"/>
                <w:szCs w:val="18"/>
                <w:color w:val="auto"/>
              </w:rPr>
              <w:t>688</w:t>
            </w:r>
          </w:p>
        </w:tc>
        <w:tc>
          <w:tcPr>
            <w:tcW w:w="1440" w:type="dxa"/>
            <w:vAlign w:val="bottom"/>
          </w:tcPr>
          <w:p>
            <w:pPr>
              <w:jc w:val="right"/>
              <w:ind w:right="352"/>
              <w:spacing w:after="0"/>
              <w:rPr>
                <w:sz w:val="20"/>
                <w:szCs w:val="20"/>
                <w:color w:val="auto"/>
              </w:rPr>
            </w:pPr>
            <w:r>
              <w:rPr>
                <w:rFonts w:ascii="Arial" w:cs="Arial" w:eastAsia="Arial" w:hAnsi="Arial"/>
                <w:sz w:val="18"/>
                <w:szCs w:val="18"/>
                <w:color w:val="auto"/>
              </w:rPr>
              <w:t>750</w:t>
            </w:r>
          </w:p>
        </w:tc>
        <w:tc>
          <w:tcPr>
            <w:tcW w:w="90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as of Dec. 31, 2022</w:t>
            </w:r>
          </w:p>
        </w:tc>
        <w:tc>
          <w:tcPr>
            <w:tcW w:w="2840" w:type="dxa"/>
            <w:vAlign w:val="bottom"/>
          </w:tcPr>
          <w:p>
            <w:pPr>
              <w:jc w:val="right"/>
              <w:ind w:right="332"/>
              <w:spacing w:after="0"/>
              <w:rPr>
                <w:sz w:val="20"/>
                <w:szCs w:val="20"/>
                <w:color w:val="auto"/>
              </w:rPr>
            </w:pPr>
            <w:r>
              <w:rPr>
                <w:rFonts w:ascii="Arial" w:cs="Arial" w:eastAsia="Arial" w:hAnsi="Arial"/>
                <w:sz w:val="18"/>
                <w:szCs w:val="18"/>
                <w:color w:val="auto"/>
              </w:rPr>
              <w:t>12,247</w:t>
            </w:r>
          </w:p>
        </w:tc>
        <w:tc>
          <w:tcPr>
            <w:tcW w:w="1440" w:type="dxa"/>
            <w:vAlign w:val="bottom"/>
          </w:tcPr>
          <w:p>
            <w:pPr>
              <w:jc w:val="right"/>
              <w:ind w:right="352"/>
              <w:spacing w:after="0"/>
              <w:rPr>
                <w:sz w:val="20"/>
                <w:szCs w:val="20"/>
                <w:color w:val="auto"/>
              </w:rPr>
            </w:pPr>
            <w:r>
              <w:rPr>
                <w:rFonts w:ascii="Arial" w:cs="Arial" w:eastAsia="Arial" w:hAnsi="Arial"/>
                <w:sz w:val="18"/>
                <w:szCs w:val="18"/>
                <w:color w:val="auto"/>
              </w:rPr>
              <w:t>758</w:t>
            </w:r>
          </w:p>
        </w:tc>
        <w:tc>
          <w:tcPr>
            <w:tcW w:w="900" w:type="dxa"/>
            <w:vAlign w:val="bottom"/>
          </w:tcPr>
          <w:p>
            <w:pPr>
              <w:jc w:val="right"/>
              <w:spacing w:after="0"/>
              <w:rPr>
                <w:sz w:val="20"/>
                <w:szCs w:val="20"/>
                <w:color w:val="auto"/>
              </w:rPr>
            </w:pPr>
            <w:r>
              <w:rPr>
                <w:rFonts w:ascii="Arial" w:cs="Arial" w:eastAsia="Arial" w:hAnsi="Arial"/>
                <w:sz w:val="18"/>
                <w:szCs w:val="18"/>
                <w:color w:val="auto"/>
              </w:rPr>
              <w:t>13,005</w:t>
            </w:r>
          </w:p>
        </w:tc>
      </w:tr>
      <w:tr>
        <w:trPr>
          <w:trHeight w:val="526"/>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w:t>
            </w:r>
          </w:p>
        </w:tc>
        <w:tc>
          <w:tcPr>
            <w:tcW w:w="2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4960" w:type="dxa"/>
            <w:vAlign w:val="bottom"/>
            <w:gridSpan w:val="2"/>
          </w:tcPr>
          <w:p>
            <w:pPr>
              <w:ind w:left="880"/>
              <w:spacing w:after="0"/>
              <w:rPr>
                <w:sz w:val="20"/>
                <w:szCs w:val="20"/>
                <w:color w:val="auto"/>
              </w:rPr>
            </w:pPr>
            <w:r>
              <w:rPr>
                <w:rFonts w:ascii="Arial" w:cs="Arial" w:eastAsia="Arial" w:hAnsi="Arial"/>
                <w:sz w:val="14"/>
                <w:szCs w:val="14"/>
                <w:color w:val="auto"/>
              </w:rPr>
              <w:t>€ thousand</w:t>
            </w:r>
          </w:p>
        </w:tc>
        <w:tc>
          <w:tcPr>
            <w:tcW w:w="2840" w:type="dxa"/>
            <w:vAlign w:val="bottom"/>
          </w:tcPr>
          <w:p>
            <w:pPr>
              <w:jc w:val="right"/>
              <w:ind w:right="212"/>
              <w:spacing w:after="0"/>
              <w:rPr>
                <w:sz w:val="20"/>
                <w:szCs w:val="20"/>
                <w:color w:val="auto"/>
              </w:rPr>
            </w:pPr>
            <w:r>
              <w:rPr>
                <w:rFonts w:ascii="Arial" w:cs="Arial" w:eastAsia="Arial" w:hAnsi="Arial"/>
                <w:sz w:val="14"/>
                <w:szCs w:val="14"/>
                <w:color w:val="auto"/>
              </w:rPr>
              <w:t>Real estate leases</w:t>
            </w:r>
          </w:p>
        </w:tc>
        <w:tc>
          <w:tcPr>
            <w:tcW w:w="1440" w:type="dxa"/>
            <w:vAlign w:val="bottom"/>
          </w:tcPr>
          <w:p>
            <w:pPr>
              <w:jc w:val="right"/>
              <w:ind w:right="252"/>
              <w:spacing w:after="0"/>
              <w:rPr>
                <w:sz w:val="20"/>
                <w:szCs w:val="20"/>
                <w:color w:val="auto"/>
              </w:rPr>
            </w:pPr>
            <w:r>
              <w:rPr>
                <w:rFonts w:ascii="Arial" w:cs="Arial" w:eastAsia="Arial" w:hAnsi="Arial"/>
                <w:sz w:val="14"/>
                <w:szCs w:val="14"/>
                <w:color w:val="auto"/>
              </w:rPr>
              <w:t>Other leases</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Total</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 1, 2020</w:t>
            </w:r>
          </w:p>
        </w:tc>
        <w:tc>
          <w:tcPr>
            <w:tcW w:w="2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488</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284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2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801</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as of Dec. 31, 2020</w:t>
            </w:r>
          </w:p>
        </w:tc>
        <w:tc>
          <w:tcPr>
            <w:tcW w:w="2840" w:type="dxa"/>
            <w:vAlign w:val="bottom"/>
          </w:tcPr>
          <w:p>
            <w:pPr>
              <w:jc w:val="right"/>
              <w:ind w:right="212"/>
              <w:spacing w:after="0"/>
              <w:rPr>
                <w:sz w:val="20"/>
                <w:szCs w:val="20"/>
                <w:color w:val="auto"/>
              </w:rPr>
            </w:pPr>
            <w:r>
              <w:rPr>
                <w:rFonts w:ascii="Arial" w:cs="Arial" w:eastAsia="Arial" w:hAnsi="Arial"/>
                <w:sz w:val="18"/>
                <w:szCs w:val="18"/>
                <w:color w:val="auto"/>
              </w:rPr>
              <w:t>1,287</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17</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Depreciation for the year</w:t>
            </w:r>
          </w:p>
        </w:tc>
        <w:tc>
          <w:tcPr>
            <w:tcW w:w="2840" w:type="dxa"/>
            <w:vAlign w:val="bottom"/>
          </w:tcPr>
          <w:p>
            <w:pPr>
              <w:jc w:val="right"/>
              <w:ind w:right="212"/>
              <w:spacing w:after="0"/>
              <w:rPr>
                <w:sz w:val="20"/>
                <w:szCs w:val="20"/>
                <w:color w:val="auto"/>
              </w:rPr>
            </w:pPr>
            <w:r>
              <w:rPr>
                <w:rFonts w:ascii="Arial" w:cs="Arial" w:eastAsia="Arial" w:hAnsi="Arial"/>
                <w:sz w:val="18"/>
                <w:szCs w:val="18"/>
                <w:color w:val="auto"/>
              </w:rPr>
              <w:t>1,252</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as of Dec. 31, 2021</w:t>
            </w:r>
          </w:p>
        </w:tc>
        <w:tc>
          <w:tcPr>
            <w:tcW w:w="2840" w:type="dxa"/>
            <w:vAlign w:val="bottom"/>
          </w:tcPr>
          <w:p>
            <w:pPr>
              <w:jc w:val="right"/>
              <w:ind w:right="212"/>
              <w:spacing w:after="0"/>
              <w:rPr>
                <w:sz w:val="20"/>
                <w:szCs w:val="20"/>
                <w:color w:val="auto"/>
              </w:rPr>
            </w:pPr>
            <w:r>
              <w:rPr>
                <w:rFonts w:ascii="Arial" w:cs="Arial" w:eastAsia="Arial" w:hAnsi="Arial"/>
                <w:sz w:val="18"/>
                <w:szCs w:val="18"/>
                <w:color w:val="auto"/>
              </w:rPr>
              <w:t>2,549</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Depreciation for the year</w:t>
            </w:r>
          </w:p>
        </w:tc>
        <w:tc>
          <w:tcPr>
            <w:tcW w:w="2840" w:type="dxa"/>
            <w:vAlign w:val="bottom"/>
          </w:tcPr>
          <w:p>
            <w:pPr>
              <w:jc w:val="right"/>
              <w:ind w:right="212"/>
              <w:spacing w:after="0"/>
              <w:rPr>
                <w:sz w:val="20"/>
                <w:szCs w:val="20"/>
                <w:color w:val="auto"/>
              </w:rPr>
            </w:pPr>
            <w:r>
              <w:rPr>
                <w:rFonts w:ascii="Arial" w:cs="Arial" w:eastAsia="Arial" w:hAnsi="Arial"/>
                <w:sz w:val="18"/>
                <w:szCs w:val="18"/>
                <w:color w:val="auto"/>
              </w:rPr>
              <w:t>1,647</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as of Dec. 31, 2022</w:t>
            </w:r>
          </w:p>
        </w:tc>
        <w:tc>
          <w:tcPr>
            <w:tcW w:w="2840" w:type="dxa"/>
            <w:vAlign w:val="bottom"/>
          </w:tcPr>
          <w:p>
            <w:pPr>
              <w:jc w:val="right"/>
              <w:ind w:right="212"/>
              <w:spacing w:after="0"/>
              <w:rPr>
                <w:sz w:val="20"/>
                <w:szCs w:val="20"/>
                <w:color w:val="auto"/>
              </w:rPr>
            </w:pPr>
            <w:r>
              <w:rPr>
                <w:rFonts w:ascii="Arial" w:cs="Arial" w:eastAsia="Arial" w:hAnsi="Arial"/>
                <w:sz w:val="18"/>
                <w:szCs w:val="18"/>
                <w:color w:val="auto"/>
              </w:rPr>
              <w:t>4,209</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526"/>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2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1"/>
        </w:trPr>
        <w:tc>
          <w:tcPr>
            <w:tcW w:w="4960" w:type="dxa"/>
            <w:vAlign w:val="bottom"/>
            <w:gridSpan w:val="2"/>
          </w:tcPr>
          <w:p>
            <w:pPr>
              <w:ind w:left="880"/>
              <w:spacing w:after="0"/>
              <w:rPr>
                <w:sz w:val="20"/>
                <w:szCs w:val="20"/>
                <w:color w:val="auto"/>
              </w:rPr>
            </w:pPr>
            <w:r>
              <w:rPr>
                <w:rFonts w:ascii="Arial" w:cs="Arial" w:eastAsia="Arial" w:hAnsi="Arial"/>
                <w:sz w:val="14"/>
                <w:szCs w:val="14"/>
                <w:color w:val="auto"/>
              </w:rPr>
              <w:t>€ thousand</w:t>
            </w:r>
          </w:p>
        </w:tc>
        <w:tc>
          <w:tcPr>
            <w:tcW w:w="2840" w:type="dxa"/>
            <w:vAlign w:val="bottom"/>
          </w:tcPr>
          <w:p>
            <w:pPr>
              <w:jc w:val="right"/>
              <w:ind w:right="232"/>
              <w:spacing w:after="0"/>
              <w:rPr>
                <w:sz w:val="20"/>
                <w:szCs w:val="20"/>
                <w:color w:val="auto"/>
              </w:rPr>
            </w:pPr>
            <w:r>
              <w:rPr>
                <w:rFonts w:ascii="Arial" w:cs="Arial" w:eastAsia="Arial" w:hAnsi="Arial"/>
                <w:sz w:val="14"/>
                <w:szCs w:val="14"/>
                <w:color w:val="auto"/>
              </w:rPr>
              <w:t>Real estate leases</w:t>
            </w:r>
          </w:p>
        </w:tc>
        <w:tc>
          <w:tcPr>
            <w:tcW w:w="1440" w:type="dxa"/>
            <w:vAlign w:val="bottom"/>
          </w:tcPr>
          <w:p>
            <w:pPr>
              <w:jc w:val="right"/>
              <w:ind w:right="252"/>
              <w:spacing w:after="0"/>
              <w:rPr>
                <w:sz w:val="20"/>
                <w:szCs w:val="20"/>
                <w:color w:val="auto"/>
              </w:rPr>
            </w:pPr>
            <w:r>
              <w:rPr>
                <w:rFonts w:ascii="Arial" w:cs="Arial" w:eastAsia="Arial" w:hAnsi="Arial"/>
                <w:sz w:val="14"/>
                <w:szCs w:val="14"/>
                <w:color w:val="auto"/>
              </w:rPr>
              <w:t>Other leases</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Total</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 31, 2020</w:t>
            </w:r>
          </w:p>
        </w:tc>
        <w:tc>
          <w:tcPr>
            <w:tcW w:w="2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7,929</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Carrying amount as of Dec. 31, 2021</w:t>
            </w:r>
          </w:p>
        </w:tc>
        <w:tc>
          <w:tcPr>
            <w:tcW w:w="2840" w:type="dxa"/>
            <w:vAlign w:val="bottom"/>
          </w:tcPr>
          <w:p>
            <w:pPr>
              <w:jc w:val="right"/>
              <w:ind w:right="232"/>
              <w:spacing w:after="0"/>
              <w:rPr>
                <w:sz w:val="20"/>
                <w:szCs w:val="20"/>
                <w:color w:val="auto"/>
              </w:rPr>
            </w:pPr>
            <w:r>
              <w:rPr>
                <w:rFonts w:ascii="Arial" w:cs="Arial" w:eastAsia="Arial" w:hAnsi="Arial"/>
                <w:sz w:val="18"/>
                <w:szCs w:val="18"/>
                <w:color w:val="auto"/>
              </w:rPr>
              <w:t>8,819</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8,827</w:t>
            </w: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 31, 2022</w:t>
            </w:r>
          </w:p>
        </w:tc>
        <w:tc>
          <w:tcPr>
            <w:tcW w:w="2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8,038</w:t>
            </w:r>
          </w:p>
        </w:tc>
        <w:tc>
          <w:tcPr>
            <w:tcW w:w="1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r>
    </w:tbl>
    <w:p>
      <w:pPr>
        <w:spacing w:after="0" w:line="20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Company has entered into leases for real estate, machinery as well as operating and office equipment that it uses for its operations. Real estate leases have terms of between five and 10 years. The term for operating and office equipment ranges from three to five years. The rental contracts for machinery ranges from four to six years and contain purchase options which management expects to exercise. Therefore, the useful life of these assets ranges from 10-15 years. The obligations of the Company from its lease agreements are collateralized through the lessor’s ownership of the leased assets. Several lease agreements contain extension and termination options that are described in more detail below.</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has also entered into lease agreements for properties and operating and office equipment with a term of not more than 12 months, as well as leases for low-value office equipment. For these leases, the Company applies the practical expedients applicable to short-term leases and leases for low-value assets.</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additions presented during the year ended December 31, 2022, in the amount of €1,438 thousand (2021: €1,995 thousand, 2020: €2,004)) relating to leases of machinery and rent increases of real estate leases.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86"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amounts were recognized in profit or loss: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60" w:type="dxa"/>
            <w:vAlign w:val="bottom"/>
          </w:tcPr>
          <w:p>
            <w:pPr>
              <w:jc w:val="right"/>
              <w:ind w:right="437"/>
              <w:spacing w:after="0"/>
              <w:rPr>
                <w:sz w:val="20"/>
                <w:szCs w:val="20"/>
                <w:color w:val="auto"/>
              </w:rPr>
            </w:pPr>
            <w:r>
              <w:rPr>
                <w:rFonts w:ascii="Arial" w:cs="Arial" w:eastAsia="Arial" w:hAnsi="Arial"/>
                <w:sz w:val="14"/>
                <w:szCs w:val="14"/>
                <w:color w:val="auto"/>
              </w:rPr>
              <w:t>For the years ended</w:t>
            </w:r>
          </w:p>
        </w:tc>
        <w:tc>
          <w:tcPr>
            <w:tcW w:w="1700" w:type="dxa"/>
            <w:vAlign w:val="bottom"/>
          </w:tcPr>
          <w:p>
            <w:pPr>
              <w:spacing w:after="0"/>
              <w:rPr>
                <w:sz w:val="14"/>
                <w:szCs w:val="14"/>
                <w:color w:val="auto"/>
              </w:rPr>
            </w:pPr>
          </w:p>
        </w:tc>
      </w:tr>
      <w:tr>
        <w:trPr>
          <w:trHeight w:val="167"/>
        </w:trPr>
        <w:tc>
          <w:tcPr>
            <w:tcW w:w="4160" w:type="dxa"/>
            <w:vAlign w:val="bottom"/>
          </w:tcPr>
          <w:p>
            <w:pPr>
              <w:spacing w:after="0"/>
              <w:rPr>
                <w:sz w:val="20"/>
                <w:szCs w:val="20"/>
                <w:color w:val="auto"/>
              </w:rPr>
            </w:pPr>
            <w:r>
              <w:rPr>
                <w:rFonts w:ascii="Arial" w:cs="Arial" w:eastAsia="Arial" w:hAnsi="Arial"/>
                <w:sz w:val="14"/>
                <w:szCs w:val="14"/>
                <w:color w:val="auto"/>
              </w:rPr>
              <w:t>€ thousand</w:t>
            </w:r>
          </w:p>
        </w:tc>
        <w:tc>
          <w:tcPr>
            <w:tcW w:w="3000" w:type="dxa"/>
            <w:vAlign w:val="bottom"/>
          </w:tcPr>
          <w:p>
            <w:pPr>
              <w:jc w:val="right"/>
              <w:ind w:right="435"/>
              <w:spacing w:after="0"/>
              <w:rPr>
                <w:sz w:val="20"/>
                <w:szCs w:val="20"/>
                <w:color w:val="auto"/>
              </w:rPr>
            </w:pPr>
            <w:r>
              <w:rPr>
                <w:rFonts w:ascii="Arial" w:cs="Arial" w:eastAsia="Arial" w:hAnsi="Arial"/>
                <w:sz w:val="14"/>
                <w:szCs w:val="14"/>
                <w:color w:val="auto"/>
              </w:rPr>
              <w:t>December 31, 2022</w:t>
            </w:r>
          </w:p>
        </w:tc>
        <w:tc>
          <w:tcPr>
            <w:tcW w:w="2160" w:type="dxa"/>
            <w:vAlign w:val="bottom"/>
          </w:tcPr>
          <w:p>
            <w:pPr>
              <w:jc w:val="right"/>
              <w:ind w:right="437"/>
              <w:spacing w:after="0"/>
              <w:rPr>
                <w:sz w:val="20"/>
                <w:szCs w:val="20"/>
                <w:color w:val="auto"/>
              </w:rPr>
            </w:pPr>
            <w:r>
              <w:rPr>
                <w:rFonts w:ascii="Arial" w:cs="Arial" w:eastAsia="Arial" w:hAnsi="Arial"/>
                <w:sz w:val="14"/>
                <w:szCs w:val="14"/>
                <w:color w:val="auto"/>
              </w:rPr>
              <w:t>December 31, 2021</w:t>
            </w:r>
          </w:p>
        </w:tc>
        <w:tc>
          <w:tcPr>
            <w:tcW w:w="170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for lease liabilities</w:t>
            </w:r>
          </w:p>
        </w:tc>
        <w:tc>
          <w:tcPr>
            <w:tcW w:w="30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229</w:t>
            </w:r>
          </w:p>
        </w:tc>
        <w:tc>
          <w:tcPr>
            <w:tcW w:w="216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185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Expenses for short-term leases</w:t>
            </w:r>
          </w:p>
        </w:tc>
        <w:tc>
          <w:tcPr>
            <w:tcW w:w="3000" w:type="dxa"/>
            <w:vAlign w:val="bottom"/>
          </w:tcPr>
          <w:p>
            <w:pPr>
              <w:jc w:val="right"/>
              <w:ind w:right="435"/>
              <w:spacing w:after="0"/>
              <w:rPr>
                <w:sz w:val="20"/>
                <w:szCs w:val="20"/>
                <w:color w:val="auto"/>
              </w:rPr>
            </w:pPr>
            <w:r>
              <w:rPr>
                <w:rFonts w:ascii="Arial" w:cs="Arial" w:eastAsia="Arial" w:hAnsi="Arial"/>
                <w:sz w:val="18"/>
                <w:szCs w:val="18"/>
                <w:color w:val="auto"/>
              </w:rPr>
              <w:t>26</w:t>
            </w:r>
          </w:p>
        </w:tc>
        <w:tc>
          <w:tcPr>
            <w:tcW w:w="2160" w:type="dxa"/>
            <w:vAlign w:val="bottom"/>
          </w:tcPr>
          <w:p>
            <w:pPr>
              <w:jc w:val="right"/>
              <w:ind w:right="437"/>
              <w:spacing w:after="0"/>
              <w:rPr>
                <w:sz w:val="20"/>
                <w:szCs w:val="20"/>
                <w:color w:val="auto"/>
              </w:rPr>
            </w:pPr>
            <w:r>
              <w:rPr>
                <w:rFonts w:ascii="Arial" w:cs="Arial" w:eastAsia="Arial" w:hAnsi="Arial"/>
                <w:sz w:val="18"/>
                <w:szCs w:val="18"/>
                <w:color w:val="auto"/>
              </w:rPr>
              <w:t>13</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Expenses for leases of low-value assets</w:t>
            </w:r>
          </w:p>
        </w:tc>
        <w:tc>
          <w:tcPr>
            <w:tcW w:w="30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w:t>
            </w:r>
          </w:p>
        </w:tc>
        <w:tc>
          <w:tcPr>
            <w:tcW w:w="216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cash outflows for leases amounted to €1,942 thousand in 2022 (2021: €1,241 thousand, 2020: €816 thousand).</w:t>
      </w:r>
    </w:p>
    <w:p>
      <w:pPr>
        <w:spacing w:after="0" w:line="225"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Several real estate’s leases include extension options. Wherever possible, the Company seeks to include extension options when entering into new leases in order to ensure operational flexibility. The extension options can be exercised only by the Company, not by the lessor. The Company assesses on the commencement date whether an exercise of the extension option is reasonably certain. If a significant event or a significant change in circumstances outside of the Company’s control occurs, the Company reassesses whether the exercise of the extension option is reasonably certain.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undiscounted potential future lease payments from the exercise of extension options: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700" w:type="dxa"/>
            <w:vAlign w:val="bottom"/>
          </w:tcPr>
          <w:p>
            <w:pPr>
              <w:spacing w:after="0"/>
              <w:rPr>
                <w:sz w:val="20"/>
                <w:szCs w:val="20"/>
                <w:color w:val="auto"/>
              </w:rPr>
            </w:pPr>
            <w:r>
              <w:rPr>
                <w:rFonts w:ascii="Arial" w:cs="Arial" w:eastAsia="Arial" w:hAnsi="Arial"/>
                <w:sz w:val="14"/>
                <w:szCs w:val="14"/>
                <w:color w:val="auto"/>
              </w:rPr>
              <w:t>€ thousand</w:t>
            </w:r>
          </w:p>
        </w:tc>
        <w:tc>
          <w:tcPr>
            <w:tcW w:w="2080" w:type="dxa"/>
            <w:vAlign w:val="bottom"/>
          </w:tcPr>
          <w:p>
            <w:pPr>
              <w:jc w:val="right"/>
              <w:ind w:right="279"/>
              <w:spacing w:after="0"/>
              <w:rPr>
                <w:sz w:val="20"/>
                <w:szCs w:val="20"/>
                <w:color w:val="auto"/>
              </w:rPr>
            </w:pPr>
            <w:r>
              <w:rPr>
                <w:rFonts w:ascii="Arial" w:cs="Arial" w:eastAsia="Arial" w:hAnsi="Arial"/>
                <w:sz w:val="14"/>
                <w:szCs w:val="14"/>
                <w:color w:val="auto"/>
              </w:rPr>
              <w:t>Within five years</w:t>
            </w:r>
          </w:p>
        </w:tc>
        <w:tc>
          <w:tcPr>
            <w:tcW w:w="1620" w:type="dxa"/>
            <w:vAlign w:val="bottom"/>
          </w:tcPr>
          <w:p>
            <w:pPr>
              <w:jc w:val="right"/>
              <w:ind w:right="299"/>
              <w:spacing w:after="0"/>
              <w:rPr>
                <w:sz w:val="20"/>
                <w:szCs w:val="20"/>
                <w:color w:val="auto"/>
              </w:rPr>
            </w:pPr>
            <w:r>
              <w:rPr>
                <w:rFonts w:ascii="Arial" w:cs="Arial" w:eastAsia="Arial" w:hAnsi="Arial"/>
                <w:sz w:val="14"/>
                <w:szCs w:val="14"/>
                <w:color w:val="auto"/>
              </w:rPr>
              <w:t>Over five years</w:t>
            </w:r>
          </w:p>
        </w:tc>
        <w:tc>
          <w:tcPr>
            <w:tcW w:w="860" w:type="dxa"/>
            <w:vAlign w:val="bottom"/>
          </w:tcPr>
          <w:p>
            <w:pPr>
              <w:jc w:val="right"/>
              <w:ind w:right="59"/>
              <w:spacing w:after="0"/>
              <w:rPr>
                <w:sz w:val="20"/>
                <w:szCs w:val="20"/>
                <w:color w:val="auto"/>
              </w:rPr>
            </w:pPr>
            <w:r>
              <w:rPr>
                <w:rFonts w:ascii="Arial" w:cs="Arial" w:eastAsia="Arial" w:hAnsi="Arial"/>
                <w:sz w:val="14"/>
                <w:szCs w:val="14"/>
                <w:color w:val="auto"/>
              </w:rPr>
              <w:t>Total</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Extension options that are not expected to be exercised</w:t>
            </w:r>
          </w:p>
        </w:tc>
        <w:tc>
          <w:tcPr>
            <w:tcW w:w="20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1,246</w:t>
            </w:r>
          </w:p>
        </w:tc>
        <w:tc>
          <w:tcPr>
            <w:tcW w:w="1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7,862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r>
    </w:tbl>
    <w:p>
      <w:pPr>
        <w:spacing w:after="0" w:line="20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following table shows the undiscounted future payments for a not yet commenced leasing contract. The probable commencement date is the August 1, 2023.</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 thousand</w:t>
            </w:r>
          </w:p>
        </w:tc>
        <w:tc>
          <w:tcPr>
            <w:tcW w:w="1940" w:type="dxa"/>
            <w:vAlign w:val="bottom"/>
          </w:tcPr>
          <w:p>
            <w:pPr>
              <w:jc w:val="right"/>
              <w:ind w:right="239"/>
              <w:spacing w:after="0"/>
              <w:rPr>
                <w:sz w:val="20"/>
                <w:szCs w:val="20"/>
                <w:color w:val="auto"/>
              </w:rPr>
            </w:pPr>
            <w:r>
              <w:rPr>
                <w:rFonts w:ascii="Arial" w:cs="Arial" w:eastAsia="Arial" w:hAnsi="Arial"/>
                <w:sz w:val="14"/>
                <w:szCs w:val="14"/>
                <w:color w:val="auto"/>
              </w:rPr>
              <w:t>Within five years</w:t>
            </w:r>
          </w:p>
        </w:tc>
        <w:tc>
          <w:tcPr>
            <w:tcW w:w="1560" w:type="dxa"/>
            <w:vAlign w:val="bottom"/>
          </w:tcPr>
          <w:p>
            <w:pPr>
              <w:jc w:val="right"/>
              <w:ind w:right="279"/>
              <w:spacing w:after="0"/>
              <w:rPr>
                <w:sz w:val="20"/>
                <w:szCs w:val="20"/>
                <w:color w:val="auto"/>
              </w:rPr>
            </w:pPr>
            <w:r>
              <w:rPr>
                <w:rFonts w:ascii="Arial" w:cs="Arial" w:eastAsia="Arial" w:hAnsi="Arial"/>
                <w:sz w:val="14"/>
                <w:szCs w:val="14"/>
                <w:color w:val="auto"/>
              </w:rPr>
              <w:t>Over five years</w:t>
            </w:r>
          </w:p>
        </w:tc>
        <w:tc>
          <w:tcPr>
            <w:tcW w:w="900" w:type="dxa"/>
            <w:vAlign w:val="bottom"/>
          </w:tcPr>
          <w:p>
            <w:pPr>
              <w:jc w:val="right"/>
              <w:ind w:right="119"/>
              <w:spacing w:after="0"/>
              <w:rPr>
                <w:sz w:val="20"/>
                <w:szCs w:val="20"/>
                <w:color w:val="auto"/>
              </w:rPr>
            </w:pPr>
            <w:r>
              <w:rPr>
                <w:rFonts w:ascii="Arial" w:cs="Arial" w:eastAsia="Arial" w:hAnsi="Arial"/>
                <w:sz w:val="14"/>
                <w:szCs w:val="14"/>
                <w:color w:val="auto"/>
              </w:rPr>
              <w:t>Total</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Future payments for a not yet commenced leasing contract</w:t>
            </w:r>
          </w:p>
        </w:tc>
        <w:tc>
          <w:tcPr>
            <w:tcW w:w="19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11,183</w:t>
            </w:r>
          </w:p>
        </w:tc>
        <w:tc>
          <w:tcPr>
            <w:tcW w:w="15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14,136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Equity-Accounted Investees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Joint Venture – UNIO</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July 2022, Mynaric AG entered into a joint venture agreement with Isar Aerospace Technologies GmbH, REFLEX aerospace GmbH, and SES Astra Services Europe S.a.r.l. and established UNIO Enterprise GmbH, Munich. The share capital amounted to €25,000 and the shareholding is 25% for each shareholder. The Group recognized UNIO as equity-accounted investee in the Group’s condensed consolidated statements of financial position.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break-down of inventories is presented in the table below:</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 thousand</w:t>
            </w:r>
          </w:p>
        </w:tc>
        <w:tc>
          <w:tcPr>
            <w:tcW w:w="3160" w:type="dxa"/>
            <w:vAlign w:val="bottom"/>
          </w:tcPr>
          <w:p>
            <w:pPr>
              <w:jc w:val="right"/>
              <w:ind w:right="414"/>
              <w:spacing w:after="0"/>
              <w:rPr>
                <w:sz w:val="20"/>
                <w:szCs w:val="20"/>
                <w:color w:val="auto"/>
              </w:rPr>
            </w:pPr>
            <w:r>
              <w:rPr>
                <w:rFonts w:ascii="Arial" w:cs="Arial" w:eastAsia="Arial" w:hAnsi="Arial"/>
                <w:sz w:val="14"/>
                <w:szCs w:val="14"/>
                <w:color w:val="auto"/>
              </w:rPr>
              <w:t>December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December 31, 2021</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1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10,851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Work in progress</w:t>
            </w:r>
          </w:p>
        </w:tc>
        <w:tc>
          <w:tcPr>
            <w:tcW w:w="3160" w:type="dxa"/>
            <w:vAlign w:val="bottom"/>
          </w:tcPr>
          <w:p>
            <w:pPr>
              <w:jc w:val="right"/>
              <w:ind w:right="414"/>
              <w:spacing w:after="0"/>
              <w:rPr>
                <w:sz w:val="20"/>
                <w:szCs w:val="20"/>
                <w:color w:val="auto"/>
              </w:rPr>
            </w:pPr>
            <w:r>
              <w:rPr>
                <w:rFonts w:ascii="Arial" w:cs="Arial" w:eastAsia="Arial" w:hAnsi="Arial"/>
                <w:sz w:val="18"/>
                <w:szCs w:val="18"/>
                <w:color w:val="auto"/>
              </w:rPr>
              <w:t>2,058</w:t>
            </w:r>
          </w:p>
        </w:tc>
        <w:tc>
          <w:tcPr>
            <w:tcW w:w="170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1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439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jc w:val="right"/>
              <w:ind w:right="414"/>
              <w:spacing w:after="0"/>
              <w:rPr>
                <w:sz w:val="20"/>
                <w:szCs w:val="20"/>
                <w:color w:val="auto"/>
              </w:rPr>
            </w:pPr>
            <w:r>
              <w:rPr>
                <w:rFonts w:ascii="Arial" w:cs="Arial" w:eastAsia="Arial" w:hAnsi="Arial"/>
                <w:sz w:val="18"/>
                <w:szCs w:val="18"/>
                <w:color w:val="auto"/>
              </w:rPr>
              <w:t>13,348</w:t>
            </w:r>
          </w:p>
        </w:tc>
        <w:tc>
          <w:tcPr>
            <w:tcW w:w="1700" w:type="dxa"/>
            <w:vAlign w:val="bottom"/>
          </w:tcPr>
          <w:p>
            <w:pPr>
              <w:jc w:val="right"/>
              <w:spacing w:after="0"/>
              <w:rPr>
                <w:sz w:val="20"/>
                <w:szCs w:val="20"/>
                <w:color w:val="auto"/>
              </w:rPr>
            </w:pPr>
            <w:r>
              <w:rPr>
                <w:rFonts w:ascii="Arial" w:cs="Arial" w:eastAsia="Arial" w:hAnsi="Arial"/>
                <w:sz w:val="18"/>
                <w:szCs w:val="18"/>
                <w:color w:val="auto"/>
              </w:rPr>
              <w:t>8,399</w:t>
            </w:r>
          </w:p>
        </w:tc>
      </w:tr>
    </w:tbl>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During the year ended December 31, 2022, inventories of €13,378 thousand (2021: €7,964 thousand, 2020: €2,352 thousand) were recognized as a cost during the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years the Company recognized the following write-downs of inventory:</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80" w:type="dxa"/>
            <w:vAlign w:val="bottom"/>
          </w:tcPr>
          <w:p>
            <w:pPr>
              <w:jc w:val="right"/>
              <w:ind w:right="376"/>
              <w:spacing w:after="0"/>
              <w:rPr>
                <w:sz w:val="20"/>
                <w:szCs w:val="20"/>
                <w:color w:val="auto"/>
              </w:rPr>
            </w:pPr>
            <w:r>
              <w:rPr>
                <w:rFonts w:ascii="Arial" w:cs="Arial" w:eastAsia="Arial" w:hAnsi="Arial"/>
                <w:sz w:val="14"/>
                <w:szCs w:val="14"/>
                <w:color w:val="auto"/>
              </w:rPr>
              <w:t>For the years ended</w:t>
            </w:r>
          </w:p>
        </w:tc>
        <w:tc>
          <w:tcPr>
            <w:tcW w:w="1680" w:type="dxa"/>
            <w:vAlign w:val="bottom"/>
          </w:tcPr>
          <w:p>
            <w:pPr>
              <w:spacing w:after="0"/>
              <w:rPr>
                <w:sz w:val="14"/>
                <w:szCs w:val="14"/>
                <w:color w:val="auto"/>
              </w:rPr>
            </w:pPr>
          </w:p>
        </w:tc>
      </w:tr>
      <w:tr>
        <w:trPr>
          <w:trHeight w:val="167"/>
        </w:trPr>
        <w:tc>
          <w:tcPr>
            <w:tcW w:w="3460" w:type="dxa"/>
            <w:vAlign w:val="bottom"/>
          </w:tcPr>
          <w:p>
            <w:pPr>
              <w:spacing w:after="0"/>
              <w:rPr>
                <w:sz w:val="20"/>
                <w:szCs w:val="20"/>
                <w:color w:val="auto"/>
              </w:rPr>
            </w:pPr>
            <w:r>
              <w:rPr>
                <w:rFonts w:ascii="Arial" w:cs="Arial" w:eastAsia="Arial" w:hAnsi="Arial"/>
                <w:sz w:val="14"/>
                <w:szCs w:val="14"/>
                <w:color w:val="auto"/>
              </w:rPr>
              <w:t>€ thousand</w:t>
            </w:r>
          </w:p>
        </w:tc>
        <w:tc>
          <w:tcPr>
            <w:tcW w:w="2040" w:type="dxa"/>
            <w:vAlign w:val="bottom"/>
          </w:tcPr>
          <w:p>
            <w:pPr>
              <w:jc w:val="right"/>
              <w:ind w:right="373"/>
              <w:spacing w:after="0"/>
              <w:rPr>
                <w:sz w:val="20"/>
                <w:szCs w:val="20"/>
                <w:color w:val="auto"/>
              </w:rPr>
            </w:pPr>
            <w:r>
              <w:rPr>
                <w:rFonts w:ascii="Arial" w:cs="Arial" w:eastAsia="Arial" w:hAnsi="Arial"/>
                <w:sz w:val="14"/>
                <w:szCs w:val="14"/>
                <w:color w:val="auto"/>
              </w:rPr>
              <w:t>December 31, 2022</w:t>
            </w:r>
          </w:p>
        </w:tc>
        <w:tc>
          <w:tcPr>
            <w:tcW w:w="2080" w:type="dxa"/>
            <w:vAlign w:val="bottom"/>
          </w:tcPr>
          <w:p>
            <w:pPr>
              <w:jc w:val="right"/>
              <w:ind w:right="376"/>
              <w:spacing w:after="0"/>
              <w:rPr>
                <w:sz w:val="20"/>
                <w:szCs w:val="20"/>
                <w:color w:val="auto"/>
              </w:rPr>
            </w:pPr>
            <w:r>
              <w:rPr>
                <w:rFonts w:ascii="Arial" w:cs="Arial" w:eastAsia="Arial" w:hAnsi="Arial"/>
                <w:sz w:val="14"/>
                <w:szCs w:val="14"/>
                <w:color w:val="auto"/>
              </w:rPr>
              <w:t>December 31, 2021</w:t>
            </w:r>
          </w:p>
        </w:tc>
        <w:tc>
          <w:tcPr>
            <w:tcW w:w="1680" w:type="dxa"/>
            <w:vAlign w:val="bottom"/>
          </w:tcPr>
          <w:p>
            <w:pPr>
              <w:jc w:val="right"/>
              <w:spacing w:after="0"/>
              <w:rPr>
                <w:sz w:val="20"/>
                <w:szCs w:val="20"/>
                <w:color w:val="auto"/>
              </w:rPr>
            </w:pPr>
            <w:r>
              <w:rPr>
                <w:rFonts w:ascii="Arial" w:cs="Arial" w:eastAsia="Arial" w:hAnsi="Arial"/>
                <w:sz w:val="14"/>
                <w:szCs w:val="14"/>
                <w:color w:val="auto"/>
              </w:rPr>
              <w:t>December 31, 2020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Write downs of raw material and supplies</w:t>
            </w:r>
          </w:p>
        </w:tc>
        <w:tc>
          <w:tcPr>
            <w:tcW w:w="2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-5,601</w:t>
            </w:r>
          </w:p>
        </w:tc>
        <w:tc>
          <w:tcPr>
            <w:tcW w:w="20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-2,039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Write downs of work in progress</w:t>
            </w:r>
          </w:p>
        </w:tc>
        <w:tc>
          <w:tcPr>
            <w:tcW w:w="2040" w:type="dxa"/>
            <w:vAlign w:val="bottom"/>
          </w:tcPr>
          <w:p>
            <w:pPr>
              <w:jc w:val="right"/>
              <w:ind w:right="373"/>
              <w:spacing w:after="0"/>
              <w:rPr>
                <w:sz w:val="20"/>
                <w:szCs w:val="20"/>
                <w:color w:val="auto"/>
              </w:rPr>
            </w:pPr>
            <w:r>
              <w:rPr>
                <w:rFonts w:ascii="Arial" w:cs="Arial" w:eastAsia="Arial" w:hAnsi="Arial"/>
                <w:sz w:val="18"/>
                <w:szCs w:val="18"/>
                <w:color w:val="auto"/>
              </w:rPr>
              <w:t>-1,225</w:t>
            </w:r>
          </w:p>
        </w:tc>
        <w:tc>
          <w:tcPr>
            <w:tcW w:w="2080" w:type="dxa"/>
            <w:vAlign w:val="bottom"/>
          </w:tcPr>
          <w:p>
            <w:pPr>
              <w:jc w:val="right"/>
              <w:ind w:right="376"/>
              <w:spacing w:after="0"/>
              <w:rPr>
                <w:sz w:val="20"/>
                <w:szCs w:val="20"/>
                <w:color w:val="auto"/>
              </w:rPr>
            </w:pPr>
            <w:r>
              <w:rPr>
                <w:rFonts w:ascii="Arial" w:cs="Arial" w:eastAsia="Arial" w:hAnsi="Arial"/>
                <w:sz w:val="18"/>
                <w:szCs w:val="18"/>
                <w:color w:val="auto"/>
              </w:rPr>
              <w:t>-397</w:t>
            </w: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Write downs of finished goods</w:t>
            </w:r>
          </w:p>
        </w:tc>
        <w:tc>
          <w:tcPr>
            <w:tcW w:w="2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-657</w:t>
            </w:r>
          </w:p>
        </w:tc>
        <w:tc>
          <w:tcPr>
            <w:tcW w:w="20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-65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jc w:val="right"/>
              <w:ind w:right="373"/>
              <w:spacing w:after="0"/>
              <w:rPr>
                <w:sz w:val="20"/>
                <w:szCs w:val="20"/>
                <w:color w:val="auto"/>
              </w:rPr>
            </w:pPr>
            <w:r>
              <w:rPr>
                <w:rFonts w:ascii="Arial" w:cs="Arial" w:eastAsia="Arial" w:hAnsi="Arial"/>
                <w:sz w:val="18"/>
                <w:szCs w:val="18"/>
                <w:color w:val="auto"/>
              </w:rPr>
              <w:t>-7,483</w:t>
            </w:r>
          </w:p>
        </w:tc>
        <w:tc>
          <w:tcPr>
            <w:tcW w:w="2080" w:type="dxa"/>
            <w:vAlign w:val="bottom"/>
          </w:tcPr>
          <w:p>
            <w:pPr>
              <w:jc w:val="right"/>
              <w:ind w:right="376"/>
              <w:spacing w:after="0"/>
              <w:rPr>
                <w:sz w:val="20"/>
                <w:szCs w:val="20"/>
                <w:color w:val="auto"/>
              </w:rPr>
            </w:pPr>
            <w:r>
              <w:rPr>
                <w:rFonts w:ascii="Arial" w:cs="Arial" w:eastAsia="Arial" w:hAnsi="Arial"/>
                <w:sz w:val="18"/>
                <w:szCs w:val="18"/>
                <w:color w:val="auto"/>
              </w:rPr>
              <w:t>-2,501</w:t>
            </w: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50"/>
        </w:trPr>
        <w:tc>
          <w:tcPr>
            <w:tcW w:w="3460" w:type="dxa"/>
            <w:vAlign w:val="bottom"/>
          </w:tcPr>
          <w:p>
            <w:pPr>
              <w:spacing w:after="0"/>
              <w:rPr>
                <w:sz w:val="24"/>
                <w:szCs w:val="24"/>
                <w:color w:val="auto"/>
              </w:rPr>
            </w:pPr>
          </w:p>
        </w:tc>
        <w:tc>
          <w:tcPr>
            <w:tcW w:w="2040" w:type="dxa"/>
            <w:vAlign w:val="bottom"/>
          </w:tcPr>
          <w:p>
            <w:pPr>
              <w:jc w:val="right"/>
              <w:ind w:right="613"/>
              <w:spacing w:after="0"/>
              <w:rPr>
                <w:sz w:val="20"/>
                <w:szCs w:val="20"/>
                <w:color w:val="auto"/>
              </w:rPr>
            </w:pPr>
            <w:r>
              <w:rPr>
                <w:rFonts w:ascii="Arial" w:cs="Arial" w:eastAsia="Arial" w:hAnsi="Arial"/>
                <w:sz w:val="18"/>
                <w:szCs w:val="18"/>
                <w:color w:val="auto"/>
              </w:rPr>
              <w:t>F-33</w:t>
            </w: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write-downs for the year ended December 31, 2022, refer to materials relevant for production of CONDOR Mk1, CONDOR Mk2 and CONDOR MEO. The write-downs for the year ended December 31, 2021, refer to materials relevant for production of CONDOR Mk1 and CONDOR Mk2. The corresponding raw materials were written down to their recoverable amount. The write-downs for the year ended December 31, 2020, referred to the inventories for the Hawk Air Terminals.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Trade Receivables</w:t>
      </w:r>
    </w:p>
    <w:p>
      <w:pPr>
        <w:spacing w:after="0" w:line="12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of December 31, 2022, all trade receivables are denominated in US dollars. The maximum default risk for receivables is their carrying amount. All receivables result from contracts with customers.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060" w:type="dxa"/>
            <w:vAlign w:val="bottom"/>
          </w:tcPr>
          <w:p>
            <w:pPr>
              <w:spacing w:after="0"/>
              <w:rPr>
                <w:sz w:val="20"/>
                <w:szCs w:val="20"/>
                <w:color w:val="auto"/>
              </w:rPr>
            </w:pPr>
            <w:r>
              <w:rPr>
                <w:rFonts w:ascii="Arial" w:cs="Arial" w:eastAsia="Arial" w:hAnsi="Arial"/>
                <w:sz w:val="14"/>
                <w:szCs w:val="14"/>
                <w:color w:val="auto"/>
              </w:rPr>
              <w:t>€ thousand</w:t>
            </w:r>
          </w:p>
        </w:tc>
        <w:tc>
          <w:tcPr>
            <w:tcW w:w="3520" w:type="dxa"/>
            <w:vAlign w:val="bottom"/>
          </w:tcPr>
          <w:p>
            <w:pPr>
              <w:jc w:val="right"/>
              <w:ind w:right="496"/>
              <w:spacing w:after="0"/>
              <w:rPr>
                <w:sz w:val="20"/>
                <w:szCs w:val="20"/>
                <w:color w:val="auto"/>
              </w:rPr>
            </w:pPr>
            <w:r>
              <w:rPr>
                <w:rFonts w:ascii="Arial" w:cs="Arial" w:eastAsia="Arial" w:hAnsi="Arial"/>
                <w:sz w:val="14"/>
                <w:szCs w:val="14"/>
                <w:color w:val="auto"/>
              </w:rPr>
              <w:t>December 31, 2022</w:t>
            </w:r>
          </w:p>
        </w:tc>
        <w:tc>
          <w:tcPr>
            <w:tcW w:w="1780" w:type="dxa"/>
            <w:vAlign w:val="bottom"/>
          </w:tcPr>
          <w:p>
            <w:pPr>
              <w:jc w:val="right"/>
              <w:spacing w:after="0"/>
              <w:rPr>
                <w:sz w:val="20"/>
                <w:szCs w:val="20"/>
                <w:color w:val="auto"/>
              </w:rPr>
            </w:pPr>
            <w:r>
              <w:rPr>
                <w:rFonts w:ascii="Arial" w:cs="Arial" w:eastAsia="Arial" w:hAnsi="Arial"/>
                <w:sz w:val="14"/>
                <w:szCs w:val="14"/>
                <w:color w:val="auto"/>
              </w:rPr>
              <w:t>December 31, 2021</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5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1,101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3520" w:type="dxa"/>
            <w:vAlign w:val="bottom"/>
          </w:tcPr>
          <w:p>
            <w:pPr>
              <w:jc w:val="right"/>
              <w:ind w:right="496"/>
              <w:spacing w:after="0"/>
              <w:rPr>
                <w:sz w:val="20"/>
                <w:szCs w:val="20"/>
                <w:color w:val="auto"/>
              </w:rPr>
            </w:pPr>
            <w:r>
              <w:rPr>
                <w:rFonts w:ascii="Arial" w:cs="Arial" w:eastAsia="Arial" w:hAnsi="Arial"/>
                <w:sz w:val="18"/>
                <w:szCs w:val="18"/>
                <w:color w:val="auto"/>
              </w:rPr>
              <w:t>1,101</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trade receivables relate to two contracts and two customers. Further information about the group’s exposure to credit risk can be found in the Notes 33.2 a).</w:t>
      </w:r>
    </w:p>
    <w:p>
      <w:pPr>
        <w:spacing w:after="0" w:line="274" w:lineRule="exact"/>
        <w:rPr>
          <w:sz w:val="20"/>
          <w:szCs w:val="20"/>
          <w:color w:val="auto"/>
        </w:rPr>
      </w:pPr>
    </w:p>
    <w:p>
      <w:pPr>
        <w:ind w:left="120" w:right="5060"/>
        <w:spacing w:after="0" w:line="407" w:lineRule="auto"/>
        <w:rPr>
          <w:sz w:val="20"/>
          <w:szCs w:val="20"/>
          <w:color w:val="auto"/>
        </w:rPr>
      </w:pPr>
      <w:r>
        <w:rPr>
          <w:rFonts w:ascii="Arial" w:cs="Arial" w:eastAsia="Arial" w:hAnsi="Arial"/>
          <w:sz w:val="18"/>
          <w:szCs w:val="18"/>
          <w:b w:val="1"/>
          <w:bCs w:val="1"/>
          <w:color w:val="auto"/>
        </w:rPr>
        <w:t xml:space="preserve">23. Other Financial and Non-Financial Assets </w:t>
      </w:r>
      <w:r>
        <w:rPr>
          <w:rFonts w:ascii="Arial" w:cs="Arial" w:eastAsia="Arial" w:hAnsi="Arial"/>
          <w:sz w:val="18"/>
          <w:szCs w:val="18"/>
          <w:color w:val="auto"/>
        </w:rPr>
        <w:t>Non-current and current financial and non-financial assets comprise the following:</w:t>
      </w:r>
    </w:p>
    <w:p>
      <w:pPr>
        <w:spacing w:after="0" w:line="6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980" w:type="dxa"/>
            <w:vAlign w:val="bottom"/>
            <w:gridSpan w:val="2"/>
          </w:tcPr>
          <w:p>
            <w:pPr>
              <w:jc w:val="right"/>
              <w:ind w:right="452"/>
              <w:spacing w:after="0"/>
              <w:rPr>
                <w:sz w:val="20"/>
                <w:szCs w:val="20"/>
                <w:color w:val="auto"/>
              </w:rPr>
            </w:pPr>
            <w:r>
              <w:rPr>
                <w:rFonts w:ascii="Arial" w:cs="Arial" w:eastAsia="Arial" w:hAnsi="Arial"/>
                <w:sz w:val="14"/>
                <w:szCs w:val="14"/>
                <w:color w:val="auto"/>
              </w:rPr>
              <w:t>December 31, 2022</w:t>
            </w:r>
          </w:p>
        </w:tc>
        <w:tc>
          <w:tcPr>
            <w:tcW w:w="1980" w:type="dxa"/>
            <w:vAlign w:val="bottom"/>
            <w:gridSpan w:val="2"/>
          </w:tcPr>
          <w:p>
            <w:pPr>
              <w:jc w:val="right"/>
              <w:ind w:right="232"/>
              <w:spacing w:after="0"/>
              <w:rPr>
                <w:sz w:val="20"/>
                <w:szCs w:val="20"/>
                <w:color w:val="auto"/>
              </w:rPr>
            </w:pPr>
            <w:r>
              <w:rPr>
                <w:rFonts w:ascii="Arial" w:cs="Arial" w:eastAsia="Arial" w:hAnsi="Arial"/>
                <w:sz w:val="14"/>
                <w:szCs w:val="14"/>
                <w:color w:val="auto"/>
              </w:rPr>
              <w:t>December 31, 2021</w:t>
            </w:r>
          </w:p>
        </w:tc>
      </w:tr>
      <w:tr>
        <w:trPr>
          <w:trHeight w:val="167"/>
        </w:trPr>
        <w:tc>
          <w:tcPr>
            <w:tcW w:w="4160" w:type="dxa"/>
            <w:vAlign w:val="bottom"/>
          </w:tcPr>
          <w:p>
            <w:pPr>
              <w:spacing w:after="0"/>
              <w:rPr>
                <w:sz w:val="20"/>
                <w:szCs w:val="20"/>
                <w:color w:val="auto"/>
              </w:rPr>
            </w:pPr>
            <w:r>
              <w:rPr>
                <w:rFonts w:ascii="Arial" w:cs="Arial" w:eastAsia="Arial" w:hAnsi="Arial"/>
                <w:sz w:val="14"/>
                <w:szCs w:val="14"/>
                <w:color w:val="auto"/>
              </w:rPr>
              <w:t>€ thousand</w:t>
            </w:r>
          </w:p>
        </w:tc>
        <w:tc>
          <w:tcPr>
            <w:tcW w:w="2740" w:type="dxa"/>
            <w:vAlign w:val="bottom"/>
          </w:tcPr>
          <w:p>
            <w:pPr>
              <w:jc w:val="right"/>
              <w:ind w:right="173"/>
              <w:spacing w:after="0"/>
              <w:rPr>
                <w:sz w:val="20"/>
                <w:szCs w:val="20"/>
                <w:color w:val="auto"/>
              </w:rPr>
            </w:pPr>
            <w:r>
              <w:rPr>
                <w:rFonts w:ascii="Arial" w:cs="Arial" w:eastAsia="Arial" w:hAnsi="Arial"/>
                <w:sz w:val="14"/>
                <w:szCs w:val="14"/>
                <w:color w:val="auto"/>
              </w:rPr>
              <w:t>Current</w:t>
            </w:r>
          </w:p>
        </w:tc>
        <w:tc>
          <w:tcPr>
            <w:tcW w:w="1240" w:type="dxa"/>
            <w:vAlign w:val="bottom"/>
          </w:tcPr>
          <w:p>
            <w:pPr>
              <w:jc w:val="right"/>
              <w:ind w:right="192"/>
              <w:spacing w:after="0"/>
              <w:rPr>
                <w:sz w:val="20"/>
                <w:szCs w:val="20"/>
                <w:color w:val="auto"/>
              </w:rPr>
            </w:pPr>
            <w:r>
              <w:rPr>
                <w:rFonts w:ascii="Arial" w:cs="Arial" w:eastAsia="Arial" w:hAnsi="Arial"/>
                <w:sz w:val="14"/>
                <w:szCs w:val="14"/>
                <w:color w:val="auto"/>
              </w:rPr>
              <w:t>Non-current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Current</w:t>
            </w:r>
          </w:p>
        </w:tc>
        <w:tc>
          <w:tcPr>
            <w:tcW w:w="1020" w:type="dxa"/>
            <w:vAlign w:val="bottom"/>
          </w:tcPr>
          <w:p>
            <w:pPr>
              <w:jc w:val="right"/>
              <w:spacing w:after="0"/>
              <w:rPr>
                <w:sz w:val="20"/>
                <w:szCs w:val="20"/>
                <w:color w:val="auto"/>
              </w:rPr>
            </w:pPr>
            <w:r>
              <w:rPr>
                <w:rFonts w:ascii="Arial" w:cs="Arial" w:eastAsia="Arial" w:hAnsi="Arial"/>
                <w:sz w:val="14"/>
                <w:szCs w:val="14"/>
                <w:color w:val="auto"/>
              </w:rPr>
              <w:t>Non-current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NON-FINANCIAL ASSETS</w:t>
            </w:r>
          </w:p>
        </w:tc>
        <w:tc>
          <w:tcPr>
            <w:tcW w:w="2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Tax receivables</w:t>
            </w:r>
          </w:p>
        </w:tc>
        <w:tc>
          <w:tcPr>
            <w:tcW w:w="2740" w:type="dxa"/>
            <w:vAlign w:val="bottom"/>
          </w:tcPr>
          <w:p>
            <w:pPr>
              <w:jc w:val="right"/>
              <w:ind w:right="173"/>
              <w:spacing w:after="0"/>
              <w:rPr>
                <w:sz w:val="20"/>
                <w:szCs w:val="20"/>
                <w:color w:val="auto"/>
              </w:rPr>
            </w:pPr>
            <w:r>
              <w:rPr>
                <w:rFonts w:ascii="Arial" w:cs="Arial" w:eastAsia="Arial" w:hAnsi="Arial"/>
                <w:sz w:val="18"/>
                <w:szCs w:val="18"/>
                <w:color w:val="auto"/>
              </w:rPr>
              <w:t>2,166</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2,175</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7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2,238</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2,041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Advance payments</w:t>
            </w:r>
          </w:p>
        </w:tc>
        <w:tc>
          <w:tcPr>
            <w:tcW w:w="2740" w:type="dxa"/>
            <w:vAlign w:val="bottom"/>
          </w:tcPr>
          <w:p>
            <w:pPr>
              <w:jc w:val="right"/>
              <w:ind w:right="173"/>
              <w:spacing w:after="0"/>
              <w:rPr>
                <w:sz w:val="20"/>
                <w:szCs w:val="20"/>
                <w:color w:val="auto"/>
              </w:rPr>
            </w:pPr>
            <w:r>
              <w:rPr>
                <w:rFonts w:ascii="Arial" w:cs="Arial" w:eastAsia="Arial" w:hAnsi="Arial"/>
                <w:sz w:val="18"/>
                <w:szCs w:val="18"/>
                <w:color w:val="auto"/>
              </w:rPr>
              <w:t>625</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1,025</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432</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740" w:type="dxa"/>
            <w:vAlign w:val="bottom"/>
          </w:tcPr>
          <w:p>
            <w:pPr>
              <w:jc w:val="right"/>
              <w:ind w:right="173"/>
              <w:spacing w:after="0"/>
              <w:rPr>
                <w:sz w:val="20"/>
                <w:szCs w:val="20"/>
                <w:color w:val="auto"/>
              </w:rPr>
            </w:pPr>
            <w:r>
              <w:rPr>
                <w:rFonts w:ascii="Arial" w:cs="Arial" w:eastAsia="Arial" w:hAnsi="Arial"/>
                <w:sz w:val="18"/>
                <w:szCs w:val="18"/>
                <w:b w:val="1"/>
                <w:bCs w:val="1"/>
                <w:color w:val="auto"/>
              </w:rPr>
              <w:t>5,461</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0</w:t>
            </w:r>
          </w:p>
        </w:tc>
        <w:tc>
          <w:tcPr>
            <w:tcW w:w="960" w:type="dxa"/>
            <w:vAlign w:val="bottom"/>
          </w:tcPr>
          <w:p>
            <w:pPr>
              <w:jc w:val="right"/>
              <w:ind w:right="173"/>
              <w:spacing w:after="0"/>
              <w:rPr>
                <w:sz w:val="20"/>
                <w:szCs w:val="20"/>
                <w:color w:val="auto"/>
              </w:rPr>
            </w:pPr>
            <w:r>
              <w:rPr>
                <w:rFonts w:ascii="Arial" w:cs="Arial" w:eastAsia="Arial" w:hAnsi="Arial"/>
                <w:sz w:val="18"/>
                <w:szCs w:val="18"/>
                <w:b w:val="1"/>
                <w:bCs w:val="1"/>
                <w:color w:val="auto"/>
              </w:rPr>
              <w:t>5,369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Security deposits</w:t>
            </w:r>
          </w:p>
        </w:tc>
        <w:tc>
          <w:tcPr>
            <w:tcW w:w="2740" w:type="dxa"/>
            <w:vAlign w:val="bottom"/>
          </w:tcPr>
          <w:p>
            <w:pPr>
              <w:jc w:val="right"/>
              <w:ind w:right="173"/>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449</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suppliers</w:t>
            </w:r>
          </w:p>
        </w:tc>
        <w:tc>
          <w:tcPr>
            <w:tcW w:w="27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Embedded derivative</w:t>
            </w:r>
          </w:p>
        </w:tc>
        <w:tc>
          <w:tcPr>
            <w:tcW w:w="2740" w:type="dxa"/>
            <w:vAlign w:val="bottom"/>
          </w:tcPr>
          <w:p>
            <w:pPr>
              <w:jc w:val="right"/>
              <w:ind w:right="173"/>
              <w:spacing w:after="0"/>
              <w:rPr>
                <w:sz w:val="20"/>
                <w:szCs w:val="20"/>
                <w:color w:val="auto"/>
              </w:rPr>
            </w:pPr>
            <w:r>
              <w:rPr>
                <w:rFonts w:ascii="Arial" w:cs="Arial" w:eastAsia="Arial" w:hAnsi="Arial"/>
                <w:sz w:val="18"/>
                <w:szCs w:val="18"/>
                <w:color w:val="auto"/>
              </w:rPr>
              <w:t>172</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740" w:type="dxa"/>
            <w:vAlign w:val="bottom"/>
          </w:tcPr>
          <w:p>
            <w:pPr>
              <w:jc w:val="right"/>
              <w:ind w:right="173"/>
              <w:spacing w:after="0"/>
              <w:rPr>
                <w:sz w:val="20"/>
                <w:szCs w:val="20"/>
                <w:color w:val="auto"/>
              </w:rPr>
            </w:pPr>
            <w:r>
              <w:rPr>
                <w:rFonts w:ascii="Arial" w:cs="Arial" w:eastAsia="Arial" w:hAnsi="Arial"/>
                <w:sz w:val="18"/>
                <w:szCs w:val="18"/>
                <w:b w:val="1"/>
                <w:bCs w:val="1"/>
                <w:color w:val="auto"/>
              </w:rPr>
              <w:t>220</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449</w:t>
            </w:r>
          </w:p>
        </w:tc>
        <w:tc>
          <w:tcPr>
            <w:tcW w:w="960" w:type="dxa"/>
            <w:vAlign w:val="bottom"/>
          </w:tcPr>
          <w:p>
            <w:pPr>
              <w:jc w:val="right"/>
              <w:ind w:right="173"/>
              <w:spacing w:after="0"/>
              <w:rPr>
                <w:sz w:val="20"/>
                <w:szCs w:val="20"/>
                <w:color w:val="auto"/>
              </w:rPr>
            </w:pPr>
            <w:r>
              <w:rPr>
                <w:rFonts w:ascii="Arial" w:cs="Arial" w:eastAsia="Arial" w:hAnsi="Arial"/>
                <w:sz w:val="18"/>
                <w:szCs w:val="18"/>
                <w:b w:val="1"/>
                <w:bCs w:val="1"/>
                <w:color w:val="auto"/>
              </w:rPr>
              <w:t>143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4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5,681</w:t>
            </w:r>
          </w:p>
        </w:tc>
        <w:tc>
          <w:tcPr>
            <w:tcW w:w="12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449</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5,512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default risk for financial assets is their carrying amount.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Cash and Cash Equivalents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the reporting date, the balance of cash funds amounted to €10,238 thousand (2021: €48,143 thousand, 2020: €43,198) and comprises primarily balances held with banks.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Equity</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Subscribed Capital</w:t>
      </w:r>
    </w:p>
    <w:p>
      <w:pPr>
        <w:spacing w:after="0" w:line="131"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Issued share capital</w:t>
      </w:r>
    </w:p>
    <w:p>
      <w:pPr>
        <w:spacing w:after="0" w:line="12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of January 1, 2022, the Company’s share capital amounted to €5,242,948, divided into €5,242,948 bearer shares with a nominal value of €1.00 per share.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the year ended December 31, 2022, share capital was increased to €5,668,391 through the issuance of a total of 425,443 bearer shares with a nominal value of €1.00 per share. This was due to the following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L3Harris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July 2022, Harris Communications GmbH, München, an indirect wholly owned subsidiary of L3Harris Technologies, Inc., Delaware, USA, invested approximately €11.2 million by means of a capital increase from authorized capital in exchange for 409,294 new ordinary shares, which corresponded to 7.2% of the share capital of Mynaric AG.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86" w:right="4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Due to this transaction the share capital increased by €409,294 and the capital reserve by €10,792,060.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 Plan related capital increase</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August 2022, the Management Board and the Supervisory Board have adopted a capital increase resolution, in which they resolved to increase the share capital of Mynaric AG of €5,652,242 by €16,149 to €5,668,391 through the issuance of 16,149 new bearer no par value shares under exclusion of the subscription rights of the shareholders out of the Authorized Capital 2021/II. The 16,149 new shares relate to the settlement of 16,149 vested restricted stock units (“RSU’s”) under the RSUP 2021 program of the Group.</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descriptions of the Authorized Capital 2021/II refer to Note 25.1.c) and the RSUP 2021 program refer to Note 9.2.</w:t>
      </w:r>
    </w:p>
    <w:p>
      <w:pPr>
        <w:spacing w:after="0" w:line="370"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Conditional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there is conditional capital in the amount of €2,619,974 (2021: €2,046,474, 2020: €1,485,652).</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June 12, 2020, the Annual General Meeting resolved to create 2020/I Conditional Capital and an additional 2020/II Conditional Capital, and to reduce the 2017/I Conditional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2017/I Conditional Capital</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After reduction, the 2017/I Conditional Capital dated September 8, 2017, amounts to €1,500.00 and is now used to grant stock option rights to employees of the Company or its affiliates.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Conditional Capital</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Based on an authorization of the Annual General Meeting on July 2, 2019, 2019 Conditional Capital was created in the amount of €270,000.00. The Management Board was authorized, subject to the consent of the Supervisory Board, to grant stock option rights for shares to members of the Management Board and to employees of the Company or its affiliates on one or more occasions until December 31, 2022.</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2020/I Conditional Capital</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2020/II Conditional Capital</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146"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Due to the conversion of convertible bonds in fiscal year 2021, Conditional Capital 2020/II amounts to €1,179,679.00 as of December 31, 2021.</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May 14, 2021, the Annual General Meeting resolved to create 2021/I Conditional Capital and an additional 2021/II Conditional Capital.</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86" w:right="4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 Conditional Capital</w:t>
      </w:r>
    </w:p>
    <w:p>
      <w:pPr>
        <w:spacing w:after="0" w:line="117"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14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2021/II Conditional Capital</w:t>
      </w:r>
    </w:p>
    <w:p>
      <w:pPr>
        <w:spacing w:after="0" w:line="117"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Supervisory Board is authorized, to grant stock option rights for shares to members of the Management Board of the Company on one or more occasions until May 13, 2026.</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July 14, 2022, the Annual General Meeting resolved to create 2022/I Conditional Capital and an additional 2022/II Conditional Capital and to rescind the 2017 Conditional Capital and the 2021/I Conditional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2022/I Conditional Capital</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Based on an authorization of the Annual General Meeting on July 14, 2022, 2022/I Conditional Capital was created, which led to a conditional increase in the Company’s share capital by up to €917,501 through the issue of up to 917,501 new shares.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Management Board is authorized, subject to the consent of the Supervisory Board, to issue on one or more occasions until July 13, 2027 convertible bonds and/or bonds with warrants issued to the bearer with a term of not more than 20 years, and to grant to the bondholders conversion and/or option rights to new shares of the Company with a pro rata amount in the share capital of up to a total of €917,501 pursuant to the terms and conditions of the convertible bonds and/or bonds with warrants.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2022/II Conditional Capital</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Based on an authorization of the Annual General Meeting on July 14, 2022, 2022/II Conditional Capital was created which led to a contingent increase in the Company’s share capital by up to €115,000 through the issue of up to 115,000 new no-par-value bearer or registered shares.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Supervisory Board is authorized, to grant stock option rights for shares to members of the Management Board of the Company on one or more occasions until July 14, 2027.</w:t>
      </w:r>
    </w:p>
    <w:p>
      <w:pPr>
        <w:spacing w:after="0" w:line="315"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there is authorized capital in the amount of €2,605,325 (2021: €880,325, 2020: €2,659,089).</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May 14, 2021, the Annual General Meeting resolved to create 2021/I Authorized Capital and an additional 2021/II Authorized Capital and to rescind the Authorized Capital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 Authorized Capital</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 capital increases carried out in fiscal year 2021, Authorized Capital 2021/I amounts to €691,827.00 as of December 31, 2021.</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86" w:right="4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2021/II Authorized Capital</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 capital increase carried out in fiscal year 2022, Authorized Capital 2021/II amounts to €188,498.00 as of December 31, 2022.</w:t>
      </w:r>
    </w:p>
    <w:p>
      <w:pPr>
        <w:spacing w:after="0" w:line="23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July 14, 2022, the Annual General Meeting resolved to create 2022/I Authorized Capital and an additional 2022/II Authorized Capital and to rescind the Authorized Capital 2021/I.</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2022/I Authorized Capital</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Management Board is authorized, subject to the consent of the Supervisory Board, to increase the Company’s share capital on one or more occasions until July 13, 2027, by up to a total amount of €2,154,680 through the issue of up to 2,154,680 new no-par-value bearer or registered shares against cash contributions and/or contributions in kind.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2022/II Authorized Capital</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Management Board is authorized, subject to the consent of the Supervisory Board, to increase the Company’s share capital on one or more occasions until July 13, 2027, by up to a total amount of €262,147 through the issue of up to 262.147 new no-par-value bearer or registered shares against cash contributions and/or contributions in kind.</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Authorized Capital 2022/II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 Shareholder subscription rights are excluded.</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Capital Reserve</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capital reserve comprises the premiums received in connection with the issuance of new shares, equity-settled share-based payments, and the incremental costs directly attributable to the specific capital increases.</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Exchange Rate Differences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reserve for exchange rate differences comprises all currency translation differences arising due to the translation of the financial statements of foreign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and non-current provisions changed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180" w:type="dxa"/>
            <w:vAlign w:val="bottom"/>
          </w:tcPr>
          <w:p>
            <w:pPr>
              <w:jc w:val="right"/>
              <w:ind w:right="133"/>
              <w:spacing w:after="0"/>
              <w:rPr>
                <w:sz w:val="20"/>
                <w:szCs w:val="20"/>
                <w:color w:val="auto"/>
              </w:rPr>
            </w:pPr>
            <w:r>
              <w:rPr>
                <w:rFonts w:ascii="Arial" w:cs="Arial" w:eastAsia="Arial" w:hAnsi="Arial"/>
                <w:sz w:val="14"/>
                <w:szCs w:val="14"/>
                <w:color w:val="auto"/>
              </w:rPr>
              <w:t>Jan. 1,</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Dec. 31,</w:t>
            </w:r>
          </w:p>
        </w:tc>
      </w:tr>
      <w:tr>
        <w:trPr>
          <w:trHeight w:val="167"/>
        </w:trPr>
        <w:tc>
          <w:tcPr>
            <w:tcW w:w="3680" w:type="dxa"/>
            <w:vAlign w:val="bottom"/>
          </w:tcPr>
          <w:p>
            <w:pPr>
              <w:spacing w:after="0"/>
              <w:rPr>
                <w:sz w:val="20"/>
                <w:szCs w:val="20"/>
                <w:color w:val="auto"/>
              </w:rPr>
            </w:pPr>
            <w:r>
              <w:rPr>
                <w:rFonts w:ascii="Arial" w:cs="Arial" w:eastAsia="Arial" w:hAnsi="Arial"/>
                <w:sz w:val="14"/>
                <w:szCs w:val="14"/>
                <w:color w:val="auto"/>
              </w:rPr>
              <w:t>€ thousand</w:t>
            </w:r>
          </w:p>
        </w:tc>
        <w:tc>
          <w:tcPr>
            <w:tcW w:w="3180" w:type="dxa"/>
            <w:vAlign w:val="bottom"/>
          </w:tcPr>
          <w:p>
            <w:pPr>
              <w:jc w:val="right"/>
              <w:ind w:right="173"/>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Utilization</w:t>
            </w: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Reversals</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Additions</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FX</w:t>
            </w:r>
          </w:p>
        </w:tc>
        <w:tc>
          <w:tcPr>
            <w:tcW w:w="720" w:type="dxa"/>
            <w:vAlign w:val="bottom"/>
          </w:tcPr>
          <w:p>
            <w:pPr>
              <w:jc w:val="right"/>
              <w:ind w:right="74"/>
              <w:spacing w:after="0"/>
              <w:rPr>
                <w:sz w:val="20"/>
                <w:szCs w:val="20"/>
                <w:color w:val="auto"/>
              </w:rPr>
            </w:pPr>
            <w:r>
              <w:rPr>
                <w:rFonts w:ascii="Arial" w:cs="Arial" w:eastAsia="Arial" w:hAnsi="Arial"/>
                <w:sz w:val="14"/>
                <w:szCs w:val="14"/>
                <w:color w:val="auto"/>
              </w:rPr>
              <w:t>2022</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Litigation</w:t>
            </w:r>
          </w:p>
        </w:tc>
        <w:tc>
          <w:tcPr>
            <w:tcW w:w="3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783</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3180" w:type="dxa"/>
            <w:vAlign w:val="bottom"/>
          </w:tcPr>
          <w:p>
            <w:pPr>
              <w:jc w:val="right"/>
              <w:ind w:right="73"/>
              <w:spacing w:after="0"/>
              <w:rPr>
                <w:sz w:val="20"/>
                <w:szCs w:val="20"/>
                <w:color w:val="auto"/>
              </w:rPr>
            </w:pPr>
            <w:r>
              <w:rPr>
                <w:rFonts w:ascii="Arial" w:cs="Arial" w:eastAsia="Arial" w:hAnsi="Arial"/>
                <w:sz w:val="18"/>
                <w:szCs w:val="18"/>
                <w:color w:val="auto"/>
              </w:rPr>
              <w:t>206</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Onerous contracts</w:t>
            </w:r>
          </w:p>
        </w:tc>
        <w:tc>
          <w:tcPr>
            <w:tcW w:w="3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240</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240</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Warranties</w:t>
            </w:r>
          </w:p>
        </w:tc>
        <w:tc>
          <w:tcPr>
            <w:tcW w:w="318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1,234</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315</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thereof non-current</w:t>
            </w:r>
          </w:p>
        </w:tc>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3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206</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Warranties</w:t>
            </w:r>
          </w:p>
        </w:tc>
        <w:tc>
          <w:tcPr>
            <w:tcW w:w="318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211</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364"/>
        </w:trPr>
        <w:tc>
          <w:tcPr>
            <w:tcW w:w="3680" w:type="dxa"/>
            <w:vAlign w:val="bottom"/>
          </w:tcPr>
          <w:p>
            <w:pPr>
              <w:spacing w:after="0"/>
              <w:rPr>
                <w:sz w:val="24"/>
                <w:szCs w:val="24"/>
                <w:color w:val="auto"/>
              </w:rPr>
            </w:pPr>
          </w:p>
        </w:tc>
        <w:tc>
          <w:tcPr>
            <w:tcW w:w="3180" w:type="dxa"/>
            <w:vAlign w:val="bottom"/>
          </w:tcPr>
          <w:p>
            <w:pPr>
              <w:jc w:val="right"/>
              <w:ind w:right="1093"/>
              <w:spacing w:after="0"/>
              <w:rPr>
                <w:sz w:val="20"/>
                <w:szCs w:val="20"/>
                <w:color w:val="auto"/>
              </w:rPr>
            </w:pPr>
            <w:r>
              <w:rPr>
                <w:rFonts w:ascii="Arial" w:cs="Arial" w:eastAsia="Arial" w:hAnsi="Arial"/>
                <w:sz w:val="18"/>
                <w:szCs w:val="18"/>
                <w:color w:val="auto"/>
              </w:rPr>
              <w:t>F-37</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Contract Liabilities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contract liabilities in the amount of €205 thousand (December 31, 2021: €307 thousand) consist of payments made by customers in fiscal year 2022 and 2021 presented in accordance with IFRS 15.</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Trade and Other Payables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breakdown of the trade and other payables: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 thousand</w:t>
            </w:r>
          </w:p>
        </w:tc>
        <w:tc>
          <w:tcPr>
            <w:tcW w:w="2640" w:type="dxa"/>
            <w:vAlign w:val="bottom"/>
          </w:tcPr>
          <w:p>
            <w:pPr>
              <w:jc w:val="right"/>
              <w:ind w:right="474"/>
              <w:spacing w:after="0"/>
              <w:rPr>
                <w:sz w:val="20"/>
                <w:szCs w:val="20"/>
                <w:color w:val="auto"/>
              </w:rPr>
            </w:pPr>
            <w:r>
              <w:rPr>
                <w:rFonts w:ascii="Arial" w:cs="Arial" w:eastAsia="Arial" w:hAnsi="Arial"/>
                <w:sz w:val="14"/>
                <w:szCs w:val="14"/>
                <w:color w:val="auto"/>
              </w:rPr>
              <w:t>December 31, 2022</w:t>
            </w:r>
          </w:p>
        </w:tc>
        <w:tc>
          <w:tcPr>
            <w:tcW w:w="1720" w:type="dxa"/>
            <w:vAlign w:val="bottom"/>
          </w:tcPr>
          <w:p>
            <w:pPr>
              <w:jc w:val="right"/>
              <w:spacing w:after="0"/>
              <w:rPr>
                <w:sz w:val="20"/>
                <w:szCs w:val="20"/>
                <w:color w:val="auto"/>
              </w:rPr>
            </w:pPr>
            <w:r>
              <w:rPr>
                <w:rFonts w:ascii="Arial" w:cs="Arial" w:eastAsia="Arial" w:hAnsi="Arial"/>
                <w:sz w:val="14"/>
                <w:szCs w:val="14"/>
                <w:color w:val="auto"/>
              </w:rPr>
              <w:t>December 31, 2021</w:t>
            </w:r>
          </w:p>
        </w:tc>
      </w:tr>
      <w:tr>
        <w:trPr>
          <w:trHeight w:val="216"/>
        </w:trPr>
        <w:tc>
          <w:tcPr>
            <w:tcW w:w="13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6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4,222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r>
      <w:tr>
        <w:trPr>
          <w:trHeight w:val="216"/>
        </w:trPr>
        <w:tc>
          <w:tcPr>
            <w:tcW w:w="1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accruals</w:t>
            </w:r>
          </w:p>
        </w:tc>
        <w:tc>
          <w:tcPr>
            <w:tcW w:w="2640" w:type="dxa"/>
            <w:vAlign w:val="bottom"/>
          </w:tcPr>
          <w:p>
            <w:pPr>
              <w:jc w:val="right"/>
              <w:ind w:right="474"/>
              <w:spacing w:after="0"/>
              <w:rPr>
                <w:sz w:val="20"/>
                <w:szCs w:val="20"/>
                <w:color w:val="auto"/>
              </w:rPr>
            </w:pPr>
            <w:r>
              <w:rPr>
                <w:rFonts w:ascii="Arial" w:cs="Arial" w:eastAsia="Arial" w:hAnsi="Arial"/>
                <w:sz w:val="18"/>
                <w:szCs w:val="18"/>
                <w:color w:val="auto"/>
              </w:rPr>
              <w:t>5,016</w:t>
            </w:r>
          </w:p>
        </w:tc>
        <w:tc>
          <w:tcPr>
            <w:tcW w:w="1720" w:type="dxa"/>
            <w:vAlign w:val="bottom"/>
          </w:tcPr>
          <w:p>
            <w:pPr>
              <w:jc w:val="right"/>
              <w:spacing w:after="0"/>
              <w:rPr>
                <w:sz w:val="20"/>
                <w:szCs w:val="20"/>
                <w:color w:val="auto"/>
              </w:rPr>
            </w:pPr>
            <w:r>
              <w:rPr>
                <w:rFonts w:ascii="Arial" w:cs="Arial" w:eastAsia="Arial" w:hAnsi="Arial"/>
                <w:sz w:val="18"/>
                <w:szCs w:val="18"/>
                <w:color w:val="auto"/>
              </w:rPr>
              <w:t>4,019</w:t>
            </w:r>
          </w:p>
        </w:tc>
      </w:tr>
      <w:tr>
        <w:trPr>
          <w:trHeight w:val="216"/>
        </w:trPr>
        <w:tc>
          <w:tcPr>
            <w:tcW w:w="13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9,238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r>
      <w:tr>
        <w:trPr>
          <w:trHeight w:val="540"/>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29. Other Financial Liabilities</w:t>
            </w:r>
          </w:p>
        </w:tc>
        <w:tc>
          <w:tcPr>
            <w:tcW w:w="26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The current other financial liabilities comprise the following:</w:t>
            </w:r>
          </w:p>
        </w:tc>
        <w:tc>
          <w:tcPr>
            <w:tcW w:w="26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2"/>
        </w:trPr>
        <w:tc>
          <w:tcPr>
            <w:tcW w:w="13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 thousand</w:t>
            </w:r>
          </w:p>
        </w:tc>
        <w:tc>
          <w:tcPr>
            <w:tcW w:w="2640" w:type="dxa"/>
            <w:vAlign w:val="bottom"/>
          </w:tcPr>
          <w:p>
            <w:pPr>
              <w:jc w:val="right"/>
              <w:ind w:right="474"/>
              <w:spacing w:after="0"/>
              <w:rPr>
                <w:sz w:val="20"/>
                <w:szCs w:val="20"/>
                <w:color w:val="auto"/>
              </w:rPr>
            </w:pPr>
            <w:r>
              <w:rPr>
                <w:rFonts w:ascii="Arial" w:cs="Arial" w:eastAsia="Arial" w:hAnsi="Arial"/>
                <w:sz w:val="14"/>
                <w:szCs w:val="14"/>
                <w:color w:val="auto"/>
              </w:rPr>
              <w:t>December 31, 2022</w:t>
            </w:r>
          </w:p>
        </w:tc>
        <w:tc>
          <w:tcPr>
            <w:tcW w:w="1720" w:type="dxa"/>
            <w:vAlign w:val="bottom"/>
          </w:tcPr>
          <w:p>
            <w:pPr>
              <w:jc w:val="right"/>
              <w:spacing w:after="0"/>
              <w:rPr>
                <w:sz w:val="20"/>
                <w:szCs w:val="20"/>
                <w:color w:val="auto"/>
              </w:rPr>
            </w:pPr>
            <w:r>
              <w:rPr>
                <w:rFonts w:ascii="Arial" w:cs="Arial" w:eastAsia="Arial" w:hAnsi="Arial"/>
                <w:sz w:val="14"/>
                <w:szCs w:val="14"/>
                <w:color w:val="auto"/>
              </w:rPr>
              <w:t>December 31, 2021</w:t>
            </w:r>
          </w:p>
        </w:tc>
      </w:tr>
      <w:tr>
        <w:trPr>
          <w:trHeight w:val="216"/>
        </w:trPr>
        <w:tc>
          <w:tcPr>
            <w:tcW w:w="13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Agreement</w:t>
            </w:r>
          </w:p>
        </w:tc>
        <w:tc>
          <w:tcPr>
            <w:tcW w:w="26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14,440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financial liabilities</w:t>
            </w:r>
          </w:p>
        </w:tc>
        <w:tc>
          <w:tcPr>
            <w:tcW w:w="2640" w:type="dxa"/>
            <w:vAlign w:val="bottom"/>
          </w:tcPr>
          <w:p>
            <w:pPr>
              <w:jc w:val="right"/>
              <w:ind w:right="474"/>
              <w:spacing w:after="0"/>
              <w:rPr>
                <w:sz w:val="20"/>
                <w:szCs w:val="20"/>
                <w:color w:val="auto"/>
              </w:rPr>
            </w:pPr>
            <w:r>
              <w:rPr>
                <w:rFonts w:ascii="Arial" w:cs="Arial" w:eastAsia="Arial" w:hAnsi="Arial"/>
                <w:sz w:val="18"/>
                <w:szCs w:val="18"/>
                <w:color w:val="auto"/>
              </w:rPr>
              <w:t>339</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14,779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thereof non-current</w:t>
            </w:r>
          </w:p>
        </w:tc>
        <w:tc>
          <w:tcPr>
            <w:tcW w:w="26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264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249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3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2640" w:type="dxa"/>
            <w:vAlign w:val="bottom"/>
          </w:tcPr>
          <w:p>
            <w:pPr>
              <w:jc w:val="right"/>
              <w:ind w:right="474"/>
              <w:spacing w:after="0"/>
              <w:rPr>
                <w:sz w:val="20"/>
                <w:szCs w:val="20"/>
                <w:color w:val="auto"/>
              </w:rPr>
            </w:pPr>
            <w:r>
              <w:rPr>
                <w:rFonts w:ascii="Arial" w:cs="Arial" w:eastAsia="Arial" w:hAnsi="Arial"/>
                <w:sz w:val="18"/>
                <w:szCs w:val="18"/>
                <w:color w:val="auto"/>
              </w:rPr>
              <w:t>249</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On May 02, 2022, the Group entered into a credit agreement with Formue Nord Fokus A/S, Modelio Equity AB (publ) and Munkekullen 5 förvaltning AB as lenders for a credit line of €25 million until June 30, 2023. A loan in a nominal amount of €13,110 thousand has been disbursed hereunder on May 3, 2022, which is presented together with accrued interest in the amount of €1,330 thousand as Loan Agreement in the table above. The loan contains a prepayment option which enables the group to prepay the loan early. This option was bifurcated from the debt host contract. The prepayment option is recognized as an embedded derivative and is presented on statement of financial position under Other financial and non-financial assets. The embedded derivative is measured at fair value through profit or loss. The initial option value was €454 thousand. As of December 31, 2022, the fair value of the embedded derivative was €172 thousand. The fair value change of €282 thousand is recognized under interest and similar expenses. For further information regarding the valuation methodology refer to Note 33.1.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30. Other Non-Financial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financial and non-financial liabilities comprise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4400" w:type="dxa"/>
            <w:vAlign w:val="bottom"/>
          </w:tcPr>
          <w:p>
            <w:pPr>
              <w:spacing w:after="0"/>
              <w:rPr>
                <w:sz w:val="20"/>
                <w:szCs w:val="20"/>
                <w:color w:val="auto"/>
              </w:rPr>
            </w:pPr>
            <w:r>
              <w:rPr>
                <w:rFonts w:ascii="Arial" w:cs="Arial" w:eastAsia="Arial" w:hAnsi="Arial"/>
                <w:sz w:val="14"/>
                <w:szCs w:val="14"/>
                <w:color w:val="auto"/>
              </w:rPr>
              <w:t>€ thousand</w:t>
            </w:r>
          </w:p>
        </w:tc>
        <w:tc>
          <w:tcPr>
            <w:tcW w:w="2260" w:type="dxa"/>
            <w:vAlign w:val="bottom"/>
          </w:tcPr>
          <w:p>
            <w:pPr>
              <w:jc w:val="right"/>
              <w:ind w:right="413"/>
              <w:spacing w:after="0"/>
              <w:rPr>
                <w:sz w:val="20"/>
                <w:szCs w:val="20"/>
                <w:color w:val="auto"/>
              </w:rPr>
            </w:pPr>
            <w:r>
              <w:rPr>
                <w:rFonts w:ascii="Arial" w:cs="Arial" w:eastAsia="Arial" w:hAnsi="Arial"/>
                <w:sz w:val="14"/>
                <w:szCs w:val="14"/>
                <w:color w:val="auto"/>
              </w:rPr>
              <w:t>December 31, 2022</w:t>
            </w:r>
          </w:p>
        </w:tc>
        <w:tc>
          <w:tcPr>
            <w:tcW w:w="1700" w:type="dxa"/>
            <w:vAlign w:val="bottom"/>
          </w:tcPr>
          <w:p>
            <w:pPr>
              <w:jc w:val="right"/>
              <w:spacing w:after="0"/>
              <w:rPr>
                <w:sz w:val="20"/>
                <w:szCs w:val="20"/>
                <w:color w:val="auto"/>
              </w:rPr>
            </w:pPr>
            <w:r>
              <w:rPr>
                <w:rFonts w:ascii="Arial" w:cs="Arial" w:eastAsia="Arial" w:hAnsi="Arial"/>
                <w:sz w:val="14"/>
                <w:szCs w:val="14"/>
                <w:color w:val="auto"/>
              </w:rPr>
              <w:t>December 31, 2021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Liabilities due to customers</w:t>
            </w:r>
          </w:p>
        </w:tc>
        <w:tc>
          <w:tcPr>
            <w:tcW w:w="22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15,166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Loan related fee’s</w:t>
            </w:r>
          </w:p>
        </w:tc>
        <w:tc>
          <w:tcPr>
            <w:tcW w:w="2260" w:type="dxa"/>
            <w:vAlign w:val="bottom"/>
          </w:tcPr>
          <w:p>
            <w:pPr>
              <w:jc w:val="right"/>
              <w:ind w:right="413"/>
              <w:spacing w:after="0"/>
              <w:rPr>
                <w:sz w:val="20"/>
                <w:szCs w:val="20"/>
                <w:color w:val="auto"/>
              </w:rPr>
            </w:pPr>
            <w:r>
              <w:rPr>
                <w:rFonts w:ascii="Arial" w:cs="Arial" w:eastAsia="Arial" w:hAnsi="Arial"/>
                <w:sz w:val="18"/>
                <w:szCs w:val="18"/>
                <w:color w:val="auto"/>
              </w:rPr>
              <w:t>782</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payroll, social security and payroll tax</w:t>
            </w:r>
          </w:p>
        </w:tc>
        <w:tc>
          <w:tcPr>
            <w:tcW w:w="22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482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jc w:val="right"/>
              <w:ind w:right="413"/>
              <w:spacing w:after="0"/>
              <w:rPr>
                <w:sz w:val="20"/>
                <w:szCs w:val="20"/>
                <w:color w:val="auto"/>
              </w:rPr>
            </w:pPr>
            <w:r>
              <w:rPr>
                <w:rFonts w:ascii="Arial" w:cs="Arial" w:eastAsia="Arial" w:hAnsi="Arial"/>
                <w:sz w:val="18"/>
                <w:szCs w:val="18"/>
                <w:color w:val="auto"/>
              </w:rPr>
              <w:t>228</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16,658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bl>
    <w:p>
      <w:pPr>
        <w:spacing w:after="0" w:line="202"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Liabilities due to customers includes payments received from customers where the underlying agreements do not constitute a contract within the meaning of IFRS 15.9. The liability is recognized as other liabilities, rather than contract liabilities, until a contract according to IFRS 15.9 exists or the requirements of IFRS 15.15 for recognition in profit or loss are met. During the year ended December 31, 2022, total payments received related to such contracts totaled €15,984 thousand (2021: €1,888 thousand, 2020: €0) and revenue of €2,661 thousand was recognized (2021: € 0 thousand, 2020: €0).</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Statement of 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cash funds correspond to cash and cash equivalents as of the reporting date, comprising primarily cash on hand and bank balances.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86" w:right="4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 of movements in liabilities to cash flows from 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liabilities to the cash flows from financing activities required to be disclosed in accordance with IAS 7.44 is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60" w:type="dxa"/>
            <w:vAlign w:val="bottom"/>
            <w:gridSpan w:val="2"/>
          </w:tcPr>
          <w:p>
            <w:pPr>
              <w:jc w:val="right"/>
              <w:ind w:right="334"/>
              <w:spacing w:after="0"/>
              <w:rPr>
                <w:sz w:val="20"/>
                <w:szCs w:val="20"/>
                <w:color w:val="auto"/>
              </w:rPr>
            </w:pPr>
            <w:r>
              <w:rPr>
                <w:rFonts w:ascii="Arial" w:cs="Arial" w:eastAsia="Arial" w:hAnsi="Arial"/>
                <w:sz w:val="14"/>
                <w:szCs w:val="14"/>
                <w:color w:val="auto"/>
              </w:rPr>
              <w:t>Cash Changes</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Non-cash changes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4"/>
        </w:trPr>
        <w:tc>
          <w:tcPr>
            <w:tcW w:w="3820" w:type="dxa"/>
            <w:vAlign w:val="bottom"/>
          </w:tcPr>
          <w:p>
            <w:pPr>
              <w:spacing w:after="0"/>
              <w:rPr>
                <w:sz w:val="13"/>
                <w:szCs w:val="13"/>
                <w:color w:val="auto"/>
              </w:rPr>
            </w:pPr>
          </w:p>
        </w:tc>
        <w:tc>
          <w:tcPr>
            <w:tcW w:w="2480" w:type="dxa"/>
            <w:vAlign w:val="bottom"/>
          </w:tcPr>
          <w:p>
            <w:pPr>
              <w:jc w:val="right"/>
              <w:ind w:right="156"/>
              <w:spacing w:after="0" w:line="154" w:lineRule="exact"/>
              <w:rPr>
                <w:sz w:val="20"/>
                <w:szCs w:val="20"/>
                <w:color w:val="auto"/>
              </w:rPr>
            </w:pPr>
            <w:r>
              <w:rPr>
                <w:rFonts w:ascii="Arial" w:cs="Arial" w:eastAsia="Arial" w:hAnsi="Arial"/>
                <w:sz w:val="14"/>
                <w:szCs w:val="14"/>
                <w:color w:val="auto"/>
              </w:rPr>
              <w:t>Balance as of</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ind w:left="120"/>
              <w:spacing w:after="0" w:line="154" w:lineRule="exact"/>
              <w:rPr>
                <w:sz w:val="20"/>
                <w:szCs w:val="20"/>
                <w:color w:val="auto"/>
              </w:rPr>
            </w:pPr>
            <w:r>
              <w:rPr>
                <w:rFonts w:ascii="Arial" w:cs="Arial" w:eastAsia="Arial" w:hAnsi="Arial"/>
                <w:sz w:val="14"/>
                <w:szCs w:val="14"/>
                <w:color w:val="auto"/>
              </w:rPr>
              <w:t>Unpaid</w:t>
            </w:r>
          </w:p>
        </w:tc>
        <w:tc>
          <w:tcPr>
            <w:tcW w:w="480" w:type="dxa"/>
            <w:vAlign w:val="bottom"/>
          </w:tcPr>
          <w:p>
            <w:pPr>
              <w:spacing w:after="0"/>
              <w:rPr>
                <w:sz w:val="13"/>
                <w:szCs w:val="13"/>
                <w:color w:val="auto"/>
              </w:rPr>
            </w:pPr>
          </w:p>
        </w:tc>
        <w:tc>
          <w:tcPr>
            <w:tcW w:w="1000" w:type="dxa"/>
            <w:vAlign w:val="bottom"/>
          </w:tcPr>
          <w:p>
            <w:pPr>
              <w:ind w:left="140"/>
              <w:spacing w:after="0" w:line="154" w:lineRule="exact"/>
              <w:rPr>
                <w:sz w:val="20"/>
                <w:szCs w:val="20"/>
                <w:color w:val="auto"/>
              </w:rPr>
            </w:pPr>
            <w:r>
              <w:rPr>
                <w:rFonts w:ascii="Arial" w:cs="Arial" w:eastAsia="Arial" w:hAnsi="Arial"/>
                <w:sz w:val="14"/>
                <w:szCs w:val="14"/>
                <w:color w:val="auto"/>
                <w:w w:val="98"/>
              </w:rPr>
              <w:t>Balance as of</w:t>
            </w:r>
          </w:p>
        </w:tc>
      </w:tr>
      <w:tr>
        <w:trPr>
          <w:trHeight w:val="176"/>
        </w:trPr>
        <w:tc>
          <w:tcPr>
            <w:tcW w:w="3820" w:type="dxa"/>
            <w:vAlign w:val="bottom"/>
          </w:tcPr>
          <w:p>
            <w:pPr>
              <w:spacing w:after="0"/>
              <w:rPr>
                <w:sz w:val="20"/>
                <w:szCs w:val="20"/>
                <w:color w:val="auto"/>
              </w:rPr>
            </w:pPr>
            <w:r>
              <w:rPr>
                <w:rFonts w:ascii="Arial" w:cs="Arial" w:eastAsia="Arial" w:hAnsi="Arial"/>
                <w:sz w:val="14"/>
                <w:szCs w:val="14"/>
                <w:color w:val="auto"/>
              </w:rPr>
              <w:t>€ thousand</w:t>
            </w:r>
          </w:p>
        </w:tc>
        <w:tc>
          <w:tcPr>
            <w:tcW w:w="2480" w:type="dxa"/>
            <w:vAlign w:val="bottom"/>
          </w:tcPr>
          <w:p>
            <w:pPr>
              <w:jc w:val="right"/>
              <w:ind w:right="196"/>
              <w:spacing w:after="0"/>
              <w:rPr>
                <w:sz w:val="20"/>
                <w:szCs w:val="20"/>
                <w:color w:val="auto"/>
              </w:rPr>
            </w:pPr>
            <w:r>
              <w:rPr>
                <w:rFonts w:ascii="Arial" w:cs="Arial" w:eastAsia="Arial" w:hAnsi="Arial"/>
                <w:sz w:val="14"/>
                <w:szCs w:val="14"/>
                <w:color w:val="auto"/>
              </w:rPr>
              <w:t>Jan. 1, 2022</w:t>
            </w:r>
          </w:p>
        </w:tc>
        <w:tc>
          <w:tcPr>
            <w:tcW w:w="740" w:type="dxa"/>
            <w:vAlign w:val="bottom"/>
          </w:tcPr>
          <w:p>
            <w:pPr>
              <w:jc w:val="right"/>
              <w:ind w:right="116"/>
              <w:spacing w:after="0"/>
              <w:rPr>
                <w:sz w:val="20"/>
                <w:szCs w:val="20"/>
                <w:color w:val="auto"/>
              </w:rPr>
            </w:pPr>
            <w:r>
              <w:rPr>
                <w:rFonts w:ascii="Arial" w:cs="Arial" w:eastAsia="Arial" w:hAnsi="Arial"/>
                <w:sz w:val="14"/>
                <w:szCs w:val="14"/>
                <w:color w:val="auto"/>
              </w:rPr>
              <w:t>Inflows</w:t>
            </w:r>
          </w:p>
        </w:tc>
        <w:tc>
          <w:tcPr>
            <w:tcW w:w="820" w:type="dxa"/>
            <w:vAlign w:val="bottom"/>
          </w:tcPr>
          <w:p>
            <w:pPr>
              <w:jc w:val="right"/>
              <w:ind w:right="74"/>
              <w:spacing w:after="0"/>
              <w:rPr>
                <w:sz w:val="20"/>
                <w:szCs w:val="20"/>
                <w:color w:val="auto"/>
              </w:rPr>
            </w:pPr>
            <w:r>
              <w:rPr>
                <w:rFonts w:ascii="Arial" w:cs="Arial" w:eastAsia="Arial" w:hAnsi="Arial"/>
                <w:sz w:val="14"/>
                <w:szCs w:val="14"/>
                <w:color w:val="auto"/>
              </w:rPr>
              <w:t>Outflows</w:t>
            </w:r>
          </w:p>
        </w:tc>
        <w:tc>
          <w:tcPr>
            <w:tcW w:w="860" w:type="dxa"/>
            <w:vAlign w:val="bottom"/>
          </w:tcPr>
          <w:p>
            <w:pPr>
              <w:jc w:val="right"/>
              <w:ind w:right="96"/>
              <w:spacing w:after="0"/>
              <w:rPr>
                <w:sz w:val="20"/>
                <w:szCs w:val="20"/>
                <w:color w:val="auto"/>
              </w:rPr>
            </w:pPr>
            <w:r>
              <w:rPr>
                <w:rFonts w:ascii="Arial" w:cs="Arial" w:eastAsia="Arial" w:hAnsi="Arial"/>
                <w:sz w:val="14"/>
                <w:szCs w:val="14"/>
                <w:color w:val="auto"/>
              </w:rPr>
              <w:t>Additions</w:t>
            </w:r>
          </w:p>
        </w:tc>
        <w:tc>
          <w:tcPr>
            <w:tcW w:w="820" w:type="dxa"/>
            <w:vAlign w:val="bottom"/>
          </w:tcPr>
          <w:p>
            <w:pPr>
              <w:ind w:left="120"/>
              <w:spacing w:after="0"/>
              <w:rPr>
                <w:sz w:val="20"/>
                <w:szCs w:val="20"/>
                <w:color w:val="auto"/>
              </w:rPr>
            </w:pPr>
            <w:r>
              <w:rPr>
                <w:rFonts w:ascii="Arial" w:cs="Arial" w:eastAsia="Arial" w:hAnsi="Arial"/>
                <w:sz w:val="14"/>
                <w:szCs w:val="14"/>
                <w:color w:val="auto"/>
              </w:rPr>
              <w:t>interest</w:t>
            </w:r>
          </w:p>
        </w:tc>
        <w:tc>
          <w:tcPr>
            <w:tcW w:w="480" w:type="dxa"/>
            <w:vAlign w:val="bottom"/>
          </w:tcPr>
          <w:p>
            <w:pPr>
              <w:jc w:val="right"/>
              <w:ind w:right="134"/>
              <w:spacing w:after="0"/>
              <w:rPr>
                <w:sz w:val="20"/>
                <w:szCs w:val="20"/>
                <w:color w:val="auto"/>
              </w:rPr>
            </w:pPr>
            <w:r>
              <w:rPr>
                <w:rFonts w:ascii="Arial" w:cs="Arial" w:eastAsia="Arial" w:hAnsi="Arial"/>
                <w:sz w:val="14"/>
                <w:szCs w:val="14"/>
                <w:color w:val="auto"/>
              </w:rPr>
              <w:t>FX</w:t>
            </w:r>
          </w:p>
        </w:tc>
        <w:tc>
          <w:tcPr>
            <w:tcW w:w="1000" w:type="dxa"/>
            <w:vAlign w:val="bottom"/>
          </w:tcPr>
          <w:p>
            <w:pPr>
              <w:ind w:left="120"/>
              <w:spacing w:after="0"/>
              <w:rPr>
                <w:sz w:val="20"/>
                <w:szCs w:val="20"/>
                <w:color w:val="auto"/>
              </w:rPr>
            </w:pPr>
            <w:r>
              <w:rPr>
                <w:rFonts w:ascii="Arial" w:cs="Arial" w:eastAsia="Arial" w:hAnsi="Arial"/>
                <w:sz w:val="14"/>
                <w:szCs w:val="14"/>
                <w:color w:val="auto"/>
                <w:w w:val="98"/>
              </w:rPr>
              <w:t>Dec. 31, 2022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Short-term loans</w:t>
            </w:r>
          </w:p>
        </w:tc>
        <w:tc>
          <w:tcPr>
            <w:tcW w:w="24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13,110</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1,330</w:t>
            </w:r>
          </w:p>
        </w:tc>
        <w:tc>
          <w:tcPr>
            <w:tcW w:w="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Lease liabilities</w:t>
            </w:r>
          </w:p>
        </w:tc>
        <w:tc>
          <w:tcPr>
            <w:tcW w:w="2480" w:type="dxa"/>
            <w:vAlign w:val="bottom"/>
          </w:tcPr>
          <w:p>
            <w:pPr>
              <w:jc w:val="right"/>
              <w:ind w:right="136"/>
              <w:spacing w:after="0"/>
              <w:rPr>
                <w:sz w:val="20"/>
                <w:szCs w:val="20"/>
                <w:color w:val="auto"/>
              </w:rPr>
            </w:pPr>
            <w:r>
              <w:rPr>
                <w:rFonts w:ascii="Arial" w:cs="Arial" w:eastAsia="Arial" w:hAnsi="Arial"/>
                <w:sz w:val="18"/>
                <w:szCs w:val="18"/>
                <w:color w:val="auto"/>
              </w:rPr>
              <w:t>9,027</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-1,713</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1,439</w:t>
            </w:r>
          </w:p>
        </w:tc>
        <w:tc>
          <w:tcPr>
            <w:tcW w:w="820" w:type="dxa"/>
            <w:vAlign w:val="bottom"/>
          </w:tcPr>
          <w:p>
            <w:pPr>
              <w:jc w:val="right"/>
              <w:ind w:right="176"/>
              <w:spacing w:after="0"/>
              <w:rPr>
                <w:sz w:val="20"/>
                <w:szCs w:val="20"/>
                <w:color w:val="auto"/>
              </w:rPr>
            </w:pPr>
            <w:r>
              <w:rPr>
                <w:rFonts w:ascii="Arial" w:cs="Arial" w:eastAsia="Arial" w:hAnsi="Arial"/>
                <w:sz w:val="18"/>
                <w:szCs w:val="18"/>
                <w:color w:val="auto"/>
              </w:rPr>
              <w:t>6</w:t>
            </w: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183</w:t>
            </w:r>
          </w:p>
        </w:tc>
        <w:tc>
          <w:tcPr>
            <w:tcW w:w="1000" w:type="dxa"/>
            <w:vAlign w:val="bottom"/>
          </w:tcPr>
          <w:p>
            <w:pPr>
              <w:jc w:val="right"/>
              <w:spacing w:after="0"/>
              <w:rPr>
                <w:sz w:val="20"/>
                <w:szCs w:val="20"/>
                <w:color w:val="auto"/>
              </w:rPr>
            </w:pPr>
            <w:r>
              <w:rPr>
                <w:rFonts w:ascii="Arial" w:cs="Arial" w:eastAsia="Arial" w:hAnsi="Arial"/>
                <w:sz w:val="18"/>
                <w:szCs w:val="18"/>
                <w:color w:val="auto"/>
              </w:rPr>
              <w:t>8,942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sundry financial liabilities</w:t>
            </w:r>
          </w:p>
        </w:tc>
        <w:tc>
          <w:tcPr>
            <w:tcW w:w="24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420</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-137</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80" w:type="dxa"/>
            <w:vAlign w:val="bottom"/>
          </w:tcPr>
          <w:p>
            <w:pPr>
              <w:jc w:val="right"/>
              <w:ind w:right="136"/>
              <w:spacing w:after="0"/>
              <w:rPr>
                <w:sz w:val="20"/>
                <w:szCs w:val="20"/>
                <w:color w:val="auto"/>
              </w:rPr>
            </w:pPr>
            <w:r>
              <w:rPr>
                <w:rFonts w:ascii="Arial" w:cs="Arial" w:eastAsia="Arial" w:hAnsi="Arial"/>
                <w:sz w:val="18"/>
                <w:szCs w:val="18"/>
                <w:b w:val="1"/>
                <w:bCs w:val="1"/>
                <w:color w:val="auto"/>
              </w:rPr>
              <w:t>9,064</w:t>
            </w:r>
          </w:p>
        </w:tc>
        <w:tc>
          <w:tcPr>
            <w:tcW w:w="740" w:type="dxa"/>
            <w:vAlign w:val="bottom"/>
          </w:tcPr>
          <w:p>
            <w:pPr>
              <w:jc w:val="right"/>
              <w:ind w:right="56"/>
              <w:spacing w:after="0"/>
              <w:rPr>
                <w:sz w:val="20"/>
                <w:szCs w:val="20"/>
                <w:color w:val="auto"/>
              </w:rPr>
            </w:pPr>
            <w:r>
              <w:rPr>
                <w:rFonts w:ascii="Arial" w:cs="Arial" w:eastAsia="Arial" w:hAnsi="Arial"/>
                <w:sz w:val="18"/>
                <w:szCs w:val="18"/>
                <w:b w:val="1"/>
                <w:bCs w:val="1"/>
                <w:color w:val="auto"/>
              </w:rPr>
              <w:t>13,530</w:t>
            </w:r>
          </w:p>
        </w:tc>
        <w:tc>
          <w:tcPr>
            <w:tcW w:w="820" w:type="dxa"/>
            <w:vAlign w:val="bottom"/>
          </w:tcPr>
          <w:p>
            <w:pPr>
              <w:jc w:val="right"/>
              <w:ind w:right="74"/>
              <w:spacing w:after="0"/>
              <w:rPr>
                <w:sz w:val="20"/>
                <w:szCs w:val="20"/>
                <w:color w:val="auto"/>
              </w:rPr>
            </w:pPr>
            <w:r>
              <w:rPr>
                <w:rFonts w:ascii="Arial" w:cs="Arial" w:eastAsia="Arial" w:hAnsi="Arial"/>
                <w:sz w:val="18"/>
                <w:szCs w:val="18"/>
                <w:b w:val="1"/>
                <w:bCs w:val="1"/>
                <w:color w:val="auto"/>
              </w:rPr>
              <w:t>-1,850</w:t>
            </w:r>
          </w:p>
        </w:tc>
        <w:tc>
          <w:tcPr>
            <w:tcW w:w="860" w:type="dxa"/>
            <w:vAlign w:val="bottom"/>
          </w:tcPr>
          <w:p>
            <w:pPr>
              <w:jc w:val="right"/>
              <w:ind w:right="76"/>
              <w:spacing w:after="0"/>
              <w:rPr>
                <w:sz w:val="20"/>
                <w:szCs w:val="20"/>
                <w:color w:val="auto"/>
              </w:rPr>
            </w:pPr>
            <w:r>
              <w:rPr>
                <w:rFonts w:ascii="Arial" w:cs="Arial" w:eastAsia="Arial" w:hAnsi="Arial"/>
                <w:sz w:val="18"/>
                <w:szCs w:val="18"/>
                <w:b w:val="1"/>
                <w:bCs w:val="1"/>
                <w:color w:val="auto"/>
              </w:rPr>
              <w:t>1,454</w:t>
            </w:r>
          </w:p>
        </w:tc>
        <w:tc>
          <w:tcPr>
            <w:tcW w:w="820" w:type="dxa"/>
            <w:vAlign w:val="bottom"/>
          </w:tcPr>
          <w:p>
            <w:pPr>
              <w:jc w:val="right"/>
              <w:ind w:right="176"/>
              <w:spacing w:after="0"/>
              <w:rPr>
                <w:sz w:val="20"/>
                <w:szCs w:val="20"/>
                <w:color w:val="auto"/>
              </w:rPr>
            </w:pPr>
            <w:r>
              <w:rPr>
                <w:rFonts w:ascii="Arial" w:cs="Arial" w:eastAsia="Arial" w:hAnsi="Arial"/>
                <w:sz w:val="18"/>
                <w:szCs w:val="18"/>
                <w:b w:val="1"/>
                <w:bCs w:val="1"/>
                <w:color w:val="auto"/>
              </w:rPr>
              <w:t>1,340</w:t>
            </w:r>
          </w:p>
        </w:tc>
        <w:tc>
          <w:tcPr>
            <w:tcW w:w="480" w:type="dxa"/>
            <w:vAlign w:val="bottom"/>
          </w:tcPr>
          <w:p>
            <w:pPr>
              <w:jc w:val="right"/>
              <w:ind w:right="54"/>
              <w:spacing w:after="0"/>
              <w:rPr>
                <w:sz w:val="20"/>
                <w:szCs w:val="20"/>
                <w:color w:val="auto"/>
              </w:rPr>
            </w:pPr>
            <w:r>
              <w:rPr>
                <w:rFonts w:ascii="Arial" w:cs="Arial" w:eastAsia="Arial" w:hAnsi="Arial"/>
                <w:sz w:val="18"/>
                <w:szCs w:val="18"/>
                <w:b w:val="1"/>
                <w:bCs w:val="1"/>
                <w:color w:val="auto"/>
              </w:rPr>
              <w:t>183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23,721</w:t>
            </w:r>
          </w:p>
        </w:tc>
      </w:tr>
      <w:tr>
        <w:trPr>
          <w:trHeight w:val="354"/>
        </w:trPr>
        <w:tc>
          <w:tcPr>
            <w:tcW w:w="3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60" w:type="dxa"/>
            <w:vAlign w:val="bottom"/>
            <w:gridSpan w:val="2"/>
          </w:tcPr>
          <w:p>
            <w:pPr>
              <w:jc w:val="right"/>
              <w:ind w:right="274"/>
              <w:spacing w:after="0"/>
              <w:rPr>
                <w:sz w:val="20"/>
                <w:szCs w:val="20"/>
                <w:color w:val="auto"/>
              </w:rPr>
            </w:pPr>
            <w:r>
              <w:rPr>
                <w:rFonts w:ascii="Arial" w:cs="Arial" w:eastAsia="Arial" w:hAnsi="Arial"/>
                <w:sz w:val="14"/>
                <w:szCs w:val="14"/>
                <w:color w:val="auto"/>
              </w:rPr>
              <w:t>Cash Changes</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Non-cash changes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8"/>
        </w:trPr>
        <w:tc>
          <w:tcPr>
            <w:tcW w:w="3820" w:type="dxa"/>
            <w:vAlign w:val="bottom"/>
          </w:tcPr>
          <w:p>
            <w:pPr>
              <w:spacing w:after="0"/>
              <w:rPr>
                <w:sz w:val="12"/>
                <w:szCs w:val="12"/>
                <w:color w:val="auto"/>
              </w:rPr>
            </w:pPr>
          </w:p>
        </w:tc>
        <w:tc>
          <w:tcPr>
            <w:tcW w:w="2480" w:type="dxa"/>
            <w:vAlign w:val="bottom"/>
          </w:tcPr>
          <w:p>
            <w:pPr>
              <w:jc w:val="right"/>
              <w:ind w:right="36"/>
              <w:spacing w:after="0" w:line="149" w:lineRule="exact"/>
              <w:rPr>
                <w:sz w:val="20"/>
                <w:szCs w:val="20"/>
                <w:color w:val="auto"/>
              </w:rPr>
            </w:pPr>
            <w:r>
              <w:rPr>
                <w:rFonts w:ascii="Arial" w:cs="Arial" w:eastAsia="Arial" w:hAnsi="Arial"/>
                <w:sz w:val="14"/>
                <w:szCs w:val="14"/>
                <w:color w:val="auto"/>
              </w:rPr>
              <w:t>Balance as of</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ind w:left="140"/>
              <w:spacing w:after="0" w:line="149" w:lineRule="exact"/>
              <w:rPr>
                <w:sz w:val="20"/>
                <w:szCs w:val="20"/>
                <w:color w:val="auto"/>
              </w:rPr>
            </w:pPr>
            <w:r>
              <w:rPr>
                <w:rFonts w:ascii="Arial" w:cs="Arial" w:eastAsia="Arial" w:hAnsi="Arial"/>
                <w:sz w:val="14"/>
                <w:szCs w:val="14"/>
                <w:color w:val="auto"/>
              </w:rPr>
              <w:t>Unpaid</w:t>
            </w:r>
          </w:p>
        </w:tc>
        <w:tc>
          <w:tcPr>
            <w:tcW w:w="480" w:type="dxa"/>
            <w:vAlign w:val="bottom"/>
          </w:tcPr>
          <w:p>
            <w:pPr>
              <w:spacing w:after="0"/>
              <w:rPr>
                <w:sz w:val="12"/>
                <w:szCs w:val="12"/>
                <w:color w:val="auto"/>
              </w:rPr>
            </w:pPr>
          </w:p>
        </w:tc>
        <w:tc>
          <w:tcPr>
            <w:tcW w:w="1000" w:type="dxa"/>
            <w:vAlign w:val="bottom"/>
          </w:tcPr>
          <w:p>
            <w:pPr>
              <w:ind w:left="140"/>
              <w:spacing w:after="0" w:line="149" w:lineRule="exact"/>
              <w:rPr>
                <w:sz w:val="20"/>
                <w:szCs w:val="20"/>
                <w:color w:val="auto"/>
              </w:rPr>
            </w:pPr>
            <w:r>
              <w:rPr>
                <w:rFonts w:ascii="Arial" w:cs="Arial" w:eastAsia="Arial" w:hAnsi="Arial"/>
                <w:sz w:val="14"/>
                <w:szCs w:val="14"/>
                <w:color w:val="auto"/>
                <w:w w:val="98"/>
              </w:rPr>
              <w:t>Balance as of</w:t>
            </w:r>
          </w:p>
        </w:tc>
      </w:tr>
      <w:tr>
        <w:trPr>
          <w:trHeight w:val="167"/>
        </w:trPr>
        <w:tc>
          <w:tcPr>
            <w:tcW w:w="3820" w:type="dxa"/>
            <w:vAlign w:val="bottom"/>
          </w:tcPr>
          <w:p>
            <w:pPr>
              <w:spacing w:after="0"/>
              <w:rPr>
                <w:sz w:val="20"/>
                <w:szCs w:val="20"/>
                <w:color w:val="auto"/>
              </w:rPr>
            </w:pPr>
            <w:r>
              <w:rPr>
                <w:rFonts w:ascii="Arial" w:cs="Arial" w:eastAsia="Arial" w:hAnsi="Arial"/>
                <w:sz w:val="14"/>
                <w:szCs w:val="14"/>
                <w:color w:val="auto"/>
              </w:rPr>
              <w:t>€ thousand</w:t>
            </w:r>
          </w:p>
        </w:tc>
        <w:tc>
          <w:tcPr>
            <w:tcW w:w="2480" w:type="dxa"/>
            <w:vAlign w:val="bottom"/>
          </w:tcPr>
          <w:p>
            <w:pPr>
              <w:jc w:val="right"/>
              <w:ind w:right="76"/>
              <w:spacing w:after="0"/>
              <w:rPr>
                <w:sz w:val="20"/>
                <w:szCs w:val="20"/>
                <w:color w:val="auto"/>
              </w:rPr>
            </w:pPr>
            <w:r>
              <w:rPr>
                <w:rFonts w:ascii="Arial" w:cs="Arial" w:eastAsia="Arial" w:hAnsi="Arial"/>
                <w:sz w:val="14"/>
                <w:szCs w:val="14"/>
                <w:color w:val="auto"/>
              </w:rPr>
              <w:t>Jan. 1, 2021</w:t>
            </w:r>
          </w:p>
        </w:tc>
        <w:tc>
          <w:tcPr>
            <w:tcW w:w="740" w:type="dxa"/>
            <w:vAlign w:val="bottom"/>
          </w:tcPr>
          <w:p>
            <w:pPr>
              <w:jc w:val="right"/>
              <w:ind w:right="36"/>
              <w:spacing w:after="0"/>
              <w:rPr>
                <w:sz w:val="20"/>
                <w:szCs w:val="20"/>
                <w:color w:val="auto"/>
              </w:rPr>
            </w:pPr>
            <w:r>
              <w:rPr>
                <w:rFonts w:ascii="Arial" w:cs="Arial" w:eastAsia="Arial" w:hAnsi="Arial"/>
                <w:sz w:val="14"/>
                <w:szCs w:val="14"/>
                <w:color w:val="auto"/>
              </w:rPr>
              <w:t>Inflows</w:t>
            </w:r>
          </w:p>
        </w:tc>
        <w:tc>
          <w:tcPr>
            <w:tcW w:w="820" w:type="dxa"/>
            <w:vAlign w:val="bottom"/>
          </w:tcPr>
          <w:p>
            <w:pPr>
              <w:jc w:val="right"/>
              <w:ind w:right="54"/>
              <w:spacing w:after="0"/>
              <w:rPr>
                <w:sz w:val="20"/>
                <w:szCs w:val="20"/>
                <w:color w:val="auto"/>
              </w:rPr>
            </w:pPr>
            <w:r>
              <w:rPr>
                <w:rFonts w:ascii="Arial" w:cs="Arial" w:eastAsia="Arial" w:hAnsi="Arial"/>
                <w:sz w:val="14"/>
                <w:szCs w:val="14"/>
                <w:color w:val="auto"/>
              </w:rPr>
              <w:t>Outflows</w:t>
            </w:r>
          </w:p>
        </w:tc>
        <w:tc>
          <w:tcPr>
            <w:tcW w:w="860" w:type="dxa"/>
            <w:vAlign w:val="bottom"/>
          </w:tcPr>
          <w:p>
            <w:pPr>
              <w:jc w:val="right"/>
              <w:ind w:right="56"/>
              <w:spacing w:after="0"/>
              <w:rPr>
                <w:sz w:val="20"/>
                <w:szCs w:val="20"/>
                <w:color w:val="auto"/>
              </w:rPr>
            </w:pPr>
            <w:r>
              <w:rPr>
                <w:rFonts w:ascii="Arial" w:cs="Arial" w:eastAsia="Arial" w:hAnsi="Arial"/>
                <w:sz w:val="14"/>
                <w:szCs w:val="14"/>
                <w:color w:val="auto"/>
              </w:rPr>
              <w:t>Additions</w:t>
            </w:r>
          </w:p>
        </w:tc>
        <w:tc>
          <w:tcPr>
            <w:tcW w:w="820" w:type="dxa"/>
            <w:vAlign w:val="bottom"/>
          </w:tcPr>
          <w:p>
            <w:pPr>
              <w:ind w:left="140"/>
              <w:spacing w:after="0"/>
              <w:rPr>
                <w:sz w:val="20"/>
                <w:szCs w:val="20"/>
                <w:color w:val="auto"/>
              </w:rPr>
            </w:pPr>
            <w:r>
              <w:rPr>
                <w:rFonts w:ascii="Arial" w:cs="Arial" w:eastAsia="Arial" w:hAnsi="Arial"/>
                <w:sz w:val="14"/>
                <w:szCs w:val="14"/>
                <w:color w:val="auto"/>
              </w:rPr>
              <w:t>interest</w:t>
            </w:r>
          </w:p>
        </w:tc>
        <w:tc>
          <w:tcPr>
            <w:tcW w:w="480" w:type="dxa"/>
            <w:vAlign w:val="bottom"/>
          </w:tcPr>
          <w:p>
            <w:pPr>
              <w:jc w:val="right"/>
              <w:ind w:right="134"/>
              <w:spacing w:after="0"/>
              <w:rPr>
                <w:sz w:val="20"/>
                <w:szCs w:val="20"/>
                <w:color w:val="auto"/>
              </w:rPr>
            </w:pPr>
            <w:r>
              <w:rPr>
                <w:rFonts w:ascii="Arial" w:cs="Arial" w:eastAsia="Arial" w:hAnsi="Arial"/>
                <w:sz w:val="14"/>
                <w:szCs w:val="14"/>
                <w:color w:val="auto"/>
              </w:rPr>
              <w:t>FX</w:t>
            </w:r>
          </w:p>
        </w:tc>
        <w:tc>
          <w:tcPr>
            <w:tcW w:w="1000" w:type="dxa"/>
            <w:vAlign w:val="bottom"/>
          </w:tcPr>
          <w:p>
            <w:pPr>
              <w:ind w:left="120"/>
              <w:spacing w:after="0"/>
              <w:rPr>
                <w:sz w:val="20"/>
                <w:szCs w:val="20"/>
                <w:color w:val="auto"/>
              </w:rPr>
            </w:pPr>
            <w:r>
              <w:rPr>
                <w:rFonts w:ascii="Arial" w:cs="Arial" w:eastAsia="Arial" w:hAnsi="Arial"/>
                <w:sz w:val="14"/>
                <w:szCs w:val="14"/>
                <w:color w:val="auto"/>
                <w:w w:val="98"/>
              </w:rPr>
              <w:t>Dec. 31, 2021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Short-term loans</w:t>
            </w:r>
          </w:p>
        </w:tc>
        <w:tc>
          <w:tcPr>
            <w:tcW w:w="2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7,500</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-7,500</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Lease liabilities</w:t>
            </w:r>
          </w:p>
        </w:tc>
        <w:tc>
          <w:tcPr>
            <w:tcW w:w="2480" w:type="dxa"/>
            <w:vAlign w:val="bottom"/>
          </w:tcPr>
          <w:p>
            <w:pPr>
              <w:jc w:val="right"/>
              <w:ind w:right="16"/>
              <w:spacing w:after="0"/>
              <w:rPr>
                <w:sz w:val="20"/>
                <w:szCs w:val="20"/>
                <w:color w:val="auto"/>
              </w:rPr>
            </w:pPr>
            <w:r>
              <w:rPr>
                <w:rFonts w:ascii="Arial" w:cs="Arial" w:eastAsia="Arial" w:hAnsi="Arial"/>
                <w:sz w:val="18"/>
                <w:szCs w:val="18"/>
                <w:color w:val="auto"/>
              </w:rPr>
              <w:t>7,956</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-1,056</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1,951</w:t>
            </w:r>
          </w:p>
        </w:tc>
        <w:tc>
          <w:tcPr>
            <w:tcW w:w="820" w:type="dxa"/>
            <w:vAlign w:val="bottom"/>
          </w:tcPr>
          <w:p>
            <w:pPr>
              <w:jc w:val="right"/>
              <w:ind w:right="176"/>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176</w:t>
            </w:r>
          </w:p>
        </w:tc>
        <w:tc>
          <w:tcPr>
            <w:tcW w:w="1000" w:type="dxa"/>
            <w:vAlign w:val="bottom"/>
          </w:tcPr>
          <w:p>
            <w:pPr>
              <w:jc w:val="right"/>
              <w:spacing w:after="0"/>
              <w:rPr>
                <w:sz w:val="20"/>
                <w:szCs w:val="20"/>
                <w:color w:val="auto"/>
              </w:rPr>
            </w:pPr>
            <w:r>
              <w:rPr>
                <w:rFonts w:ascii="Arial" w:cs="Arial" w:eastAsia="Arial" w:hAnsi="Arial"/>
                <w:sz w:val="18"/>
                <w:szCs w:val="18"/>
                <w:color w:val="auto"/>
              </w:rPr>
              <w:t>9,027</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sundry financial liabilities</w:t>
            </w:r>
          </w:p>
        </w:tc>
        <w:tc>
          <w:tcPr>
            <w:tcW w:w="2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37</w:t>
            </w: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Summe</w:t>
            </w:r>
          </w:p>
        </w:tc>
        <w:tc>
          <w:tcPr>
            <w:tcW w:w="2480" w:type="dxa"/>
            <w:vAlign w:val="bottom"/>
          </w:tcPr>
          <w:p>
            <w:pPr>
              <w:jc w:val="right"/>
              <w:ind w:right="16"/>
              <w:spacing w:after="0"/>
              <w:rPr>
                <w:sz w:val="20"/>
                <w:szCs w:val="20"/>
                <w:color w:val="auto"/>
              </w:rPr>
            </w:pPr>
            <w:r>
              <w:rPr>
                <w:rFonts w:ascii="Arial" w:cs="Arial" w:eastAsia="Arial" w:hAnsi="Arial"/>
                <w:sz w:val="18"/>
                <w:szCs w:val="18"/>
                <w:b w:val="1"/>
                <w:bCs w:val="1"/>
                <w:color w:val="auto"/>
              </w:rPr>
              <w:t>7,956</w:t>
            </w:r>
          </w:p>
        </w:tc>
        <w:tc>
          <w:tcPr>
            <w:tcW w:w="740" w:type="dxa"/>
            <w:vAlign w:val="bottom"/>
          </w:tcPr>
          <w:p>
            <w:pPr>
              <w:jc w:val="right"/>
              <w:ind w:right="36"/>
              <w:spacing w:after="0"/>
              <w:rPr>
                <w:sz w:val="20"/>
                <w:szCs w:val="20"/>
                <w:color w:val="auto"/>
              </w:rPr>
            </w:pPr>
            <w:r>
              <w:rPr>
                <w:rFonts w:ascii="Arial" w:cs="Arial" w:eastAsia="Arial" w:hAnsi="Arial"/>
                <w:sz w:val="18"/>
                <w:szCs w:val="18"/>
                <w:b w:val="1"/>
                <w:bCs w:val="1"/>
                <w:color w:val="auto"/>
              </w:rPr>
              <w:t>7,500</w:t>
            </w: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-8,556</w:t>
            </w:r>
          </w:p>
        </w:tc>
        <w:tc>
          <w:tcPr>
            <w:tcW w:w="860" w:type="dxa"/>
            <w:vAlign w:val="bottom"/>
          </w:tcPr>
          <w:p>
            <w:pPr>
              <w:jc w:val="right"/>
              <w:ind w:right="56"/>
              <w:spacing w:after="0"/>
              <w:rPr>
                <w:sz w:val="20"/>
                <w:szCs w:val="20"/>
                <w:color w:val="auto"/>
              </w:rPr>
            </w:pPr>
            <w:r>
              <w:rPr>
                <w:rFonts w:ascii="Arial" w:cs="Arial" w:eastAsia="Arial" w:hAnsi="Arial"/>
                <w:sz w:val="18"/>
                <w:szCs w:val="18"/>
                <w:b w:val="1"/>
                <w:bCs w:val="1"/>
                <w:color w:val="auto"/>
              </w:rPr>
              <w:t>1,988</w:t>
            </w:r>
          </w:p>
        </w:tc>
        <w:tc>
          <w:tcPr>
            <w:tcW w:w="820" w:type="dxa"/>
            <w:vAlign w:val="bottom"/>
          </w:tcPr>
          <w:p>
            <w:pPr>
              <w:jc w:val="right"/>
              <w:ind w:right="176"/>
              <w:spacing w:after="0"/>
              <w:rPr>
                <w:sz w:val="20"/>
                <w:szCs w:val="20"/>
                <w:color w:val="auto"/>
              </w:rPr>
            </w:pPr>
            <w:r>
              <w:rPr>
                <w:rFonts w:ascii="Arial" w:cs="Arial" w:eastAsia="Arial" w:hAnsi="Arial"/>
                <w:sz w:val="18"/>
                <w:szCs w:val="18"/>
                <w:b w:val="1"/>
                <w:bCs w:val="1"/>
                <w:color w:val="auto"/>
              </w:rPr>
              <w:t>0</w:t>
            </w:r>
          </w:p>
        </w:tc>
        <w:tc>
          <w:tcPr>
            <w:tcW w:w="480" w:type="dxa"/>
            <w:vAlign w:val="bottom"/>
          </w:tcPr>
          <w:p>
            <w:pPr>
              <w:jc w:val="right"/>
              <w:ind w:right="54"/>
              <w:spacing w:after="0"/>
              <w:rPr>
                <w:sz w:val="20"/>
                <w:szCs w:val="20"/>
                <w:color w:val="auto"/>
              </w:rPr>
            </w:pPr>
            <w:r>
              <w:rPr>
                <w:rFonts w:ascii="Arial" w:cs="Arial" w:eastAsia="Arial" w:hAnsi="Arial"/>
                <w:sz w:val="18"/>
                <w:szCs w:val="18"/>
                <w:b w:val="1"/>
                <w:bCs w:val="1"/>
                <w:color w:val="auto"/>
              </w:rPr>
              <w:t>176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9,064</w:t>
            </w:r>
          </w:p>
        </w:tc>
      </w:tr>
    </w:tbl>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Cash</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8"/>
        </w:trPr>
        <w:tc>
          <w:tcPr>
            <w:tcW w:w="2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Changes</w:t>
            </w: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2"/>
          </w:tcPr>
          <w:p>
            <w:pPr>
              <w:jc w:val="right"/>
              <w:ind w:right="234"/>
              <w:spacing w:after="0" w:line="149" w:lineRule="exact"/>
              <w:rPr>
                <w:sz w:val="20"/>
                <w:szCs w:val="20"/>
                <w:color w:val="auto"/>
              </w:rPr>
            </w:pPr>
            <w:r>
              <w:rPr>
                <w:rFonts w:ascii="Arial" w:cs="Arial" w:eastAsia="Arial" w:hAnsi="Arial"/>
                <w:sz w:val="14"/>
                <w:szCs w:val="14"/>
                <w:color w:val="auto"/>
                <w:w w:val="90"/>
              </w:rPr>
              <w:t>Non-cash changes</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2760" w:type="dxa"/>
            <w:vAlign w:val="bottom"/>
          </w:tcPr>
          <w:p>
            <w:pPr>
              <w:spacing w:after="0"/>
              <w:rPr>
                <w:sz w:val="12"/>
                <w:szCs w:val="12"/>
                <w:color w:val="auto"/>
              </w:rPr>
            </w:pPr>
          </w:p>
        </w:tc>
        <w:tc>
          <w:tcPr>
            <w:tcW w:w="2280" w:type="dxa"/>
            <w:vAlign w:val="bottom"/>
          </w:tcPr>
          <w:p>
            <w:pPr>
              <w:jc w:val="right"/>
              <w:ind w:right="56"/>
              <w:spacing w:after="0" w:line="149" w:lineRule="exact"/>
              <w:rPr>
                <w:sz w:val="20"/>
                <w:szCs w:val="20"/>
                <w:color w:val="auto"/>
              </w:rPr>
            </w:pPr>
            <w:r>
              <w:rPr>
                <w:rFonts w:ascii="Arial" w:cs="Arial" w:eastAsia="Arial" w:hAnsi="Arial"/>
                <w:sz w:val="14"/>
                <w:szCs w:val="14"/>
                <w:color w:val="auto"/>
              </w:rPr>
              <w:t>Balance as of</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jc w:val="right"/>
              <w:ind w:right="78"/>
              <w:spacing w:after="0" w:line="149" w:lineRule="exact"/>
              <w:rPr>
                <w:sz w:val="20"/>
                <w:szCs w:val="20"/>
                <w:color w:val="auto"/>
              </w:rPr>
            </w:pPr>
            <w:r>
              <w:rPr>
                <w:rFonts w:ascii="Arial" w:cs="Arial" w:eastAsia="Arial" w:hAnsi="Arial"/>
                <w:sz w:val="14"/>
                <w:szCs w:val="14"/>
                <w:color w:val="auto"/>
              </w:rPr>
              <w:t>Unpaid</w:t>
            </w: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Balance as of</w:t>
            </w:r>
          </w:p>
        </w:tc>
      </w:tr>
      <w:tr>
        <w:trPr>
          <w:trHeight w:val="167"/>
        </w:trPr>
        <w:tc>
          <w:tcPr>
            <w:tcW w:w="2760" w:type="dxa"/>
            <w:vAlign w:val="bottom"/>
          </w:tcPr>
          <w:p>
            <w:pPr>
              <w:spacing w:after="0"/>
              <w:rPr>
                <w:sz w:val="20"/>
                <w:szCs w:val="20"/>
                <w:color w:val="auto"/>
              </w:rPr>
            </w:pPr>
            <w:r>
              <w:rPr>
                <w:rFonts w:ascii="Arial" w:cs="Arial" w:eastAsia="Arial" w:hAnsi="Arial"/>
                <w:sz w:val="14"/>
                <w:szCs w:val="14"/>
                <w:color w:val="auto"/>
              </w:rPr>
              <w:t>€ thousand</w:t>
            </w:r>
          </w:p>
        </w:tc>
        <w:tc>
          <w:tcPr>
            <w:tcW w:w="2280" w:type="dxa"/>
            <w:vAlign w:val="bottom"/>
          </w:tcPr>
          <w:p>
            <w:pPr>
              <w:jc w:val="right"/>
              <w:ind w:right="96"/>
              <w:spacing w:after="0"/>
              <w:rPr>
                <w:sz w:val="20"/>
                <w:szCs w:val="20"/>
                <w:color w:val="auto"/>
              </w:rPr>
            </w:pPr>
            <w:r>
              <w:rPr>
                <w:rFonts w:ascii="Arial" w:cs="Arial" w:eastAsia="Arial" w:hAnsi="Arial"/>
                <w:sz w:val="14"/>
                <w:szCs w:val="14"/>
                <w:color w:val="auto"/>
              </w:rPr>
              <w:t>Jan. 1, 2020</w:t>
            </w:r>
          </w:p>
        </w:tc>
        <w:tc>
          <w:tcPr>
            <w:tcW w:w="760" w:type="dxa"/>
            <w:vAlign w:val="bottom"/>
          </w:tcPr>
          <w:p>
            <w:pPr>
              <w:jc w:val="center"/>
              <w:spacing w:after="0"/>
              <w:rPr>
                <w:sz w:val="20"/>
                <w:szCs w:val="20"/>
                <w:color w:val="auto"/>
              </w:rPr>
            </w:pPr>
            <w:r>
              <w:rPr>
                <w:rFonts w:ascii="Arial" w:cs="Arial" w:eastAsia="Arial" w:hAnsi="Arial"/>
                <w:sz w:val="14"/>
                <w:szCs w:val="14"/>
                <w:color w:val="auto"/>
              </w:rPr>
              <w:t>Inflows</w:t>
            </w: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Additions</w:t>
            </w:r>
          </w:p>
        </w:tc>
        <w:tc>
          <w:tcPr>
            <w:tcW w:w="700" w:type="dxa"/>
            <w:vAlign w:val="bottom"/>
          </w:tcPr>
          <w:p>
            <w:pPr>
              <w:jc w:val="right"/>
              <w:spacing w:after="0"/>
              <w:rPr>
                <w:sz w:val="20"/>
                <w:szCs w:val="20"/>
                <w:color w:val="auto"/>
              </w:rPr>
            </w:pPr>
            <w:r>
              <w:rPr>
                <w:rFonts w:ascii="Arial" w:cs="Arial" w:eastAsia="Arial" w:hAnsi="Arial"/>
                <w:sz w:val="14"/>
                <w:szCs w:val="14"/>
                <w:color w:val="auto"/>
              </w:rPr>
              <w:t>Disposals</w:t>
            </w:r>
          </w:p>
        </w:tc>
        <w:tc>
          <w:tcPr>
            <w:tcW w:w="860" w:type="dxa"/>
            <w:vAlign w:val="bottom"/>
          </w:tcPr>
          <w:p>
            <w:pPr>
              <w:jc w:val="right"/>
              <w:ind w:right="78"/>
              <w:spacing w:after="0"/>
              <w:rPr>
                <w:sz w:val="20"/>
                <w:szCs w:val="20"/>
                <w:color w:val="auto"/>
              </w:rPr>
            </w:pPr>
            <w:r>
              <w:rPr>
                <w:rFonts w:ascii="Arial" w:cs="Arial" w:eastAsia="Arial" w:hAnsi="Arial"/>
                <w:sz w:val="14"/>
                <w:szCs w:val="14"/>
                <w:color w:val="auto"/>
              </w:rPr>
              <w:t>interest</w:t>
            </w: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FX</w:t>
            </w: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Reclassifications</w:t>
            </w:r>
          </w:p>
        </w:tc>
        <w:tc>
          <w:tcPr>
            <w:tcW w:w="1000" w:type="dxa"/>
            <w:vAlign w:val="bottom"/>
          </w:tcPr>
          <w:p>
            <w:pPr>
              <w:jc w:val="right"/>
              <w:spacing w:after="0"/>
              <w:rPr>
                <w:sz w:val="20"/>
                <w:szCs w:val="20"/>
                <w:color w:val="auto"/>
              </w:rPr>
            </w:pPr>
            <w:r>
              <w:rPr>
                <w:rFonts w:ascii="Arial" w:cs="Arial" w:eastAsia="Arial" w:hAnsi="Arial"/>
                <w:sz w:val="14"/>
                <w:szCs w:val="14"/>
                <w:color w:val="auto"/>
              </w:rPr>
              <w:t>Dec. 31, 2020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Convertibale bonds</w:t>
            </w:r>
          </w:p>
        </w:tc>
        <w:tc>
          <w:tcPr>
            <w:tcW w:w="2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5,000</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500</w:t>
            </w: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Short-term loans</w:t>
            </w:r>
          </w:p>
        </w:tc>
        <w:tc>
          <w:tcPr>
            <w:tcW w:w="2280" w:type="dxa"/>
            <w:vAlign w:val="bottom"/>
          </w:tcPr>
          <w:p>
            <w:pPr>
              <w:jc w:val="right"/>
              <w:ind w:right="56"/>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2,500</w:t>
            </w:r>
          </w:p>
        </w:tc>
        <w:tc>
          <w:tcPr>
            <w:tcW w:w="700" w:type="dxa"/>
            <w:vAlign w:val="bottom"/>
          </w:tcPr>
          <w:p>
            <w:pPr>
              <w:jc w:val="right"/>
              <w:spacing w:after="0"/>
              <w:rPr>
                <w:sz w:val="20"/>
                <w:szCs w:val="20"/>
                <w:color w:val="auto"/>
              </w:rPr>
            </w:pPr>
            <w:r>
              <w:rPr>
                <w:rFonts w:ascii="Arial" w:cs="Arial" w:eastAsia="Arial" w:hAnsi="Arial"/>
                <w:sz w:val="18"/>
                <w:szCs w:val="18"/>
                <w:color w:val="auto"/>
              </w:rPr>
              <w:t>-2,500</w:t>
            </w:r>
          </w:p>
        </w:tc>
        <w:tc>
          <w:tcPr>
            <w:tcW w:w="86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2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6,762</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-675</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Summe</w:t>
            </w:r>
          </w:p>
        </w:tc>
        <w:tc>
          <w:tcPr>
            <w:tcW w:w="2280" w:type="dxa"/>
            <w:vAlign w:val="bottom"/>
          </w:tcPr>
          <w:p>
            <w:pPr>
              <w:jc w:val="right"/>
              <w:ind w:right="56"/>
              <w:spacing w:after="0"/>
              <w:rPr>
                <w:sz w:val="20"/>
                <w:szCs w:val="20"/>
                <w:color w:val="auto"/>
              </w:rPr>
            </w:pPr>
            <w:r>
              <w:rPr>
                <w:rFonts w:ascii="Arial" w:cs="Arial" w:eastAsia="Arial" w:hAnsi="Arial"/>
                <w:sz w:val="18"/>
                <w:szCs w:val="18"/>
                <w:b w:val="1"/>
                <w:bCs w:val="1"/>
                <w:color w:val="auto"/>
              </w:rPr>
              <w:t>6,762</w:t>
            </w:r>
          </w:p>
        </w:tc>
        <w:tc>
          <w:tcPr>
            <w:tcW w:w="760" w:type="dxa"/>
            <w:vAlign w:val="bottom"/>
          </w:tcPr>
          <w:p>
            <w:pPr>
              <w:jc w:val="right"/>
              <w:ind w:right="58"/>
              <w:spacing w:after="0"/>
              <w:rPr>
                <w:sz w:val="20"/>
                <w:szCs w:val="20"/>
                <w:color w:val="auto"/>
              </w:rPr>
            </w:pPr>
            <w:r>
              <w:rPr>
                <w:rFonts w:ascii="Arial" w:cs="Arial" w:eastAsia="Arial" w:hAnsi="Arial"/>
                <w:sz w:val="18"/>
                <w:szCs w:val="18"/>
                <w:b w:val="1"/>
                <w:bCs w:val="1"/>
                <w:color w:val="auto"/>
              </w:rPr>
              <w:t>4,325</w:t>
            </w: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9,447</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-2,500</w:t>
            </w:r>
          </w:p>
        </w:tc>
        <w:tc>
          <w:tcPr>
            <w:tcW w:w="860" w:type="dxa"/>
            <w:vAlign w:val="bottom"/>
          </w:tcPr>
          <w:p>
            <w:pPr>
              <w:jc w:val="right"/>
              <w:ind w:right="78"/>
              <w:spacing w:after="0"/>
              <w:rPr>
                <w:sz w:val="20"/>
                <w:szCs w:val="20"/>
                <w:color w:val="auto"/>
              </w:rPr>
            </w:pPr>
            <w:r>
              <w:rPr>
                <w:rFonts w:ascii="Arial" w:cs="Arial" w:eastAsia="Arial" w:hAnsi="Arial"/>
                <w:sz w:val="18"/>
                <w:szCs w:val="18"/>
                <w:b w:val="1"/>
                <w:bCs w:val="1"/>
                <w:color w:val="auto"/>
              </w:rPr>
              <w:t>500</w:t>
            </w:r>
          </w:p>
        </w:tc>
        <w:tc>
          <w:tcPr>
            <w:tcW w:w="540" w:type="dxa"/>
            <w:vAlign w:val="bottom"/>
          </w:tcPr>
          <w:p>
            <w:pPr>
              <w:jc w:val="right"/>
              <w:ind w:right="54"/>
              <w:spacing w:after="0"/>
              <w:rPr>
                <w:sz w:val="20"/>
                <w:szCs w:val="20"/>
                <w:color w:val="auto"/>
              </w:rPr>
            </w:pPr>
            <w:r>
              <w:rPr>
                <w:rFonts w:ascii="Arial" w:cs="Arial" w:eastAsia="Arial" w:hAnsi="Arial"/>
                <w:sz w:val="18"/>
                <w:szCs w:val="18"/>
                <w:b w:val="1"/>
                <w:bCs w:val="1"/>
                <w:color w:val="auto"/>
              </w:rPr>
              <w:t>-78</w:t>
            </w:r>
          </w:p>
        </w:tc>
        <w:tc>
          <w:tcPr>
            <w:tcW w:w="1260" w:type="dxa"/>
            <w:vAlign w:val="bottom"/>
          </w:tcPr>
          <w:p>
            <w:pPr>
              <w:jc w:val="right"/>
              <w:ind w:right="54"/>
              <w:spacing w:after="0"/>
              <w:rPr>
                <w:sz w:val="20"/>
                <w:szCs w:val="20"/>
                <w:color w:val="auto"/>
              </w:rPr>
            </w:pPr>
            <w:r>
              <w:rPr>
                <w:rFonts w:ascii="Arial" w:cs="Arial" w:eastAsia="Arial" w:hAnsi="Arial"/>
                <w:sz w:val="18"/>
                <w:szCs w:val="18"/>
                <w:b w:val="1"/>
                <w:bCs w:val="1"/>
                <w:color w:val="auto"/>
              </w:rPr>
              <w:t>-5,500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7,956</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 Related Party Disclosures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entities are deemed to be related parties of the Company:</w:t>
      </w:r>
    </w:p>
    <w:p>
      <w:pPr>
        <w:spacing w:after="0" w:line="131"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MCConsult Dr. Peschko, Gilching (previously: Adelanto management services s.I.)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Pinsent Masons LLP, Munich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Apeiron Investment Group Ltd.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Apeiron Advisory Ltd.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MCConsult Dr. Peschko, Gilching (previously: Adelanto management services s.I.)</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MCConsult Dr. Peschko is a company owned by Dr. Wolfram Peschko, a former Management Board member who resigned in fiscal year 2020, which provides advisory services for the Company. During the year ended December 31, 2022, related party expenses involving MCConsult Dr. Peschko amounted to €93 thousand. As of December 31, 2022, the Group does not have any outstanding liabilities due to MCConsult Dr. Peschko.</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Pinsent Masons LLP</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Pinsent Masons LLP is a law firm in which Mr. Mayrhofer, a former member of the Supervisory Board who resigned in fiscal year 2020, is a partner which provides legal advisory services for the companies of the Group. During the year ended December 31, 2022, related party expenses involving Pinsent Masons LLP amounted to €5 thousand. As of December 31, 2022, the Group does not have any outstanding liabilities due to Pinsent Masons LLP.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Apeiron Investment Group Ltd.</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86" w:right="4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The option was not exercised.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Apeiron Advisory Ltd.</w:t>
      </w:r>
    </w:p>
    <w:p>
      <w:pPr>
        <w:spacing w:after="0" w:line="11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Apeiron Advisory Ltd. (“Apeiron”), Sliema, Malta, and the Mynaric AG have concluded a contract as of March 25, 2022. According to the contract, Apeiron will provide the Group with political and strategic advisory, supporting its management team in building a relevant network of decision makers, thought leaders and institutional investors, as well as navigating government and international affairs. Vincent Wobbe, member of the Group’s supervisory board, is considered a related party due to his employment with the Apeiron Investment Group Ltd. As of December 31, 2022, the Group recognized expenses in the amount of €480 thousand and a liability in the amount of €30 thousand.</w:t>
      </w:r>
    </w:p>
    <w:p>
      <w:pPr>
        <w:spacing w:after="0" w:line="32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b w:val="1"/>
          <w:bCs w:val="1"/>
          <w:color w:val="auto"/>
        </w:rPr>
        <w:t>Remuneration for members of the Management Board</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remuneration for Management Board members consists of three components:</w:t>
      </w:r>
    </w:p>
    <w:p>
      <w:pPr>
        <w:spacing w:after="0" w:line="131"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non-performance-related remuneration (fixed remuneration),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performance-related bonuses,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and stock options.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overall remuneration for the members of the Management Board comprises approximately 40% in fixed remuneration and 60% in performance-related remuneration in the event of 100% target achievement.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Non-performance-related remuneration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fixed, non-performance-related remuneration comprises the basic remuneration and fringe benefits that may vary over the years, depending on the person involved or the occurrence of certain events.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Fringe benefits mainly include expenses for company housing for members of the Management Board. Members also receive taxable in-kind benefits.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Performance-related remuneration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performance-related remuneration comprises two components: the first is agreed upon with the Supervisory Board on an annual basis, and the second is a strategic special component.</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strategic special component is a reward for the Management Board member’s performance in acquiring strategic investors for the Company.</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86"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third remuneration component comprises stock options granted to selected employees in the form of stock options from Stock Option Plans 2019, 2020, 2021 and 2022,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the context of these plans, stock options were issued to the Management Board in 2019, 2020, 2021 and 2022, which entitle the holder to subscribe to Mynaric AG shares. Detailed information about the granted stock options are presented in Note 11.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granted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remuneration granted to the Management Board in fiscal year 2022 is broken down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60" w:type="dxa"/>
            <w:vAlign w:val="bottom"/>
            <w:gridSpan w:val="2"/>
          </w:tcPr>
          <w:p>
            <w:pPr>
              <w:jc w:val="right"/>
              <w:ind w:right="622"/>
              <w:spacing w:after="0"/>
              <w:rPr>
                <w:sz w:val="20"/>
                <w:szCs w:val="20"/>
                <w:color w:val="auto"/>
              </w:rPr>
            </w:pPr>
            <w:r>
              <w:rPr>
                <w:rFonts w:ascii="Arial" w:cs="Arial" w:eastAsia="Arial" w:hAnsi="Arial"/>
                <w:sz w:val="14"/>
                <w:szCs w:val="14"/>
                <w:color w:val="auto"/>
              </w:rPr>
              <w:t>Equity-settled share-based</w:t>
            </w:r>
          </w:p>
        </w:tc>
        <w:tc>
          <w:tcPr>
            <w:tcW w:w="1200" w:type="dxa"/>
            <w:vAlign w:val="bottom"/>
          </w:tcPr>
          <w:p>
            <w:pPr>
              <w:spacing w:after="0"/>
              <w:rPr>
                <w:sz w:val="14"/>
                <w:szCs w:val="14"/>
                <w:color w:val="auto"/>
              </w:rPr>
            </w:pPr>
          </w:p>
        </w:tc>
      </w:tr>
      <w:tr>
        <w:trPr>
          <w:trHeight w:val="148"/>
        </w:trPr>
        <w:tc>
          <w:tcPr>
            <w:tcW w:w="2340" w:type="dxa"/>
            <w:vAlign w:val="bottom"/>
          </w:tcPr>
          <w:p>
            <w:pPr>
              <w:spacing w:after="0"/>
              <w:rPr>
                <w:sz w:val="12"/>
                <w:szCs w:val="12"/>
                <w:color w:val="auto"/>
              </w:rPr>
            </w:pPr>
          </w:p>
        </w:tc>
        <w:tc>
          <w:tcPr>
            <w:tcW w:w="4620" w:type="dxa"/>
            <w:vAlign w:val="bottom"/>
            <w:gridSpan w:val="2"/>
          </w:tcPr>
          <w:p>
            <w:pPr>
              <w:jc w:val="right"/>
              <w:ind w:right="583"/>
              <w:spacing w:after="0" w:line="149" w:lineRule="exact"/>
              <w:rPr>
                <w:sz w:val="20"/>
                <w:szCs w:val="20"/>
                <w:color w:val="auto"/>
              </w:rPr>
            </w:pPr>
            <w:r>
              <w:rPr>
                <w:rFonts w:ascii="Arial" w:cs="Arial" w:eastAsia="Arial" w:hAnsi="Arial"/>
                <w:sz w:val="14"/>
                <w:szCs w:val="14"/>
                <w:color w:val="auto"/>
              </w:rPr>
              <w:t>Short-term employee benefits</w:t>
            </w:r>
          </w:p>
        </w:tc>
        <w:tc>
          <w:tcPr>
            <w:tcW w:w="1060" w:type="dxa"/>
            <w:vAlign w:val="bottom"/>
          </w:tcPr>
          <w:p>
            <w:pPr>
              <w:spacing w:after="0"/>
              <w:rPr>
                <w:sz w:val="12"/>
                <w:szCs w:val="12"/>
                <w:color w:val="auto"/>
              </w:rPr>
            </w:pPr>
          </w:p>
        </w:tc>
        <w:tc>
          <w:tcPr>
            <w:tcW w:w="1800" w:type="dxa"/>
            <w:vAlign w:val="bottom"/>
          </w:tcPr>
          <w:p>
            <w:pPr>
              <w:jc w:val="right"/>
              <w:ind w:right="1102"/>
              <w:spacing w:after="0" w:line="149" w:lineRule="exact"/>
              <w:rPr>
                <w:sz w:val="20"/>
                <w:szCs w:val="20"/>
                <w:color w:val="auto"/>
              </w:rPr>
            </w:pPr>
            <w:r>
              <w:rPr>
                <w:rFonts w:ascii="Arial" w:cs="Arial" w:eastAsia="Arial" w:hAnsi="Arial"/>
                <w:sz w:val="14"/>
                <w:szCs w:val="14"/>
                <w:color w:val="auto"/>
                <w:w w:val="98"/>
              </w:rPr>
              <w:t>payments</w:t>
            </w:r>
          </w:p>
        </w:tc>
        <w:tc>
          <w:tcPr>
            <w:tcW w:w="1200" w:type="dxa"/>
            <w:vAlign w:val="bottom"/>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3"/>
              </w:rPr>
              <w:t>Short-term</w:t>
            </w:r>
          </w:p>
        </w:tc>
        <w:tc>
          <w:tcPr>
            <w:tcW w:w="1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3"/>
              </w:rPr>
              <w:t>variable</w:t>
            </w:r>
          </w:p>
        </w:tc>
        <w:tc>
          <w:tcPr>
            <w:tcW w:w="106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2"/>
              </w:rPr>
              <w:t>Number</w:t>
            </w: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3100" w:type="dxa"/>
            <w:vAlign w:val="bottom"/>
          </w:tcPr>
          <w:p>
            <w:pPr>
              <w:jc w:val="right"/>
              <w:ind w:right="502"/>
              <w:spacing w:after="0" w:line="149" w:lineRule="exact"/>
              <w:rPr>
                <w:sz w:val="20"/>
                <w:szCs w:val="20"/>
                <w:color w:val="auto"/>
              </w:rPr>
            </w:pPr>
            <w:r>
              <w:rPr>
                <w:rFonts w:ascii="Arial" w:cs="Arial" w:eastAsia="Arial" w:hAnsi="Arial"/>
                <w:sz w:val="14"/>
                <w:szCs w:val="14"/>
                <w:color w:val="auto"/>
              </w:rPr>
              <w:t>Basic</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2"/>
              </w:rPr>
              <w:t>remuneration</w:t>
            </w:r>
          </w:p>
        </w:tc>
        <w:tc>
          <w:tcPr>
            <w:tcW w:w="106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5"/>
              </w:rPr>
              <w:t>of stock</w:t>
            </w:r>
          </w:p>
        </w:tc>
        <w:tc>
          <w:tcPr>
            <w:tcW w:w="1800" w:type="dxa"/>
            <w:vAlign w:val="bottom"/>
          </w:tcPr>
          <w:p>
            <w:pPr>
              <w:jc w:val="center"/>
              <w:ind w:left="202"/>
              <w:spacing w:after="0" w:line="149" w:lineRule="exact"/>
              <w:rPr>
                <w:sz w:val="20"/>
                <w:szCs w:val="20"/>
                <w:color w:val="auto"/>
              </w:rPr>
            </w:pPr>
            <w:r>
              <w:rPr>
                <w:rFonts w:ascii="Arial" w:cs="Arial" w:eastAsia="Arial" w:hAnsi="Arial"/>
                <w:sz w:val="14"/>
                <w:szCs w:val="14"/>
                <w:color w:val="auto"/>
                <w:w w:val="91"/>
              </w:rPr>
              <w:t>Recognized</w:t>
            </w:r>
          </w:p>
        </w:tc>
        <w:tc>
          <w:tcPr>
            <w:tcW w:w="1200" w:type="dxa"/>
            <w:vAlign w:val="bottom"/>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3100" w:type="dxa"/>
            <w:vAlign w:val="bottom"/>
          </w:tcPr>
          <w:p>
            <w:pPr>
              <w:jc w:val="right"/>
              <w:ind w:right="282"/>
              <w:spacing w:after="0" w:line="149" w:lineRule="exact"/>
              <w:rPr>
                <w:sz w:val="20"/>
                <w:szCs w:val="20"/>
                <w:color w:val="auto"/>
              </w:rPr>
            </w:pPr>
            <w:r>
              <w:rPr>
                <w:rFonts w:ascii="Arial" w:cs="Arial" w:eastAsia="Arial" w:hAnsi="Arial"/>
                <w:sz w:val="14"/>
                <w:szCs w:val="14"/>
                <w:color w:val="auto"/>
              </w:rPr>
              <w:t>remuneration</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7"/>
              </w:rPr>
              <w:t>in €</w:t>
            </w:r>
          </w:p>
        </w:tc>
        <w:tc>
          <w:tcPr>
            <w:tcW w:w="106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2"/>
              </w:rPr>
              <w:t>options</w:t>
            </w:r>
          </w:p>
        </w:tc>
        <w:tc>
          <w:tcPr>
            <w:tcW w:w="1800" w:type="dxa"/>
            <w:vAlign w:val="bottom"/>
          </w:tcPr>
          <w:p>
            <w:pPr>
              <w:jc w:val="center"/>
              <w:ind w:left="182"/>
              <w:spacing w:after="0" w:line="149" w:lineRule="exact"/>
              <w:rPr>
                <w:sz w:val="20"/>
                <w:szCs w:val="20"/>
                <w:color w:val="auto"/>
              </w:rPr>
            </w:pPr>
            <w:r>
              <w:rPr>
                <w:rFonts w:ascii="Arial" w:cs="Arial" w:eastAsia="Arial" w:hAnsi="Arial"/>
                <w:sz w:val="14"/>
                <w:szCs w:val="14"/>
                <w:color w:val="auto"/>
                <w:w w:val="86"/>
              </w:rPr>
              <w:t>as expense</w:t>
            </w:r>
          </w:p>
        </w:tc>
        <w:tc>
          <w:tcPr>
            <w:tcW w:w="1200" w:type="dxa"/>
            <w:vAlign w:val="bottom"/>
          </w:tcPr>
          <w:p>
            <w:pPr>
              <w:jc w:val="right"/>
              <w:ind w:right="219"/>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2340" w:type="dxa"/>
            <w:vAlign w:val="bottom"/>
          </w:tcPr>
          <w:p>
            <w:pPr>
              <w:spacing w:after="0"/>
              <w:rPr>
                <w:sz w:val="20"/>
                <w:szCs w:val="20"/>
                <w:color w:val="auto"/>
              </w:rPr>
            </w:pPr>
            <w:r>
              <w:rPr>
                <w:rFonts w:ascii="Arial" w:cs="Arial" w:eastAsia="Arial" w:hAnsi="Arial"/>
                <w:sz w:val="14"/>
                <w:szCs w:val="14"/>
                <w:color w:val="auto"/>
              </w:rPr>
              <w:t>Year</w:t>
            </w:r>
          </w:p>
        </w:tc>
        <w:tc>
          <w:tcPr>
            <w:tcW w:w="3100" w:type="dxa"/>
            <w:vAlign w:val="bottom"/>
          </w:tcPr>
          <w:p>
            <w:pPr>
              <w:jc w:val="right"/>
              <w:ind w:right="282"/>
              <w:spacing w:after="0"/>
              <w:rPr>
                <w:sz w:val="20"/>
                <w:szCs w:val="20"/>
                <w:color w:val="auto"/>
              </w:rPr>
            </w:pPr>
            <w:r>
              <w:rPr>
                <w:rFonts w:ascii="Arial" w:cs="Arial" w:eastAsia="Arial" w:hAnsi="Arial"/>
                <w:sz w:val="14"/>
                <w:szCs w:val="14"/>
                <w:color w:val="auto"/>
              </w:rPr>
              <w:t>in € thousand</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thousand</w:t>
            </w:r>
          </w:p>
        </w:tc>
        <w:tc>
          <w:tcPr>
            <w:tcW w:w="1060" w:type="dxa"/>
            <w:vAlign w:val="bottom"/>
          </w:tcPr>
          <w:p>
            <w:pPr>
              <w:jc w:val="center"/>
              <w:ind w:left="163"/>
              <w:spacing w:after="0"/>
              <w:rPr>
                <w:sz w:val="20"/>
                <w:szCs w:val="20"/>
                <w:color w:val="auto"/>
              </w:rPr>
            </w:pPr>
            <w:r>
              <w:rPr>
                <w:rFonts w:ascii="Arial" w:cs="Arial" w:eastAsia="Arial" w:hAnsi="Arial"/>
                <w:sz w:val="14"/>
                <w:szCs w:val="14"/>
                <w:color w:val="auto"/>
                <w:w w:val="88"/>
              </w:rPr>
              <w:t>granted</w:t>
            </w:r>
          </w:p>
        </w:tc>
        <w:tc>
          <w:tcPr>
            <w:tcW w:w="1800" w:type="dxa"/>
            <w:vAlign w:val="bottom"/>
          </w:tcPr>
          <w:p>
            <w:pPr>
              <w:jc w:val="center"/>
              <w:ind w:left="182"/>
              <w:spacing w:after="0"/>
              <w:rPr>
                <w:sz w:val="20"/>
                <w:szCs w:val="20"/>
                <w:color w:val="auto"/>
              </w:rPr>
            </w:pPr>
            <w:r>
              <w:rPr>
                <w:rFonts w:ascii="Arial" w:cs="Arial" w:eastAsia="Arial" w:hAnsi="Arial"/>
                <w:sz w:val="14"/>
                <w:szCs w:val="14"/>
                <w:color w:val="auto"/>
                <w:w w:val="92"/>
              </w:rPr>
              <w:t>in € thousand</w:t>
            </w:r>
          </w:p>
        </w:tc>
        <w:tc>
          <w:tcPr>
            <w:tcW w:w="1200" w:type="dxa"/>
            <w:vAlign w:val="bottom"/>
          </w:tcPr>
          <w:p>
            <w:pPr>
              <w:jc w:val="right"/>
              <w:spacing w:after="0"/>
              <w:rPr>
                <w:sz w:val="20"/>
                <w:szCs w:val="20"/>
                <w:color w:val="auto"/>
              </w:rPr>
            </w:pPr>
            <w:r>
              <w:rPr>
                <w:rFonts w:ascii="Arial" w:cs="Arial" w:eastAsia="Arial" w:hAnsi="Arial"/>
                <w:sz w:val="14"/>
                <w:szCs w:val="14"/>
                <w:color w:val="auto"/>
              </w:rPr>
              <w:t>in € thousand</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10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1,380</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8"/>
                <w:szCs w:val="18"/>
                <w:color w:val="auto"/>
              </w:rPr>
              <w:t>488</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108,000</w:t>
            </w:r>
          </w:p>
        </w:tc>
        <w:tc>
          <w:tcPr>
            <w:tcW w:w="180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1,818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2021</w:t>
            </w:r>
          </w:p>
        </w:tc>
        <w:tc>
          <w:tcPr>
            <w:tcW w:w="3100" w:type="dxa"/>
            <w:vAlign w:val="bottom"/>
          </w:tcPr>
          <w:p>
            <w:pPr>
              <w:jc w:val="right"/>
              <w:ind w:right="282"/>
              <w:spacing w:after="0"/>
              <w:rPr>
                <w:sz w:val="20"/>
                <w:szCs w:val="20"/>
                <w:color w:val="auto"/>
              </w:rPr>
            </w:pPr>
            <w:r>
              <w:rPr>
                <w:rFonts w:ascii="Arial" w:cs="Arial" w:eastAsia="Arial" w:hAnsi="Arial"/>
                <w:sz w:val="18"/>
                <w:szCs w:val="18"/>
                <w:color w:val="auto"/>
              </w:rPr>
              <w:t>713</w:t>
            </w:r>
          </w:p>
        </w:tc>
        <w:tc>
          <w:tcPr>
            <w:tcW w:w="1520" w:type="dxa"/>
            <w:vAlign w:val="bottom"/>
          </w:tcPr>
          <w:p>
            <w:pPr>
              <w:jc w:val="right"/>
              <w:ind w:right="303"/>
              <w:spacing w:after="0"/>
              <w:rPr>
                <w:sz w:val="20"/>
                <w:szCs w:val="20"/>
                <w:color w:val="auto"/>
              </w:rPr>
            </w:pPr>
            <w:r>
              <w:rPr>
                <w:rFonts w:ascii="Arial" w:cs="Arial" w:eastAsia="Arial" w:hAnsi="Arial"/>
                <w:sz w:val="18"/>
                <w:szCs w:val="18"/>
                <w:color w:val="auto"/>
              </w:rPr>
              <w:t>113</w:t>
            </w:r>
          </w:p>
        </w:tc>
        <w:tc>
          <w:tcPr>
            <w:tcW w:w="1060" w:type="dxa"/>
            <w:vAlign w:val="bottom"/>
          </w:tcPr>
          <w:p>
            <w:pPr>
              <w:jc w:val="right"/>
              <w:ind w:right="3"/>
              <w:spacing w:after="0"/>
              <w:rPr>
                <w:sz w:val="20"/>
                <w:szCs w:val="20"/>
                <w:color w:val="auto"/>
              </w:rPr>
            </w:pPr>
            <w:r>
              <w:rPr>
                <w:rFonts w:ascii="Arial" w:cs="Arial" w:eastAsia="Arial" w:hAnsi="Arial"/>
                <w:sz w:val="18"/>
                <w:szCs w:val="18"/>
                <w:color w:val="auto"/>
              </w:rPr>
              <w:t>100,000</w:t>
            </w:r>
          </w:p>
        </w:tc>
        <w:tc>
          <w:tcPr>
            <w:tcW w:w="1800" w:type="dxa"/>
            <w:vAlign w:val="bottom"/>
          </w:tcPr>
          <w:p>
            <w:pPr>
              <w:jc w:val="right"/>
              <w:ind w:right="302"/>
              <w:spacing w:after="0"/>
              <w:rPr>
                <w:sz w:val="20"/>
                <w:szCs w:val="20"/>
                <w:color w:val="auto"/>
              </w:rPr>
            </w:pPr>
            <w:r>
              <w:rPr>
                <w:rFonts w:ascii="Arial" w:cs="Arial" w:eastAsia="Arial" w:hAnsi="Arial"/>
                <w:sz w:val="18"/>
                <w:szCs w:val="18"/>
                <w:color w:val="auto"/>
              </w:rPr>
              <w:t>332</w:t>
            </w:r>
          </w:p>
        </w:tc>
        <w:tc>
          <w:tcPr>
            <w:tcW w:w="1200" w:type="dxa"/>
            <w:vAlign w:val="bottom"/>
          </w:tcPr>
          <w:p>
            <w:pPr>
              <w:jc w:val="right"/>
              <w:spacing w:after="0"/>
              <w:rPr>
                <w:sz w:val="20"/>
                <w:szCs w:val="20"/>
                <w:color w:val="auto"/>
              </w:rPr>
            </w:pPr>
            <w:r>
              <w:rPr>
                <w:rFonts w:ascii="Arial" w:cs="Arial" w:eastAsia="Arial" w:hAnsi="Arial"/>
                <w:sz w:val="18"/>
                <w:szCs w:val="18"/>
                <w:color w:val="auto"/>
              </w:rPr>
              <w:t>1,158</w:t>
            </w: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b w:val="1"/>
          <w:bCs w:val="1"/>
          <w:color w:val="auto"/>
        </w:rPr>
        <w:t>Supervisory Board remuneration</w:t>
      </w:r>
    </w:p>
    <w:p>
      <w:pPr>
        <w:spacing w:after="0" w:line="121"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July 14, 2022. Accordingly, the Supervisory Board members receive a fixed annual remuneration, payable after the end of the fiscal year. The remuneration amounts to €60,000.00 per year, with the chairman receiving twice that amount and the deputy chairman receiving one and a half times this amount. An attendance fee of €500.00 are paid for Supervisory Board meetings. Supervisory Board members who are also members of the Audit Committee shall receive a remuneration in the amount of</w:t>
      </w:r>
    </w:p>
    <w:p>
      <w:pPr>
        <w:spacing w:after="0" w:line="4" w:lineRule="exact"/>
        <w:rPr>
          <w:sz w:val="20"/>
          <w:szCs w:val="20"/>
          <w:color w:val="auto"/>
        </w:rPr>
      </w:pPr>
    </w:p>
    <w:p>
      <w:pPr>
        <w:jc w:val="both"/>
        <w:ind w:left="120" w:right="20" w:hanging="4"/>
        <w:spacing w:after="0" w:line="253" w:lineRule="auto"/>
        <w:tabs>
          <w:tab w:leader="none" w:pos="2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20,000.00 for each full financial year of membership of the Audit Committee in addition to the remuneration for their activities on the Supervisory Board as member, Chairman or Deputy Chairman. The Chairman of the Audit Committee shall receive one and a half times the remuneration.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annual remuneration for the Supervisory Board is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For the years ended</w:t>
            </w:r>
          </w:p>
        </w:tc>
        <w:tc>
          <w:tcPr>
            <w:tcW w:w="1240" w:type="dxa"/>
            <w:vAlign w:val="bottom"/>
          </w:tcPr>
          <w:p>
            <w:pPr>
              <w:spacing w:after="0"/>
              <w:rPr>
                <w:sz w:val="14"/>
                <w:szCs w:val="14"/>
                <w:color w:val="auto"/>
              </w:rPr>
            </w:pPr>
          </w:p>
        </w:tc>
      </w:tr>
      <w:tr>
        <w:trPr>
          <w:trHeight w:val="148"/>
        </w:trPr>
        <w:tc>
          <w:tcPr>
            <w:tcW w:w="3020" w:type="dxa"/>
            <w:vAlign w:val="bottom"/>
          </w:tcPr>
          <w:p>
            <w:pPr>
              <w:spacing w:after="0"/>
              <w:rPr>
                <w:sz w:val="12"/>
                <w:szCs w:val="12"/>
                <w:color w:val="auto"/>
              </w:rPr>
            </w:pPr>
          </w:p>
        </w:tc>
        <w:tc>
          <w:tcPr>
            <w:tcW w:w="316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December 31,</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3020" w:type="dxa"/>
            <w:vAlign w:val="bottom"/>
          </w:tcPr>
          <w:p>
            <w:pPr>
              <w:spacing w:after="0"/>
              <w:rPr>
                <w:sz w:val="20"/>
                <w:szCs w:val="20"/>
                <w:color w:val="auto"/>
              </w:rPr>
            </w:pPr>
            <w:r>
              <w:rPr>
                <w:rFonts w:ascii="Arial" w:cs="Arial" w:eastAsia="Arial" w:hAnsi="Arial"/>
                <w:sz w:val="14"/>
                <w:szCs w:val="14"/>
                <w:color w:val="auto"/>
              </w:rPr>
              <w:t>€ thousand</w:t>
            </w:r>
          </w:p>
        </w:tc>
        <w:tc>
          <w:tcPr>
            <w:tcW w:w="3160" w:type="dxa"/>
            <w:vAlign w:val="bottom"/>
          </w:tcPr>
          <w:p>
            <w:pPr>
              <w:jc w:val="right"/>
              <w:ind w:right="513"/>
              <w:spacing w:after="0"/>
              <w:rPr>
                <w:sz w:val="20"/>
                <w:szCs w:val="20"/>
                <w:color w:val="auto"/>
              </w:rPr>
            </w:pPr>
            <w:r>
              <w:rPr>
                <w:rFonts w:ascii="Arial" w:cs="Arial" w:eastAsia="Arial" w:hAnsi="Arial"/>
                <w:sz w:val="14"/>
                <w:szCs w:val="14"/>
                <w:color w:val="auto"/>
              </w:rPr>
              <w:t>2022</w:t>
            </w:r>
          </w:p>
        </w:tc>
        <w:tc>
          <w:tcPr>
            <w:tcW w:w="18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240" w:type="dxa"/>
            <w:vAlign w:val="bottom"/>
          </w:tcPr>
          <w:p>
            <w:pPr>
              <w:jc w:val="right"/>
              <w:ind w:right="233"/>
              <w:spacing w:after="0"/>
              <w:rPr>
                <w:sz w:val="20"/>
                <w:szCs w:val="20"/>
                <w:color w:val="auto"/>
              </w:rPr>
            </w:pPr>
            <w:r>
              <w:rPr>
                <w:rFonts w:ascii="Arial" w:cs="Arial" w:eastAsia="Arial" w:hAnsi="Arial"/>
                <w:sz w:val="14"/>
                <w:szCs w:val="14"/>
                <w:color w:val="auto"/>
              </w:rPr>
              <w:t>2020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Dr. Manfred Krischke</w:t>
            </w:r>
          </w:p>
        </w:tc>
        <w:tc>
          <w:tcPr>
            <w:tcW w:w="3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151</w:t>
            </w:r>
          </w:p>
        </w:tc>
        <w:tc>
          <w:tcPr>
            <w:tcW w:w="18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80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Peter Müller-Brühl</w:t>
            </w:r>
          </w:p>
        </w:tc>
        <w:tc>
          <w:tcPr>
            <w:tcW w:w="3160" w:type="dxa"/>
            <w:vAlign w:val="bottom"/>
          </w:tcPr>
          <w:p>
            <w:pPr>
              <w:jc w:val="right"/>
              <w:ind w:right="253"/>
              <w:spacing w:after="0"/>
              <w:rPr>
                <w:sz w:val="20"/>
                <w:szCs w:val="20"/>
                <w:color w:val="auto"/>
              </w:rPr>
            </w:pPr>
            <w:r>
              <w:rPr>
                <w:rFonts w:ascii="Arial" w:cs="Arial" w:eastAsia="Arial" w:hAnsi="Arial"/>
                <w:sz w:val="18"/>
                <w:szCs w:val="18"/>
                <w:color w:val="auto"/>
              </w:rPr>
              <w:t>121</w:t>
            </w:r>
          </w:p>
        </w:tc>
        <w:tc>
          <w:tcPr>
            <w:tcW w:w="1840" w:type="dxa"/>
            <w:vAlign w:val="bottom"/>
          </w:tcPr>
          <w:p>
            <w:pPr>
              <w:jc w:val="right"/>
              <w:ind w:right="434"/>
              <w:spacing w:after="0"/>
              <w:rPr>
                <w:sz w:val="20"/>
                <w:szCs w:val="20"/>
                <w:color w:val="auto"/>
              </w:rPr>
            </w:pPr>
            <w:r>
              <w:rPr>
                <w:rFonts w:ascii="Arial" w:cs="Arial" w:eastAsia="Arial" w:hAnsi="Arial"/>
                <w:sz w:val="18"/>
                <w:szCs w:val="18"/>
                <w:color w:val="auto"/>
              </w:rPr>
              <w:t>50</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Steve Geskos</w:t>
            </w:r>
          </w:p>
        </w:tc>
        <w:tc>
          <w:tcPr>
            <w:tcW w:w="3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101</w:t>
            </w:r>
          </w:p>
        </w:tc>
        <w:tc>
          <w:tcPr>
            <w:tcW w:w="18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32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Wincent Wobbe</w:t>
            </w:r>
          </w:p>
        </w:tc>
        <w:tc>
          <w:tcPr>
            <w:tcW w:w="3160" w:type="dxa"/>
            <w:vAlign w:val="bottom"/>
          </w:tcPr>
          <w:p>
            <w:pPr>
              <w:jc w:val="right"/>
              <w:ind w:right="253"/>
              <w:spacing w:after="0"/>
              <w:rPr>
                <w:sz w:val="20"/>
                <w:szCs w:val="20"/>
                <w:color w:val="auto"/>
              </w:rPr>
            </w:pPr>
            <w:r>
              <w:rPr>
                <w:rFonts w:ascii="Arial" w:cs="Arial" w:eastAsia="Arial" w:hAnsi="Arial"/>
                <w:sz w:val="18"/>
                <w:szCs w:val="18"/>
                <w:color w:val="auto"/>
              </w:rPr>
              <w:t>67</w:t>
            </w:r>
          </w:p>
        </w:tc>
        <w:tc>
          <w:tcPr>
            <w:tcW w:w="1840" w:type="dxa"/>
            <w:vAlign w:val="bottom"/>
          </w:tcPr>
          <w:p>
            <w:pPr>
              <w:jc w:val="right"/>
              <w:ind w:right="434"/>
              <w:spacing w:after="0"/>
              <w:rPr>
                <w:sz w:val="20"/>
                <w:szCs w:val="20"/>
                <w:color w:val="auto"/>
              </w:rPr>
            </w:pPr>
            <w:r>
              <w:rPr>
                <w:rFonts w:ascii="Arial" w:cs="Arial" w:eastAsia="Arial" w:hAnsi="Arial"/>
                <w:sz w:val="18"/>
                <w:szCs w:val="18"/>
                <w:color w:val="auto"/>
              </w:rPr>
              <w:t>19</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Hans Koenigsmann</w:t>
            </w:r>
          </w:p>
        </w:tc>
        <w:tc>
          <w:tcPr>
            <w:tcW w:w="3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w:t>
            </w:r>
          </w:p>
        </w:tc>
        <w:tc>
          <w:tcPr>
            <w:tcW w:w="18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Dr. Gerd Gruppe</w:t>
            </w:r>
          </w:p>
        </w:tc>
        <w:tc>
          <w:tcPr>
            <w:tcW w:w="316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434"/>
              <w:spacing w:after="0"/>
              <w:rPr>
                <w:sz w:val="20"/>
                <w:szCs w:val="20"/>
                <w:color w:val="auto"/>
              </w:rPr>
            </w:pPr>
            <w:r>
              <w:rPr>
                <w:rFonts w:ascii="Arial" w:cs="Arial" w:eastAsia="Arial" w:hAnsi="Arial"/>
                <w:sz w:val="18"/>
                <w:szCs w:val="18"/>
                <w:color w:val="auto"/>
              </w:rPr>
              <w:t>39</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Thomas Hanke</w:t>
            </w:r>
          </w:p>
        </w:tc>
        <w:tc>
          <w:tcPr>
            <w:tcW w:w="3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18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Dr. Thomas Billeter</w:t>
            </w:r>
          </w:p>
        </w:tc>
        <w:tc>
          <w:tcPr>
            <w:tcW w:w="316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1840" w:type="dxa"/>
            <w:vAlign w:val="bottom"/>
          </w:tcPr>
          <w:p>
            <w:pPr>
              <w:jc w:val="right"/>
              <w:ind w:right="434"/>
              <w:spacing w:after="0"/>
              <w:rPr>
                <w:sz w:val="20"/>
                <w:szCs w:val="20"/>
                <w:color w:val="auto"/>
              </w:rPr>
            </w:pPr>
            <w:r>
              <w:rPr>
                <w:rFonts w:ascii="Arial" w:cs="Arial" w:eastAsia="Arial" w:hAnsi="Arial"/>
                <w:sz w:val="18"/>
                <w:szCs w:val="18"/>
                <w:color w:val="auto"/>
              </w:rPr>
              <w:t>15</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Thomas Mayrhofer</w:t>
            </w:r>
          </w:p>
        </w:tc>
        <w:tc>
          <w:tcPr>
            <w:tcW w:w="31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18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jc w:val="right"/>
              <w:ind w:right="253"/>
              <w:spacing w:after="0"/>
              <w:rPr>
                <w:sz w:val="20"/>
                <w:szCs w:val="20"/>
                <w:color w:val="auto"/>
              </w:rPr>
            </w:pPr>
            <w:r>
              <w:rPr>
                <w:rFonts w:ascii="Arial" w:cs="Arial" w:eastAsia="Arial" w:hAnsi="Arial"/>
                <w:sz w:val="18"/>
                <w:szCs w:val="18"/>
                <w:color w:val="auto"/>
              </w:rPr>
              <w:t>506</w:t>
            </w:r>
          </w:p>
        </w:tc>
        <w:tc>
          <w:tcPr>
            <w:tcW w:w="1840" w:type="dxa"/>
            <w:vAlign w:val="bottom"/>
          </w:tcPr>
          <w:p>
            <w:pPr>
              <w:jc w:val="right"/>
              <w:ind w:right="434"/>
              <w:spacing w:after="0"/>
              <w:rPr>
                <w:sz w:val="20"/>
                <w:szCs w:val="20"/>
                <w:color w:val="auto"/>
              </w:rPr>
            </w:pPr>
            <w:r>
              <w:rPr>
                <w:rFonts w:ascii="Arial" w:cs="Arial" w:eastAsia="Arial" w:hAnsi="Arial"/>
                <w:sz w:val="18"/>
                <w:szCs w:val="18"/>
                <w:color w:val="auto"/>
              </w:rPr>
              <w:t>263</w:t>
            </w: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50"/>
        </w:trPr>
        <w:tc>
          <w:tcPr>
            <w:tcW w:w="3020" w:type="dxa"/>
            <w:vAlign w:val="bottom"/>
          </w:tcPr>
          <w:p>
            <w:pPr>
              <w:spacing w:after="0"/>
              <w:rPr>
                <w:sz w:val="24"/>
                <w:szCs w:val="24"/>
                <w:color w:val="auto"/>
              </w:rPr>
            </w:pPr>
          </w:p>
        </w:tc>
        <w:tc>
          <w:tcPr>
            <w:tcW w:w="3160" w:type="dxa"/>
            <w:vAlign w:val="bottom"/>
          </w:tcPr>
          <w:p>
            <w:pPr>
              <w:jc w:val="right"/>
              <w:ind w:right="1293"/>
              <w:spacing w:after="0"/>
              <w:rPr>
                <w:sz w:val="20"/>
                <w:szCs w:val="20"/>
                <w:color w:val="auto"/>
              </w:rPr>
            </w:pPr>
            <w:r>
              <w:rPr>
                <w:rFonts w:ascii="Arial" w:cs="Arial" w:eastAsia="Arial" w:hAnsi="Arial"/>
                <w:sz w:val="18"/>
                <w:szCs w:val="18"/>
                <w:color w:val="auto"/>
              </w:rPr>
              <w:t>F-41</w:t>
            </w: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Shareholdings of management and supervisory board members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available information, the board members have the following shareholdings: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980" w:type="dxa"/>
            <w:vAlign w:val="bottom"/>
            <w:gridSpan w:val="2"/>
          </w:tcPr>
          <w:p>
            <w:pPr>
              <w:jc w:val="right"/>
              <w:ind w:right="55"/>
              <w:spacing w:after="0"/>
              <w:rPr>
                <w:sz w:val="20"/>
                <w:szCs w:val="20"/>
                <w:color w:val="auto"/>
              </w:rPr>
            </w:pPr>
            <w:r>
              <w:rPr>
                <w:rFonts w:ascii="Arial" w:cs="Arial" w:eastAsia="Arial" w:hAnsi="Arial"/>
                <w:sz w:val="14"/>
                <w:szCs w:val="14"/>
                <w:color w:val="auto"/>
              </w:rPr>
              <w:t>December 31,</w:t>
            </w:r>
          </w:p>
        </w:tc>
        <w:tc>
          <w:tcPr>
            <w:tcW w:w="1700" w:type="dxa"/>
            <w:vAlign w:val="bottom"/>
            <w:gridSpan w:val="2"/>
          </w:tcPr>
          <w:p>
            <w:pPr>
              <w:jc w:val="right"/>
              <w:ind w:right="373"/>
              <w:spacing w:after="0"/>
              <w:rPr>
                <w:sz w:val="20"/>
                <w:szCs w:val="20"/>
                <w:color w:val="auto"/>
              </w:rPr>
            </w:pPr>
            <w:r>
              <w:rPr>
                <w:rFonts w:ascii="Arial" w:cs="Arial" w:eastAsia="Arial" w:hAnsi="Arial"/>
                <w:sz w:val="14"/>
                <w:szCs w:val="14"/>
                <w:color w:val="auto"/>
              </w:rPr>
              <w:t>December 31,</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Arial" w:cs="Arial" w:eastAsia="Arial" w:hAnsi="Arial"/>
                <w:sz w:val="14"/>
                <w:szCs w:val="14"/>
                <w:color w:val="auto"/>
              </w:rPr>
              <w:t>Number of shares</w:t>
            </w:r>
          </w:p>
        </w:tc>
        <w:tc>
          <w:tcPr>
            <w:tcW w:w="1980" w:type="dxa"/>
            <w:vAlign w:val="bottom"/>
            <w:gridSpan w:val="2"/>
          </w:tcPr>
          <w:p>
            <w:pPr>
              <w:jc w:val="right"/>
              <w:ind w:right="315"/>
              <w:spacing w:after="0"/>
              <w:rPr>
                <w:sz w:val="20"/>
                <w:szCs w:val="20"/>
                <w:color w:val="auto"/>
              </w:rPr>
            </w:pPr>
            <w:r>
              <w:rPr>
                <w:rFonts w:ascii="Arial" w:cs="Arial" w:eastAsia="Arial" w:hAnsi="Arial"/>
                <w:sz w:val="14"/>
                <w:szCs w:val="14"/>
                <w:color w:val="auto"/>
              </w:rPr>
              <w:t>2022</w:t>
            </w:r>
          </w:p>
        </w:tc>
        <w:tc>
          <w:tcPr>
            <w:tcW w:w="600" w:type="dxa"/>
            <w:vAlign w:val="bottom"/>
          </w:tcPr>
          <w:p>
            <w:pPr>
              <w:spacing w:after="0"/>
              <w:rPr>
                <w:sz w:val="14"/>
                <w:szCs w:val="14"/>
                <w:color w:val="auto"/>
              </w:rPr>
            </w:pPr>
          </w:p>
        </w:tc>
        <w:tc>
          <w:tcPr>
            <w:tcW w:w="1100" w:type="dxa"/>
            <w:vAlign w:val="bottom"/>
          </w:tcPr>
          <w:p>
            <w:pPr>
              <w:jc w:val="right"/>
              <w:ind w:right="633"/>
              <w:spacing w:after="0"/>
              <w:rPr>
                <w:sz w:val="20"/>
                <w:szCs w:val="20"/>
                <w:color w:val="auto"/>
              </w:rPr>
            </w:pPr>
            <w:r>
              <w:rPr>
                <w:rFonts w:ascii="Arial" w:cs="Arial" w:eastAsia="Arial" w:hAnsi="Arial"/>
                <w:sz w:val="14"/>
                <w:szCs w:val="14"/>
                <w:color w:val="auto"/>
              </w:rPr>
              <w:t>2021</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Change</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Peter Müller-Brühl</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3"/>
              </w:rPr>
              <w:t>4,445</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4,445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Joachim Horwath</w:t>
            </w:r>
          </w:p>
        </w:tc>
        <w:tc>
          <w:tcPr>
            <w:tcW w:w="1980" w:type="dxa"/>
            <w:vAlign w:val="bottom"/>
            <w:gridSpan w:val="2"/>
          </w:tcPr>
          <w:p>
            <w:pPr>
              <w:jc w:val="right"/>
              <w:ind w:right="55"/>
              <w:spacing w:after="0"/>
              <w:rPr>
                <w:sz w:val="20"/>
                <w:szCs w:val="20"/>
                <w:color w:val="auto"/>
              </w:rPr>
            </w:pPr>
            <w:r>
              <w:rPr>
                <w:rFonts w:ascii="Arial" w:cs="Arial" w:eastAsia="Arial" w:hAnsi="Arial"/>
                <w:sz w:val="18"/>
                <w:szCs w:val="18"/>
                <w:color w:val="auto"/>
              </w:rPr>
              <w:t>220,527</w:t>
            </w:r>
          </w:p>
        </w:tc>
        <w:tc>
          <w:tcPr>
            <w:tcW w:w="600" w:type="dxa"/>
            <w:vAlign w:val="bottom"/>
          </w:tcPr>
          <w:p>
            <w:pPr>
              <w:spacing w:after="0"/>
              <w:rPr>
                <w:sz w:val="18"/>
                <w:szCs w:val="18"/>
                <w:color w:val="auto"/>
              </w:rPr>
            </w:pPr>
          </w:p>
        </w:tc>
        <w:tc>
          <w:tcPr>
            <w:tcW w:w="1100" w:type="dxa"/>
            <w:vAlign w:val="bottom"/>
          </w:tcPr>
          <w:p>
            <w:pPr>
              <w:jc w:val="right"/>
              <w:ind w:right="373"/>
              <w:spacing w:after="0"/>
              <w:rPr>
                <w:sz w:val="20"/>
                <w:szCs w:val="20"/>
                <w:color w:val="auto"/>
              </w:rPr>
            </w:pPr>
            <w:r>
              <w:rPr>
                <w:rFonts w:ascii="Arial" w:cs="Arial" w:eastAsia="Arial" w:hAnsi="Arial"/>
                <w:sz w:val="18"/>
                <w:szCs w:val="18"/>
                <w:color w:val="auto"/>
                <w:w w:val="95"/>
              </w:rPr>
              <w:t>220,527</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Bulent Altan</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3"/>
              </w:rPr>
              <w:t>1,136</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1,136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Stefan Berndt-von Bülow</w:t>
            </w:r>
          </w:p>
        </w:tc>
        <w:tc>
          <w:tcPr>
            <w:tcW w:w="1400" w:type="dxa"/>
            <w:vAlign w:val="bottom"/>
          </w:tcPr>
          <w:p>
            <w:pPr>
              <w:spacing w:after="0"/>
              <w:rPr>
                <w:sz w:val="20"/>
                <w:szCs w:val="20"/>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20"/>
                <w:szCs w:val="20"/>
                <w:color w:val="auto"/>
              </w:rPr>
            </w:pP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174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r>
      <w:tr>
        <w:trPr>
          <w:trHeight w:val="566"/>
        </w:trPr>
        <w:tc>
          <w:tcPr>
            <w:tcW w:w="400" w:type="dxa"/>
            <w:vAlign w:val="bottom"/>
          </w:tcPr>
          <w:p>
            <w:pPr>
              <w:spacing w:after="0"/>
              <w:rPr>
                <w:sz w:val="20"/>
                <w:szCs w:val="20"/>
                <w:color w:val="auto"/>
              </w:rPr>
            </w:pPr>
            <w:r>
              <w:rPr>
                <w:rFonts w:ascii="Arial" w:cs="Arial" w:eastAsia="Arial" w:hAnsi="Arial"/>
                <w:sz w:val="18"/>
                <w:szCs w:val="18"/>
                <w:b w:val="1"/>
                <w:bCs w:val="1"/>
                <w:color w:val="auto"/>
              </w:rPr>
              <w:t>33.</w:t>
            </w:r>
          </w:p>
        </w:tc>
        <w:tc>
          <w:tcPr>
            <w:tcW w:w="40" w:type="dxa"/>
            <w:vAlign w:val="bottom"/>
          </w:tcPr>
          <w:p>
            <w:pPr>
              <w:spacing w:after="0"/>
              <w:rPr>
                <w:sz w:val="24"/>
                <w:szCs w:val="24"/>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Instruments and Financial Risk Management</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8"/>
        </w:trPr>
        <w:tc>
          <w:tcPr>
            <w:tcW w:w="400" w:type="dxa"/>
            <w:vAlign w:val="bottom"/>
          </w:tcPr>
          <w:p>
            <w:pPr>
              <w:spacing w:after="0"/>
              <w:rPr>
                <w:sz w:val="20"/>
                <w:szCs w:val="20"/>
                <w:color w:val="auto"/>
              </w:rPr>
            </w:pPr>
            <w:r>
              <w:rPr>
                <w:rFonts w:ascii="Arial" w:cs="Arial" w:eastAsia="Arial" w:hAnsi="Arial"/>
                <w:sz w:val="18"/>
                <w:szCs w:val="18"/>
                <w:b w:val="1"/>
                <w:bCs w:val="1"/>
                <w:color w:val="auto"/>
                <w:w w:val="94"/>
              </w:rPr>
              <w:t>33.1.</w:t>
            </w:r>
          </w:p>
        </w:tc>
        <w:tc>
          <w:tcPr>
            <w:tcW w:w="40" w:type="dxa"/>
            <w:vAlign w:val="bottom"/>
          </w:tcPr>
          <w:p>
            <w:pPr>
              <w:spacing w:after="0"/>
              <w:rPr>
                <w:sz w:val="24"/>
                <w:szCs w:val="24"/>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instruments</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4"/>
        </w:trPr>
        <w:tc>
          <w:tcPr>
            <w:tcW w:w="5820" w:type="dxa"/>
            <w:vAlign w:val="bottom"/>
            <w:gridSpan w:val="4"/>
          </w:tcPr>
          <w:p>
            <w:pPr>
              <w:spacing w:after="0"/>
              <w:rPr>
                <w:sz w:val="20"/>
                <w:szCs w:val="20"/>
                <w:color w:val="auto"/>
              </w:rPr>
            </w:pPr>
            <w:r>
              <w:rPr>
                <w:rFonts w:ascii="Arial" w:cs="Arial" w:eastAsia="Arial" w:hAnsi="Arial"/>
                <w:sz w:val="18"/>
                <w:szCs w:val="18"/>
                <w:color w:val="auto"/>
              </w:rPr>
              <w:t>The financial instruments were allocated to the following categories:</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580" w:type="dxa"/>
            <w:vAlign w:val="bottom"/>
            <w:gridSpan w:val="3"/>
          </w:tcPr>
          <w:p>
            <w:pPr>
              <w:jc w:val="right"/>
              <w:ind w:right="252"/>
              <w:spacing w:after="0"/>
              <w:rPr>
                <w:sz w:val="20"/>
                <w:szCs w:val="20"/>
                <w:color w:val="auto"/>
              </w:rPr>
            </w:pPr>
            <w:r>
              <w:rPr>
                <w:rFonts w:ascii="Arial" w:cs="Arial" w:eastAsia="Arial" w:hAnsi="Arial"/>
                <w:sz w:val="14"/>
                <w:szCs w:val="14"/>
                <w:color w:val="auto"/>
              </w:rPr>
              <w:t>December 31, 2022</w:t>
            </w:r>
          </w:p>
        </w:tc>
        <w:tc>
          <w:tcPr>
            <w:tcW w:w="2160" w:type="dxa"/>
            <w:vAlign w:val="bottom"/>
            <w:gridSpan w:val="3"/>
          </w:tcPr>
          <w:p>
            <w:pPr>
              <w:jc w:val="right"/>
              <w:ind w:right="340"/>
              <w:spacing w:after="0"/>
              <w:rPr>
                <w:sz w:val="20"/>
                <w:szCs w:val="20"/>
                <w:color w:val="auto"/>
              </w:rPr>
            </w:pPr>
            <w:r>
              <w:rPr>
                <w:rFonts w:ascii="Arial" w:cs="Arial" w:eastAsia="Arial" w:hAnsi="Arial"/>
                <w:sz w:val="14"/>
                <w:szCs w:val="14"/>
                <w:color w:val="auto"/>
              </w:rPr>
              <w:t>December 31, 2021</w:t>
            </w:r>
          </w:p>
        </w:tc>
      </w:tr>
      <w:tr>
        <w:trPr>
          <w:trHeight w:val="167"/>
        </w:trPr>
        <w:tc>
          <w:tcPr>
            <w:tcW w:w="40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Arial" w:cs="Arial" w:eastAsia="Arial" w:hAnsi="Arial"/>
                <w:sz w:val="14"/>
                <w:szCs w:val="14"/>
                <w:color w:val="auto"/>
              </w:rPr>
              <w:t>€ thousand</w:t>
            </w:r>
          </w:p>
        </w:tc>
        <w:tc>
          <w:tcPr>
            <w:tcW w:w="1400" w:type="dxa"/>
            <w:vAlign w:val="bottom"/>
          </w:tcPr>
          <w:p>
            <w:pPr>
              <w:jc w:val="right"/>
              <w:spacing w:after="0"/>
              <w:rPr>
                <w:sz w:val="20"/>
                <w:szCs w:val="20"/>
                <w:color w:val="auto"/>
              </w:rPr>
            </w:pPr>
            <w:r>
              <w:rPr>
                <w:rFonts w:ascii="Arial" w:cs="Arial" w:eastAsia="Arial" w:hAnsi="Arial"/>
                <w:sz w:val="14"/>
                <w:szCs w:val="14"/>
                <w:color w:val="auto"/>
              </w:rPr>
              <w:t>Current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Non-current</w:t>
            </w:r>
          </w:p>
        </w:tc>
        <w:tc>
          <w:tcPr>
            <w:tcW w:w="1100" w:type="dxa"/>
            <w:vAlign w:val="bottom"/>
          </w:tcPr>
          <w:p>
            <w:pPr>
              <w:jc w:val="right"/>
              <w:ind w:right="113"/>
              <w:spacing w:after="0"/>
              <w:rPr>
                <w:sz w:val="20"/>
                <w:szCs w:val="20"/>
                <w:color w:val="auto"/>
              </w:rPr>
            </w:pPr>
            <w:r>
              <w:rPr>
                <w:rFonts w:ascii="Arial" w:cs="Arial" w:eastAsia="Arial" w:hAnsi="Arial"/>
                <w:sz w:val="14"/>
                <w:szCs w:val="14"/>
                <w:color w:val="auto"/>
              </w:rPr>
              <w:t>Current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Non-current</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 (AC)</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financial assets</w:t>
            </w: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143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48,143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400" w:type="dxa"/>
            <w:vAlign w:val="bottom"/>
          </w:tcPr>
          <w:p>
            <w:pPr>
              <w:jc w:val="right"/>
              <w:spacing w:after="0"/>
              <w:rPr>
                <w:sz w:val="20"/>
                <w:szCs w:val="20"/>
                <w:color w:val="auto"/>
              </w:rPr>
            </w:pPr>
            <w:r>
              <w:rPr>
                <w:rFonts w:ascii="Arial" w:cs="Arial" w:eastAsia="Arial" w:hAnsi="Arial"/>
                <w:sz w:val="18"/>
                <w:szCs w:val="18"/>
                <w:color w:val="auto"/>
              </w:rPr>
              <w:t>1,101</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11,387</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48,286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411</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Financial Assets (FVTPL)</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11,559</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48,286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411</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 (FLAC)</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8,396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1,855</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7,087</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1,638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7,389</w:t>
            </w:r>
          </w:p>
        </w:tc>
      </w:tr>
      <w:tr>
        <w:trPr>
          <w:trHeight w:val="216"/>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34"/>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 Financial Liabilities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25,623</w:t>
            </w:r>
          </w:p>
        </w:tc>
        <w:tc>
          <w:tcPr>
            <w:tcW w:w="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7,336</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10,071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7,389</w:t>
            </w:r>
          </w:p>
        </w:tc>
      </w:tr>
    </w:tbl>
    <w:p>
      <w:pPr>
        <w:spacing w:after="0" w:line="18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other financial assets of the AC category, trade receivables, and cash and cash equivalents, it is assumed that their carrying amounts correspond to their fair values due to their short terms.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carrying amount of non-current financial assets of the category AC approximates the fair value. These include bank balances and non-interest-bearing security deposits. The carrying amount approximates the fair value.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carrying amount of current financial liabilities in the category FLAC, such as trade payables and other financial liabilities, corresponds to the fair value due to their short terms.</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carrying amount of non-current financial liabilities in the category FLAC, such as other financial liabilities approximate the fair value. Any difference between the carrying amount and the fair value is immaterial due to the fact, that are contracted close to the period end and therefore, reflect the market situation at period end. The lease liabilities are discounted in accordance with the requirements set out in IFRS 16.</w:t>
      </w:r>
    </w:p>
    <w:p>
      <w:pPr>
        <w:spacing w:after="0" w:line="16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2022, the fair value of the prepayment option of the loan amounts to €172 thousand (December 31, 2021: €0). The prepayment option is recognized as other financial asset at FVTPL and was calculated by applying an option pricing model. This model uses the risk-free interest rate, the credit spread of the group and the interest rate volatility as material input factors. The volatility is considered as material unobservable input factor (Level 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the impact on the fair values of Level 3 instruments by changing the significant unobservable input factors.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840" w:type="dxa"/>
            <w:vAlign w:val="bottom"/>
            <w:gridSpan w:val="2"/>
          </w:tcPr>
          <w:p>
            <w:pPr>
              <w:jc w:val="right"/>
              <w:ind w:right="216"/>
              <w:spacing w:after="0"/>
              <w:rPr>
                <w:sz w:val="20"/>
                <w:szCs w:val="20"/>
                <w:color w:val="auto"/>
              </w:rPr>
            </w:pPr>
            <w:r>
              <w:rPr>
                <w:rFonts w:ascii="Arial" w:cs="Arial" w:eastAsia="Arial" w:hAnsi="Arial"/>
                <w:sz w:val="14"/>
                <w:szCs w:val="14"/>
                <w:color w:val="auto"/>
              </w:rPr>
              <w:t>December 31, 2022</w:t>
            </w:r>
          </w:p>
        </w:tc>
      </w:tr>
      <w:tr>
        <w:trPr>
          <w:trHeight w:val="162"/>
        </w:trPr>
        <w:tc>
          <w:tcPr>
            <w:tcW w:w="3520" w:type="dxa"/>
            <w:vAlign w:val="bottom"/>
          </w:tcPr>
          <w:p>
            <w:pPr>
              <w:spacing w:after="0"/>
              <w:rPr>
                <w:sz w:val="14"/>
                <w:szCs w:val="14"/>
                <w:color w:val="auto"/>
              </w:rPr>
            </w:pPr>
          </w:p>
        </w:tc>
        <w:tc>
          <w:tcPr>
            <w:tcW w:w="4840" w:type="dxa"/>
            <w:vAlign w:val="bottom"/>
            <w:gridSpan w:val="2"/>
          </w:tcPr>
          <w:p>
            <w:pPr>
              <w:jc w:val="right"/>
              <w:ind w:right="416"/>
              <w:spacing w:after="0"/>
              <w:rPr>
                <w:sz w:val="20"/>
                <w:szCs w:val="20"/>
                <w:color w:val="auto"/>
              </w:rPr>
            </w:pPr>
            <w:r>
              <w:rPr>
                <w:rFonts w:ascii="Arial" w:cs="Arial" w:eastAsia="Arial" w:hAnsi="Arial"/>
                <w:sz w:val="14"/>
                <w:szCs w:val="14"/>
                <w:color w:val="auto"/>
              </w:rPr>
              <w:t>Profit or loss</w:t>
            </w:r>
          </w:p>
        </w:tc>
      </w:tr>
      <w:tr>
        <w:trPr>
          <w:trHeight w:val="167"/>
        </w:trPr>
        <w:tc>
          <w:tcPr>
            <w:tcW w:w="3520" w:type="dxa"/>
            <w:vAlign w:val="bottom"/>
          </w:tcPr>
          <w:p>
            <w:pPr>
              <w:spacing w:after="0"/>
              <w:rPr>
                <w:sz w:val="20"/>
                <w:szCs w:val="20"/>
                <w:color w:val="auto"/>
              </w:rPr>
            </w:pPr>
            <w:r>
              <w:rPr>
                <w:rFonts w:ascii="Arial" w:cs="Arial" w:eastAsia="Arial" w:hAnsi="Arial"/>
                <w:sz w:val="14"/>
                <w:szCs w:val="14"/>
                <w:color w:val="auto"/>
              </w:rPr>
              <w:t>€ thousand</w:t>
            </w:r>
          </w:p>
        </w:tc>
        <w:tc>
          <w:tcPr>
            <w:tcW w:w="3960" w:type="dxa"/>
            <w:vAlign w:val="bottom"/>
          </w:tcPr>
          <w:p>
            <w:pPr>
              <w:jc w:val="right"/>
              <w:ind w:right="259"/>
              <w:spacing w:after="0"/>
              <w:rPr>
                <w:sz w:val="20"/>
                <w:szCs w:val="20"/>
                <w:color w:val="auto"/>
              </w:rPr>
            </w:pPr>
            <w:r>
              <w:rPr>
                <w:rFonts w:ascii="Arial" w:cs="Arial" w:eastAsia="Arial" w:hAnsi="Arial"/>
                <w:sz w:val="14"/>
                <w:szCs w:val="14"/>
                <w:color w:val="auto"/>
              </w:rPr>
              <w:t>increase</w:t>
            </w:r>
          </w:p>
        </w:tc>
        <w:tc>
          <w:tcPr>
            <w:tcW w:w="880" w:type="dxa"/>
            <w:vAlign w:val="bottom"/>
          </w:tcPr>
          <w:p>
            <w:pPr>
              <w:jc w:val="right"/>
              <w:spacing w:after="0"/>
              <w:rPr>
                <w:sz w:val="20"/>
                <w:szCs w:val="20"/>
                <w:color w:val="auto"/>
              </w:rPr>
            </w:pPr>
            <w:r>
              <w:rPr>
                <w:rFonts w:ascii="Arial" w:cs="Arial" w:eastAsia="Arial" w:hAnsi="Arial"/>
                <w:sz w:val="14"/>
                <w:szCs w:val="14"/>
                <w:color w:val="auto"/>
              </w:rPr>
              <w:t>decrease</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volatility (movement +/- 5%)</w:t>
            </w:r>
          </w:p>
        </w:tc>
        <w:tc>
          <w:tcPr>
            <w:tcW w:w="39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Credit Spread (movement +/- 1%)</w:t>
            </w:r>
          </w:p>
        </w:tc>
        <w:tc>
          <w:tcPr>
            <w:tcW w:w="3960" w:type="dxa"/>
            <w:vAlign w:val="bottom"/>
          </w:tcPr>
          <w:p>
            <w:pPr>
              <w:jc w:val="right"/>
              <w:ind w:right="259"/>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50"/>
        </w:trPr>
        <w:tc>
          <w:tcPr>
            <w:tcW w:w="3520" w:type="dxa"/>
            <w:vAlign w:val="bottom"/>
          </w:tcPr>
          <w:p>
            <w:pPr>
              <w:spacing w:after="0"/>
              <w:rPr>
                <w:sz w:val="24"/>
                <w:szCs w:val="24"/>
                <w:color w:val="auto"/>
              </w:rPr>
            </w:pPr>
          </w:p>
        </w:tc>
        <w:tc>
          <w:tcPr>
            <w:tcW w:w="3960" w:type="dxa"/>
            <w:vAlign w:val="bottom"/>
          </w:tcPr>
          <w:p>
            <w:pPr>
              <w:jc w:val="right"/>
              <w:ind w:right="3039"/>
              <w:spacing w:after="0"/>
              <w:rPr>
                <w:sz w:val="20"/>
                <w:szCs w:val="20"/>
                <w:color w:val="auto"/>
              </w:rPr>
            </w:pPr>
            <w:r>
              <w:rPr>
                <w:rFonts w:ascii="Arial" w:cs="Arial" w:eastAsia="Arial" w:hAnsi="Arial"/>
                <w:sz w:val="18"/>
                <w:szCs w:val="18"/>
                <w:color w:val="auto"/>
              </w:rPr>
              <w:t>F-42</w:t>
            </w:r>
          </w:p>
        </w:tc>
        <w:tc>
          <w:tcPr>
            <w:tcW w:w="8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level 3 financial instruments in 2022 are shown in the following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80" w:type="dxa"/>
            <w:vAlign w:val="bottom"/>
          </w:tcPr>
          <w:p>
            <w:pPr>
              <w:jc w:val="center"/>
              <w:ind w:left="244"/>
              <w:spacing w:after="0"/>
              <w:rPr>
                <w:sz w:val="20"/>
                <w:szCs w:val="20"/>
                <w:color w:val="auto"/>
              </w:rPr>
            </w:pPr>
            <w:r>
              <w:rPr>
                <w:rFonts w:ascii="Arial" w:cs="Arial" w:eastAsia="Arial" w:hAnsi="Arial"/>
                <w:sz w:val="14"/>
                <w:szCs w:val="14"/>
                <w:color w:val="auto"/>
                <w:w w:val="94"/>
              </w:rPr>
              <w:t>Fair value</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jc w:val="center"/>
              <w:ind w:left="184"/>
              <w:spacing w:after="0"/>
              <w:rPr>
                <w:sz w:val="20"/>
                <w:szCs w:val="20"/>
                <w:color w:val="auto"/>
              </w:rPr>
            </w:pPr>
            <w:r>
              <w:rPr>
                <w:rFonts w:ascii="Arial" w:cs="Arial" w:eastAsia="Arial" w:hAnsi="Arial"/>
                <w:sz w:val="14"/>
                <w:szCs w:val="14"/>
                <w:color w:val="auto"/>
                <w:w w:val="94"/>
              </w:rPr>
              <w:t>Fair value</w:t>
            </w:r>
          </w:p>
        </w:tc>
      </w:tr>
      <w:tr>
        <w:trPr>
          <w:trHeight w:val="148"/>
        </w:trPr>
        <w:tc>
          <w:tcPr>
            <w:tcW w:w="3520" w:type="dxa"/>
            <w:vAlign w:val="bottom"/>
          </w:tcPr>
          <w:p>
            <w:pPr>
              <w:spacing w:after="0"/>
              <w:rPr>
                <w:sz w:val="12"/>
                <w:szCs w:val="12"/>
                <w:color w:val="auto"/>
              </w:rPr>
            </w:pPr>
          </w:p>
        </w:tc>
        <w:tc>
          <w:tcPr>
            <w:tcW w:w="1580" w:type="dxa"/>
            <w:vAlign w:val="bottom"/>
          </w:tcPr>
          <w:p>
            <w:pPr>
              <w:jc w:val="center"/>
              <w:ind w:left="264"/>
              <w:spacing w:after="0" w:line="149" w:lineRule="exact"/>
              <w:rPr>
                <w:sz w:val="20"/>
                <w:szCs w:val="20"/>
                <w:color w:val="auto"/>
              </w:rPr>
            </w:pPr>
            <w:r>
              <w:rPr>
                <w:rFonts w:ascii="Arial" w:cs="Arial" w:eastAsia="Arial" w:hAnsi="Arial"/>
                <w:sz w:val="14"/>
                <w:szCs w:val="14"/>
                <w:color w:val="auto"/>
                <w:w w:val="91"/>
              </w:rPr>
              <w:t>January 1,</w:t>
            </w: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80" w:type="dxa"/>
            <w:vAlign w:val="bottom"/>
          </w:tcPr>
          <w:p>
            <w:pPr>
              <w:jc w:val="right"/>
              <w:ind w:right="242"/>
              <w:spacing w:after="0" w:line="149" w:lineRule="exact"/>
              <w:rPr>
                <w:sz w:val="20"/>
                <w:szCs w:val="20"/>
                <w:color w:val="auto"/>
              </w:rPr>
            </w:pPr>
            <w:r>
              <w:rPr>
                <w:rFonts w:ascii="Arial" w:cs="Arial" w:eastAsia="Arial" w:hAnsi="Arial"/>
                <w:sz w:val="14"/>
                <w:szCs w:val="14"/>
                <w:color w:val="auto"/>
              </w:rPr>
              <w:t>Gains/(losses) recognized in</w:t>
            </w:r>
          </w:p>
        </w:tc>
        <w:tc>
          <w:tcPr>
            <w:tcW w:w="1200" w:type="dxa"/>
            <w:vAlign w:val="bottom"/>
          </w:tcPr>
          <w:p>
            <w:pPr>
              <w:jc w:val="center"/>
              <w:ind w:left="184"/>
              <w:spacing w:after="0" w:line="149" w:lineRule="exact"/>
              <w:rPr>
                <w:sz w:val="20"/>
                <w:szCs w:val="20"/>
                <w:color w:val="auto"/>
              </w:rPr>
            </w:pPr>
            <w:r>
              <w:rPr>
                <w:rFonts w:ascii="Arial" w:cs="Arial" w:eastAsia="Arial" w:hAnsi="Arial"/>
                <w:sz w:val="14"/>
                <w:szCs w:val="14"/>
                <w:color w:val="auto"/>
                <w:w w:val="93"/>
              </w:rPr>
              <w:t>December 31,</w:t>
            </w:r>
          </w:p>
        </w:tc>
      </w:tr>
      <w:tr>
        <w:trPr>
          <w:trHeight w:val="167"/>
        </w:trPr>
        <w:tc>
          <w:tcPr>
            <w:tcW w:w="3520" w:type="dxa"/>
            <w:vAlign w:val="bottom"/>
          </w:tcPr>
          <w:p>
            <w:pPr>
              <w:spacing w:after="0"/>
              <w:rPr>
                <w:sz w:val="20"/>
                <w:szCs w:val="20"/>
                <w:color w:val="auto"/>
              </w:rPr>
            </w:pPr>
            <w:r>
              <w:rPr>
                <w:rFonts w:ascii="Arial" w:cs="Arial" w:eastAsia="Arial" w:hAnsi="Arial"/>
                <w:sz w:val="14"/>
                <w:szCs w:val="14"/>
                <w:color w:val="auto"/>
              </w:rPr>
              <w:t>€ thousand</w:t>
            </w:r>
          </w:p>
        </w:tc>
        <w:tc>
          <w:tcPr>
            <w:tcW w:w="1580" w:type="dxa"/>
            <w:vAlign w:val="bottom"/>
          </w:tcPr>
          <w:p>
            <w:pPr>
              <w:jc w:val="center"/>
              <w:ind w:left="264"/>
              <w:spacing w:after="0"/>
              <w:rPr>
                <w:sz w:val="20"/>
                <w:szCs w:val="20"/>
                <w:color w:val="auto"/>
              </w:rPr>
            </w:pPr>
            <w:r>
              <w:rPr>
                <w:rFonts w:ascii="Arial" w:cs="Arial" w:eastAsia="Arial" w:hAnsi="Arial"/>
                <w:sz w:val="14"/>
                <w:szCs w:val="14"/>
                <w:color w:val="auto"/>
                <w:w w:val="89"/>
              </w:rPr>
              <w:t>2022</w:t>
            </w: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Additions</w:t>
            </w: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Disposals</w:t>
            </w:r>
          </w:p>
        </w:tc>
        <w:tc>
          <w:tcPr>
            <w:tcW w:w="2280" w:type="dxa"/>
            <w:vAlign w:val="bottom"/>
          </w:tcPr>
          <w:p>
            <w:pPr>
              <w:jc w:val="right"/>
              <w:ind w:right="282"/>
              <w:spacing w:after="0"/>
              <w:rPr>
                <w:sz w:val="20"/>
                <w:szCs w:val="20"/>
                <w:color w:val="auto"/>
              </w:rPr>
            </w:pPr>
            <w:r>
              <w:rPr>
                <w:rFonts w:ascii="Arial" w:cs="Arial" w:eastAsia="Arial" w:hAnsi="Arial"/>
                <w:sz w:val="14"/>
                <w:szCs w:val="14"/>
                <w:color w:val="auto"/>
              </w:rPr>
              <w:t>financial income /expenses</w:t>
            </w:r>
          </w:p>
        </w:tc>
        <w:tc>
          <w:tcPr>
            <w:tcW w:w="1200" w:type="dxa"/>
            <w:vAlign w:val="bottom"/>
          </w:tcPr>
          <w:p>
            <w:pPr>
              <w:jc w:val="center"/>
              <w:ind w:left="184"/>
              <w:spacing w:after="0"/>
              <w:rPr>
                <w:sz w:val="20"/>
                <w:szCs w:val="20"/>
                <w:color w:val="auto"/>
              </w:rPr>
            </w:pPr>
            <w:r>
              <w:rPr>
                <w:rFonts w:ascii="Arial" w:cs="Arial" w:eastAsia="Arial" w:hAnsi="Arial"/>
                <w:sz w:val="14"/>
                <w:szCs w:val="14"/>
                <w:color w:val="auto"/>
                <w:w w:val="96"/>
              </w:rPr>
              <w:t>2022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and non-financial assets</w:t>
            </w: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454</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0</w:t>
            </w:r>
          </w:p>
        </w:tc>
        <w:tc>
          <w:tcPr>
            <w:tcW w:w="22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-282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net gains/losses by measurement category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40" w:type="dxa"/>
            <w:vAlign w:val="bottom"/>
          </w:tcPr>
          <w:p>
            <w:pPr>
              <w:jc w:val="center"/>
              <w:ind w:left="119"/>
              <w:spacing w:after="0"/>
              <w:rPr>
                <w:sz w:val="20"/>
                <w:szCs w:val="20"/>
                <w:color w:val="auto"/>
              </w:rPr>
            </w:pPr>
            <w:r>
              <w:rPr>
                <w:rFonts w:ascii="Arial" w:cs="Arial" w:eastAsia="Arial" w:hAnsi="Arial"/>
                <w:sz w:val="14"/>
                <w:szCs w:val="14"/>
                <w:color w:val="auto"/>
                <w:w w:val="91"/>
              </w:rPr>
              <w:t>Other income and expense items,</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2022 - € thousand</w:t>
            </w: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40" w:type="dxa"/>
            <w:vAlign w:val="bottom"/>
          </w:tcPr>
          <w:p>
            <w:pPr>
              <w:jc w:val="center"/>
              <w:ind w:left="119"/>
              <w:spacing w:after="0"/>
              <w:rPr>
                <w:sz w:val="20"/>
                <w:szCs w:val="20"/>
                <w:color w:val="auto"/>
              </w:rPr>
            </w:pPr>
            <w:r>
              <w:rPr>
                <w:rFonts w:ascii="Arial" w:cs="Arial" w:eastAsia="Arial" w:hAnsi="Arial"/>
                <w:sz w:val="14"/>
                <w:szCs w:val="14"/>
                <w:color w:val="auto"/>
                <w:w w:val="91"/>
              </w:rPr>
              <w:t>or gain and loss items</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w:t>
            </w:r>
          </w:p>
        </w:tc>
        <w:tc>
          <w:tcPr>
            <w:tcW w:w="4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Measured at amortized cost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Derivative Financial Assets</w:t>
            </w:r>
          </w:p>
        </w:tc>
        <w:tc>
          <w:tcPr>
            <w:tcW w:w="1480" w:type="dxa"/>
            <w:vAlign w:val="bottom"/>
          </w:tcPr>
          <w:p>
            <w:pPr>
              <w:ind w:left="420"/>
              <w:spacing w:after="0"/>
              <w:rPr>
                <w:sz w:val="20"/>
                <w:szCs w:val="20"/>
                <w:color w:val="auto"/>
              </w:rPr>
            </w:pPr>
            <w:r>
              <w:rPr>
                <w:rFonts w:ascii="Arial" w:cs="Arial" w:eastAsia="Arial" w:hAnsi="Arial"/>
                <w:sz w:val="18"/>
                <w:szCs w:val="18"/>
                <w:color w:val="auto"/>
              </w:rPr>
              <w:t>FVTPL</w:t>
            </w:r>
          </w:p>
        </w:tc>
        <w:tc>
          <w:tcPr>
            <w:tcW w:w="4940" w:type="dxa"/>
            <w:vAlign w:val="bottom"/>
          </w:tcPr>
          <w:p>
            <w:pPr>
              <w:ind w:left="540"/>
              <w:spacing w:after="0"/>
              <w:rPr>
                <w:sz w:val="20"/>
                <w:szCs w:val="20"/>
                <w:color w:val="auto"/>
              </w:rPr>
            </w:pPr>
            <w:r>
              <w:rPr>
                <w:rFonts w:ascii="Arial" w:cs="Arial" w:eastAsia="Arial" w:hAnsi="Arial"/>
                <w:sz w:val="18"/>
                <w:szCs w:val="18"/>
                <w:color w:val="auto"/>
                <w:w w:val="95"/>
              </w:rPr>
              <w:t>measured subsequently at fair value through profit or loss</w:t>
            </w:r>
          </w:p>
        </w:tc>
        <w:tc>
          <w:tcPr>
            <w:tcW w:w="22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358"/>
        </w:trPr>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40" w:type="dxa"/>
            <w:vAlign w:val="bottom"/>
          </w:tcPr>
          <w:p>
            <w:pPr>
              <w:jc w:val="center"/>
              <w:ind w:left="119"/>
              <w:spacing w:after="0"/>
              <w:rPr>
                <w:sz w:val="20"/>
                <w:szCs w:val="20"/>
                <w:color w:val="auto"/>
              </w:rPr>
            </w:pPr>
            <w:r>
              <w:rPr>
                <w:rFonts w:ascii="Arial" w:cs="Arial" w:eastAsia="Arial" w:hAnsi="Arial"/>
                <w:sz w:val="14"/>
                <w:szCs w:val="14"/>
                <w:color w:val="auto"/>
                <w:w w:val="91"/>
              </w:rPr>
              <w:t>Other income and expense items,</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2021 - € thousand</w:t>
            </w: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40" w:type="dxa"/>
            <w:vAlign w:val="bottom"/>
          </w:tcPr>
          <w:p>
            <w:pPr>
              <w:jc w:val="center"/>
              <w:ind w:left="119"/>
              <w:spacing w:after="0"/>
              <w:rPr>
                <w:sz w:val="20"/>
                <w:szCs w:val="20"/>
                <w:color w:val="auto"/>
              </w:rPr>
            </w:pPr>
            <w:r>
              <w:rPr>
                <w:rFonts w:ascii="Arial" w:cs="Arial" w:eastAsia="Arial" w:hAnsi="Arial"/>
                <w:sz w:val="14"/>
                <w:szCs w:val="14"/>
                <w:color w:val="auto"/>
                <w:w w:val="91"/>
              </w:rPr>
              <w:t>or gain and loss items</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w:t>
            </w:r>
          </w:p>
        </w:tc>
        <w:tc>
          <w:tcPr>
            <w:tcW w:w="4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Measured at amortized cost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Derivative Financial Assets</w:t>
            </w:r>
          </w:p>
        </w:tc>
        <w:tc>
          <w:tcPr>
            <w:tcW w:w="1480" w:type="dxa"/>
            <w:vAlign w:val="bottom"/>
          </w:tcPr>
          <w:p>
            <w:pPr>
              <w:ind w:left="400"/>
              <w:spacing w:after="0"/>
              <w:rPr>
                <w:sz w:val="20"/>
                <w:szCs w:val="20"/>
                <w:color w:val="auto"/>
              </w:rPr>
            </w:pPr>
            <w:r>
              <w:rPr>
                <w:rFonts w:ascii="Arial" w:cs="Arial" w:eastAsia="Arial" w:hAnsi="Arial"/>
                <w:sz w:val="18"/>
                <w:szCs w:val="18"/>
                <w:color w:val="auto"/>
              </w:rPr>
              <w:t>FVTPL</w:t>
            </w:r>
          </w:p>
        </w:tc>
        <w:tc>
          <w:tcPr>
            <w:tcW w:w="4940" w:type="dxa"/>
            <w:vAlign w:val="bottom"/>
          </w:tcPr>
          <w:p>
            <w:pPr>
              <w:ind w:left="500"/>
              <w:spacing w:after="0"/>
              <w:rPr>
                <w:sz w:val="20"/>
                <w:szCs w:val="20"/>
                <w:color w:val="auto"/>
              </w:rPr>
            </w:pPr>
            <w:r>
              <w:rPr>
                <w:rFonts w:ascii="Arial" w:cs="Arial" w:eastAsia="Arial" w:hAnsi="Arial"/>
                <w:sz w:val="18"/>
                <w:szCs w:val="18"/>
                <w:color w:val="auto"/>
                <w:w w:val="96"/>
              </w:rPr>
              <w:t>measured subsequently at fair value through profit or loss</w:t>
            </w:r>
          </w:p>
        </w:tc>
        <w:tc>
          <w:tcPr>
            <w:tcW w:w="2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58"/>
        </w:trPr>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40" w:type="dxa"/>
            <w:vAlign w:val="bottom"/>
          </w:tcPr>
          <w:p>
            <w:pPr>
              <w:jc w:val="center"/>
              <w:ind w:left="119"/>
              <w:spacing w:after="0"/>
              <w:rPr>
                <w:sz w:val="20"/>
                <w:szCs w:val="20"/>
                <w:color w:val="auto"/>
              </w:rPr>
            </w:pPr>
            <w:r>
              <w:rPr>
                <w:rFonts w:ascii="Arial" w:cs="Arial" w:eastAsia="Arial" w:hAnsi="Arial"/>
                <w:sz w:val="14"/>
                <w:szCs w:val="14"/>
                <w:color w:val="auto"/>
                <w:w w:val="91"/>
              </w:rPr>
              <w:t>Other income and expense items,</w:t>
            </w: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2020 - € thousand</w:t>
            </w: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40" w:type="dxa"/>
            <w:vAlign w:val="bottom"/>
          </w:tcPr>
          <w:p>
            <w:pPr>
              <w:jc w:val="center"/>
              <w:ind w:left="119"/>
              <w:spacing w:after="0"/>
              <w:rPr>
                <w:sz w:val="20"/>
                <w:szCs w:val="20"/>
                <w:color w:val="auto"/>
              </w:rPr>
            </w:pPr>
            <w:r>
              <w:rPr>
                <w:rFonts w:ascii="Arial" w:cs="Arial" w:eastAsia="Arial" w:hAnsi="Arial"/>
                <w:sz w:val="14"/>
                <w:szCs w:val="14"/>
                <w:color w:val="auto"/>
                <w:w w:val="91"/>
              </w:rPr>
              <w:t>or gain and loss items</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w:t>
            </w:r>
          </w:p>
        </w:tc>
        <w:tc>
          <w:tcPr>
            <w:tcW w:w="4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Measured at amortized cost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Derivative Financial Assets</w:t>
            </w:r>
          </w:p>
        </w:tc>
        <w:tc>
          <w:tcPr>
            <w:tcW w:w="1480" w:type="dxa"/>
            <w:vAlign w:val="bottom"/>
          </w:tcPr>
          <w:p>
            <w:pPr>
              <w:ind w:left="400"/>
              <w:spacing w:after="0"/>
              <w:rPr>
                <w:sz w:val="20"/>
                <w:szCs w:val="20"/>
                <w:color w:val="auto"/>
              </w:rPr>
            </w:pPr>
            <w:r>
              <w:rPr>
                <w:rFonts w:ascii="Arial" w:cs="Arial" w:eastAsia="Arial" w:hAnsi="Arial"/>
                <w:sz w:val="18"/>
                <w:szCs w:val="18"/>
                <w:color w:val="auto"/>
              </w:rPr>
              <w:t>FVTPL</w:t>
            </w:r>
          </w:p>
        </w:tc>
        <w:tc>
          <w:tcPr>
            <w:tcW w:w="4940" w:type="dxa"/>
            <w:vAlign w:val="bottom"/>
          </w:tcPr>
          <w:p>
            <w:pPr>
              <w:ind w:left="500"/>
              <w:spacing w:after="0"/>
              <w:rPr>
                <w:sz w:val="20"/>
                <w:szCs w:val="20"/>
                <w:color w:val="auto"/>
              </w:rPr>
            </w:pPr>
            <w:r>
              <w:rPr>
                <w:rFonts w:ascii="Arial" w:cs="Arial" w:eastAsia="Arial" w:hAnsi="Arial"/>
                <w:sz w:val="18"/>
                <w:szCs w:val="18"/>
                <w:color w:val="auto"/>
                <w:w w:val="96"/>
              </w:rPr>
              <w:t>measured subsequently at fair value through profit or loss</w:t>
            </w:r>
          </w:p>
        </w:tc>
        <w:tc>
          <w:tcPr>
            <w:tcW w:w="22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3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b w:val="1"/>
          <w:bCs w:val="1"/>
          <w:color w:val="auto"/>
        </w:rPr>
        <w:t>Financial risk 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is exposed to the following risks from the use of financial instruments:</w:t>
      </w:r>
    </w:p>
    <w:p>
      <w:pPr>
        <w:spacing w:after="0" w:line="131"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Credit risk (see Note 33.2 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Liquidity risk (see Note 33.2 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Market risk (see Note 33.2 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risk management</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risk management</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Group’s primary financial objectives include increasing the enterprise value on a sustained basis, ensuring solvency at all times to safeguard the Company’s 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2022, was 34.6% (2021: 78.6%, 2020: 81.7%). The strong decrease of the equity ratio is due to the high consolidated net loss for the year of the financial year 2022 as well as the increase in other financial liabilities and other non-financial liabilities. The equity ratio was calculated as the ratio of total equity to total assets.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changes in the Group’s overall capital risk management strategy relative to 2021.</w:t>
      </w:r>
    </w:p>
    <w:p>
      <w:pPr>
        <w:spacing w:after="0" w:line="370"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Credit risk is the risk of financial loss if a customer or counterparty to a financial instrument fails to meet its contractual obligations. Credit risk arises principally from the Group’s trade receivables and its cash and cash equivalents. The carrying amounts of the other financial assets and of contract assets correspond to the maximum credit risk exposure.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86" w:right="4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Group considers a financial asset to be in default when the debtor is unlikely to pay its credit obligations to the Group in full, without recourse by the Group to actions such as realizing security (if any is held) or the financial assets Is more than 90 days past due.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Impairments of financial assets are recognized in profit or loss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Detailed disclosures concerning the concentration of revenue in particular areas/regions can be found in Note 6. Segment reporting and information on geographical areas.</w:t>
      </w:r>
    </w:p>
    <w:p>
      <w:pPr>
        <w:spacing w:after="0" w:line="170"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Group has a receivables management system that facilitates initial and ongoing analysis of customer creditworthiness individually. This analysis comprises external ratings, information by credit agencies (if available), industry information, and, in some cases, information provided by banks. Before the Group enters a business relationship, a salesperson has to submit this opportunity into a Sales Triage with the purpose to analyze all facets of the opportunity. Prior to entering into business relationship with a customer, a member of the sales department enters the opportunity in a “sales triage” tool which analyzes key facts of the opportunity. The Group limits its credit risk from trade receivables by determining a maximum.</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overall credit risk exposure is considered 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financial assets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the reporting date, other non-current financial assets primarily include security deposits for rental agreements of the Mynaric Group. Other current financial assets include mainly receivables from suppliers.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credit risk exposure resulting from receivables from security deposits is considered low since the deposits are hold at separate accounts restricted from usage for other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estimated loss allowance for cash and cash equivalents was calculated based upon expected losses within 12 months and reflects the short terms to maturity. As of December 31, 2022, the expected credit loss is not material and therefore was not recognized.</w:t>
      </w:r>
    </w:p>
    <w:p>
      <w:pPr>
        <w:spacing w:after="0" w:line="315"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Group uses activity-based cost accounting to calculate the costs of its product and services. This enables the Group to monitor cash requirements and to optimize cash inflows on capital employed.</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Prudent liquidity risk management means being able to meet obligations when due at any time and, beyond that, maintaining sufficient cash and cash equivalents for unplanned expenditures. Management applies rolling forecasts to monitor cash and cash equivalents based upon expected cash flows. This is generally done centrally for the Group.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86"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To ensure the Group’s solvency and its ability as a going concern, Mynaric implemented an adapted profit and liquidity planning for the year 2023. To ensure the financing, the subsidiary, Mynaric USA Inc. (“Mynaric USA”), entered into a new five-year term loan credit agreement in the amount of $75.0 million, and Mynaric AG received an equity investment in the amount of €12.4 million on April 25, 2023. For further information refer to Note 36 (“Events after the reporting date”).</w:t>
      </w:r>
    </w:p>
    <w:p>
      <w:pPr>
        <w:spacing w:after="0" w:line="18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tcPr>
          <w:p>
            <w:pPr>
              <w:jc w:val="right"/>
              <w:ind w:right="98"/>
              <w:spacing w:after="0"/>
              <w:rPr>
                <w:sz w:val="20"/>
                <w:szCs w:val="20"/>
                <w:color w:val="auto"/>
              </w:rPr>
            </w:pPr>
            <w:r>
              <w:rPr>
                <w:rFonts w:ascii="Arial" w:cs="Arial" w:eastAsia="Arial" w:hAnsi="Arial"/>
                <w:sz w:val="14"/>
                <w:szCs w:val="14"/>
                <w:color w:val="auto"/>
                <w:w w:val="97"/>
              </w:rPr>
              <w:t>December 31, 2022</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less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between</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between</w:t>
            </w: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3"/>
              </w:rPr>
              <w:t>more</w:t>
            </w:r>
          </w:p>
        </w:tc>
        <w:tc>
          <w:tcPr>
            <w:tcW w:w="720" w:type="dxa"/>
            <w:vAlign w:val="bottom"/>
          </w:tcPr>
          <w:p>
            <w:pPr>
              <w:spacing w:after="0"/>
              <w:rPr>
                <w:sz w:val="12"/>
                <w:szCs w:val="12"/>
                <w:color w:val="auto"/>
              </w:rPr>
            </w:pPr>
          </w:p>
        </w:tc>
      </w:tr>
      <w:tr>
        <w:trPr>
          <w:trHeight w:val="148"/>
        </w:trPr>
        <w:tc>
          <w:tcPr>
            <w:tcW w:w="4320" w:type="dxa"/>
            <w:vAlign w:val="bottom"/>
          </w:tcPr>
          <w:p>
            <w:pPr>
              <w:spacing w:after="0"/>
              <w:rPr>
                <w:sz w:val="12"/>
                <w:szCs w:val="12"/>
                <w:color w:val="auto"/>
              </w:rPr>
            </w:pPr>
          </w:p>
        </w:tc>
        <w:tc>
          <w:tcPr>
            <w:tcW w:w="3200" w:type="dxa"/>
            <w:vAlign w:val="bottom"/>
          </w:tcPr>
          <w:p>
            <w:pPr>
              <w:jc w:val="center"/>
              <w:ind w:left="2276"/>
              <w:spacing w:after="0" w:line="149" w:lineRule="exact"/>
              <w:rPr>
                <w:sz w:val="20"/>
                <w:szCs w:val="20"/>
                <w:color w:val="auto"/>
              </w:rPr>
            </w:pPr>
            <w:r>
              <w:rPr>
                <w:rFonts w:ascii="Arial" w:cs="Arial" w:eastAsia="Arial" w:hAnsi="Arial"/>
                <w:sz w:val="14"/>
                <w:szCs w:val="14"/>
                <w:color w:val="auto"/>
                <w:w w:val="98"/>
              </w:rPr>
              <w:t>Carrying</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than 1</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1 and 2</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9"/>
              </w:rPr>
              <w:t>3 and 5</w:t>
            </w: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87"/>
              </w:rPr>
              <w:t>than 5</w:t>
            </w:r>
          </w:p>
        </w:tc>
        <w:tc>
          <w:tcPr>
            <w:tcW w:w="720" w:type="dxa"/>
            <w:vAlign w:val="bottom"/>
          </w:tcPr>
          <w:p>
            <w:pPr>
              <w:spacing w:after="0"/>
              <w:rPr>
                <w:sz w:val="12"/>
                <w:szCs w:val="12"/>
                <w:color w:val="auto"/>
              </w:rPr>
            </w:pPr>
          </w:p>
        </w:tc>
      </w:tr>
      <w:tr>
        <w:trPr>
          <w:trHeight w:val="167"/>
        </w:trPr>
        <w:tc>
          <w:tcPr>
            <w:tcW w:w="4320" w:type="dxa"/>
            <w:vAlign w:val="bottom"/>
          </w:tcPr>
          <w:p>
            <w:pPr>
              <w:spacing w:after="0"/>
              <w:rPr>
                <w:sz w:val="20"/>
                <w:szCs w:val="20"/>
                <w:color w:val="auto"/>
              </w:rPr>
            </w:pPr>
            <w:r>
              <w:rPr>
                <w:rFonts w:ascii="Arial" w:cs="Arial" w:eastAsia="Arial" w:hAnsi="Arial"/>
                <w:sz w:val="14"/>
                <w:szCs w:val="14"/>
                <w:color w:val="auto"/>
              </w:rPr>
              <w:t>€ thousand</w:t>
            </w:r>
          </w:p>
        </w:tc>
        <w:tc>
          <w:tcPr>
            <w:tcW w:w="3200" w:type="dxa"/>
            <w:vAlign w:val="bottom"/>
          </w:tcPr>
          <w:p>
            <w:pPr>
              <w:jc w:val="center"/>
              <w:ind w:left="2276"/>
              <w:spacing w:after="0"/>
              <w:rPr>
                <w:sz w:val="20"/>
                <w:szCs w:val="20"/>
                <w:color w:val="auto"/>
              </w:rPr>
            </w:pPr>
            <w:r>
              <w:rPr>
                <w:rFonts w:ascii="Arial" w:cs="Arial" w:eastAsia="Arial" w:hAnsi="Arial"/>
                <w:sz w:val="14"/>
                <w:szCs w:val="14"/>
                <w:color w:val="auto"/>
                <w:w w:val="94"/>
              </w:rPr>
              <w:t>amount</w:t>
            </w: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year</w:t>
            </w: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years</w:t>
            </w: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years</w:t>
            </w:r>
          </w:p>
        </w:tc>
        <w:tc>
          <w:tcPr>
            <w:tcW w:w="680" w:type="dxa"/>
            <w:vAlign w:val="bottom"/>
          </w:tcPr>
          <w:p>
            <w:pPr>
              <w:jc w:val="center"/>
              <w:ind w:right="18"/>
              <w:spacing w:after="0"/>
              <w:rPr>
                <w:sz w:val="20"/>
                <w:szCs w:val="20"/>
                <w:color w:val="auto"/>
              </w:rPr>
            </w:pPr>
            <w:r>
              <w:rPr>
                <w:rFonts w:ascii="Arial" w:cs="Arial" w:eastAsia="Arial" w:hAnsi="Arial"/>
                <w:sz w:val="14"/>
                <w:szCs w:val="14"/>
                <w:color w:val="auto"/>
                <w:w w:val="87"/>
              </w:rPr>
              <w:t>years</w:t>
            </w:r>
          </w:p>
        </w:tc>
        <w:tc>
          <w:tcPr>
            <w:tcW w:w="720" w:type="dxa"/>
            <w:vAlign w:val="bottom"/>
          </w:tcPr>
          <w:p>
            <w:pPr>
              <w:jc w:val="right"/>
              <w:ind w:right="154"/>
              <w:spacing w:after="0"/>
              <w:rPr>
                <w:sz w:val="20"/>
                <w:szCs w:val="20"/>
                <w:color w:val="auto"/>
              </w:rPr>
            </w:pPr>
            <w:r>
              <w:rPr>
                <w:rFonts w:ascii="Arial" w:cs="Arial" w:eastAsia="Arial" w:hAnsi="Arial"/>
                <w:sz w:val="14"/>
                <w:szCs w:val="14"/>
                <w:color w:val="auto"/>
              </w:rPr>
              <w:t>Total</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9,238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Lease liabilities</w:t>
            </w:r>
          </w:p>
        </w:tc>
        <w:tc>
          <w:tcPr>
            <w:tcW w:w="3200" w:type="dxa"/>
            <w:vAlign w:val="bottom"/>
          </w:tcPr>
          <w:p>
            <w:pPr>
              <w:jc w:val="right"/>
              <w:ind w:right="36"/>
              <w:spacing w:after="0"/>
              <w:rPr>
                <w:sz w:val="20"/>
                <w:szCs w:val="20"/>
                <w:color w:val="auto"/>
              </w:rPr>
            </w:pPr>
            <w:r>
              <w:rPr>
                <w:rFonts w:ascii="Arial" w:cs="Arial" w:eastAsia="Arial" w:hAnsi="Arial"/>
                <w:sz w:val="18"/>
                <w:szCs w:val="18"/>
                <w:color w:val="auto"/>
              </w:rPr>
              <w:t>8,942</w:t>
            </w:r>
          </w:p>
        </w:tc>
        <w:tc>
          <w:tcPr>
            <w:tcW w:w="700" w:type="dxa"/>
            <w:vAlign w:val="bottom"/>
          </w:tcPr>
          <w:p>
            <w:pPr>
              <w:jc w:val="right"/>
              <w:spacing w:after="0"/>
              <w:rPr>
                <w:sz w:val="20"/>
                <w:szCs w:val="20"/>
                <w:color w:val="auto"/>
              </w:rPr>
            </w:pPr>
            <w:r>
              <w:rPr>
                <w:rFonts w:ascii="Arial" w:cs="Arial" w:eastAsia="Arial" w:hAnsi="Arial"/>
                <w:sz w:val="18"/>
                <w:szCs w:val="18"/>
                <w:color w:val="auto"/>
              </w:rPr>
              <w:t>1,901</w:t>
            </w:r>
          </w:p>
        </w:tc>
        <w:tc>
          <w:tcPr>
            <w:tcW w:w="680" w:type="dxa"/>
            <w:vAlign w:val="bottom"/>
          </w:tcPr>
          <w:p>
            <w:pPr>
              <w:jc w:val="right"/>
              <w:spacing w:after="0"/>
              <w:rPr>
                <w:sz w:val="20"/>
                <w:szCs w:val="20"/>
                <w:color w:val="auto"/>
              </w:rPr>
            </w:pPr>
            <w:r>
              <w:rPr>
                <w:rFonts w:ascii="Arial" w:cs="Arial" w:eastAsia="Arial" w:hAnsi="Arial"/>
                <w:sz w:val="18"/>
                <w:szCs w:val="18"/>
                <w:color w:val="auto"/>
              </w:rPr>
              <w:t>1,905</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3,405</w:t>
            </w:r>
          </w:p>
        </w:tc>
        <w:tc>
          <w:tcPr>
            <w:tcW w:w="680" w:type="dxa"/>
            <w:vAlign w:val="bottom"/>
          </w:tcPr>
          <w:p>
            <w:pPr>
              <w:jc w:val="right"/>
              <w:ind w:right="58"/>
              <w:spacing w:after="0"/>
              <w:rPr>
                <w:sz w:val="20"/>
                <w:szCs w:val="20"/>
                <w:color w:val="auto"/>
              </w:rPr>
            </w:pPr>
            <w:r>
              <w:rPr>
                <w:rFonts w:ascii="Arial" w:cs="Arial" w:eastAsia="Arial" w:hAnsi="Arial"/>
                <w:sz w:val="18"/>
                <w:szCs w:val="18"/>
                <w:color w:val="auto"/>
              </w:rPr>
              <w:t>2,372</w:t>
            </w:r>
          </w:p>
        </w:tc>
        <w:tc>
          <w:tcPr>
            <w:tcW w:w="720" w:type="dxa"/>
            <w:vAlign w:val="bottom"/>
          </w:tcPr>
          <w:p>
            <w:pPr>
              <w:jc w:val="right"/>
              <w:spacing w:after="0"/>
              <w:rPr>
                <w:sz w:val="20"/>
                <w:szCs w:val="20"/>
                <w:color w:val="auto"/>
              </w:rPr>
            </w:pPr>
            <w:r>
              <w:rPr>
                <w:rFonts w:ascii="Arial" w:cs="Arial" w:eastAsia="Arial" w:hAnsi="Arial"/>
                <w:sz w:val="18"/>
                <w:szCs w:val="18"/>
                <w:color w:val="auto"/>
              </w:rPr>
              <w:t>9,583</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3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14,779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180</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3200" w:type="dxa"/>
            <w:vAlign w:val="bottom"/>
          </w:tcPr>
          <w:p>
            <w:pPr>
              <w:jc w:val="right"/>
              <w:ind w:right="36"/>
              <w:spacing w:after="0"/>
              <w:rPr>
                <w:sz w:val="20"/>
                <w:szCs w:val="20"/>
                <w:color w:val="auto"/>
              </w:rPr>
            </w:pPr>
            <w:r>
              <w:rPr>
                <w:rFonts w:ascii="Arial" w:cs="Arial" w:eastAsia="Arial" w:hAnsi="Arial"/>
                <w:sz w:val="18"/>
                <w:szCs w:val="18"/>
                <w:color w:val="auto"/>
              </w:rPr>
              <w:t>32,959</w:t>
            </w:r>
          </w:p>
        </w:tc>
        <w:tc>
          <w:tcPr>
            <w:tcW w:w="700" w:type="dxa"/>
            <w:vAlign w:val="bottom"/>
          </w:tcPr>
          <w:p>
            <w:pPr>
              <w:jc w:val="right"/>
              <w:spacing w:after="0"/>
              <w:rPr>
                <w:sz w:val="20"/>
                <w:szCs w:val="20"/>
                <w:color w:val="auto"/>
              </w:rPr>
            </w:pPr>
            <w:r>
              <w:rPr>
                <w:rFonts w:ascii="Arial" w:cs="Arial" w:eastAsia="Arial" w:hAnsi="Arial"/>
                <w:sz w:val="18"/>
                <w:szCs w:val="18"/>
                <w:color w:val="auto"/>
              </w:rPr>
              <w:t>25,767</w:t>
            </w:r>
          </w:p>
        </w:tc>
        <w:tc>
          <w:tcPr>
            <w:tcW w:w="680" w:type="dxa"/>
            <w:vAlign w:val="bottom"/>
          </w:tcPr>
          <w:p>
            <w:pPr>
              <w:jc w:val="right"/>
              <w:spacing w:after="0"/>
              <w:rPr>
                <w:sz w:val="20"/>
                <w:szCs w:val="20"/>
                <w:color w:val="auto"/>
              </w:rPr>
            </w:pPr>
            <w:r>
              <w:rPr>
                <w:rFonts w:ascii="Arial" w:cs="Arial" w:eastAsia="Arial" w:hAnsi="Arial"/>
                <w:sz w:val="18"/>
                <w:szCs w:val="18"/>
                <w:color w:val="auto"/>
              </w:rPr>
              <w:t>2,003</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3,585</w:t>
            </w:r>
          </w:p>
        </w:tc>
        <w:tc>
          <w:tcPr>
            <w:tcW w:w="680" w:type="dxa"/>
            <w:vAlign w:val="bottom"/>
          </w:tcPr>
          <w:p>
            <w:pPr>
              <w:jc w:val="right"/>
              <w:ind w:right="58"/>
              <w:spacing w:after="0"/>
              <w:rPr>
                <w:sz w:val="20"/>
                <w:szCs w:val="20"/>
                <w:color w:val="auto"/>
              </w:rPr>
            </w:pPr>
            <w:r>
              <w:rPr>
                <w:rFonts w:ascii="Arial" w:cs="Arial" w:eastAsia="Arial" w:hAnsi="Arial"/>
                <w:sz w:val="18"/>
                <w:szCs w:val="18"/>
                <w:color w:val="auto"/>
              </w:rPr>
              <w:t>2,372</w:t>
            </w:r>
          </w:p>
        </w:tc>
        <w:tc>
          <w:tcPr>
            <w:tcW w:w="720" w:type="dxa"/>
            <w:vAlign w:val="bottom"/>
          </w:tcPr>
          <w:p>
            <w:pPr>
              <w:jc w:val="right"/>
              <w:spacing w:after="0"/>
              <w:rPr>
                <w:sz w:val="20"/>
                <w:szCs w:val="20"/>
                <w:color w:val="auto"/>
              </w:rPr>
            </w:pPr>
            <w:r>
              <w:rPr>
                <w:rFonts w:ascii="Arial" w:cs="Arial" w:eastAsia="Arial" w:hAnsi="Arial"/>
                <w:sz w:val="18"/>
                <w:szCs w:val="18"/>
                <w:color w:val="auto"/>
              </w:rPr>
              <w:t>33,727</w:t>
            </w:r>
          </w:p>
        </w:tc>
      </w:tr>
      <w:tr>
        <w:trPr>
          <w:trHeight w:val="358"/>
        </w:trPr>
        <w:tc>
          <w:tcPr>
            <w:tcW w:w="4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2"/>
          </w:tcPr>
          <w:p>
            <w:pPr>
              <w:jc w:val="right"/>
              <w:ind w:right="98"/>
              <w:spacing w:after="0"/>
              <w:rPr>
                <w:sz w:val="20"/>
                <w:szCs w:val="20"/>
                <w:color w:val="auto"/>
              </w:rPr>
            </w:pPr>
            <w:r>
              <w:rPr>
                <w:rFonts w:ascii="Arial" w:cs="Arial" w:eastAsia="Arial" w:hAnsi="Arial"/>
                <w:sz w:val="14"/>
                <w:szCs w:val="14"/>
                <w:color w:val="auto"/>
                <w:w w:val="97"/>
              </w:rPr>
              <w:t>December 31, 2021</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9"/>
        </w:trPr>
        <w:tc>
          <w:tcPr>
            <w:tcW w:w="4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less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between</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between</w:t>
            </w: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93"/>
              </w:rPr>
              <w:t>more</w:t>
            </w:r>
          </w:p>
        </w:tc>
        <w:tc>
          <w:tcPr>
            <w:tcW w:w="720" w:type="dxa"/>
            <w:vAlign w:val="bottom"/>
          </w:tcPr>
          <w:p>
            <w:pPr>
              <w:spacing w:after="0"/>
              <w:rPr>
                <w:sz w:val="12"/>
                <w:szCs w:val="12"/>
                <w:color w:val="auto"/>
              </w:rPr>
            </w:pPr>
          </w:p>
        </w:tc>
      </w:tr>
      <w:tr>
        <w:trPr>
          <w:trHeight w:val="148"/>
        </w:trPr>
        <w:tc>
          <w:tcPr>
            <w:tcW w:w="4320" w:type="dxa"/>
            <w:vAlign w:val="bottom"/>
          </w:tcPr>
          <w:p>
            <w:pPr>
              <w:spacing w:after="0"/>
              <w:rPr>
                <w:sz w:val="12"/>
                <w:szCs w:val="12"/>
                <w:color w:val="auto"/>
              </w:rPr>
            </w:pPr>
          </w:p>
        </w:tc>
        <w:tc>
          <w:tcPr>
            <w:tcW w:w="3200" w:type="dxa"/>
            <w:vAlign w:val="bottom"/>
          </w:tcPr>
          <w:p>
            <w:pPr>
              <w:jc w:val="center"/>
              <w:ind w:left="2276"/>
              <w:spacing w:after="0" w:line="149" w:lineRule="exact"/>
              <w:rPr>
                <w:sz w:val="20"/>
                <w:szCs w:val="20"/>
                <w:color w:val="auto"/>
              </w:rPr>
            </w:pPr>
            <w:r>
              <w:rPr>
                <w:rFonts w:ascii="Arial" w:cs="Arial" w:eastAsia="Arial" w:hAnsi="Arial"/>
                <w:sz w:val="14"/>
                <w:szCs w:val="14"/>
                <w:color w:val="auto"/>
                <w:w w:val="98"/>
              </w:rPr>
              <w:t>Carrying</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than 1</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1 and 2</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9"/>
              </w:rPr>
              <w:t>3 and 5</w:t>
            </w: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color w:val="auto"/>
                <w:w w:val="87"/>
              </w:rPr>
              <w:t>than 5</w:t>
            </w:r>
          </w:p>
        </w:tc>
        <w:tc>
          <w:tcPr>
            <w:tcW w:w="720" w:type="dxa"/>
            <w:vAlign w:val="bottom"/>
          </w:tcPr>
          <w:p>
            <w:pPr>
              <w:spacing w:after="0"/>
              <w:rPr>
                <w:sz w:val="12"/>
                <w:szCs w:val="12"/>
                <w:color w:val="auto"/>
              </w:rPr>
            </w:pPr>
          </w:p>
        </w:tc>
      </w:tr>
      <w:tr>
        <w:trPr>
          <w:trHeight w:val="167"/>
        </w:trPr>
        <w:tc>
          <w:tcPr>
            <w:tcW w:w="4320" w:type="dxa"/>
            <w:vAlign w:val="bottom"/>
          </w:tcPr>
          <w:p>
            <w:pPr>
              <w:spacing w:after="0"/>
              <w:rPr>
                <w:sz w:val="20"/>
                <w:szCs w:val="20"/>
                <w:color w:val="auto"/>
              </w:rPr>
            </w:pPr>
            <w:r>
              <w:rPr>
                <w:rFonts w:ascii="Arial" w:cs="Arial" w:eastAsia="Arial" w:hAnsi="Arial"/>
                <w:sz w:val="14"/>
                <w:szCs w:val="14"/>
                <w:color w:val="auto"/>
              </w:rPr>
              <w:t>€ thousand</w:t>
            </w:r>
          </w:p>
        </w:tc>
        <w:tc>
          <w:tcPr>
            <w:tcW w:w="3200" w:type="dxa"/>
            <w:vAlign w:val="bottom"/>
          </w:tcPr>
          <w:p>
            <w:pPr>
              <w:jc w:val="center"/>
              <w:ind w:left="2276"/>
              <w:spacing w:after="0"/>
              <w:rPr>
                <w:sz w:val="20"/>
                <w:szCs w:val="20"/>
                <w:color w:val="auto"/>
              </w:rPr>
            </w:pPr>
            <w:r>
              <w:rPr>
                <w:rFonts w:ascii="Arial" w:cs="Arial" w:eastAsia="Arial" w:hAnsi="Arial"/>
                <w:sz w:val="14"/>
                <w:szCs w:val="14"/>
                <w:color w:val="auto"/>
                <w:w w:val="94"/>
              </w:rPr>
              <w:t>amount</w:t>
            </w: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year</w:t>
            </w: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years</w:t>
            </w: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years</w:t>
            </w:r>
          </w:p>
        </w:tc>
        <w:tc>
          <w:tcPr>
            <w:tcW w:w="680" w:type="dxa"/>
            <w:vAlign w:val="bottom"/>
          </w:tcPr>
          <w:p>
            <w:pPr>
              <w:jc w:val="center"/>
              <w:ind w:right="18"/>
              <w:spacing w:after="0"/>
              <w:rPr>
                <w:sz w:val="20"/>
                <w:szCs w:val="20"/>
                <w:color w:val="auto"/>
              </w:rPr>
            </w:pPr>
            <w:r>
              <w:rPr>
                <w:rFonts w:ascii="Arial" w:cs="Arial" w:eastAsia="Arial" w:hAnsi="Arial"/>
                <w:sz w:val="14"/>
                <w:szCs w:val="14"/>
                <w:color w:val="auto"/>
                <w:w w:val="87"/>
              </w:rPr>
              <w:t>years</w:t>
            </w:r>
          </w:p>
        </w:tc>
        <w:tc>
          <w:tcPr>
            <w:tcW w:w="720" w:type="dxa"/>
            <w:vAlign w:val="bottom"/>
          </w:tcPr>
          <w:p>
            <w:pPr>
              <w:jc w:val="right"/>
              <w:ind w:right="154"/>
              <w:spacing w:after="0"/>
              <w:rPr>
                <w:sz w:val="20"/>
                <w:szCs w:val="20"/>
                <w:color w:val="auto"/>
              </w:rPr>
            </w:pPr>
            <w:r>
              <w:rPr>
                <w:rFonts w:ascii="Arial" w:cs="Arial" w:eastAsia="Arial" w:hAnsi="Arial"/>
                <w:sz w:val="14"/>
                <w:szCs w:val="14"/>
                <w:color w:val="auto"/>
              </w:rPr>
              <w:t>Total</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8,396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Lease liabilities</w:t>
            </w:r>
          </w:p>
        </w:tc>
        <w:tc>
          <w:tcPr>
            <w:tcW w:w="3200" w:type="dxa"/>
            <w:vAlign w:val="bottom"/>
          </w:tcPr>
          <w:p>
            <w:pPr>
              <w:jc w:val="right"/>
              <w:ind w:right="36"/>
              <w:spacing w:after="0"/>
              <w:rPr>
                <w:sz w:val="20"/>
                <w:szCs w:val="20"/>
                <w:color w:val="auto"/>
              </w:rPr>
            </w:pPr>
            <w:r>
              <w:rPr>
                <w:rFonts w:ascii="Arial" w:cs="Arial" w:eastAsia="Arial" w:hAnsi="Arial"/>
                <w:sz w:val="18"/>
                <w:szCs w:val="18"/>
                <w:color w:val="auto"/>
              </w:rPr>
              <w:t>9,027</w:t>
            </w:r>
          </w:p>
        </w:tc>
        <w:tc>
          <w:tcPr>
            <w:tcW w:w="700" w:type="dxa"/>
            <w:vAlign w:val="bottom"/>
          </w:tcPr>
          <w:p>
            <w:pPr>
              <w:jc w:val="right"/>
              <w:spacing w:after="0"/>
              <w:rPr>
                <w:sz w:val="20"/>
                <w:szCs w:val="20"/>
                <w:color w:val="auto"/>
              </w:rPr>
            </w:pPr>
            <w:r>
              <w:rPr>
                <w:rFonts w:ascii="Arial" w:cs="Arial" w:eastAsia="Arial" w:hAnsi="Arial"/>
                <w:sz w:val="18"/>
                <w:szCs w:val="18"/>
                <w:color w:val="auto"/>
              </w:rPr>
              <w:t>1,640</w:t>
            </w:r>
          </w:p>
        </w:tc>
        <w:tc>
          <w:tcPr>
            <w:tcW w:w="680" w:type="dxa"/>
            <w:vAlign w:val="bottom"/>
          </w:tcPr>
          <w:p>
            <w:pPr>
              <w:jc w:val="right"/>
              <w:spacing w:after="0"/>
              <w:rPr>
                <w:sz w:val="20"/>
                <w:szCs w:val="20"/>
                <w:color w:val="auto"/>
              </w:rPr>
            </w:pPr>
            <w:r>
              <w:rPr>
                <w:rFonts w:ascii="Arial" w:cs="Arial" w:eastAsia="Arial" w:hAnsi="Arial"/>
                <w:sz w:val="18"/>
                <w:szCs w:val="18"/>
                <w:color w:val="auto"/>
              </w:rPr>
              <w:t>1,605</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3,148</w:t>
            </w:r>
          </w:p>
        </w:tc>
        <w:tc>
          <w:tcPr>
            <w:tcW w:w="680" w:type="dxa"/>
            <w:vAlign w:val="bottom"/>
          </w:tcPr>
          <w:p>
            <w:pPr>
              <w:jc w:val="right"/>
              <w:ind w:right="58"/>
              <w:spacing w:after="0"/>
              <w:rPr>
                <w:sz w:val="20"/>
                <w:szCs w:val="20"/>
                <w:color w:val="auto"/>
              </w:rPr>
            </w:pPr>
            <w:r>
              <w:rPr>
                <w:rFonts w:ascii="Arial" w:cs="Arial" w:eastAsia="Arial" w:hAnsi="Arial"/>
                <w:sz w:val="18"/>
                <w:szCs w:val="18"/>
                <w:color w:val="auto"/>
              </w:rPr>
              <w:t>3,328</w:t>
            </w:r>
          </w:p>
        </w:tc>
        <w:tc>
          <w:tcPr>
            <w:tcW w:w="720" w:type="dxa"/>
            <w:vAlign w:val="bottom"/>
          </w:tcPr>
          <w:p>
            <w:pPr>
              <w:jc w:val="right"/>
              <w:spacing w:after="0"/>
              <w:rPr>
                <w:sz w:val="20"/>
                <w:szCs w:val="20"/>
                <w:color w:val="auto"/>
              </w:rPr>
            </w:pPr>
            <w:r>
              <w:rPr>
                <w:rFonts w:ascii="Arial" w:cs="Arial" w:eastAsia="Arial" w:hAnsi="Arial"/>
                <w:sz w:val="18"/>
                <w:szCs w:val="18"/>
                <w:color w:val="auto"/>
              </w:rPr>
              <w:t>9,721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3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3200" w:type="dxa"/>
            <w:vAlign w:val="bottom"/>
          </w:tcPr>
          <w:p>
            <w:pPr>
              <w:jc w:val="right"/>
              <w:ind w:right="36"/>
              <w:spacing w:after="0"/>
              <w:rPr>
                <w:sz w:val="20"/>
                <w:szCs w:val="20"/>
                <w:color w:val="auto"/>
              </w:rPr>
            </w:pPr>
            <w:r>
              <w:rPr>
                <w:rFonts w:ascii="Arial" w:cs="Arial" w:eastAsia="Arial" w:hAnsi="Arial"/>
                <w:sz w:val="18"/>
                <w:szCs w:val="18"/>
                <w:color w:val="auto"/>
              </w:rPr>
              <w:t>17,460</w:t>
            </w:r>
          </w:p>
        </w:tc>
        <w:tc>
          <w:tcPr>
            <w:tcW w:w="700" w:type="dxa"/>
            <w:vAlign w:val="bottom"/>
          </w:tcPr>
          <w:p>
            <w:pPr>
              <w:jc w:val="right"/>
              <w:spacing w:after="0"/>
              <w:rPr>
                <w:sz w:val="20"/>
                <w:szCs w:val="20"/>
                <w:color w:val="auto"/>
              </w:rPr>
            </w:pPr>
            <w:r>
              <w:rPr>
                <w:rFonts w:ascii="Arial" w:cs="Arial" w:eastAsia="Arial" w:hAnsi="Arial"/>
                <w:sz w:val="18"/>
                <w:szCs w:val="18"/>
                <w:color w:val="auto"/>
              </w:rPr>
              <w:t>10,073</w:t>
            </w:r>
          </w:p>
        </w:tc>
        <w:tc>
          <w:tcPr>
            <w:tcW w:w="680" w:type="dxa"/>
            <w:vAlign w:val="bottom"/>
          </w:tcPr>
          <w:p>
            <w:pPr>
              <w:jc w:val="right"/>
              <w:spacing w:after="0"/>
              <w:rPr>
                <w:sz w:val="20"/>
                <w:szCs w:val="20"/>
                <w:color w:val="auto"/>
              </w:rPr>
            </w:pPr>
            <w:r>
              <w:rPr>
                <w:rFonts w:ascii="Arial" w:cs="Arial" w:eastAsia="Arial" w:hAnsi="Arial"/>
                <w:sz w:val="18"/>
                <w:szCs w:val="18"/>
                <w:color w:val="auto"/>
              </w:rPr>
              <w:t>1,605</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3,148</w:t>
            </w:r>
          </w:p>
        </w:tc>
        <w:tc>
          <w:tcPr>
            <w:tcW w:w="680" w:type="dxa"/>
            <w:vAlign w:val="bottom"/>
          </w:tcPr>
          <w:p>
            <w:pPr>
              <w:jc w:val="right"/>
              <w:ind w:right="58"/>
              <w:spacing w:after="0"/>
              <w:rPr>
                <w:sz w:val="20"/>
                <w:szCs w:val="20"/>
                <w:color w:val="auto"/>
              </w:rPr>
            </w:pPr>
            <w:r>
              <w:rPr>
                <w:rFonts w:ascii="Arial" w:cs="Arial" w:eastAsia="Arial" w:hAnsi="Arial"/>
                <w:sz w:val="18"/>
                <w:szCs w:val="18"/>
                <w:color w:val="auto"/>
              </w:rPr>
              <w:t>3,328</w:t>
            </w:r>
          </w:p>
        </w:tc>
        <w:tc>
          <w:tcPr>
            <w:tcW w:w="720" w:type="dxa"/>
            <w:vAlign w:val="bottom"/>
          </w:tcPr>
          <w:p>
            <w:pPr>
              <w:jc w:val="right"/>
              <w:spacing w:after="0"/>
              <w:rPr>
                <w:sz w:val="20"/>
                <w:szCs w:val="20"/>
                <w:color w:val="auto"/>
              </w:rPr>
            </w:pPr>
            <w:r>
              <w:rPr>
                <w:rFonts w:ascii="Arial" w:cs="Arial" w:eastAsia="Arial" w:hAnsi="Arial"/>
                <w:sz w:val="18"/>
                <w:szCs w:val="18"/>
                <w:color w:val="auto"/>
              </w:rPr>
              <w:t>18,154</w:t>
            </w:r>
          </w:p>
        </w:tc>
      </w:tr>
    </w:tbl>
    <w:p>
      <w:pPr>
        <w:spacing w:after="0" w:line="332"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currency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quantitative information about the Group’s currency risk exposure provided to Group management:</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December 31, 2022</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3380" w:type="dxa"/>
            <w:vAlign w:val="bottom"/>
          </w:tcPr>
          <w:p>
            <w:pPr>
              <w:spacing w:after="0"/>
              <w:rPr>
                <w:sz w:val="20"/>
                <w:szCs w:val="20"/>
                <w:color w:val="auto"/>
              </w:rPr>
            </w:pPr>
            <w:r>
              <w:rPr>
                <w:rFonts w:ascii="Arial" w:cs="Arial" w:eastAsia="Arial" w:hAnsi="Arial"/>
                <w:sz w:val="14"/>
                <w:szCs w:val="14"/>
                <w:color w:val="auto"/>
              </w:rPr>
              <w:t>€ thousand</w:t>
            </w:r>
          </w:p>
        </w:tc>
        <w:tc>
          <w:tcPr>
            <w:tcW w:w="4100" w:type="dxa"/>
            <w:vAlign w:val="bottom"/>
          </w:tcPr>
          <w:p>
            <w:pPr>
              <w:jc w:val="right"/>
              <w:ind w:right="152"/>
              <w:spacing w:after="0"/>
              <w:rPr>
                <w:sz w:val="20"/>
                <w:szCs w:val="20"/>
                <w:color w:val="auto"/>
              </w:rPr>
            </w:pPr>
            <w:r>
              <w:rPr>
                <w:rFonts w:ascii="Arial" w:cs="Arial" w:eastAsia="Arial" w:hAnsi="Arial"/>
                <w:sz w:val="14"/>
                <w:szCs w:val="14"/>
                <w:color w:val="auto"/>
              </w:rPr>
              <w:t>USD</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Intercompany receivables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Intercompany long-term lending’s</w:t>
            </w:r>
          </w:p>
        </w:tc>
        <w:tc>
          <w:tcPr>
            <w:tcW w:w="41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Intercompany payables</w:t>
            </w:r>
          </w:p>
        </w:tc>
        <w:tc>
          <w:tcPr>
            <w:tcW w:w="4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liabilities</w:t>
            </w:r>
          </w:p>
        </w:tc>
        <w:tc>
          <w:tcPr>
            <w:tcW w:w="41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statement of financial position exposure</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w:t>
            </w:r>
          </w:p>
        </w:tc>
      </w:tr>
      <w:tr>
        <w:trPr>
          <w:trHeight w:val="364"/>
        </w:trPr>
        <w:tc>
          <w:tcPr>
            <w:tcW w:w="3380" w:type="dxa"/>
            <w:vAlign w:val="bottom"/>
          </w:tcPr>
          <w:p>
            <w:pPr>
              <w:spacing w:after="0"/>
              <w:rPr>
                <w:sz w:val="24"/>
                <w:szCs w:val="24"/>
                <w:color w:val="auto"/>
              </w:rPr>
            </w:pPr>
          </w:p>
        </w:tc>
        <w:tc>
          <w:tcPr>
            <w:tcW w:w="4100" w:type="dxa"/>
            <w:vAlign w:val="bottom"/>
          </w:tcPr>
          <w:p>
            <w:pPr>
              <w:jc w:val="right"/>
              <w:ind w:right="3472"/>
              <w:spacing w:after="0"/>
              <w:rPr>
                <w:sz w:val="20"/>
                <w:szCs w:val="20"/>
                <w:color w:val="auto"/>
              </w:rPr>
            </w:pPr>
            <w:r>
              <w:rPr>
                <w:rFonts w:ascii="Arial" w:cs="Arial" w:eastAsia="Arial" w:hAnsi="Arial"/>
                <w:sz w:val="18"/>
                <w:szCs w:val="18"/>
                <w:color w:val="auto"/>
              </w:rPr>
              <w:t>F-45</w:t>
            </w:r>
          </w:p>
        </w:tc>
      </w:tr>
    </w:tbl>
    <w:p>
      <w:pPr>
        <w:sectPr>
          <w:pgSz w:w="11900" w:h="16838" w:orient="portrait"/>
          <w:cols w:equalWidth="0" w:num="1">
            <w:col w:w="11140"/>
          </w:cols>
          <w:pgMar w:left="320" w:top="486" w:right="4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December 31, 2021</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5040" w:type="dxa"/>
            <w:vAlign w:val="bottom"/>
          </w:tcPr>
          <w:p>
            <w:pPr>
              <w:spacing w:after="0"/>
              <w:rPr>
                <w:sz w:val="20"/>
                <w:szCs w:val="20"/>
                <w:color w:val="auto"/>
              </w:rPr>
            </w:pPr>
            <w:r>
              <w:rPr>
                <w:rFonts w:ascii="Arial" w:cs="Arial" w:eastAsia="Arial" w:hAnsi="Arial"/>
                <w:sz w:val="14"/>
                <w:szCs w:val="14"/>
                <w:color w:val="auto"/>
              </w:rPr>
              <w:t>€ thousand</w:t>
            </w:r>
          </w:p>
        </w:tc>
        <w:tc>
          <w:tcPr>
            <w:tcW w:w="2540" w:type="dxa"/>
            <w:vAlign w:val="bottom"/>
          </w:tcPr>
          <w:p>
            <w:pPr>
              <w:jc w:val="right"/>
              <w:ind w:right="292"/>
              <w:spacing w:after="0"/>
              <w:rPr>
                <w:sz w:val="20"/>
                <w:szCs w:val="20"/>
                <w:color w:val="auto"/>
              </w:rPr>
            </w:pPr>
            <w:r>
              <w:rPr>
                <w:rFonts w:ascii="Arial" w:cs="Arial" w:eastAsia="Arial" w:hAnsi="Arial"/>
                <w:sz w:val="14"/>
                <w:szCs w:val="14"/>
                <w:color w:val="auto"/>
              </w:rPr>
              <w:t>EUR</w:t>
            </w: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USD</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Intercompany receivables</w:t>
            </w:r>
          </w:p>
        </w:tc>
        <w:tc>
          <w:tcPr>
            <w:tcW w:w="2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financial assets</w:t>
            </w:r>
          </w:p>
        </w:tc>
        <w:tc>
          <w:tcPr>
            <w:tcW w:w="254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Intercompany payables</w:t>
            </w:r>
          </w:p>
        </w:tc>
        <w:tc>
          <w:tcPr>
            <w:tcW w:w="2540" w:type="dxa"/>
            <w:vAlign w:val="bottom"/>
          </w:tcPr>
          <w:p>
            <w:pPr>
              <w:jc w:val="right"/>
              <w:ind w:right="132"/>
              <w:spacing w:after="0"/>
              <w:rPr>
                <w:sz w:val="20"/>
                <w:szCs w:val="20"/>
                <w:color w:val="auto"/>
              </w:rPr>
            </w:pPr>
            <w:r>
              <w:rPr>
                <w:rFonts w:ascii="Arial" w:cs="Arial" w:eastAsia="Arial" w:hAnsi="Arial"/>
                <w:sz w:val="18"/>
                <w:szCs w:val="18"/>
                <w:color w:val="auto"/>
              </w:rPr>
              <w:t>6,494</w:t>
            </w:r>
          </w:p>
        </w:tc>
        <w:tc>
          <w:tcPr>
            <w:tcW w:w="78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liabilities</w:t>
            </w:r>
          </w:p>
        </w:tc>
        <w:tc>
          <w:tcPr>
            <w:tcW w:w="254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statement of financial position exposure</w:t>
            </w:r>
          </w:p>
        </w:tc>
        <w:tc>
          <w:tcPr>
            <w:tcW w:w="2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36,359</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A potential appreciation (depreciation) of EUR, USD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Effects on Group profit/loss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53"/>
        </w:trPr>
        <w:tc>
          <w:tcPr>
            <w:tcW w:w="3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jc w:val="center"/>
              <w:ind w:right="919"/>
              <w:spacing w:after="0" w:line="153" w:lineRule="exact"/>
              <w:rPr>
                <w:sz w:val="20"/>
                <w:szCs w:val="20"/>
                <w:color w:val="auto"/>
              </w:rPr>
            </w:pPr>
            <w:r>
              <w:rPr>
                <w:rFonts w:ascii="Arial" w:cs="Arial" w:eastAsia="Arial" w:hAnsi="Arial"/>
                <w:sz w:val="14"/>
                <w:szCs w:val="14"/>
                <w:color w:val="auto"/>
                <w:w w:val="89"/>
              </w:rPr>
              <w:t>2022</w:t>
            </w:r>
          </w:p>
        </w:tc>
        <w:tc>
          <w:tcPr>
            <w:tcW w:w="900" w:type="dxa"/>
            <w:vAlign w:val="bottom"/>
          </w:tcPr>
          <w:p>
            <w:pPr>
              <w:spacing w:after="0"/>
              <w:rPr>
                <w:sz w:val="13"/>
                <w:szCs w:val="13"/>
                <w:color w:val="auto"/>
              </w:rPr>
            </w:pPr>
          </w:p>
        </w:tc>
        <w:tc>
          <w:tcPr>
            <w:tcW w:w="860" w:type="dxa"/>
            <w:vAlign w:val="bottom"/>
          </w:tcPr>
          <w:p>
            <w:pPr>
              <w:jc w:val="center"/>
              <w:ind w:right="361"/>
              <w:spacing w:after="0" w:line="153" w:lineRule="exact"/>
              <w:rPr>
                <w:sz w:val="20"/>
                <w:szCs w:val="20"/>
                <w:color w:val="auto"/>
              </w:rPr>
            </w:pPr>
            <w:r>
              <w:rPr>
                <w:rFonts w:ascii="Arial" w:cs="Arial" w:eastAsia="Arial" w:hAnsi="Arial"/>
                <w:sz w:val="14"/>
                <w:szCs w:val="14"/>
                <w:color w:val="auto"/>
                <w:w w:val="96"/>
              </w:rPr>
              <w:t>2021</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left="620"/>
              <w:spacing w:after="0" w:line="153" w:lineRule="exact"/>
              <w:rPr>
                <w:sz w:val="20"/>
                <w:szCs w:val="20"/>
                <w:color w:val="auto"/>
              </w:rPr>
            </w:pPr>
            <w:r>
              <w:rPr>
                <w:rFonts w:ascii="Arial" w:cs="Arial" w:eastAsia="Arial" w:hAnsi="Arial"/>
                <w:sz w:val="14"/>
                <w:szCs w:val="14"/>
                <w:color w:val="auto"/>
                <w:w w:val="89"/>
              </w:rPr>
              <w:t>2020</w:t>
            </w:r>
          </w:p>
        </w:tc>
        <w:tc>
          <w:tcPr>
            <w:tcW w:w="840" w:type="dxa"/>
            <w:vAlign w:val="bottom"/>
          </w:tcPr>
          <w:p>
            <w:pPr>
              <w:spacing w:after="0"/>
              <w:rPr>
                <w:sz w:val="13"/>
                <w:szCs w:val="13"/>
                <w:color w:val="auto"/>
              </w:rPr>
            </w:pPr>
          </w:p>
        </w:tc>
      </w:tr>
      <w:tr>
        <w:trPr>
          <w:trHeight w:val="148"/>
        </w:trPr>
        <w:tc>
          <w:tcPr>
            <w:tcW w:w="3700" w:type="dxa"/>
            <w:vAlign w:val="bottom"/>
          </w:tcPr>
          <w:p>
            <w:pPr>
              <w:spacing w:after="0"/>
              <w:rPr>
                <w:sz w:val="12"/>
                <w:szCs w:val="12"/>
                <w:color w:val="auto"/>
              </w:rPr>
            </w:pPr>
          </w:p>
        </w:tc>
        <w:tc>
          <w:tcPr>
            <w:tcW w:w="2900" w:type="dxa"/>
            <w:vAlign w:val="bottom"/>
            <w:gridSpan w:val="2"/>
          </w:tcPr>
          <w:p>
            <w:pPr>
              <w:jc w:val="center"/>
              <w:ind w:left="419"/>
              <w:spacing w:after="0" w:line="149" w:lineRule="exact"/>
              <w:rPr>
                <w:sz w:val="20"/>
                <w:szCs w:val="20"/>
                <w:color w:val="auto"/>
              </w:rPr>
            </w:pPr>
            <w:r>
              <w:rPr>
                <w:rFonts w:ascii="Arial" w:cs="Arial" w:eastAsia="Arial" w:hAnsi="Arial"/>
                <w:sz w:val="14"/>
                <w:szCs w:val="14"/>
                <w:color w:val="auto"/>
                <w:w w:val="89"/>
              </w:rPr>
              <w:t>Changes in exchange rates</w:t>
            </w:r>
          </w:p>
        </w:tc>
        <w:tc>
          <w:tcPr>
            <w:tcW w:w="2360" w:type="dxa"/>
            <w:vAlign w:val="bottom"/>
            <w:gridSpan w:val="3"/>
          </w:tcPr>
          <w:p>
            <w:pPr>
              <w:jc w:val="center"/>
              <w:ind w:right="55"/>
              <w:spacing w:after="0" w:line="149" w:lineRule="exact"/>
              <w:rPr>
                <w:sz w:val="20"/>
                <w:szCs w:val="20"/>
                <w:color w:val="auto"/>
              </w:rPr>
            </w:pPr>
            <w:r>
              <w:rPr>
                <w:rFonts w:ascii="Arial" w:cs="Arial" w:eastAsia="Arial" w:hAnsi="Arial"/>
                <w:sz w:val="14"/>
                <w:szCs w:val="14"/>
                <w:color w:val="auto"/>
                <w:w w:val="90"/>
              </w:rPr>
              <w:t>Changes in exchange rates</w:t>
            </w:r>
          </w:p>
        </w:tc>
        <w:tc>
          <w:tcPr>
            <w:tcW w:w="200" w:type="dxa"/>
            <w:vAlign w:val="bottom"/>
          </w:tcPr>
          <w:p>
            <w:pPr>
              <w:spacing w:after="0"/>
              <w:rPr>
                <w:sz w:val="12"/>
                <w:szCs w:val="12"/>
                <w:color w:val="auto"/>
              </w:rPr>
            </w:pPr>
          </w:p>
        </w:tc>
        <w:tc>
          <w:tcPr>
            <w:tcW w:w="1860" w:type="dxa"/>
            <w:vAlign w:val="bottom"/>
            <w:gridSpan w:val="2"/>
          </w:tcPr>
          <w:p>
            <w:pPr>
              <w:jc w:val="center"/>
              <w:ind w:right="58"/>
              <w:spacing w:after="0" w:line="149" w:lineRule="exact"/>
              <w:rPr>
                <w:sz w:val="20"/>
                <w:szCs w:val="20"/>
                <w:color w:val="auto"/>
              </w:rPr>
            </w:pPr>
            <w:r>
              <w:rPr>
                <w:rFonts w:ascii="Arial" w:cs="Arial" w:eastAsia="Arial" w:hAnsi="Arial"/>
                <w:sz w:val="14"/>
                <w:szCs w:val="14"/>
                <w:color w:val="auto"/>
                <w:w w:val="89"/>
              </w:rPr>
              <w:t>Changes in exchange rates</w:t>
            </w:r>
          </w:p>
        </w:tc>
      </w:tr>
      <w:tr>
        <w:trPr>
          <w:trHeight w:val="149"/>
        </w:trPr>
        <w:tc>
          <w:tcPr>
            <w:tcW w:w="3700" w:type="dxa"/>
            <w:vAlign w:val="bottom"/>
          </w:tcPr>
          <w:p>
            <w:pPr>
              <w:spacing w:after="0"/>
              <w:rPr>
                <w:sz w:val="12"/>
                <w:szCs w:val="12"/>
                <w:color w:val="auto"/>
              </w:rPr>
            </w:pPr>
          </w:p>
        </w:tc>
        <w:tc>
          <w:tcPr>
            <w:tcW w:w="1500" w:type="dxa"/>
            <w:vAlign w:val="bottom"/>
          </w:tcPr>
          <w:p>
            <w:pPr>
              <w:jc w:val="center"/>
              <w:ind w:left="599"/>
              <w:spacing w:after="0" w:line="149" w:lineRule="exact"/>
              <w:rPr>
                <w:sz w:val="20"/>
                <w:szCs w:val="20"/>
                <w:color w:val="auto"/>
              </w:rPr>
            </w:pPr>
            <w:r>
              <w:rPr>
                <w:rFonts w:ascii="Arial" w:cs="Arial" w:eastAsia="Arial" w:hAnsi="Arial"/>
                <w:sz w:val="14"/>
                <w:szCs w:val="14"/>
                <w:color w:val="auto"/>
                <w:w w:val="91"/>
              </w:rPr>
              <w:t>Increase by</w:t>
            </w:r>
          </w:p>
        </w:tc>
        <w:tc>
          <w:tcPr>
            <w:tcW w:w="1400" w:type="dxa"/>
            <w:vAlign w:val="bottom"/>
          </w:tcPr>
          <w:p>
            <w:pPr>
              <w:jc w:val="center"/>
              <w:ind w:left="19"/>
              <w:spacing w:after="0" w:line="149" w:lineRule="exact"/>
              <w:rPr>
                <w:sz w:val="20"/>
                <w:szCs w:val="20"/>
                <w:color w:val="auto"/>
              </w:rPr>
            </w:pPr>
            <w:r>
              <w:rPr>
                <w:rFonts w:ascii="Arial" w:cs="Arial" w:eastAsia="Arial" w:hAnsi="Arial"/>
                <w:sz w:val="14"/>
                <w:szCs w:val="14"/>
                <w:color w:val="auto"/>
                <w:w w:val="95"/>
              </w:rPr>
              <w:t>Reduction by</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Increase by</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Reduction by</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Increase by</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5"/>
              </w:rPr>
              <w:t>Reduction by</w:t>
            </w:r>
          </w:p>
        </w:tc>
      </w:tr>
      <w:tr>
        <w:trPr>
          <w:trHeight w:val="167"/>
        </w:trPr>
        <w:tc>
          <w:tcPr>
            <w:tcW w:w="3700" w:type="dxa"/>
            <w:vAlign w:val="bottom"/>
          </w:tcPr>
          <w:p>
            <w:pPr>
              <w:spacing w:after="0"/>
              <w:rPr>
                <w:sz w:val="20"/>
                <w:szCs w:val="20"/>
                <w:color w:val="auto"/>
              </w:rPr>
            </w:pPr>
            <w:r>
              <w:rPr>
                <w:rFonts w:ascii="Arial" w:cs="Arial" w:eastAsia="Arial" w:hAnsi="Arial"/>
                <w:sz w:val="14"/>
                <w:szCs w:val="14"/>
                <w:color w:val="auto"/>
              </w:rPr>
              <w:t>€ thousand</w:t>
            </w:r>
          </w:p>
        </w:tc>
        <w:tc>
          <w:tcPr>
            <w:tcW w:w="1500" w:type="dxa"/>
            <w:vAlign w:val="bottom"/>
          </w:tcPr>
          <w:p>
            <w:pPr>
              <w:jc w:val="center"/>
              <w:ind w:left="619"/>
              <w:spacing w:after="0"/>
              <w:rPr>
                <w:sz w:val="20"/>
                <w:szCs w:val="20"/>
                <w:color w:val="auto"/>
              </w:rPr>
            </w:pPr>
            <w:r>
              <w:rPr>
                <w:rFonts w:ascii="Arial" w:cs="Arial" w:eastAsia="Arial" w:hAnsi="Arial"/>
                <w:sz w:val="14"/>
                <w:szCs w:val="14"/>
                <w:color w:val="auto"/>
                <w:w w:val="98"/>
              </w:rPr>
              <w:t>5%</w:t>
            </w:r>
          </w:p>
        </w:tc>
        <w:tc>
          <w:tcPr>
            <w:tcW w:w="1400" w:type="dxa"/>
            <w:vAlign w:val="bottom"/>
          </w:tcPr>
          <w:p>
            <w:pPr>
              <w:jc w:val="center"/>
              <w:ind w:left="19"/>
              <w:spacing w:after="0"/>
              <w:rPr>
                <w:sz w:val="20"/>
                <w:szCs w:val="20"/>
                <w:color w:val="auto"/>
              </w:rPr>
            </w:pPr>
            <w:r>
              <w:rPr>
                <w:rFonts w:ascii="Arial" w:cs="Arial" w:eastAsia="Arial" w:hAnsi="Arial"/>
                <w:sz w:val="14"/>
                <w:szCs w:val="14"/>
                <w:color w:val="auto"/>
                <w:w w:val="88"/>
              </w:rPr>
              <w:t>5%</w:t>
            </w:r>
          </w:p>
        </w:tc>
        <w:tc>
          <w:tcPr>
            <w:tcW w:w="900" w:type="dxa"/>
            <w:vAlign w:val="bottom"/>
          </w:tcPr>
          <w:p>
            <w:pPr>
              <w:jc w:val="center"/>
              <w:ind w:left="20"/>
              <w:spacing w:after="0"/>
              <w:rPr>
                <w:sz w:val="20"/>
                <w:szCs w:val="20"/>
                <w:color w:val="auto"/>
              </w:rPr>
            </w:pPr>
            <w:r>
              <w:rPr>
                <w:rFonts w:ascii="Arial" w:cs="Arial" w:eastAsia="Arial" w:hAnsi="Arial"/>
                <w:sz w:val="14"/>
                <w:szCs w:val="14"/>
                <w:color w:val="auto"/>
                <w:w w:val="98"/>
              </w:rPr>
              <w:t>5%</w:t>
            </w:r>
          </w:p>
        </w:tc>
        <w:tc>
          <w:tcPr>
            <w:tcW w:w="860" w:type="dxa"/>
            <w:vAlign w:val="bottom"/>
          </w:tcPr>
          <w:p>
            <w:pPr>
              <w:jc w:val="center"/>
              <w:ind w:left="581"/>
              <w:spacing w:after="0"/>
              <w:rPr>
                <w:sz w:val="20"/>
                <w:szCs w:val="20"/>
                <w:color w:val="auto"/>
              </w:rPr>
            </w:pPr>
            <w:r>
              <w:rPr>
                <w:rFonts w:ascii="Arial" w:cs="Arial" w:eastAsia="Arial" w:hAnsi="Arial"/>
                <w:sz w:val="14"/>
                <w:szCs w:val="14"/>
                <w:color w:val="auto"/>
                <w:w w:val="98"/>
              </w:rPr>
              <w:t>5%</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440"/>
              <w:spacing w:after="0"/>
              <w:rPr>
                <w:sz w:val="20"/>
                <w:szCs w:val="20"/>
                <w:color w:val="auto"/>
              </w:rPr>
            </w:pPr>
            <w:r>
              <w:rPr>
                <w:rFonts w:ascii="Arial" w:cs="Arial" w:eastAsia="Arial" w:hAnsi="Arial"/>
                <w:sz w:val="14"/>
                <w:szCs w:val="14"/>
                <w:color w:val="auto"/>
                <w:w w:val="88"/>
              </w:rPr>
              <w:t>5%</w:t>
            </w: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6"/>
              </w:rPr>
              <w:t>328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USD</w:t>
            </w:r>
          </w:p>
        </w:tc>
        <w:tc>
          <w:tcPr>
            <w:tcW w:w="1500" w:type="dxa"/>
            <w:vAlign w:val="bottom"/>
          </w:tcPr>
          <w:p>
            <w:pPr>
              <w:jc w:val="right"/>
              <w:spacing w:after="0"/>
              <w:rPr>
                <w:sz w:val="20"/>
                <w:szCs w:val="20"/>
                <w:color w:val="auto"/>
              </w:rPr>
            </w:pPr>
            <w:r>
              <w:rPr>
                <w:rFonts w:ascii="Arial" w:cs="Arial" w:eastAsia="Arial" w:hAnsi="Arial"/>
                <w:sz w:val="18"/>
                <w:szCs w:val="18"/>
                <w:color w:val="auto"/>
              </w:rPr>
              <w:t>740</w:t>
            </w:r>
          </w:p>
        </w:tc>
        <w:tc>
          <w:tcPr>
            <w:tcW w:w="1400" w:type="dxa"/>
            <w:vAlign w:val="bottom"/>
          </w:tcPr>
          <w:p>
            <w:pPr>
              <w:jc w:val="right"/>
              <w:ind w:right="179"/>
              <w:spacing w:after="0"/>
              <w:rPr>
                <w:sz w:val="20"/>
                <w:szCs w:val="20"/>
                <w:color w:val="auto"/>
              </w:rPr>
            </w:pPr>
            <w:r>
              <w:rPr>
                <w:rFonts w:ascii="Arial" w:cs="Arial" w:eastAsia="Arial" w:hAnsi="Arial"/>
                <w:sz w:val="18"/>
                <w:szCs w:val="18"/>
                <w:color w:val="auto"/>
              </w:rPr>
              <w:t>-740</w:t>
            </w:r>
          </w:p>
        </w:tc>
        <w:tc>
          <w:tcPr>
            <w:tcW w:w="900" w:type="dxa"/>
            <w:vAlign w:val="bottom"/>
          </w:tcPr>
          <w:p>
            <w:pPr>
              <w:jc w:val="right"/>
              <w:spacing w:after="0"/>
              <w:rPr>
                <w:sz w:val="20"/>
                <w:szCs w:val="20"/>
                <w:color w:val="auto"/>
              </w:rPr>
            </w:pPr>
            <w:r>
              <w:rPr>
                <w:rFonts w:ascii="Arial" w:cs="Arial" w:eastAsia="Arial" w:hAnsi="Arial"/>
                <w:sz w:val="18"/>
                <w:szCs w:val="18"/>
                <w:color w:val="auto"/>
              </w:rPr>
              <w:t>1,818</w:t>
            </w:r>
          </w:p>
        </w:tc>
        <w:tc>
          <w:tcPr>
            <w:tcW w:w="1460" w:type="dxa"/>
            <w:vAlign w:val="bottom"/>
            <w:gridSpan w:val="2"/>
          </w:tcPr>
          <w:p>
            <w:pPr>
              <w:jc w:val="right"/>
              <w:ind w:right="235"/>
              <w:spacing w:after="0"/>
              <w:rPr>
                <w:sz w:val="20"/>
                <w:szCs w:val="20"/>
                <w:color w:val="auto"/>
              </w:rPr>
            </w:pPr>
            <w:r>
              <w:rPr>
                <w:rFonts w:ascii="Arial" w:cs="Arial" w:eastAsia="Arial" w:hAnsi="Arial"/>
                <w:sz w:val="18"/>
                <w:szCs w:val="18"/>
                <w:color w:val="auto"/>
              </w:rPr>
              <w:t>-1,818</w:t>
            </w:r>
          </w:p>
        </w:tc>
        <w:tc>
          <w:tcPr>
            <w:tcW w:w="200" w:type="dxa"/>
            <w:vAlign w:val="bottom"/>
          </w:tcPr>
          <w:p>
            <w:pPr>
              <w:spacing w:after="0"/>
              <w:rPr>
                <w:sz w:val="18"/>
                <w:szCs w:val="18"/>
                <w:color w:val="auto"/>
              </w:rPr>
            </w:pPr>
          </w:p>
        </w:tc>
        <w:tc>
          <w:tcPr>
            <w:tcW w:w="1020" w:type="dxa"/>
            <w:vAlign w:val="bottom"/>
          </w:tcPr>
          <w:p>
            <w:pPr>
              <w:jc w:val="right"/>
              <w:ind w:right="360"/>
              <w:spacing w:after="0"/>
              <w:rPr>
                <w:sz w:val="20"/>
                <w:szCs w:val="20"/>
                <w:color w:val="auto"/>
              </w:rPr>
            </w:pPr>
            <w:r>
              <w:rPr>
                <w:rFonts w:ascii="Arial" w:cs="Arial" w:eastAsia="Arial" w:hAnsi="Arial"/>
                <w:sz w:val="18"/>
                <w:szCs w:val="18"/>
                <w:color w:val="auto"/>
              </w:rPr>
              <w:t>35</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46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-1,490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-227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3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Effects on Group equity</w:t>
            </w: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0"/>
        </w:trPr>
        <w:tc>
          <w:tcPr>
            <w:tcW w:w="3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0" w:type="dxa"/>
            <w:vAlign w:val="bottom"/>
          </w:tcPr>
          <w:p>
            <w:pPr>
              <w:jc w:val="center"/>
              <w:ind w:right="919"/>
              <w:spacing w:after="0" w:line="130" w:lineRule="exact"/>
              <w:rPr>
                <w:sz w:val="20"/>
                <w:szCs w:val="20"/>
                <w:color w:val="auto"/>
              </w:rPr>
            </w:pPr>
            <w:r>
              <w:rPr>
                <w:rFonts w:ascii="Arial" w:cs="Arial" w:eastAsia="Arial" w:hAnsi="Arial"/>
                <w:sz w:val="14"/>
                <w:szCs w:val="14"/>
                <w:color w:val="auto"/>
                <w:w w:val="89"/>
              </w:rPr>
              <w:t>2022</w:t>
            </w:r>
          </w:p>
        </w:tc>
        <w:tc>
          <w:tcPr>
            <w:tcW w:w="900" w:type="dxa"/>
            <w:vAlign w:val="bottom"/>
          </w:tcPr>
          <w:p>
            <w:pPr>
              <w:spacing w:after="0"/>
              <w:rPr>
                <w:sz w:val="11"/>
                <w:szCs w:val="11"/>
                <w:color w:val="auto"/>
              </w:rPr>
            </w:pPr>
          </w:p>
        </w:tc>
        <w:tc>
          <w:tcPr>
            <w:tcW w:w="860" w:type="dxa"/>
            <w:vAlign w:val="bottom"/>
          </w:tcPr>
          <w:p>
            <w:pPr>
              <w:jc w:val="center"/>
              <w:ind w:right="361"/>
              <w:spacing w:after="0" w:line="130" w:lineRule="exact"/>
              <w:rPr>
                <w:sz w:val="20"/>
                <w:szCs w:val="20"/>
                <w:color w:val="auto"/>
              </w:rPr>
            </w:pPr>
            <w:r>
              <w:rPr>
                <w:rFonts w:ascii="Arial" w:cs="Arial" w:eastAsia="Arial" w:hAnsi="Arial"/>
                <w:sz w:val="14"/>
                <w:szCs w:val="14"/>
                <w:color w:val="auto"/>
                <w:w w:val="96"/>
              </w:rPr>
              <w:t>2021</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left="620"/>
              <w:spacing w:after="0" w:line="130" w:lineRule="exact"/>
              <w:rPr>
                <w:sz w:val="20"/>
                <w:szCs w:val="20"/>
                <w:color w:val="auto"/>
              </w:rPr>
            </w:pPr>
            <w:r>
              <w:rPr>
                <w:rFonts w:ascii="Arial" w:cs="Arial" w:eastAsia="Arial" w:hAnsi="Arial"/>
                <w:sz w:val="14"/>
                <w:szCs w:val="14"/>
                <w:color w:val="auto"/>
                <w:w w:val="89"/>
              </w:rPr>
              <w:t>2020</w:t>
            </w:r>
          </w:p>
        </w:tc>
        <w:tc>
          <w:tcPr>
            <w:tcW w:w="840" w:type="dxa"/>
            <w:vAlign w:val="bottom"/>
          </w:tcPr>
          <w:p>
            <w:pPr>
              <w:spacing w:after="0"/>
              <w:rPr>
                <w:sz w:val="11"/>
                <w:szCs w:val="11"/>
                <w:color w:val="auto"/>
              </w:rPr>
            </w:pPr>
          </w:p>
        </w:tc>
      </w:tr>
      <w:tr>
        <w:trPr>
          <w:trHeight w:val="148"/>
        </w:trPr>
        <w:tc>
          <w:tcPr>
            <w:tcW w:w="3700" w:type="dxa"/>
            <w:vAlign w:val="bottom"/>
          </w:tcPr>
          <w:p>
            <w:pPr>
              <w:spacing w:after="0"/>
              <w:rPr>
                <w:sz w:val="12"/>
                <w:szCs w:val="12"/>
                <w:color w:val="auto"/>
              </w:rPr>
            </w:pPr>
          </w:p>
        </w:tc>
        <w:tc>
          <w:tcPr>
            <w:tcW w:w="2900" w:type="dxa"/>
            <w:vAlign w:val="bottom"/>
            <w:gridSpan w:val="2"/>
          </w:tcPr>
          <w:p>
            <w:pPr>
              <w:jc w:val="center"/>
              <w:ind w:left="419"/>
              <w:spacing w:after="0" w:line="149" w:lineRule="exact"/>
              <w:rPr>
                <w:sz w:val="20"/>
                <w:szCs w:val="20"/>
                <w:color w:val="auto"/>
              </w:rPr>
            </w:pPr>
            <w:r>
              <w:rPr>
                <w:rFonts w:ascii="Arial" w:cs="Arial" w:eastAsia="Arial" w:hAnsi="Arial"/>
                <w:sz w:val="14"/>
                <w:szCs w:val="14"/>
                <w:color w:val="auto"/>
                <w:w w:val="89"/>
              </w:rPr>
              <w:t>Changes in exchange rates</w:t>
            </w:r>
          </w:p>
        </w:tc>
        <w:tc>
          <w:tcPr>
            <w:tcW w:w="2360" w:type="dxa"/>
            <w:vAlign w:val="bottom"/>
            <w:gridSpan w:val="3"/>
          </w:tcPr>
          <w:p>
            <w:pPr>
              <w:jc w:val="center"/>
              <w:ind w:right="55"/>
              <w:spacing w:after="0" w:line="149" w:lineRule="exact"/>
              <w:rPr>
                <w:sz w:val="20"/>
                <w:szCs w:val="20"/>
                <w:color w:val="auto"/>
              </w:rPr>
            </w:pPr>
            <w:r>
              <w:rPr>
                <w:rFonts w:ascii="Arial" w:cs="Arial" w:eastAsia="Arial" w:hAnsi="Arial"/>
                <w:sz w:val="14"/>
                <w:szCs w:val="14"/>
                <w:color w:val="auto"/>
                <w:w w:val="90"/>
              </w:rPr>
              <w:t>Changes in exchange rates</w:t>
            </w:r>
          </w:p>
        </w:tc>
        <w:tc>
          <w:tcPr>
            <w:tcW w:w="200" w:type="dxa"/>
            <w:vAlign w:val="bottom"/>
          </w:tcPr>
          <w:p>
            <w:pPr>
              <w:spacing w:after="0"/>
              <w:rPr>
                <w:sz w:val="12"/>
                <w:szCs w:val="12"/>
                <w:color w:val="auto"/>
              </w:rPr>
            </w:pPr>
          </w:p>
        </w:tc>
        <w:tc>
          <w:tcPr>
            <w:tcW w:w="1860" w:type="dxa"/>
            <w:vAlign w:val="bottom"/>
            <w:gridSpan w:val="2"/>
          </w:tcPr>
          <w:p>
            <w:pPr>
              <w:jc w:val="center"/>
              <w:ind w:right="58"/>
              <w:spacing w:after="0" w:line="149" w:lineRule="exact"/>
              <w:rPr>
                <w:sz w:val="20"/>
                <w:szCs w:val="20"/>
                <w:color w:val="auto"/>
              </w:rPr>
            </w:pPr>
            <w:r>
              <w:rPr>
                <w:rFonts w:ascii="Arial" w:cs="Arial" w:eastAsia="Arial" w:hAnsi="Arial"/>
                <w:sz w:val="14"/>
                <w:szCs w:val="14"/>
                <w:color w:val="auto"/>
                <w:w w:val="89"/>
              </w:rPr>
              <w:t>Changes in exchange rates</w:t>
            </w:r>
          </w:p>
        </w:tc>
      </w:tr>
      <w:tr>
        <w:trPr>
          <w:trHeight w:val="148"/>
        </w:trPr>
        <w:tc>
          <w:tcPr>
            <w:tcW w:w="3700" w:type="dxa"/>
            <w:vAlign w:val="bottom"/>
          </w:tcPr>
          <w:p>
            <w:pPr>
              <w:spacing w:after="0"/>
              <w:rPr>
                <w:sz w:val="12"/>
                <w:szCs w:val="12"/>
                <w:color w:val="auto"/>
              </w:rPr>
            </w:pPr>
          </w:p>
        </w:tc>
        <w:tc>
          <w:tcPr>
            <w:tcW w:w="1500" w:type="dxa"/>
            <w:vAlign w:val="bottom"/>
          </w:tcPr>
          <w:p>
            <w:pPr>
              <w:jc w:val="center"/>
              <w:ind w:left="599"/>
              <w:spacing w:after="0" w:line="149" w:lineRule="exact"/>
              <w:rPr>
                <w:sz w:val="20"/>
                <w:szCs w:val="20"/>
                <w:color w:val="auto"/>
              </w:rPr>
            </w:pPr>
            <w:r>
              <w:rPr>
                <w:rFonts w:ascii="Arial" w:cs="Arial" w:eastAsia="Arial" w:hAnsi="Arial"/>
                <w:sz w:val="14"/>
                <w:szCs w:val="14"/>
                <w:color w:val="auto"/>
                <w:w w:val="91"/>
              </w:rPr>
              <w:t>Increase by</w:t>
            </w:r>
          </w:p>
        </w:tc>
        <w:tc>
          <w:tcPr>
            <w:tcW w:w="1400" w:type="dxa"/>
            <w:vAlign w:val="bottom"/>
          </w:tcPr>
          <w:p>
            <w:pPr>
              <w:jc w:val="center"/>
              <w:ind w:left="19"/>
              <w:spacing w:after="0" w:line="149" w:lineRule="exact"/>
              <w:rPr>
                <w:sz w:val="20"/>
                <w:szCs w:val="20"/>
                <w:color w:val="auto"/>
              </w:rPr>
            </w:pPr>
            <w:r>
              <w:rPr>
                <w:rFonts w:ascii="Arial" w:cs="Arial" w:eastAsia="Arial" w:hAnsi="Arial"/>
                <w:sz w:val="14"/>
                <w:szCs w:val="14"/>
                <w:color w:val="auto"/>
                <w:w w:val="95"/>
              </w:rPr>
              <w:t>Reduction by</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Increase by</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Reduction by</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Increase by</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5"/>
              </w:rPr>
              <w:t>Reduction by</w:t>
            </w:r>
          </w:p>
        </w:tc>
      </w:tr>
      <w:tr>
        <w:trPr>
          <w:trHeight w:val="167"/>
        </w:trPr>
        <w:tc>
          <w:tcPr>
            <w:tcW w:w="3700" w:type="dxa"/>
            <w:vAlign w:val="bottom"/>
          </w:tcPr>
          <w:p>
            <w:pPr>
              <w:spacing w:after="0"/>
              <w:rPr>
                <w:sz w:val="20"/>
                <w:szCs w:val="20"/>
                <w:color w:val="auto"/>
              </w:rPr>
            </w:pPr>
            <w:r>
              <w:rPr>
                <w:rFonts w:ascii="Arial" w:cs="Arial" w:eastAsia="Arial" w:hAnsi="Arial"/>
                <w:sz w:val="14"/>
                <w:szCs w:val="14"/>
                <w:color w:val="auto"/>
              </w:rPr>
              <w:t>€ thousand</w:t>
            </w:r>
          </w:p>
        </w:tc>
        <w:tc>
          <w:tcPr>
            <w:tcW w:w="1500" w:type="dxa"/>
            <w:vAlign w:val="bottom"/>
          </w:tcPr>
          <w:p>
            <w:pPr>
              <w:jc w:val="center"/>
              <w:ind w:left="619"/>
              <w:spacing w:after="0"/>
              <w:rPr>
                <w:sz w:val="20"/>
                <w:szCs w:val="20"/>
                <w:color w:val="auto"/>
              </w:rPr>
            </w:pPr>
            <w:r>
              <w:rPr>
                <w:rFonts w:ascii="Arial" w:cs="Arial" w:eastAsia="Arial" w:hAnsi="Arial"/>
                <w:sz w:val="14"/>
                <w:szCs w:val="14"/>
                <w:color w:val="auto"/>
                <w:w w:val="98"/>
              </w:rPr>
              <w:t>5%</w:t>
            </w:r>
          </w:p>
        </w:tc>
        <w:tc>
          <w:tcPr>
            <w:tcW w:w="1400" w:type="dxa"/>
            <w:vAlign w:val="bottom"/>
          </w:tcPr>
          <w:p>
            <w:pPr>
              <w:jc w:val="center"/>
              <w:ind w:left="19"/>
              <w:spacing w:after="0"/>
              <w:rPr>
                <w:sz w:val="20"/>
                <w:szCs w:val="20"/>
                <w:color w:val="auto"/>
              </w:rPr>
            </w:pPr>
            <w:r>
              <w:rPr>
                <w:rFonts w:ascii="Arial" w:cs="Arial" w:eastAsia="Arial" w:hAnsi="Arial"/>
                <w:sz w:val="14"/>
                <w:szCs w:val="14"/>
                <w:color w:val="auto"/>
                <w:w w:val="88"/>
              </w:rPr>
              <w:t>5%</w:t>
            </w:r>
          </w:p>
        </w:tc>
        <w:tc>
          <w:tcPr>
            <w:tcW w:w="900" w:type="dxa"/>
            <w:vAlign w:val="bottom"/>
          </w:tcPr>
          <w:p>
            <w:pPr>
              <w:jc w:val="center"/>
              <w:ind w:left="20"/>
              <w:spacing w:after="0"/>
              <w:rPr>
                <w:sz w:val="20"/>
                <w:szCs w:val="20"/>
                <w:color w:val="auto"/>
              </w:rPr>
            </w:pPr>
            <w:r>
              <w:rPr>
                <w:rFonts w:ascii="Arial" w:cs="Arial" w:eastAsia="Arial" w:hAnsi="Arial"/>
                <w:sz w:val="14"/>
                <w:szCs w:val="14"/>
                <w:color w:val="auto"/>
                <w:w w:val="98"/>
              </w:rPr>
              <w:t>5%</w:t>
            </w:r>
          </w:p>
        </w:tc>
        <w:tc>
          <w:tcPr>
            <w:tcW w:w="860" w:type="dxa"/>
            <w:vAlign w:val="bottom"/>
          </w:tcPr>
          <w:p>
            <w:pPr>
              <w:jc w:val="center"/>
              <w:ind w:left="581"/>
              <w:spacing w:after="0"/>
              <w:rPr>
                <w:sz w:val="20"/>
                <w:szCs w:val="20"/>
                <w:color w:val="auto"/>
              </w:rPr>
            </w:pPr>
            <w:r>
              <w:rPr>
                <w:rFonts w:ascii="Arial" w:cs="Arial" w:eastAsia="Arial" w:hAnsi="Arial"/>
                <w:sz w:val="14"/>
                <w:szCs w:val="14"/>
                <w:color w:val="auto"/>
                <w:w w:val="98"/>
              </w:rPr>
              <w:t>5%</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440"/>
              <w:spacing w:after="0"/>
              <w:rPr>
                <w:sz w:val="20"/>
                <w:szCs w:val="20"/>
                <w:color w:val="auto"/>
              </w:rPr>
            </w:pPr>
            <w:r>
              <w:rPr>
                <w:rFonts w:ascii="Arial" w:cs="Arial" w:eastAsia="Arial" w:hAnsi="Arial"/>
                <w:sz w:val="14"/>
                <w:szCs w:val="14"/>
                <w:color w:val="auto"/>
                <w:w w:val="88"/>
              </w:rPr>
              <w:t>5%</w:t>
            </w: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6"/>
              </w:rPr>
              <w:t>325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-233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USD</w:t>
            </w:r>
          </w:p>
        </w:tc>
        <w:tc>
          <w:tcPr>
            <w:tcW w:w="1500" w:type="dxa"/>
            <w:vAlign w:val="bottom"/>
          </w:tcPr>
          <w:p>
            <w:pPr>
              <w:jc w:val="right"/>
              <w:spacing w:after="0"/>
              <w:rPr>
                <w:sz w:val="20"/>
                <w:szCs w:val="20"/>
                <w:color w:val="auto"/>
              </w:rPr>
            </w:pPr>
            <w:r>
              <w:rPr>
                <w:rFonts w:ascii="Arial" w:cs="Arial" w:eastAsia="Arial" w:hAnsi="Arial"/>
                <w:sz w:val="18"/>
                <w:szCs w:val="18"/>
                <w:color w:val="auto"/>
              </w:rPr>
              <w:t>740</w:t>
            </w:r>
          </w:p>
        </w:tc>
        <w:tc>
          <w:tcPr>
            <w:tcW w:w="1400" w:type="dxa"/>
            <w:vAlign w:val="bottom"/>
          </w:tcPr>
          <w:p>
            <w:pPr>
              <w:jc w:val="right"/>
              <w:ind w:right="179"/>
              <w:spacing w:after="0"/>
              <w:rPr>
                <w:sz w:val="20"/>
                <w:szCs w:val="20"/>
                <w:color w:val="auto"/>
              </w:rPr>
            </w:pPr>
            <w:r>
              <w:rPr>
                <w:rFonts w:ascii="Arial" w:cs="Arial" w:eastAsia="Arial" w:hAnsi="Arial"/>
                <w:sz w:val="18"/>
                <w:szCs w:val="18"/>
                <w:color w:val="auto"/>
              </w:rPr>
              <w:t>-740</w:t>
            </w:r>
          </w:p>
        </w:tc>
        <w:tc>
          <w:tcPr>
            <w:tcW w:w="900" w:type="dxa"/>
            <w:vAlign w:val="bottom"/>
          </w:tcPr>
          <w:p>
            <w:pPr>
              <w:jc w:val="right"/>
              <w:spacing w:after="0"/>
              <w:rPr>
                <w:sz w:val="20"/>
                <w:szCs w:val="20"/>
                <w:color w:val="auto"/>
              </w:rPr>
            </w:pPr>
            <w:r>
              <w:rPr>
                <w:rFonts w:ascii="Arial" w:cs="Arial" w:eastAsia="Arial" w:hAnsi="Arial"/>
                <w:sz w:val="18"/>
                <w:szCs w:val="18"/>
                <w:color w:val="auto"/>
              </w:rPr>
              <w:t>1,818</w:t>
            </w:r>
          </w:p>
        </w:tc>
        <w:tc>
          <w:tcPr>
            <w:tcW w:w="1460" w:type="dxa"/>
            <w:vAlign w:val="bottom"/>
            <w:gridSpan w:val="2"/>
          </w:tcPr>
          <w:p>
            <w:pPr>
              <w:jc w:val="right"/>
              <w:ind w:right="235"/>
              <w:spacing w:after="0"/>
              <w:rPr>
                <w:sz w:val="20"/>
                <w:szCs w:val="20"/>
                <w:color w:val="auto"/>
              </w:rPr>
            </w:pPr>
            <w:r>
              <w:rPr>
                <w:rFonts w:ascii="Arial" w:cs="Arial" w:eastAsia="Arial" w:hAnsi="Arial"/>
                <w:sz w:val="18"/>
                <w:szCs w:val="18"/>
                <w:color w:val="auto"/>
              </w:rPr>
              <w:t>-1,818</w:t>
            </w:r>
          </w:p>
        </w:tc>
        <w:tc>
          <w:tcPr>
            <w:tcW w:w="200" w:type="dxa"/>
            <w:vAlign w:val="bottom"/>
          </w:tcPr>
          <w:p>
            <w:pPr>
              <w:spacing w:after="0"/>
              <w:rPr>
                <w:sz w:val="18"/>
                <w:szCs w:val="18"/>
                <w:color w:val="auto"/>
              </w:rPr>
            </w:pPr>
          </w:p>
        </w:tc>
        <w:tc>
          <w:tcPr>
            <w:tcW w:w="1020" w:type="dxa"/>
            <w:vAlign w:val="bottom"/>
          </w:tcPr>
          <w:p>
            <w:pPr>
              <w:jc w:val="right"/>
              <w:ind w:right="360"/>
              <w:spacing w:after="0"/>
              <w:rPr>
                <w:sz w:val="20"/>
                <w:szCs w:val="20"/>
                <w:color w:val="auto"/>
              </w:rPr>
            </w:pPr>
            <w:r>
              <w:rPr>
                <w:rFonts w:ascii="Arial" w:cs="Arial" w:eastAsia="Arial" w:hAnsi="Arial"/>
                <w:sz w:val="18"/>
                <w:szCs w:val="18"/>
                <w:color w:val="auto"/>
              </w:rPr>
              <w:t>35</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46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-1,493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The following exchange rates were used:</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3"/>
        </w:trPr>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gridSpan w:val="3"/>
          </w:tcPr>
          <w:p>
            <w:pPr>
              <w:jc w:val="center"/>
              <w:ind w:right="518"/>
              <w:spacing w:after="0"/>
              <w:rPr>
                <w:sz w:val="20"/>
                <w:szCs w:val="20"/>
                <w:color w:val="auto"/>
              </w:rPr>
            </w:pPr>
            <w:r>
              <w:rPr>
                <w:rFonts w:ascii="Arial" w:cs="Arial" w:eastAsia="Arial" w:hAnsi="Arial"/>
                <w:sz w:val="14"/>
                <w:szCs w:val="14"/>
                <w:color w:val="auto"/>
                <w:w w:val="91"/>
              </w:rPr>
              <w:t>Spot exchange rate as of</w:t>
            </w:r>
          </w:p>
        </w:tc>
      </w:tr>
      <w:tr>
        <w:trPr>
          <w:trHeight w:val="148"/>
        </w:trPr>
        <w:tc>
          <w:tcPr>
            <w:tcW w:w="3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 rate</w:t>
            </w: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jc w:val="center"/>
              <w:ind w:right="718"/>
              <w:spacing w:after="0" w:line="149" w:lineRule="exact"/>
              <w:rPr>
                <w:sz w:val="20"/>
                <w:szCs w:val="20"/>
                <w:color w:val="auto"/>
              </w:rPr>
            </w:pPr>
            <w:r>
              <w:rPr>
                <w:rFonts w:ascii="Arial" w:cs="Arial" w:eastAsia="Arial" w:hAnsi="Arial"/>
                <w:sz w:val="14"/>
                <w:szCs w:val="14"/>
                <w:color w:val="auto"/>
                <w:w w:val="92"/>
              </w:rPr>
              <w:t>the reporting date</w:t>
            </w:r>
          </w:p>
        </w:tc>
      </w:tr>
      <w:tr>
        <w:trPr>
          <w:trHeight w:val="167"/>
        </w:trPr>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jc w:val="right"/>
              <w:ind w:right="199"/>
              <w:spacing w:after="0"/>
              <w:rPr>
                <w:sz w:val="20"/>
                <w:szCs w:val="20"/>
                <w:color w:val="auto"/>
              </w:rPr>
            </w:pPr>
            <w:r>
              <w:rPr>
                <w:rFonts w:ascii="Arial" w:cs="Arial" w:eastAsia="Arial" w:hAnsi="Arial"/>
                <w:sz w:val="14"/>
                <w:szCs w:val="14"/>
                <w:color w:val="auto"/>
              </w:rPr>
              <w:t>2022</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2021</w:t>
            </w:r>
          </w:p>
        </w:tc>
        <w:tc>
          <w:tcPr>
            <w:tcW w:w="860" w:type="dxa"/>
            <w:vAlign w:val="bottom"/>
          </w:tcPr>
          <w:p>
            <w:pPr>
              <w:jc w:val="right"/>
              <w:ind w:right="221"/>
              <w:spacing w:after="0"/>
              <w:rPr>
                <w:sz w:val="20"/>
                <w:szCs w:val="20"/>
                <w:color w:val="auto"/>
              </w:rPr>
            </w:pPr>
            <w:r>
              <w:rPr>
                <w:rFonts w:ascii="Arial" w:cs="Arial" w:eastAsia="Arial" w:hAnsi="Arial"/>
                <w:sz w:val="14"/>
                <w:szCs w:val="14"/>
                <w:color w:val="auto"/>
              </w:rPr>
              <w:t>2020</w:t>
            </w:r>
          </w:p>
        </w:tc>
        <w:tc>
          <w:tcPr>
            <w:tcW w:w="600" w:type="dxa"/>
            <w:vAlign w:val="bottom"/>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2020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EUR/USD</w:t>
            </w:r>
          </w:p>
        </w:tc>
        <w:tc>
          <w:tcPr>
            <w:tcW w:w="1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0.95441</w:t>
            </w:r>
          </w:p>
        </w:tc>
        <w:tc>
          <w:tcPr>
            <w:tcW w:w="900" w:type="dxa"/>
            <w:vAlign w:val="bottom"/>
            <w:shd w:val="clear" w:color="auto" w:fill="CCEEFF"/>
          </w:tcPr>
          <w:p>
            <w:pPr>
              <w:jc w:val="center"/>
              <w:ind w:left="20"/>
              <w:spacing w:after="0"/>
              <w:rPr>
                <w:sz w:val="20"/>
                <w:szCs w:val="20"/>
                <w:color w:val="auto"/>
              </w:rPr>
            </w:pPr>
            <w:r>
              <w:rPr>
                <w:rFonts w:ascii="Arial" w:cs="Arial" w:eastAsia="Arial" w:hAnsi="Arial"/>
                <w:sz w:val="18"/>
                <w:szCs w:val="18"/>
                <w:color w:val="auto"/>
                <w:w w:val="92"/>
              </w:rPr>
              <w:t>0.84819</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0.87322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0.93756</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0.88292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0.89160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the reporting date, the Group does have an embedded derivative related to the loan, which is included in the other financial and non-financial liabilities in the amount of €172 thousand (December 31, 2021: €0, December 31, 2020: €0). This derivative is exposed interest rate changes. A sensitivity analysis and their effects on the consolidated equity is disclosed in Note 33.1.</w:t>
      </w:r>
    </w:p>
    <w:p>
      <w:pPr>
        <w:spacing w:after="0" w:line="328" w:lineRule="exact"/>
        <w:rPr>
          <w:sz w:val="20"/>
          <w:szCs w:val="20"/>
          <w:color w:val="auto"/>
        </w:rPr>
      </w:pPr>
    </w:p>
    <w:p>
      <w:pPr>
        <w:ind w:left="660" w:hanging="544"/>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 Commitments, and Other Financial Obligations</w:t>
      </w:r>
    </w:p>
    <w:p>
      <w:pPr>
        <w:spacing w:after="0" w:line="130" w:lineRule="exact"/>
        <w:rPr>
          <w:rFonts w:ascii="Arial" w:cs="Arial" w:eastAsia="Arial" w:hAnsi="Arial"/>
          <w:sz w:val="18"/>
          <w:szCs w:val="18"/>
          <w:b w:val="1"/>
          <w:bCs w:val="1"/>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Within the course of its ordinary activities, the Group may be involved in legal disputes from time to time. Based on the assessment of the Management Board as well as legal counsel, there are no claims beyond the litigation risks reported in the provisions that may be significant with regard to the Company’s business and its financial position and performance.</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in the previous year, there are no commitments arising under guarantees.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86" w:right="4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6"/>
          <w:szCs w:val="16"/>
          <w:b w:val="1"/>
          <w:bCs w:val="1"/>
          <w:color w:val="auto"/>
        </w:rPr>
        <w:t>Other financial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financial obligations as of December 31, 2022, are as follows:</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2022</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3880" w:type="dxa"/>
            <w:vAlign w:val="bottom"/>
          </w:tcPr>
          <w:p>
            <w:pPr>
              <w:spacing w:after="0"/>
              <w:rPr>
                <w:sz w:val="20"/>
                <w:szCs w:val="20"/>
                <w:color w:val="auto"/>
              </w:rPr>
            </w:pPr>
            <w:r>
              <w:rPr>
                <w:rFonts w:ascii="Arial" w:cs="Arial" w:eastAsia="Arial" w:hAnsi="Arial"/>
                <w:sz w:val="14"/>
                <w:szCs w:val="14"/>
                <w:color w:val="auto"/>
              </w:rPr>
              <w:t>€ thousand</w:t>
            </w:r>
          </w:p>
        </w:tc>
        <w:tc>
          <w:tcPr>
            <w:tcW w:w="3240" w:type="dxa"/>
            <w:vAlign w:val="bottom"/>
          </w:tcPr>
          <w:p>
            <w:pPr>
              <w:jc w:val="right"/>
              <w:ind w:right="174"/>
              <w:spacing w:after="0"/>
              <w:rPr>
                <w:sz w:val="20"/>
                <w:szCs w:val="20"/>
                <w:color w:val="auto"/>
              </w:rPr>
            </w:pPr>
            <w:r>
              <w:rPr>
                <w:rFonts w:ascii="Arial" w:cs="Arial" w:eastAsia="Arial" w:hAnsi="Arial"/>
                <w:sz w:val="14"/>
                <w:szCs w:val="14"/>
                <w:color w:val="auto"/>
              </w:rPr>
              <w:t>up to 1 year</w:t>
            </w:r>
          </w:p>
        </w:tc>
        <w:tc>
          <w:tcPr>
            <w:tcW w:w="1200" w:type="dxa"/>
            <w:vAlign w:val="bottom"/>
          </w:tcPr>
          <w:p>
            <w:pPr>
              <w:jc w:val="right"/>
              <w:ind w:right="174"/>
              <w:spacing w:after="0"/>
              <w:rPr>
                <w:sz w:val="20"/>
                <w:szCs w:val="20"/>
                <w:color w:val="auto"/>
              </w:rPr>
            </w:pPr>
            <w:r>
              <w:rPr>
                <w:rFonts w:ascii="Arial" w:cs="Arial" w:eastAsia="Arial" w:hAnsi="Arial"/>
                <w:sz w:val="14"/>
                <w:szCs w:val="14"/>
                <w:color w:val="auto"/>
              </w:rPr>
              <w:t>1 to 5 years</w:t>
            </w:r>
          </w:p>
        </w:tc>
        <w:tc>
          <w:tcPr>
            <w:tcW w:w="1060" w:type="dxa"/>
            <w:vAlign w:val="bottom"/>
          </w:tcPr>
          <w:p>
            <w:pPr>
              <w:jc w:val="right"/>
              <w:ind w:right="214"/>
              <w:spacing w:after="0"/>
              <w:rPr>
                <w:sz w:val="20"/>
                <w:szCs w:val="20"/>
                <w:color w:val="auto"/>
              </w:rPr>
            </w:pPr>
            <w:r>
              <w:rPr>
                <w:rFonts w:ascii="Arial" w:cs="Arial" w:eastAsia="Arial" w:hAnsi="Arial"/>
                <w:sz w:val="14"/>
                <w:szCs w:val="14"/>
                <w:color w:val="auto"/>
              </w:rPr>
              <w:t>&gt;5 years</w:t>
            </w:r>
          </w:p>
        </w:tc>
        <w:tc>
          <w:tcPr>
            <w:tcW w:w="740" w:type="dxa"/>
            <w:vAlign w:val="bottom"/>
          </w:tcPr>
          <w:p>
            <w:pPr>
              <w:jc w:val="right"/>
              <w:ind w:right="54"/>
              <w:spacing w:after="0"/>
              <w:rPr>
                <w:sz w:val="20"/>
                <w:szCs w:val="20"/>
                <w:color w:val="auto"/>
              </w:rPr>
            </w:pPr>
            <w:r>
              <w:rPr>
                <w:rFonts w:ascii="Arial" w:cs="Arial" w:eastAsia="Arial" w:hAnsi="Arial"/>
                <w:sz w:val="14"/>
                <w:szCs w:val="14"/>
                <w:color w:val="auto"/>
              </w:rPr>
              <w:t>Total</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Incidental rental costs</w:t>
            </w:r>
          </w:p>
        </w:tc>
        <w:tc>
          <w:tcPr>
            <w:tcW w:w="3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381</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2,438</w:t>
            </w: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Software and licenses</w:t>
            </w:r>
          </w:p>
        </w:tc>
        <w:tc>
          <w:tcPr>
            <w:tcW w:w="3240" w:type="dxa"/>
            <w:vAlign w:val="bottom"/>
          </w:tcPr>
          <w:p>
            <w:pPr>
              <w:jc w:val="right"/>
              <w:ind w:right="174"/>
              <w:spacing w:after="0"/>
              <w:rPr>
                <w:sz w:val="20"/>
                <w:szCs w:val="20"/>
                <w:color w:val="auto"/>
              </w:rPr>
            </w:pPr>
            <w:r>
              <w:rPr>
                <w:rFonts w:ascii="Arial" w:cs="Arial" w:eastAsia="Arial" w:hAnsi="Arial"/>
                <w:sz w:val="18"/>
                <w:szCs w:val="18"/>
                <w:color w:val="auto"/>
              </w:rPr>
              <w:t>1,012</w:t>
            </w:r>
          </w:p>
        </w:tc>
        <w:tc>
          <w:tcPr>
            <w:tcW w:w="1200" w:type="dxa"/>
            <w:vAlign w:val="bottom"/>
          </w:tcPr>
          <w:p>
            <w:pPr>
              <w:jc w:val="right"/>
              <w:ind w:right="174"/>
              <w:spacing w:after="0"/>
              <w:rPr>
                <w:sz w:val="20"/>
                <w:szCs w:val="20"/>
                <w:color w:val="auto"/>
              </w:rPr>
            </w:pPr>
            <w:r>
              <w:rPr>
                <w:rFonts w:ascii="Arial" w:cs="Arial" w:eastAsia="Arial" w:hAnsi="Arial"/>
                <w:sz w:val="18"/>
                <w:szCs w:val="18"/>
                <w:color w:val="auto"/>
              </w:rPr>
              <w:t>1,117</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2,129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262</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3240" w:type="dxa"/>
            <w:vAlign w:val="bottom"/>
          </w:tcPr>
          <w:p>
            <w:pPr>
              <w:jc w:val="right"/>
              <w:ind w:right="174"/>
              <w:spacing w:after="0"/>
              <w:rPr>
                <w:sz w:val="20"/>
                <w:szCs w:val="20"/>
                <w:color w:val="auto"/>
              </w:rPr>
            </w:pPr>
            <w:r>
              <w:rPr>
                <w:rFonts w:ascii="Arial" w:cs="Arial" w:eastAsia="Arial" w:hAnsi="Arial"/>
                <w:sz w:val="18"/>
                <w:szCs w:val="18"/>
                <w:color w:val="auto"/>
              </w:rPr>
              <w:t>1,655</w:t>
            </w:r>
          </w:p>
        </w:tc>
        <w:tc>
          <w:tcPr>
            <w:tcW w:w="1200" w:type="dxa"/>
            <w:vAlign w:val="bottom"/>
          </w:tcPr>
          <w:p>
            <w:pPr>
              <w:jc w:val="right"/>
              <w:ind w:right="174"/>
              <w:spacing w:after="0"/>
              <w:rPr>
                <w:sz w:val="20"/>
                <w:szCs w:val="20"/>
                <w:color w:val="auto"/>
              </w:rPr>
            </w:pPr>
            <w:r>
              <w:rPr>
                <w:rFonts w:ascii="Arial" w:cs="Arial" w:eastAsia="Arial" w:hAnsi="Arial"/>
                <w:sz w:val="18"/>
                <w:szCs w:val="18"/>
                <w:color w:val="auto"/>
              </w:rPr>
              <w:t>3,555</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2,480</w:t>
            </w:r>
          </w:p>
        </w:tc>
        <w:tc>
          <w:tcPr>
            <w:tcW w:w="740" w:type="dxa"/>
            <w:vAlign w:val="bottom"/>
          </w:tcPr>
          <w:p>
            <w:pPr>
              <w:jc w:val="right"/>
              <w:spacing w:after="0"/>
              <w:rPr>
                <w:sz w:val="20"/>
                <w:szCs w:val="20"/>
                <w:color w:val="auto"/>
              </w:rPr>
            </w:pPr>
            <w:r>
              <w:rPr>
                <w:rFonts w:ascii="Arial" w:cs="Arial" w:eastAsia="Arial" w:hAnsi="Arial"/>
                <w:sz w:val="18"/>
                <w:szCs w:val="18"/>
                <w:color w:val="auto"/>
              </w:rPr>
              <w:t>7,690</w:t>
            </w:r>
          </w:p>
        </w:tc>
      </w:tr>
    </w:tbl>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significant amount in financial obligations from software and licenses includes an agreement for the use of SAP. The other obligations are primarily service contracts.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addition, there are financial obligations from outstanding purchase orders for intangible assets and Property, plant and equipment in the following amounts: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960" w:type="dxa"/>
            <w:vAlign w:val="bottom"/>
            <w:gridSpan w:val="2"/>
          </w:tcPr>
          <w:p>
            <w:pPr>
              <w:ind w:left="840"/>
              <w:spacing w:after="0"/>
              <w:rPr>
                <w:sz w:val="20"/>
                <w:szCs w:val="20"/>
                <w:color w:val="auto"/>
              </w:rPr>
            </w:pPr>
            <w:r>
              <w:rPr>
                <w:rFonts w:ascii="Arial" w:cs="Arial" w:eastAsia="Arial" w:hAnsi="Arial"/>
                <w:sz w:val="14"/>
                <w:szCs w:val="14"/>
                <w:color w:val="auto"/>
              </w:rPr>
              <w:t>December 31,</w:t>
            </w:r>
          </w:p>
        </w:tc>
      </w:tr>
      <w:tr>
        <w:trPr>
          <w:trHeight w:val="167"/>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60" w:type="dxa"/>
            <w:vAlign w:val="bottom"/>
            <w:gridSpan w:val="2"/>
          </w:tcPr>
          <w:p>
            <w:pPr>
              <w:ind w:left="980"/>
              <w:spacing w:after="0"/>
              <w:rPr>
                <w:sz w:val="20"/>
                <w:szCs w:val="20"/>
                <w:color w:val="auto"/>
              </w:rPr>
            </w:pPr>
            <w:r>
              <w:rPr>
                <w:rFonts w:ascii="Arial" w:cs="Arial" w:eastAsia="Arial" w:hAnsi="Arial"/>
                <w:sz w:val="14"/>
                <w:szCs w:val="14"/>
                <w:color w:val="auto"/>
              </w:rPr>
              <w:t>€ thousand</w:t>
            </w:r>
          </w:p>
        </w:tc>
        <w:tc>
          <w:tcPr>
            <w:tcW w:w="1700" w:type="dxa"/>
            <w:vAlign w:val="bottom"/>
          </w:tcPr>
          <w:p>
            <w:pPr>
              <w:jc w:val="right"/>
              <w:ind w:right="237"/>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4"/>
                <w:szCs w:val="14"/>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700" w:type="dxa"/>
            <w:vAlign w:val="bottom"/>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Pr>
          <w:p>
            <w:pPr>
              <w:spacing w:after="0"/>
              <w:rPr>
                <w:sz w:val="18"/>
                <w:szCs w:val="18"/>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b w:val="1"/>
                <w:bCs w:val="1"/>
                <w:color w:val="auto"/>
              </w:rPr>
              <w:t>35.</w:t>
            </w:r>
          </w:p>
        </w:tc>
        <w:tc>
          <w:tcPr>
            <w:tcW w:w="7160" w:type="dxa"/>
            <w:vAlign w:val="bottom"/>
            <w:gridSpan w:val="3"/>
          </w:tcPr>
          <w:p>
            <w:pPr>
              <w:ind w:left="160"/>
              <w:spacing w:after="0"/>
              <w:rPr>
                <w:sz w:val="20"/>
                <w:szCs w:val="20"/>
                <w:color w:val="auto"/>
              </w:rPr>
            </w:pPr>
            <w:r>
              <w:rPr>
                <w:rFonts w:ascii="Arial" w:cs="Arial" w:eastAsia="Arial" w:hAnsi="Arial"/>
                <w:sz w:val="18"/>
                <w:szCs w:val="18"/>
                <w:b w:val="1"/>
                <w:bCs w:val="1"/>
                <w:color w:val="auto"/>
              </w:rPr>
              <w:t>Governing bodies of the Company</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24"/>
        </w:trPr>
        <w:tc>
          <w:tcPr>
            <w:tcW w:w="7540" w:type="dxa"/>
            <w:vAlign w:val="bottom"/>
            <w:gridSpan w:val="4"/>
          </w:tcPr>
          <w:p>
            <w:pPr>
              <w:spacing w:after="0"/>
              <w:rPr>
                <w:sz w:val="20"/>
                <w:szCs w:val="20"/>
                <w:color w:val="auto"/>
              </w:rPr>
            </w:pPr>
            <w:r>
              <w:rPr>
                <w:rFonts w:ascii="Arial" w:cs="Arial" w:eastAsia="Arial" w:hAnsi="Arial"/>
                <w:sz w:val="18"/>
                <w:szCs w:val="18"/>
                <w:color w:val="auto"/>
              </w:rPr>
              <w:t>The Management Board consists of the following members:</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7"/>
        </w:trPr>
        <w:tc>
          <w:tcPr>
            <w:tcW w:w="3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rPr>
              <w:t>Bulent Altan, Co-CEO, Master of Science in Aerospace, Playa Vista, California</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720" w:type="dxa"/>
            <w:vAlign w:val="bottom"/>
            <w:gridSpan w:val="4"/>
          </w:tcPr>
          <w:p>
            <w:pPr>
              <w:ind w:left="180"/>
              <w:spacing w:after="0"/>
              <w:rPr>
                <w:sz w:val="20"/>
                <w:szCs w:val="20"/>
                <w:color w:val="auto"/>
              </w:rPr>
            </w:pPr>
            <w:r>
              <w:rPr>
                <w:rFonts w:ascii="Arial" w:cs="Arial" w:eastAsia="Arial" w:hAnsi="Arial"/>
                <w:sz w:val="18"/>
                <w:szCs w:val="18"/>
                <w:color w:val="auto"/>
                <w:w w:val="92"/>
              </w:rPr>
              <w:t>Mustafa Veziroglu, Co-CEO, Master of Business Administration, Monte Sereno, California, USA (since August 2022)</w:t>
            </w:r>
          </w:p>
        </w:tc>
      </w:tr>
      <w:tr>
        <w:trPr>
          <w:trHeight w:val="338"/>
        </w:trPr>
        <w:tc>
          <w:tcPr>
            <w:tcW w:w="3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rPr>
              <w:t>Stefan Berndt-von Bülow, CFO, graduate in business administration, Tutzing</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80"/>
              <w:spacing w:after="0"/>
              <w:rPr>
                <w:sz w:val="20"/>
                <w:szCs w:val="20"/>
                <w:color w:val="auto"/>
              </w:rPr>
            </w:pPr>
            <w:r>
              <w:rPr>
                <w:rFonts w:ascii="Arial" w:cs="Arial" w:eastAsia="Arial" w:hAnsi="Arial"/>
                <w:sz w:val="18"/>
                <w:szCs w:val="18"/>
                <w:color w:val="auto"/>
              </w:rPr>
              <w:t>Joachim Horwath, CTO, Dipl,-Ing, Gilching</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Supervisory Board consists of the following members:</w:t>
      </w:r>
    </w:p>
    <w:p>
      <w:pPr>
        <w:spacing w:after="0" w:line="131" w:lineRule="exact"/>
        <w:rPr>
          <w:sz w:val="20"/>
          <w:szCs w:val="20"/>
          <w:color w:val="auto"/>
        </w:rPr>
      </w:pPr>
    </w:p>
    <w:p>
      <w:pPr>
        <w:ind w:left="1080" w:hanging="424"/>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Dr, Manfred Krischke, Chairman, CEO of Cloudeo AG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Peter Müller-Brühl, Deputy Chairman, COO of GreenCom Networks AG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Steve Geskos, member of the Supervisory Board, Managing Director Rose Park Advisors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Hans Königsmann, member of the Supervisory Board, Former vice president of flight reliability at SpaceX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Vincent Wobbe, member of the Supervisory Board, Head of Public Markets Investments Apeiron Investment Group</w:t>
      </w:r>
    </w:p>
    <w:p>
      <w:pPr>
        <w:spacing w:after="0" w:line="369" w:lineRule="exact"/>
        <w:rPr>
          <w:rFonts w:ascii="Arial" w:cs="Arial" w:eastAsia="Arial" w:hAnsi="Arial"/>
          <w:sz w:val="18"/>
          <w:szCs w:val="18"/>
          <w:color w:val="auto"/>
        </w:rPr>
      </w:pPr>
    </w:p>
    <w:p>
      <w:pPr>
        <w:ind w:left="660" w:hanging="544"/>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the Management Board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Mustafa Veziroglu has been appointed as Co-CEO with Bulent Altan for the Mynaric AG as of February 1, 2023.</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agreement 2023</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On April 25, 2023, our subsidiary, Mynaric USA Inc. (“Mynaric USA”), entered into a new five-year term loan credit agreement with two funds affiliated with a U.S.-based global investment management firm (the “Lenders”), and Alter Domus (US) LLC, as administrative agent. Pursuant to the credit agreement 2023, the lenders agreed to provide Mynaric USA with a secured term loan facility in an aggregate principal amount of $75 million. Mynaric USA drew the full amount of the facility (subject to a 1% original issue discount) on the day of the execution of the credit agreement 2023. The loans under the credit agreement 2023 bear interest at a rate equal to Term SOFR for a 3-month tenor (subject to a 2% floor), plus a margin of 10%, and for the first two years, interest in an amount equal to 3% can be paid in kind by increasing the principal amount of the loans. In addition, the credit agreement 2023 requires Mynaric USA to pay an exit fee to the Lenders at the time the loans are repaid, prepaid or accelerated. The exit fee is calculated as 200% of “invested capital” less the cumulative amount of principal repayments and cash interest payments on the loans received prior to the exit date,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86" w:right="4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“invested capital” defined to mean $74,250,000 plus the aggregate amount by which the principal amount of the loans is increased as a result of the payment of interest in kind. The exit fee percentage would be reduced to 185% if the exit fee is triggered prior to the fourth anniversary of the drawdown date and 180% if triggered prior to the third anniversary of the drawdown date. In addition, certain partial mandatory prepayments require the payment of a portion of the exit fee prior to the full repayment of the facility.</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loans under the credit agreement 2023 are guaranteed by the Company and each of its subsidiaries and are secured by a security interest in substantially all of the assets of the borrower and each of the guarantors.</w:t>
      </w:r>
    </w:p>
    <w:p>
      <w:pPr>
        <w:spacing w:after="0" w:line="170"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A portion of the proceeds of the loans were used to repay in full the Company’s existing indebtedness under the credit agreement entered into in 2022 and for fees and expenses associated with entering into the credit agreement 2023, the remaining amount will be used for general corporate purposes.</w:t>
      </w:r>
    </w:p>
    <w:p>
      <w:pPr>
        <w:spacing w:after="0" w:line="124"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credit agreement 2023 contains customary events of default, as well as customary affirmative and negative covenants, including covenants that limit the ability of the borrower and the guarantors to incur indebtedness or liens, make investments, sell assets, pay dividends or engage in mergers or other corporate transactions. Each such covenant is subject to customary exceptions and qualifications. In addition, the credit agreement 2023 contains financial maintenance covenants, including a covenant requiring the Company not to exceed a specified consolidated leverage ratio (as calculated in accordance with the credit agreement) as of the end of any quarter commencing with the quarter ending March 31, 2025 and a covenant requiring the Company to maintain minimum average weekly liquidity of $10 million during each quarter, commencing with the quarter ending June 30, 2023.</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connection with the credit agreement 2023, on April 25, 2023, the Company and two affiliates of the Lenders (the “Subscribers”) entered into a subscription agreement, pursuant to which the Subscribers subscribed for 401,309 and 163,915 new ordinary registered shares, respectively. The placement price for the new shares was €22.019 per ordinary share, resulting in an aggregate proceeds raised of €12.4 million. On the same day, the management board of the Company resolved, with the approval of the supervisory board, to increase the Company’s share capital from €5,668,391.00 to €6,233,615.00 by issuing 565,224 new ordinary registered shares by partially utilizing the Authorized Capital 2022/I and with the exclusion of the shareholders’ subscription rights. We applied to the commercial register for the registration of the capital increase on April 27, 2023. Upon effectiveness of the capital increase, the Subscribers will own approximately 6.4% and 2.6%, respectively, of Mynaric’s total share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RSU Program 2022</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November 2022, a new RSU program agreement was set up for 262,147 subscription rights. The subscription right will be granted to selected employees of the Group of restricted stock units (RSUs). Under the RSU Program 2022, each beneficiary will be granted a specific Euro amount, which will be converted into a certain number of RSUs, which is dependent on the six-month average closing price of the shares or share certificates.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RSUs will vest in instalments over a four-year vesting period as follows:</w:t>
      </w:r>
    </w:p>
    <w:p>
      <w:pPr>
        <w:spacing w:after="0" w:line="131" w:lineRule="exact"/>
        <w:rPr>
          <w:sz w:val="20"/>
          <w:szCs w:val="20"/>
          <w:color w:val="auto"/>
        </w:rPr>
      </w:pPr>
    </w:p>
    <w:p>
      <w:pPr>
        <w:ind w:left="540" w:hanging="316"/>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25% of the RSUs vest 12 months after the grant date;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remaining unvested RSUs will vest in equal amounts each quarter thereafter.</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At the discretion of the Company, vested RSUs are settled either (i) by way of new shares utilizing the Authorized Capital 2022/II (as described below under “Description of Share Capital and Articles of Association—Conditional Capital”) or (ii) by way of a cash settlement.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granting of RSUs from the RSU Program 2022 was classified and measured as equity-settled share-based payment in accordance with IFRS 2.</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program was approved by the management board in February 2023 and by the supervisory board in March 2023.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Gilching, April 30, 2023</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Management Board</w:t>
      </w:r>
    </w:p>
    <w:p>
      <w:pPr>
        <w:sectPr>
          <w:pgSz w:w="11900" w:h="16838" w:orient="portrait"/>
          <w:cols w:equalWidth="0" w:num="1">
            <w:col w:w="11140"/>
          </w:cols>
          <w:pgMar w:left="320" w:top="486" w:right="439" w:bottom="1440" w:gutter="0" w:footer="0" w:header="0"/>
        </w:sectPr>
      </w:pPr>
    </w:p>
    <w:p>
      <w:pPr>
        <w:spacing w:after="0" w:line="252" w:lineRule="exact"/>
        <w:rPr>
          <w:sz w:val="20"/>
          <w:szCs w:val="20"/>
          <w:color w:val="auto"/>
        </w:rPr>
      </w:pPr>
    </w:p>
    <w:p>
      <w:pPr>
        <w:jc w:val="center"/>
        <w:ind w:left="20"/>
        <w:spacing w:after="0"/>
        <w:rPr>
          <w:sz w:val="20"/>
          <w:szCs w:val="20"/>
          <w:color w:val="auto"/>
        </w:rPr>
      </w:pPr>
      <w:r>
        <w:rPr>
          <w:rFonts w:ascii="Arial" w:cs="Arial" w:eastAsia="Arial" w:hAnsi="Arial"/>
          <w:sz w:val="17"/>
          <w:szCs w:val="17"/>
          <w:color w:val="auto"/>
        </w:rPr>
        <w:t>Bulent Altan</w:t>
      </w:r>
    </w:p>
    <w:p>
      <w:pPr>
        <w:spacing w:after="0" w:line="3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Co-CEO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Mustafa Veziroglu</w:t>
      </w:r>
    </w:p>
    <w:p>
      <w:pPr>
        <w:spacing w:after="0" w:line="4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Co-CEO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Joachim Horwath</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Founder &amp; CTO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Stefan Berndt-von Bülow CFO</w:t>
      </w:r>
    </w:p>
    <w:p>
      <w:pPr>
        <w:spacing w:after="0" w:line="410" w:lineRule="exact"/>
        <w:rPr>
          <w:sz w:val="20"/>
          <w:szCs w:val="20"/>
          <w:color w:val="auto"/>
        </w:rPr>
      </w:pPr>
    </w:p>
    <w:p>
      <w:pPr>
        <w:sectPr>
          <w:pgSz w:w="11900" w:h="16838" w:orient="portrait"/>
          <w:cols w:equalWidth="0" w:num="4">
            <w:col w:w="3060" w:space="720"/>
            <w:col w:w="2060" w:space="720"/>
            <w:col w:w="1460" w:space="720"/>
            <w:col w:w="2400"/>
          </w:cols>
          <w:pgMar w:left="320" w:top="486"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140"/>
          </w:cols>
          <w:pgMar w:left="320" w:top="486" w:right="43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Mustafa Veziroglu, Chief Executive Officer, certify that:</w:t>
      </w:r>
    </w:p>
    <w:p>
      <w:pPr>
        <w:spacing w:after="0" w:line="131" w:lineRule="exact"/>
        <w:rPr>
          <w:sz w:val="20"/>
          <w:szCs w:val="20"/>
          <w:color w:val="auto"/>
        </w:rPr>
      </w:pPr>
    </w:p>
    <w:p>
      <w:pPr>
        <w:ind w:left="424" w:hanging="424"/>
        <w:spacing w:after="0"/>
        <w:tabs>
          <w:tab w:leader="none" w:pos="42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20-F/A of Mynaric AG;</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91" w:lineRule="auto"/>
        <w:tabs>
          <w:tab w:leader="none" w:pos="42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964" w:right="320" w:hanging="532"/>
        <w:spacing w:after="0" w:line="342" w:lineRule="auto"/>
        <w:tabs>
          <w:tab w:leader="none" w:pos="96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620" w:hanging="532"/>
        <w:spacing w:after="0" w:line="342" w:lineRule="auto"/>
        <w:tabs>
          <w:tab w:leader="none" w:pos="96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320" w:hanging="532"/>
        <w:spacing w:after="0" w:line="277" w:lineRule="auto"/>
        <w:tabs>
          <w:tab w:leader="none" w:pos="96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23, 2023</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Mustafa Veziroglu</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4"/>
          </w:cols>
          <w:pgMar w:left="436" w:top="121" w:right="4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Stefan Berndt-von Bülow, Chief Financial Officer, certify that:</w:t>
      </w:r>
    </w:p>
    <w:p>
      <w:pPr>
        <w:spacing w:after="0" w:line="131" w:lineRule="exact"/>
        <w:rPr>
          <w:sz w:val="20"/>
          <w:szCs w:val="20"/>
          <w:color w:val="auto"/>
        </w:rPr>
      </w:pPr>
    </w:p>
    <w:p>
      <w:pPr>
        <w:ind w:left="424" w:hanging="424"/>
        <w:spacing w:after="0"/>
        <w:tabs>
          <w:tab w:leader="none" w:pos="42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20-F/A of Mynaric AG;</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91" w:lineRule="auto"/>
        <w:tabs>
          <w:tab w:leader="none" w:pos="42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964" w:right="320" w:hanging="532"/>
        <w:spacing w:after="0" w:line="342" w:lineRule="auto"/>
        <w:tabs>
          <w:tab w:leader="none" w:pos="964"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620" w:hanging="532"/>
        <w:spacing w:after="0" w:line="342" w:lineRule="auto"/>
        <w:tabs>
          <w:tab w:leader="none" w:pos="964"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320" w:hanging="532"/>
        <w:spacing w:after="0" w:line="277" w:lineRule="auto"/>
        <w:tabs>
          <w:tab w:leader="none" w:pos="96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23, 2023</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Stefan Berndt-von Bülow</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4"/>
          </w:cols>
          <w:pgMar w:left="436" w:top="121" w:right="4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I, Mustafa Veziroglu, Chief Executive Officer of Mynaric AG (the “Company”) hereby certify, pursuant to 18 U.S.C. Section 1350, as adopted pursuant to Section 906 of the Sarbanes-Oxley Act of 2002, that to the best of my knowledge:</w:t>
      </w:r>
    </w:p>
    <w:p>
      <w:pPr>
        <w:spacing w:after="0" w:line="76" w:lineRule="exact"/>
        <w:rPr>
          <w:sz w:val="20"/>
          <w:szCs w:val="20"/>
          <w:color w:val="auto"/>
        </w:rPr>
      </w:pPr>
    </w:p>
    <w:p>
      <w:pPr>
        <w:ind w:left="424" w:right="60" w:hanging="424"/>
        <w:spacing w:after="0" w:line="277" w:lineRule="auto"/>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Annual Report on Form 20-F/A of the Company for the year ended December 31, 2022 (the “Report”) fully complies with the requirements of Section 13(a) or 15(d) of the Exchange Act;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23, 2023</w:t>
      </w:r>
    </w:p>
    <w:p>
      <w:pPr>
        <w:spacing w:after="0" w:line="200" w:lineRule="exact"/>
        <w:rPr>
          <w:sz w:val="20"/>
          <w:szCs w:val="20"/>
          <w:color w:val="auto"/>
        </w:rPr>
      </w:pPr>
    </w:p>
    <w:p>
      <w:pPr>
        <w:spacing w:after="0" w:line="26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Mustafa Veziroglu</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024"/>
          </w:cols>
          <w:pgMar w:left="436" w:top="121" w:right="4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 Stefan Berndt-von Bülow, Chief Financial Officer of Mynaric AG (the “Company”) hereby certify, pursuant to 18 U.S.C. Section 1350, as adopted pursuant to Section 906 of the Sarbanes-Oxley Act of 2002, that to the best of my knowledge:</w:t>
      </w:r>
    </w:p>
    <w:p>
      <w:pPr>
        <w:spacing w:after="0" w:line="76" w:lineRule="exact"/>
        <w:rPr>
          <w:sz w:val="20"/>
          <w:szCs w:val="20"/>
          <w:color w:val="auto"/>
        </w:rPr>
      </w:pPr>
    </w:p>
    <w:p>
      <w:pPr>
        <w:ind w:left="424" w:right="60" w:hanging="424"/>
        <w:spacing w:after="0" w:line="277" w:lineRule="auto"/>
        <w:tabs>
          <w:tab w:leader="none" w:pos="4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Annual Report on Form 20-F/A of the Company for the year ended December 31, 2022 (the “Report”) fully complies with the requirements of Section 13(a) or 15(d) of the Exchange Act;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23, 2023</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Stefan Berndt-von Bülow</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024"/>
          </w:cols>
          <w:pgMar w:left="436" w:top="121" w:right="4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consent to the incorporation by reference in the registration statement (No. 333-266365) on Form S-8 of our report dated May 1, 2023, with respect to the consolidated financial statements of Mynaric AG.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 KPMG AG Wirtschaftsprüfungsgesellschaft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23,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1)"/>
      <w:numFmt w:val="decimal"/>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1."/>
      <w:numFmt w:val="upperLetter"/>
      <w:start w:val="1"/>
    </w:lvl>
  </w:abstractNum>
  <w:abstractNum w:abstractNumId="13">
    <w:nsid w:val="14330624"/>
    <w:multiLevelType w:val="hybridMultilevel"/>
    <w:lvl w:ilvl="0">
      <w:lvlJc w:val="left"/>
      <w:lvlText w:val="(%1)"/>
      <w:numFmt w:val="lowerRoman"/>
      <w:start w:val="2"/>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1)"/>
      <w:numFmt w:val="lowerRoman"/>
      <w:start w:val="2"/>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1)"/>
      <w:numFmt w:val="decimal"/>
      <w:start w:val="1"/>
    </w:lvl>
  </w:abstractNum>
  <w:abstractNum w:abstractNumId="31">
    <w:nsid w:val="46B7D447"/>
    <w:multiLevelType w:val="hybridMultilevel"/>
    <w:lvl w:ilvl="0">
      <w:lvlJc w:val="left"/>
      <w:lvlText w:val="(%1)"/>
      <w:numFmt w:val="decimal"/>
      <w:start w:val="1"/>
    </w:lvl>
  </w:abstractNum>
  <w:abstractNum w:abstractNumId="32">
    <w:nsid w:val="4A2AC315"/>
    <w:multiLevelType w:val="hybridMultilevel"/>
    <w:lvl w:ilvl="0">
      <w:lvlJc w:val="left"/>
      <w:lvlText w:val="(%1)"/>
      <w:numFmt w:val="decimal"/>
      <w:start w:val="2"/>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1)"/>
      <w:numFmt w:val="decimal"/>
      <w:start w:val="1"/>
    </w:lvl>
  </w:abstractNum>
  <w:abstractNum w:abstractNumId="37">
    <w:nsid w:val="60EF0119"/>
    <w:multiLevelType w:val="hybridMultilevel"/>
    <w:lvl w:ilvl="0">
      <w:lvlJc w:val="left"/>
      <w:lvlText w:val="(%1)"/>
      <w:numFmt w:val="decimal"/>
      <w:start w:val="1"/>
    </w:lvl>
  </w:abstractNum>
  <w:abstractNum w:abstractNumId="38">
    <w:nsid w:val="26F324BA"/>
    <w:multiLevelType w:val="hybridMultilevel"/>
    <w:lvl w:ilvl="0">
      <w:lvlJc w:val="left"/>
      <w:lvlText w:val="(%1)"/>
      <w:numFmt w:val="decimal"/>
      <w:start w:val="6"/>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1)"/>
      <w:numFmt w:val="decimal"/>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1)"/>
      <w:numFmt w:val="lowerRoman"/>
      <w:start w:val="2"/>
    </w:lvl>
  </w:abstractNum>
  <w:abstractNum w:abstractNumId="44">
    <w:nsid w:val="488AC1A"/>
    <w:multiLevelType w:val="hybridMultilevel"/>
    <w:lvl w:ilvl="0">
      <w:lvlJc w:val="left"/>
      <w:lvlText w:val="(%1)"/>
      <w:numFmt w:val="decimal"/>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1)"/>
      <w:numFmt w:val="decimal"/>
      <w:start w:val="1"/>
    </w:lvl>
  </w:abstractNum>
  <w:abstractNum w:abstractNumId="47">
    <w:nsid w:val="7672BD23"/>
    <w:multiLevelType w:val="hybridMultilevel"/>
    <w:lvl w:ilvl="0">
      <w:lvlJc w:val="left"/>
      <w:lvlText w:val="(%1)"/>
      <w:numFmt w:val="decimal"/>
      <w:start w:val="1"/>
    </w:lvl>
  </w:abstractNum>
  <w:abstractNum w:abstractNumId="48">
    <w:nsid w:val="6FC75AF8"/>
    <w:multiLevelType w:val="hybridMultilevel"/>
    <w:lvl w:ilvl="0">
      <w:lvlJc w:val="left"/>
      <w:lvlText w:val="(%1)"/>
      <w:numFmt w:val="lowerRoman"/>
      <w:start w:val="1"/>
    </w:lvl>
  </w:abstractNum>
  <w:abstractNum w:abstractNumId="49">
    <w:nsid w:val="6A5F7029"/>
    <w:multiLevelType w:val="hybridMultilevel"/>
    <w:lvl w:ilvl="0">
      <w:lvlJc w:val="left"/>
      <w:lvlText w:val="(%1)"/>
      <w:numFmt w:val="lowerRoman"/>
      <w:start w:val="1"/>
    </w:lvl>
  </w:abstractNum>
  <w:abstractNum w:abstractNumId="50">
    <w:nsid w:val="7D5E18F8"/>
    <w:multiLevelType w:val="hybridMultilevel"/>
    <w:lvl w:ilvl="0">
      <w:lvlJc w:val="left"/>
      <w:lvlText w:val="(%1)"/>
      <w:numFmt w:val="lowerRoman"/>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1)"/>
      <w:numFmt w:val="decimal"/>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1)"/>
      <w:numFmt w:val="lowerRoman"/>
      <w:start w:val="2"/>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lvl w:ilvl="1">
      <w:lvlJc w:val="left"/>
      <w:lvlText w:val="•"/>
      <w:numFmt w:val="bullet"/>
      <w:start w:val="1"/>
    </w:lvl>
  </w:abstractNum>
  <w:abstractNum w:abstractNumId="66">
    <w:nsid w:val="2A155DB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lvl w:ilvl="1">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1."/>
      <w:numFmt w:val="decimal"/>
      <w:start w:val="1"/>
    </w:lvl>
  </w:abstractNum>
  <w:abstractNum w:abstractNumId="74">
    <w:nsid w:val="23D86AAC"/>
    <w:multiLevelType w:val="hybridMultilevel"/>
    <w:lvl w:ilvl="0">
      <w:lvlJc w:val="left"/>
      <w:lvlText w:val="%1."/>
      <w:numFmt w:val="decimal"/>
      <w:start w:val="2"/>
    </w:lvl>
  </w:abstractNum>
  <w:abstractNum w:abstractNumId="75">
    <w:nsid w:val="45E6D486"/>
    <w:multiLevelType w:val="hybridMultilevel"/>
    <w:lvl w:ilvl="0">
      <w:lvlJc w:val="left"/>
      <w:lvlText w:val="%1."/>
      <w:numFmt w:val="decimal"/>
      <w:start w:val="3"/>
    </w:lvl>
  </w:abstractNum>
  <w:abstractNum w:abstractNumId="76">
    <w:nsid w:val="5C10FE21"/>
    <w:multiLevelType w:val="hybridMultilevel"/>
    <w:lvl w:ilvl="0">
      <w:lvlJc w:val="left"/>
      <w:lvlText w:val="3.%1."/>
      <w:numFmt w:val="decimal"/>
      <w:start w:val="1"/>
    </w:lvl>
  </w:abstractNum>
  <w:abstractNum w:abstractNumId="77">
    <w:nsid w:val="E7FFA2B"/>
    <w:multiLevelType w:val="hybridMultilevel"/>
    <w:lvl w:ilvl="0">
      <w:lvlJc w:val="left"/>
      <w:lvlText w:val="1"/>
      <w:numFmt w:val="bullet"/>
      <w:start w:val="1"/>
    </w:lvl>
  </w:abstractNum>
  <w:abstractNum w:abstractNumId="78">
    <w:nsid w:val="3C5991AA"/>
    <w:multiLevelType w:val="hybridMultilevel"/>
    <w:lvl w:ilvl="0">
      <w:lvlJc w:val="left"/>
      <w:lvlText w:val="%1)"/>
      <w:numFmt w:val="lowerLetter"/>
      <w:start w:val="1"/>
    </w:lvl>
  </w:abstractNum>
  <w:abstractNum w:abstractNumId="79">
    <w:nsid w:val="4BD8591A"/>
    <w:multiLevelType w:val="hybridMultilevel"/>
    <w:lvl w:ilvl="0">
      <w:lvlJc w:val="left"/>
      <w:lvlText w:val="%1)"/>
      <w:numFmt w:val="lowerLetter"/>
      <w:start w:val="2"/>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1)"/>
      <w:numFmt w:val="lowerLetter"/>
      <w:start w:val="3"/>
    </w:lvl>
  </w:abstractNum>
  <w:abstractNum w:abstractNumId="82">
    <w:nsid w:val="2B0D8DBE"/>
    <w:multiLevelType w:val="hybridMultilevel"/>
    <w:lvl w:ilvl="0">
      <w:lvlJc w:val="left"/>
      <w:lvlText w:val="%1)"/>
      <w:numFmt w:val="lowerLetter"/>
      <w:start w:val="4"/>
    </w:lvl>
  </w:abstractNum>
  <w:abstractNum w:abstractNumId="83">
    <w:nsid w:val="6C80EC70"/>
    <w:multiLevelType w:val="hybridMultilevel"/>
    <w:lvl w:ilvl="0">
      <w:lvlJc w:val="left"/>
      <w:lvlText w:val="%1)"/>
      <w:numFmt w:val="lowerLetter"/>
      <w:start w:val="5"/>
    </w:lvl>
  </w:abstractNum>
  <w:abstractNum w:abstractNumId="84">
    <w:nsid w:val="379E21B5"/>
    <w:multiLevelType w:val="hybridMultilevel"/>
    <w:lvl w:ilvl="0">
      <w:lvlJc w:val="left"/>
      <w:lvlText w:val="%1)"/>
      <w:numFmt w:val="lowerLetter"/>
      <w:start w:val="6"/>
    </w:lvl>
  </w:abstractNum>
  <w:abstractNum w:abstractNumId="85">
    <w:nsid w:val="69E373"/>
    <w:multiLevelType w:val="hybridMultilevel"/>
    <w:lvl w:ilvl="0">
      <w:lvlJc w:val="left"/>
      <w:lvlText w:val="%1)"/>
      <w:numFmt w:val="lowerLetter"/>
      <w:start w:val="7"/>
    </w:lvl>
  </w:abstractNum>
  <w:abstractNum w:abstractNumId="86">
    <w:nsid w:val="2C27173B"/>
    <w:multiLevelType w:val="hybridMultilevel"/>
    <w:lvl w:ilvl="0">
      <w:lvlJc w:val="left"/>
      <w:lvlText w:val="%1)"/>
      <w:numFmt w:val="lowerLetter"/>
      <w:start w:val="8"/>
    </w:lvl>
  </w:abstractNum>
  <w:abstractNum w:abstractNumId="87">
    <w:nsid w:val="4C9B0904"/>
    <w:multiLevelType w:val="hybridMultilevel"/>
    <w:lvl w:ilvl="0">
      <w:lvlJc w:val="left"/>
      <w:lvlText w:val="%1)"/>
      <w:numFmt w:val="lowerRoman"/>
      <w:start w:val="1"/>
    </w:lvl>
  </w:abstractNum>
  <w:abstractNum w:abstractNumId="88">
    <w:nsid w:val="6AA7B75C"/>
    <w:multiLevelType w:val="hybridMultilevel"/>
    <w:lvl w:ilvl="0">
      <w:lvlJc w:val="left"/>
      <w:lvlText w:val="%1)"/>
      <w:numFmt w:val="lowerLetter"/>
      <w:start w:val="10"/>
    </w:lvl>
  </w:abstractNum>
  <w:abstractNum w:abstractNumId="89">
    <w:nsid w:val="1DF029D3"/>
    <w:multiLevelType w:val="hybridMultilevel"/>
    <w:lvl w:ilvl="0">
      <w:lvlJc w:val="left"/>
      <w:lvlText w:val="%1)"/>
      <w:numFmt w:val="lowerLetter"/>
      <w:start w:val="10"/>
    </w:lvl>
  </w:abstractNum>
  <w:abstractNum w:abstractNumId="90">
    <w:nsid w:val="5675FF36"/>
    <w:multiLevelType w:val="hybridMultilevel"/>
    <w:lvl w:ilvl="0">
      <w:lvlJc w:val="left"/>
      <w:lvlText w:val="•"/>
      <w:numFmt w:val="bullet"/>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1)"/>
      <w:numFmt w:val="lowerLetter"/>
      <w:start w:val="10"/>
    </w:lvl>
  </w:abstractNum>
  <w:abstractNum w:abstractNumId="93">
    <w:nsid w:val="2708C9AF"/>
    <w:multiLevelType w:val="hybridMultilevel"/>
    <w:lvl w:ilvl="0">
      <w:lvlJc w:val="left"/>
      <w:lvlText w:val="%1)"/>
      <w:numFmt w:val="lowerLetter"/>
      <w:start w:val="11"/>
    </w:lvl>
  </w:abstractNum>
  <w:abstractNum w:abstractNumId="94">
    <w:nsid w:val="5B25ACE2"/>
    <w:multiLevelType w:val="hybridMultilevel"/>
    <w:lvl w:ilvl="0">
      <w:lvlJc w:val="left"/>
      <w:lvlText w:val="%1)"/>
      <w:numFmt w:val="lowerLetter"/>
      <w:start w:val="12"/>
    </w:lvl>
  </w:abstractNum>
  <w:abstractNum w:abstractNumId="95">
    <w:nsid w:val="175DFCF0"/>
    <w:multiLevelType w:val="hybridMultilevel"/>
    <w:lvl w:ilvl="0">
      <w:lvlJc w:val="left"/>
      <w:lvlText w:val="%1)"/>
      <w:numFmt w:val="lowerLetter"/>
      <w:start w:val="13"/>
    </w:lvl>
  </w:abstractNum>
  <w:abstractNum w:abstractNumId="96">
    <w:nsid w:val="4F97E3E4"/>
    <w:multiLevelType w:val="hybridMultilevel"/>
    <w:lvl w:ilvl="0">
      <w:lvlJc w:val="left"/>
      <w:lvlText w:val="%1)"/>
      <w:numFmt w:val="lowerLetter"/>
      <w:start w:val="14"/>
    </w:lvl>
  </w:abstractNum>
  <w:abstractNum w:abstractNumId="97">
    <w:nsid w:val="53B0A9E"/>
    <w:multiLevelType w:val="hybridMultilevel"/>
    <w:lvl w:ilvl="0">
      <w:lvlJc w:val="left"/>
      <w:lvlText w:val="%1)"/>
      <w:numFmt w:val="lowerLetter"/>
      <w:start w:val="15"/>
    </w:lvl>
  </w:abstractNum>
  <w:abstractNum w:abstractNumId="98">
    <w:nsid w:val="34FD6B4F"/>
    <w:multiLevelType w:val="hybridMultilevel"/>
    <w:lvl w:ilvl="0">
      <w:lvlJc w:val="left"/>
      <w:lvlText w:val="%1)"/>
      <w:numFmt w:val="lowerLetter"/>
      <w:start w:val="16"/>
    </w:lvl>
  </w:abstractNum>
  <w:abstractNum w:abstractNumId="99">
    <w:nsid w:val="5915FF32"/>
    <w:multiLevelType w:val="hybridMultilevel"/>
    <w:lvl w:ilvl="0">
      <w:lvlJc w:val="left"/>
      <w:lvlText w:val="%1)"/>
      <w:numFmt w:val="lowerLetter"/>
      <w:start w:val="16"/>
    </w:lvl>
  </w:abstractNum>
  <w:abstractNum w:abstractNumId="100">
    <w:nsid w:val="56438D15"/>
    <w:multiLevelType w:val="hybridMultilevel"/>
    <w:lvl w:ilvl="0">
      <w:lvlJc w:val="left"/>
      <w:lvlText w:val="•"/>
      <w:numFmt w:val="bullet"/>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1)"/>
      <w:numFmt w:val="lowerLetter"/>
      <w:start w:val="16"/>
    </w:lvl>
  </w:abstractNum>
  <w:abstractNum w:abstractNumId="103">
    <w:nsid w:val="17A1B582"/>
    <w:multiLevelType w:val="hybridMultilevel"/>
    <w:lvl w:ilvl="0">
      <w:lvlJc w:val="left"/>
      <w:lvlText w:val="%1)"/>
      <w:numFmt w:val="lowerLetter"/>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1)"/>
      <w:numFmt w:val="lowerLetter"/>
      <w:start w:val="2"/>
    </w:lvl>
  </w:abstractNum>
  <w:abstractNum w:abstractNumId="106">
    <w:nsid w:val="5D888A08"/>
    <w:multiLevelType w:val="hybridMultilevel"/>
    <w:lvl w:ilvl="0">
      <w:lvlJc w:val="left"/>
      <w:lvlText w:val="%1."/>
      <w:numFmt w:val="decimal"/>
      <w:start w:val="4"/>
    </w:lvl>
  </w:abstractNum>
  <w:abstractNum w:abstractNumId="107">
    <w:nsid w:val="2A082C70"/>
    <w:multiLevelType w:val="hybridMultilevel"/>
    <w:lvl w:ilvl="0">
      <w:lvlJc w:val="left"/>
      <w:lvlText w:val="%1)"/>
      <w:numFmt w:val="lowerLetter"/>
      <w:start w:val="1"/>
    </w:lvl>
  </w:abstractNum>
  <w:abstractNum w:abstractNumId="108">
    <w:nsid w:val="5EC6AFD4"/>
    <w:multiLevelType w:val="hybridMultilevel"/>
    <w:lvl w:ilvl="0">
      <w:lvlJc w:val="left"/>
      <w:lvlText w:val="%1)"/>
      <w:numFmt w:val="lowerLetter"/>
      <w:start w:val="2"/>
    </w:lvl>
  </w:abstractNum>
  <w:abstractNum w:abstractNumId="109">
    <w:nsid w:val="19E21BB2"/>
    <w:multiLevelType w:val="hybridMultilevel"/>
    <w:lvl w:ilvl="0">
      <w:lvlJc w:val="left"/>
      <w:lvlText w:val="%1)"/>
      <w:numFmt w:val="lowerLetter"/>
      <w:start w:val="3"/>
    </w:lvl>
  </w:abstractNum>
  <w:abstractNum w:abstractNumId="110">
    <w:nsid w:val="75E0858A"/>
    <w:multiLevelType w:val="hybridMultilevel"/>
    <w:lvl w:ilvl="0">
      <w:lvlJc w:val="left"/>
      <w:lvlText w:val="%1)"/>
      <w:numFmt w:val="lowerLetter"/>
      <w:start w:val="1"/>
    </w:lvl>
  </w:abstractNum>
  <w:abstractNum w:abstractNumId="111">
    <w:nsid w:val="57A61A29"/>
    <w:multiLevelType w:val="hybridMultilevel"/>
    <w:lvl w:ilvl="0">
      <w:lvlJc w:val="left"/>
      <w:lvlText w:val="%1)"/>
      <w:numFmt w:val="lowerLetter"/>
      <w:start w:val="2"/>
    </w:lvl>
  </w:abstractNum>
  <w:abstractNum w:abstractNumId="112">
    <w:nsid w:val="5399C654"/>
    <w:multiLevelType w:val="hybridMultilevel"/>
    <w:lvl w:ilvl="0">
      <w:lvlJc w:val="left"/>
      <w:lvlText w:val="%1)"/>
      <w:numFmt w:val="lowerLetter"/>
      <w:start w:val="3"/>
    </w:lvl>
  </w:abstractNum>
  <w:abstractNum w:abstractNumId="113">
    <w:nsid w:val="20EE1348"/>
    <w:multiLevelType w:val="hybridMultilevel"/>
    <w:lvl w:ilvl="0">
      <w:lvlJc w:val="left"/>
      <w:lvlText w:val="%1)"/>
      <w:numFmt w:val="lowerLetter"/>
      <w:start w:val="4"/>
    </w:lvl>
  </w:abstractNum>
  <w:abstractNum w:abstractNumId="114">
    <w:nsid w:val="4427069A"/>
    <w:multiLevelType w:val="hybridMultilevel"/>
    <w:lvl w:ilvl="0">
      <w:lvlJc w:val="left"/>
      <w:lvlText w:val="%1)"/>
      <w:numFmt w:val="lowerLetter"/>
      <w:start w:val="5"/>
    </w:lvl>
  </w:abstractNum>
  <w:abstractNum w:abstractNumId="115">
    <w:nsid w:val="B37E80A"/>
    <w:multiLevelType w:val="hybridMultilevel"/>
    <w:lvl w:ilvl="0">
      <w:lvlJc w:val="left"/>
      <w:lvlText w:val="%1."/>
      <w:numFmt w:val="decimal"/>
      <w:start w:val="5"/>
    </w:lvl>
  </w:abstractNum>
  <w:abstractNum w:abstractNumId="116">
    <w:nsid w:val="2157F6BC"/>
    <w:multiLevelType w:val="hybridMultilevel"/>
    <w:lvl w:ilvl="0">
      <w:lvlJc w:val="left"/>
      <w:lvlText w:val="%1)"/>
      <w:numFmt w:val="decimal"/>
      <w:start w:val="36"/>
    </w:lvl>
  </w:abstractNum>
  <w:abstractNum w:abstractNumId="117">
    <w:nsid w:val="704E1DD5"/>
    <w:multiLevelType w:val="hybridMultilevel"/>
    <w:lvl w:ilvl="0">
      <w:lvlJc w:val="left"/>
      <w:lvlText w:val="2"/>
      <w:numFmt w:val="bullet"/>
      <w:start w:val="1"/>
    </w:lvl>
  </w:abstractNum>
  <w:abstractNum w:abstractNumId="118">
    <w:nsid w:val="57D2F10E"/>
    <w:multiLevelType w:val="hybridMultilevel"/>
    <w:lvl w:ilvl="0">
      <w:lvlJc w:val="left"/>
      <w:lvlText w:val="3"/>
      <w:numFmt w:val="bullet"/>
      <w:start w:val="1"/>
    </w:lvl>
  </w:abstractNum>
  <w:abstractNum w:abstractNumId="119">
    <w:nsid w:val="BFFAE18"/>
    <w:multiLevelType w:val="hybridMultilevel"/>
    <w:lvl w:ilvl="0">
      <w:lvlJc w:val="left"/>
      <w:lvlText w:val="4"/>
      <w:numFmt w:val="bullet"/>
      <w:start w:val="1"/>
    </w:lvl>
  </w:abstractNum>
  <w:abstractNum w:abstractNumId="120">
    <w:nsid w:val="E3E47A8"/>
    <w:multiLevelType w:val="hybridMultilevel"/>
    <w:lvl w:ilvl="0">
      <w:lvlJc w:val="left"/>
      <w:lvlText w:val="%1."/>
      <w:numFmt w:val="decimal"/>
      <w:start w:val="6"/>
    </w:lvl>
  </w:abstractNum>
  <w:abstractNum w:abstractNumId="121">
    <w:nsid w:val="2E48F044"/>
    <w:multiLevelType w:val="hybridMultilevel"/>
    <w:lvl w:ilvl="0">
      <w:lvlJc w:val="left"/>
      <w:lvlText w:val="%1."/>
      <w:numFmt w:val="decimal"/>
      <w:start w:val="7"/>
    </w:lvl>
  </w:abstractNum>
  <w:abstractNum w:abstractNumId="122">
    <w:nsid w:val="49D0FEAC"/>
    <w:multiLevelType w:val="hybridMultilevel"/>
    <w:lvl w:ilvl="0">
      <w:lvlJc w:val="left"/>
      <w:lvlText w:val="%1."/>
      <w:numFmt w:val="decimal"/>
      <w:start w:val="8"/>
    </w:lvl>
  </w:abstractNum>
  <w:abstractNum w:abstractNumId="123">
    <w:nsid w:val="4BEE5A5B"/>
    <w:multiLevelType w:val="hybridMultilevel"/>
    <w:lvl w:ilvl="0">
      <w:lvlJc w:val="left"/>
      <w:lvlText w:val="%1."/>
      <w:numFmt w:val="decimal"/>
      <w:start w:val="9"/>
    </w:lvl>
  </w:abstractNum>
  <w:abstractNum w:abstractNumId="124">
    <w:nsid w:val="5551B9F3"/>
    <w:multiLevelType w:val="hybridMultilevel"/>
    <w:lvl w:ilvl="0">
      <w:lvlJc w:val="left"/>
      <w:lvlText w:val="5"/>
      <w:numFmt w:val="bullet"/>
      <w:start w:val="1"/>
    </w:lvl>
  </w:abstractNum>
  <w:abstractNum w:abstractNumId="125">
    <w:nsid w:val="24F6AB8E"/>
    <w:multiLevelType w:val="hybridMultilevel"/>
    <w:lvl w:ilvl="0">
      <w:lvlJc w:val="left"/>
      <w:lvlText w:val="%1."/>
      <w:numFmt w:val="decimal"/>
      <w:start w:val="10"/>
    </w:lvl>
  </w:abstractNum>
  <w:abstractNum w:abstractNumId="126">
    <w:nsid w:val="634C574C"/>
    <w:multiLevelType w:val="hybridMultilevel"/>
    <w:lvl w:ilvl="0">
      <w:lvlJc w:val="left"/>
      <w:lvlText w:val="%1."/>
      <w:numFmt w:val="decimal"/>
      <w:start w:val="11"/>
    </w:lvl>
  </w:abstractNum>
  <w:abstractNum w:abstractNumId="127">
    <w:nsid w:val="24E99DD7"/>
    <w:multiLevelType w:val="hybridMultilevel"/>
    <w:lvl w:ilvl="0">
      <w:lvlJc w:val="left"/>
      <w:lvlText w:val="%1."/>
      <w:numFmt w:val="decimal"/>
      <w:start w:val="12"/>
    </w:lvl>
  </w:abstractNum>
  <w:abstractNum w:abstractNumId="128">
    <w:nsid w:val="2A31B62D"/>
    <w:multiLevelType w:val="hybridMultilevel"/>
    <w:lvl w:ilvl="0">
      <w:lvlJc w:val="left"/>
      <w:lvlText w:val="%1."/>
      <w:numFmt w:val="decimal"/>
      <w:start w:val="13"/>
    </w:lvl>
  </w:abstractNum>
  <w:abstractNum w:abstractNumId="129">
    <w:nsid w:val="1849C29B"/>
    <w:multiLevelType w:val="hybridMultilevel"/>
    <w:lvl w:ilvl="0">
      <w:lvlJc w:val="left"/>
      <w:lvlText w:val="%1."/>
      <w:numFmt w:val="decimal"/>
      <w:start w:val="16"/>
    </w:lvl>
  </w:abstractNum>
  <w:abstractNum w:abstractNumId="130">
    <w:nsid w:val="7DFF9D09"/>
    <w:multiLevelType w:val="hybridMultilevel"/>
    <w:lvl w:ilvl="0">
      <w:lvlJc w:val="left"/>
      <w:lvlText w:val="%1."/>
      <w:numFmt w:val="decimal"/>
      <w:start w:val="17"/>
    </w:lvl>
  </w:abstractNum>
  <w:abstractNum w:abstractNumId="131">
    <w:nsid w:val="754342"/>
    <w:multiLevelType w:val="hybridMultilevel"/>
    <w:lvl w:ilvl="0">
      <w:lvlJc w:val="left"/>
      <w:lvlText w:val="%1."/>
      <w:numFmt w:val="decimal"/>
      <w:start w:val="18"/>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2"/>
    </w:lvl>
  </w:abstractNum>
  <w:abstractNum w:abstractNumId="134">
    <w:nsid w:val="1816F8C4"/>
    <w:multiLevelType w:val="hybridMultilevel"/>
    <w:lvl w:ilvl="0">
      <w:lvlJc w:val="left"/>
      <w:lvlText w:val="%1)"/>
      <w:numFmt w:val="lowerLetter"/>
      <w:start w:val="3"/>
    </w:lvl>
  </w:abstractNum>
  <w:abstractNum w:abstractNumId="135">
    <w:nsid w:val="37DF2233"/>
    <w:multiLevelType w:val="hybridMultilevel"/>
    <w:lvl w:ilvl="0">
      <w:lvlJc w:val="left"/>
      <w:lvlText w:val="•"/>
      <w:numFmt w:val="bullet"/>
      <w:start w:val="1"/>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
      <w:numFmt w:val="bullet"/>
      <w:start w:val="1"/>
    </w:lvl>
  </w:abstractNum>
  <w:abstractNum w:abstractNumId="139">
    <w:nsid w:val="597B4D84"/>
    <w:multiLevelType w:val="hybridMultilevel"/>
    <w:lvl w:ilvl="0">
      <w:lvlJc w:val="left"/>
      <w:lvlText w:val="%1)"/>
      <w:numFmt w:val="lowerLetter"/>
      <w:start w:val="1"/>
    </w:lvl>
  </w:abstractNum>
  <w:abstractNum w:abstractNumId="140">
    <w:nsid w:val="F819E7F"/>
    <w:multiLevelType w:val="hybridMultilevel"/>
    <w:lvl w:ilvl="0">
      <w:lvlJc w:val="left"/>
      <w:lvlText w:val="%1)"/>
      <w:numFmt w:val="lowerLetter"/>
      <w:start w:val="2"/>
    </w:lvl>
  </w:abstractNum>
  <w:abstractNum w:abstractNumId="141">
    <w:nsid w:val="57C7D42D"/>
    <w:multiLevelType w:val="hybridMultilevel"/>
    <w:lvl w:ilvl="0">
      <w:lvlJc w:val="left"/>
      <w:lvlText w:val="%1)"/>
      <w:numFmt w:val="lowerLetter"/>
      <w:start w:val="3"/>
    </w:lvl>
  </w:abstractNum>
  <w:abstractNum w:abstractNumId="142">
    <w:nsid w:val="312167AD"/>
    <w:multiLevelType w:val="hybridMultilevel"/>
    <w:lvl w:ilvl="0">
      <w:lvlJc w:val="left"/>
      <w:lvlText w:val="%1."/>
      <w:numFmt w:val="decimal"/>
      <w:start w:val="34"/>
    </w:lvl>
  </w:abstractNum>
  <w:abstractNum w:abstractNumId="143">
    <w:nsid w:val="631B64D4"/>
    <w:multiLevelType w:val="hybridMultilevel"/>
    <w:lvl w:ilvl="0">
      <w:lvlJc w:val="left"/>
      <w:lvlText w:val="34.%1."/>
      <w:numFmt w:val="decimal"/>
      <w:start w:val="1"/>
    </w:lvl>
  </w:abstractNum>
  <w:abstractNum w:abstractNumId="144">
    <w:nsid w:val="78B5E776"/>
    <w:multiLevelType w:val="hybridMultilevel"/>
    <w:lvl w:ilvl="0">
      <w:lvlJc w:val="left"/>
      <w:lvlText w:val="%1."/>
      <w:numFmt w:val="decimal"/>
      <w:start w:val="35"/>
    </w:lvl>
    <w:lvl w:ilvl="1">
      <w:lvlJc w:val="left"/>
      <w:lvlText w:val="•"/>
      <w:numFmt w:val="bullet"/>
      <w:start w:val="1"/>
    </w:lvl>
  </w:abstractNum>
  <w:abstractNum w:abstractNumId="145">
    <w:nsid w:val="75486E47"/>
    <w:multiLevelType w:val="hybridMultilevel"/>
    <w:lvl w:ilvl="0">
      <w:lvlJc w:val="left"/>
      <w:lvlText w:val="•"/>
      <w:numFmt w:val="bullet"/>
      <w:start w:val="1"/>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166" Type="http://schemas.openxmlformats.org/officeDocument/2006/relationships/hyperlink" Target="http://www.sec.gov/Archives/edgar/data/1850453/000119312523130192/d497326dex11.htm" TargetMode="External"/><Relationship Id="rId167" Type="http://schemas.openxmlformats.org/officeDocument/2006/relationships/hyperlink" Target="http://www.sec.gov/Archives/edgar/data/1850453/000119312521313560/d165359dex32.htm" TargetMode="External"/><Relationship Id="rId168" Type="http://schemas.openxmlformats.org/officeDocument/2006/relationships/hyperlink" Target="http://www.sec.gov/Archives/edgar/data/1850453/000119312521313560/d165359dex33.htm" TargetMode="External"/><Relationship Id="rId169" Type="http://schemas.openxmlformats.org/officeDocument/2006/relationships/hyperlink" Target="http://www.sec.gov/Archives/edgar/data/1850453/000119312521317388/d165359dex41.htm" TargetMode="External"/><Relationship Id="rId170" Type="http://schemas.openxmlformats.org/officeDocument/2006/relationships/hyperlink" Target="http://www.sec.gov/Archives/edgar/data/1850453/000119312523130192/d497326dex23.htm" TargetMode="External"/><Relationship Id="rId171" Type="http://schemas.openxmlformats.org/officeDocument/2006/relationships/hyperlink" Target="http://www.sec.gov/Archives/edgar/data/1850453/000119312521301967/d165359dex101.htm" TargetMode="External"/><Relationship Id="rId172" Type="http://schemas.openxmlformats.org/officeDocument/2006/relationships/hyperlink" Target="http://www.sec.gov/Archives/edgar/data/1850453/000119312521301967/d165359dex102.htm" TargetMode="External"/><Relationship Id="rId173" Type="http://schemas.openxmlformats.org/officeDocument/2006/relationships/hyperlink" Target="http://www.sec.gov/Archives/edgar/data/1850453/000119312521301967/d165359dex103.htm" TargetMode="External"/><Relationship Id="rId174" Type="http://schemas.openxmlformats.org/officeDocument/2006/relationships/hyperlink" Target="http://www.sec.gov/Archives/edgar/data/1850453/000119312521301967/d165359dex104.htm" TargetMode="External"/><Relationship Id="rId175" Type="http://schemas.openxmlformats.org/officeDocument/2006/relationships/hyperlink" Target="http://www.sec.gov/Archives/edgar/data/1850453/000119312523130192/d497326dex45.htm" TargetMode="External"/><Relationship Id="rId176" Type="http://schemas.openxmlformats.org/officeDocument/2006/relationships/hyperlink" Target="http://www.sec.gov/Archives/edgar/data/1850453/000119312521317388/d165359dex105.htm" TargetMode="External"/><Relationship Id="rId177" Type="http://schemas.openxmlformats.org/officeDocument/2006/relationships/hyperlink" Target="http://www.sec.gov/Archives/edgar/data/1850453/000119312523130192/d497326dex47.htm" TargetMode="External"/><Relationship Id="rId178" Type="http://schemas.openxmlformats.org/officeDocument/2006/relationships/hyperlink" Target="http://www.sec.gov/Archives/edgar/data/1850453/000119312522143674/d310942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2023-08-23T14:24:47Z</dcterms:created>
  <dcterms:modified xsi:type="dcterms:W3CDTF">2023-08-23T14:24:47Z</dcterms:modified>
</cp:coreProperties>
</file>