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ind w:right="-799"/>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25"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Bertha-Kipfmüller Straße 2-8</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81249 München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+49 (0) 89 5589 4280</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July 28, 2025, Mynaric AG issued an ad-hoc. A copy of the ad-hoc is furnished as Exhibit 99.1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1581785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440" w:right="11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4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tc>
      </w:tr>
      <w:tr>
        <w:trPr>
          <w:trHeight w:val="432"/>
        </w:trPr>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4"/>
                <w:szCs w:val="24"/>
                <w:color w:val="auto"/>
              </w:rPr>
            </w:pPr>
          </w:p>
        </w:tc>
        <w:tc>
          <w:tcPr>
            <w:tcW w:w="10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69"/>
        </w:trPr>
        <w:tc>
          <w:tcPr>
            <w:tcW w:w="9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280" w:type="dxa"/>
            <w:vAlign w:val="bottom"/>
            <w:gridSpan w:val="3"/>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color w:val="0000FF"/>
              </w:rPr>
              <w:t>Capital Reduction and Capital Increase</w:t>
            </w:r>
          </w:p>
        </w:tc>
      </w:tr>
      <w:tr>
        <w:trPr>
          <w:trHeight w:val="21"/>
        </w:trPr>
        <w:tc>
          <w:tcPr>
            <w:tcW w:w="3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0000FF"/>
            </w:tcBorders>
            <w:shd w:val="clear" w:color="auto" w:fill="CCEEFF"/>
          </w:tcPr>
          <w:p>
            <w:pPr>
              <w:spacing w:after="0" w:line="20" w:lineRule="exact"/>
              <w:rPr>
                <w:sz w:val="1"/>
                <w:szCs w:val="1"/>
                <w:color w:val="auto"/>
              </w:rPr>
            </w:pPr>
          </w:p>
        </w:tc>
        <w:tc>
          <w:tcPr>
            <w:tcW w:w="73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Joachim Horwath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Joachim Horwath</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Technology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Andreas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Andreas Reif</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Restructuring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70" w:lineRule="auto"/>
        <w:rPr>
          <w:sz w:val="20"/>
          <w:szCs w:val="20"/>
          <w:color w:val="auto"/>
        </w:rPr>
      </w:pPr>
      <w:r>
        <w:rPr>
          <w:rFonts w:ascii="Arial" w:cs="Arial" w:eastAsia="Arial" w:hAnsi="Arial"/>
          <w:sz w:val="20"/>
          <w:szCs w:val="20"/>
          <w:b w:val="1"/>
          <w:bCs w:val="1"/>
          <w:color w:val="auto"/>
        </w:rPr>
        <w:t>Mynaric expects the capital reduction to zero and subsequent capital increase to take effect shortly, resulting in the current shareholders to leave without compensation and trading to end</w:t>
      </w:r>
    </w:p>
    <w:p>
      <w:pPr>
        <w:spacing w:after="0" w:line="131" w:lineRule="exact"/>
        <w:rPr>
          <w:sz w:val="20"/>
          <w:szCs w:val="20"/>
          <w:color w:val="auto"/>
        </w:rPr>
      </w:pPr>
    </w:p>
    <w:p>
      <w:pPr>
        <w:ind w:right="360"/>
        <w:spacing w:after="0" w:line="237" w:lineRule="auto"/>
        <w:rPr>
          <w:sz w:val="20"/>
          <w:szCs w:val="20"/>
          <w:color w:val="auto"/>
        </w:rPr>
      </w:pPr>
      <w:r>
        <w:rPr>
          <w:rFonts w:ascii="Arial" w:cs="Arial" w:eastAsia="Arial" w:hAnsi="Arial"/>
          <w:sz w:val="20"/>
          <w:szCs w:val="20"/>
          <w:b w:val="1"/>
          <w:bCs w:val="1"/>
          <w:color w:val="auto"/>
        </w:rPr>
        <w:t xml:space="preserve">MUNICH, July 28, 2025 </w:t>
      </w:r>
      <w:r>
        <w:rPr>
          <w:rFonts w:ascii="Arial" w:cs="Arial" w:eastAsia="Arial" w:hAnsi="Arial"/>
          <w:sz w:val="20"/>
          <w:szCs w:val="20"/>
          <w:color w:val="auto"/>
        </w:rPr>
        <w:t>– Mynaric AG (OTC: MYNAY, MOYFF; ISIN: US62857X1019) (FRA: M0YN; ISIN: DE000A31C305)</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expects that the capital reduction to zero euros and the subsequent cash capital increase with exclusion of subscription rights, which are provided for in the Company's restructuring plan, will be applied for registration with the commercial register on July 30, 2025, entered shortly thereafter, and thus take effect.</w:t>
      </w:r>
    </w:p>
    <w:p>
      <w:pPr>
        <w:spacing w:after="0" w:line="174"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auto"/>
        </w:rPr>
        <w:t>As communicated in the ad hoc announcement of May 28, 2025, the majority of those affected by the plan had approved the restructuring plan submitted by the Company in accordance with the German Act on the Stabilization and Restructuring Framework for Companies (“StaRUG”) at the discussion and voting meeting, whereupon the Munich Local Court confirmed the restructuring plan on the same day. The restructuring plan is now legally binding. Since then, the competent Munich tax office has also issued the binding information required under the restructuring plan with regard to the Company.</w:t>
      </w:r>
    </w:p>
    <w:p>
      <w:pPr>
        <w:spacing w:after="0" w:line="175" w:lineRule="exact"/>
        <w:rPr>
          <w:sz w:val="20"/>
          <w:szCs w:val="20"/>
          <w:color w:val="auto"/>
        </w:rPr>
      </w:pPr>
    </w:p>
    <w:p>
      <w:pPr>
        <w:ind w:right="160"/>
        <w:spacing w:after="0" w:line="237" w:lineRule="auto"/>
        <w:rPr>
          <w:sz w:val="20"/>
          <w:szCs w:val="20"/>
          <w:color w:val="auto"/>
        </w:rPr>
      </w:pPr>
      <w:r>
        <w:rPr>
          <w:rFonts w:ascii="Arial" w:cs="Arial" w:eastAsia="Arial" w:hAnsi="Arial"/>
          <w:sz w:val="20"/>
          <w:szCs w:val="20"/>
          <w:color w:val="auto"/>
        </w:rPr>
        <w:t>Today, JVF-Holding GmbH, as the financial creditor affected by the plan, informed the Company that it is not necessary to wait for the conclusion of the investment review process. The Company therefore assumes that the cash payment for the capital increase will now be made and the subscription certificate for the new shares will be issued. The Company will then apply for registration of the two capital measures with the commercial register.</w:t>
      </w:r>
    </w:p>
    <w:p>
      <w:pPr>
        <w:spacing w:after="0" w:line="172"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Upon entry of the reduction of the share capital to zero euros in the commercial register, the existing shares will expire, the shareholders will leave the Company without compensation, and trading of the shares on the open market of the Frankfurt Stock Exchange will be terminated. The existing shares will be removed from the custody accounts by the custodian banks in the following days.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Mynaric</w:t>
      </w:r>
    </w:p>
    <w:p>
      <w:pPr>
        <w:spacing w:after="0" w:line="204"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Mynaric (FRA:M0YN) (OTC:MYNAY)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operations in Los Angeles, California. For more information, visit mynaric.com.</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w:t>
      </w:r>
    </w:p>
    <w:p>
      <w:pPr>
        <w:spacing w:after="0" w:line="204" w:lineRule="exact"/>
        <w:rPr>
          <w:sz w:val="20"/>
          <w:szCs w:val="20"/>
          <w:color w:val="auto"/>
        </w:rPr>
      </w:pPr>
    </w:p>
    <w:p>
      <w:pPr>
        <w:ind w:right="60"/>
        <w:spacing w:after="0" w:line="245" w:lineRule="auto"/>
        <w:rPr>
          <w:sz w:val="20"/>
          <w:szCs w:val="20"/>
          <w:color w:val="auto"/>
        </w:rPr>
      </w:pPr>
      <w:r>
        <w:rPr>
          <w:rFonts w:ascii="Arial" w:cs="Arial" w:eastAsia="Arial" w:hAnsi="Arial"/>
          <w:sz w:val="19"/>
          <w:szCs w:val="19"/>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 w:name="page4"/>
    <w:bookmarkEnd w:id="3"/>
    <w:p>
      <w:pPr>
        <w:spacing w:after="0" w:line="239" w:lineRule="auto"/>
        <w:rPr>
          <w:sz w:val="20"/>
          <w:szCs w:val="20"/>
          <w:color w:val="auto"/>
        </w:rPr>
      </w:pPr>
      <w:r>
        <w:rPr>
          <w:rFonts w:ascii="Arial" w:cs="Arial" w:eastAsia="Arial" w:hAnsi="Arial"/>
          <w:sz w:val="19"/>
          <w:szCs w:val="19"/>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forward-looking statements. These risks, uncertainties and assumptions include, but are not limited to (i) the impact of any geopolitical tensions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w:t>
      </w:r>
    </w:p>
    <w:p>
      <w:pPr>
        <w:spacing w:after="0" w:line="2" w:lineRule="exact"/>
        <w:rPr>
          <w:sz w:val="20"/>
          <w:szCs w:val="20"/>
          <w:color w:val="auto"/>
        </w:rPr>
      </w:pPr>
    </w:p>
    <w:p>
      <w:pPr>
        <w:ind w:right="20" w:firstLine="8"/>
        <w:spacing w:after="0" w:line="227" w:lineRule="auto"/>
        <w:tabs>
          <w:tab w:leader="none" w:pos="330" w:val="left"/>
        </w:tabs>
        <w:numPr>
          <w:ilvl w:val="0"/>
          <w:numId w:val="1"/>
        </w:numPr>
        <w:rPr>
          <w:rFonts w:ascii="Arial" w:cs="Arial" w:eastAsia="Arial" w:hAnsi="Arial"/>
          <w:sz w:val="20"/>
          <w:szCs w:val="20"/>
          <w:color w:val="auto"/>
        </w:rPr>
      </w:pPr>
      <w:r>
        <w:rPr>
          <w:rFonts w:ascii="Arial" w:cs="Arial" w:eastAsia="Arial" w:hAnsi="Arial"/>
          <w:sz w:val="20"/>
          <w:szCs w:val="20"/>
          <w:color w:val="auto"/>
        </w:rPr>
        <w:t>risks related to defects or performance problems in our products, (vii) 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181"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173" w:lineRule="exact"/>
        <w:rPr>
          <w:sz w:val="20"/>
          <w:szCs w:val="20"/>
          <w:color w:val="auto"/>
        </w:rPr>
      </w:pPr>
    </w:p>
    <w:p>
      <w:pPr>
        <w:ind w:right="120"/>
        <w:spacing w:after="0" w:line="233" w:lineRule="auto"/>
        <w:rPr>
          <w:sz w:val="20"/>
          <w:szCs w:val="20"/>
          <w:color w:val="auto"/>
        </w:rPr>
      </w:pPr>
      <w:r>
        <w:rPr>
          <w:rFonts w:ascii="Arial" w:cs="Arial" w:eastAsia="Arial" w:hAnsi="Arial"/>
          <w:sz w:val="20"/>
          <w:szCs w:val="20"/>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p>
      <w:pPr>
        <w:spacing w:after="0" w:line="24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180"/>
      </w:cols>
      <w:pgMar w:left="320" w:top="141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6"/>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2025-07-28T15:54:17Z</dcterms:created>
  <dcterms:modified xsi:type="dcterms:W3CDTF">2025-07-28T15:54:17Z</dcterms:modified>
</cp:coreProperties>
</file>