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40"/>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JANUARY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On January 3, 2025, Mynaric AG issued an ad-hoc. A copy of the ad-hoc is furnished as Exhibit 99.1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1581785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tc>
      </w:tr>
      <w:tr>
        <w:trPr>
          <w:trHeight w:val="432"/>
        </w:trPr>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69"/>
        </w:trPr>
        <w:tc>
          <w:tcPr>
            <w:tcW w:w="960" w:type="dxa"/>
            <w:vAlign w:val="bottom"/>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1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Ad-hoc Mynaric Updates Guidance on 2024 Key Performance Indicators</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0000FF"/>
            </w:tcBorders>
            <w:shd w:val="clear" w:color="auto" w:fill="CCEEFF"/>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Joachim Horwath</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Technology Officer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Andreas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Andreas Reif</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Restructuring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left="360" w:right="220"/>
        <w:spacing w:after="0" w:line="313" w:lineRule="auto"/>
        <w:rPr>
          <w:sz w:val="20"/>
          <w:szCs w:val="20"/>
          <w:color w:val="auto"/>
        </w:rPr>
      </w:pPr>
      <w:r>
        <w:rPr>
          <w:rFonts w:ascii="Arial" w:cs="Arial" w:eastAsia="Arial" w:hAnsi="Arial"/>
          <w:sz w:val="36"/>
          <w:szCs w:val="36"/>
          <w:b w:val="1"/>
          <w:bCs w:val="1"/>
          <w:color w:val="auto"/>
        </w:rPr>
        <w:t>Mynaric Updates Guidance on 2024 Key Performance Indicators, Lowering Revenue and Optical Communications Terminal Backlog Guidance</w:t>
      </w:r>
    </w:p>
    <w:p>
      <w:pPr>
        <w:spacing w:after="0" w:line="336" w:lineRule="exact"/>
        <w:rPr>
          <w:sz w:val="20"/>
          <w:szCs w:val="20"/>
          <w:color w:val="auto"/>
        </w:rPr>
      </w:pPr>
    </w:p>
    <w:p>
      <w:pPr>
        <w:jc w:val="both"/>
        <w:ind w:right="160"/>
        <w:spacing w:after="0" w:line="281" w:lineRule="auto"/>
        <w:rPr>
          <w:sz w:val="20"/>
          <w:szCs w:val="20"/>
          <w:color w:val="auto"/>
        </w:rPr>
      </w:pPr>
      <w:r>
        <w:rPr>
          <w:rFonts w:ascii="Arial" w:cs="Arial" w:eastAsia="Arial" w:hAnsi="Arial"/>
          <w:sz w:val="20"/>
          <w:szCs w:val="20"/>
          <w:b w:val="1"/>
          <w:bCs w:val="1"/>
          <w:color w:val="auto"/>
        </w:rPr>
        <w:t xml:space="preserve">MUNICH, January 3, 2025 </w:t>
      </w:r>
      <w:r>
        <w:rPr>
          <w:rFonts w:ascii="Arial" w:cs="Arial" w:eastAsia="Arial" w:hAnsi="Arial"/>
          <w:sz w:val="20"/>
          <w:szCs w:val="20"/>
          <w:color w:val="auto"/>
        </w:rPr>
        <w:t>– Mynaric AG (NASDAQ: MYNA; ISIN: US62857X1019) (FRA: M0YN; ISIN: DE000A31C305)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updates its full-year 2024 guidance published on August 20, 2024, for two of its key fnancial performance metrics.</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20"/>
          <w:szCs w:val="20"/>
          <w:color w:val="auto"/>
        </w:rPr>
        <w:t>IFRS-15 revenue: the Company now anticipates full-year 2024 IFRS-15 revenue of EUR 14.1 million compared to previous guidance of a range estimating between EUR 16.0 million to EUR 24.0 million. The guidance decrease refects shipments of CONDOR Mk3 terminals, originally expected to ship in late 2024, to slip into early 2025, due to shortages of key components from suppliers. These delays resulted in approximately EUR 2.6 million of revenue for terminals previously expected to ship in 2024 now expected to ship and revenue recognized in early 2025.</w:t>
      </w:r>
    </w:p>
    <w:p>
      <w:pPr>
        <w:spacing w:after="0" w:line="4" w:lineRule="exact"/>
        <w:rPr>
          <w:sz w:val="20"/>
          <w:szCs w:val="20"/>
          <w:color w:val="auto"/>
        </w:rPr>
      </w:pPr>
    </w:p>
    <w:p>
      <w:pPr>
        <w:ind w:right="60"/>
        <w:spacing w:after="0" w:line="281" w:lineRule="auto"/>
        <w:rPr>
          <w:sz w:val="20"/>
          <w:szCs w:val="20"/>
          <w:color w:val="auto"/>
        </w:rPr>
      </w:pPr>
      <w:r>
        <w:rPr>
          <w:rFonts w:ascii="Arial" w:cs="Arial" w:eastAsia="Arial" w:hAnsi="Arial"/>
          <w:sz w:val="20"/>
          <w:szCs w:val="20"/>
          <w:color w:val="auto"/>
        </w:rPr>
        <w:t>Operating loss: the previous Company guidance of a range of operating loss estimating to range between a loss of EUR 55.0 million to EUR 50.0 million is unchanged.</w:t>
      </w:r>
    </w:p>
    <w:p>
      <w:pPr>
        <w:spacing w:after="0" w:line="1" w:lineRule="exact"/>
        <w:rPr>
          <w:sz w:val="20"/>
          <w:szCs w:val="20"/>
          <w:color w:val="auto"/>
        </w:rPr>
      </w:pPr>
    </w:p>
    <w:p>
      <w:pPr>
        <w:ind w:right="140"/>
        <w:spacing w:after="0" w:line="281" w:lineRule="auto"/>
        <w:rPr>
          <w:sz w:val="20"/>
          <w:szCs w:val="20"/>
          <w:color w:val="auto"/>
        </w:rPr>
      </w:pPr>
      <w:r>
        <w:rPr>
          <w:rFonts w:ascii="Arial" w:cs="Arial" w:eastAsia="Arial" w:hAnsi="Arial"/>
          <w:sz w:val="20"/>
          <w:szCs w:val="20"/>
          <w:color w:val="auto"/>
        </w:rPr>
        <w:t>Cash-In from Customer Contracts(1): the previous Company guidance estimating to range between EUR 45.0 million to EUR 50.0 million is unchanged.</w:t>
      </w:r>
    </w:p>
    <w:p>
      <w:pPr>
        <w:spacing w:after="0" w:line="1" w:lineRule="exact"/>
        <w:rPr>
          <w:sz w:val="20"/>
          <w:szCs w:val="20"/>
          <w:color w:val="auto"/>
        </w:rPr>
      </w:pPr>
    </w:p>
    <w:p>
      <w:pPr>
        <w:ind w:right="140"/>
        <w:spacing w:after="0" w:line="281" w:lineRule="auto"/>
        <w:rPr>
          <w:sz w:val="20"/>
          <w:szCs w:val="20"/>
          <w:color w:val="auto"/>
        </w:rPr>
      </w:pPr>
      <w:r>
        <w:rPr>
          <w:rFonts w:ascii="Arial" w:cs="Arial" w:eastAsia="Arial" w:hAnsi="Arial"/>
          <w:sz w:val="20"/>
          <w:szCs w:val="20"/>
          <w:color w:val="auto"/>
        </w:rPr>
        <w:t>Optical Communications Terminal Backlog(2): the Company now anticipates full-year optical communications terminal backlog at December 31, 2024 of 787 terminal units compared to the previously communicated Company guidance estimating to range between 800 to 1,000 terminal units. The guidance decrease is due to timing shifts in contracts for new terminal orders previously expected to close in 2024 now expected to close in 2025.</w:t>
      </w:r>
    </w:p>
    <w:p>
      <w:pPr>
        <w:spacing w:after="0" w:line="3" w:lineRule="exact"/>
        <w:rPr>
          <w:sz w:val="20"/>
          <w:szCs w:val="20"/>
          <w:color w:val="auto"/>
        </w:rPr>
      </w:pPr>
    </w:p>
    <w:p>
      <w:pPr>
        <w:ind w:right="580" w:firstLine="8"/>
        <w:spacing w:after="0" w:line="281" w:lineRule="auto"/>
        <w:tabs>
          <w:tab w:leader="none" w:pos="283" w:val="left"/>
        </w:tabs>
        <w:numPr>
          <w:ilvl w:val="0"/>
          <w:numId w:val="1"/>
        </w:numPr>
        <w:rPr>
          <w:rFonts w:ascii="Arial" w:cs="Arial" w:eastAsia="Arial" w:hAnsi="Arial"/>
          <w:sz w:val="20"/>
          <w:szCs w:val="20"/>
          <w:color w:val="auto"/>
        </w:rPr>
      </w:pPr>
      <w:r>
        <w:rPr>
          <w:rFonts w:ascii="Arial" w:cs="Arial" w:eastAsia="Arial" w:hAnsi="Arial"/>
          <w:sz w:val="20"/>
          <w:szCs w:val="20"/>
          <w:color w:val="auto"/>
        </w:rPr>
        <w:t>Cash-In from Customer Contracts includes payments from customers under purchase orders and other signed agreements, including accrued payment milestones under customer programs.</w:t>
      </w:r>
    </w:p>
    <w:p>
      <w:pPr>
        <w:spacing w:after="0" w:line="1" w:lineRule="exact"/>
        <w:rPr>
          <w:rFonts w:ascii="Arial" w:cs="Arial" w:eastAsia="Arial" w:hAnsi="Arial"/>
          <w:sz w:val="20"/>
          <w:szCs w:val="20"/>
          <w:color w:val="auto"/>
        </w:rPr>
      </w:pPr>
    </w:p>
    <w:p>
      <w:pPr>
        <w:ind w:right="600" w:firstLine="8"/>
        <w:spacing w:after="0" w:line="341" w:lineRule="auto"/>
        <w:tabs>
          <w:tab w:leader="none" w:pos="283" w:val="left"/>
        </w:tabs>
        <w:numPr>
          <w:ilvl w:val="0"/>
          <w:numId w:val="1"/>
        </w:numPr>
        <w:rPr>
          <w:rFonts w:ascii="Arial" w:cs="Arial" w:eastAsia="Arial" w:hAnsi="Arial"/>
          <w:sz w:val="20"/>
          <w:szCs w:val="20"/>
          <w:color w:val="auto"/>
        </w:rPr>
      </w:pPr>
      <w:r>
        <w:rPr>
          <w:rFonts w:ascii="Arial" w:cs="Arial" w:eastAsia="Arial" w:hAnsi="Arial"/>
          <w:sz w:val="20"/>
          <w:szCs w:val="20"/>
          <w:color w:val="auto"/>
        </w:rPr>
        <w:t>Optical communications terminal backlog represents the quantity of all open optical communications terminal deliverables in the context of signed customer programs at the end of a reporting period.</w:t>
      </w:r>
    </w:p>
    <w:p>
      <w:pPr>
        <w:spacing w:after="0" w:line="129" w:lineRule="exact"/>
        <w:rPr>
          <w:sz w:val="20"/>
          <w:szCs w:val="20"/>
          <w:color w:val="auto"/>
        </w:rPr>
      </w:pPr>
    </w:p>
    <w:p>
      <w:pPr>
        <w:ind w:right="220"/>
        <w:spacing w:after="0" w:line="341" w:lineRule="auto"/>
        <w:rPr>
          <w:sz w:val="20"/>
          <w:szCs w:val="20"/>
          <w:color w:val="auto"/>
        </w:rPr>
      </w:pPr>
      <w:r>
        <w:rPr>
          <w:rFonts w:ascii="Arial" w:cs="Arial" w:eastAsia="Arial" w:hAnsi="Arial"/>
          <w:sz w:val="20"/>
          <w:szCs w:val="20"/>
          <w:color w:val="auto"/>
        </w:rPr>
        <w:t>Further explanations about how Mynaric uses these metrics can be found in Mynaric’s Annual Report 2023, which has been published on Mynaric’s investor relations website.</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Mynaric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29" w:right="459" w:bottom="1440" w:gutter="0" w:footer="0" w:header="0"/>
        </w:sectPr>
      </w:pPr>
    </w:p>
    <w:bookmarkStart w:id="3" w:name="page4"/>
    <w:bookmarkEnd w:id="3"/>
    <w:p>
      <w:pPr>
        <w:spacing w:after="0" w:line="243" w:lineRule="exact"/>
        <w:rPr>
          <w:sz w:val="20"/>
          <w:szCs w:val="20"/>
          <w:color w:val="auto"/>
        </w:rPr>
      </w:pPr>
    </w:p>
    <w:p>
      <w:pPr>
        <w:ind w:right="100"/>
        <w:spacing w:after="0" w:line="296" w:lineRule="auto"/>
        <w:rPr>
          <w:sz w:val="20"/>
          <w:szCs w:val="20"/>
          <w:color w:val="auto"/>
        </w:rPr>
      </w:pPr>
      <w:r>
        <w:rPr>
          <w:rFonts w:ascii="Arial" w:cs="Arial" w:eastAsia="Arial" w:hAnsi="Arial"/>
          <w:sz w:val="20"/>
          <w:szCs w:val="20"/>
          <w:color w:val="auto"/>
        </w:rPr>
        <w:t xml:space="preserve">Mynaric (NASDAQ: MYNA)(FRA: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w:t>
      </w:r>
      <w:r>
        <w:rPr>
          <w:rFonts w:ascii="Arial" w:cs="Arial" w:eastAsia="Arial" w:hAnsi="Arial"/>
          <w:sz w:val="20"/>
          <w:szCs w:val="20"/>
          <w:u w:val="single" w:color="auto"/>
          <w:color w:val="FF644B"/>
        </w:rPr>
        <w:t>mynaric.com</w:t>
      </w:r>
      <w:r>
        <w:rPr>
          <w:rFonts w:ascii="Arial" w:cs="Arial" w:eastAsia="Arial" w:hAnsi="Arial"/>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w:t>
      </w:r>
    </w:p>
    <w:p>
      <w:pPr>
        <w:spacing w:after="0" w:line="32"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i w:val="1"/>
          <w:iCs w:val="1"/>
          <w:color w:val="auto"/>
        </w:rPr>
        <w:t>This release includes forward-looking statements. All statements other than statements of historical or current facts contained in this release, including statements regarding our future results of operations and fnancial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5" w:lineRule="exact"/>
        <w:rPr>
          <w:sz w:val="20"/>
          <w:szCs w:val="20"/>
          <w:color w:val="auto"/>
        </w:rPr>
      </w:pPr>
    </w:p>
    <w:p>
      <w:pPr>
        <w:ind w:right="20"/>
        <w:spacing w:after="0" w:line="302" w:lineRule="auto"/>
        <w:rPr>
          <w:sz w:val="20"/>
          <w:szCs w:val="20"/>
          <w:color w:val="auto"/>
        </w:rPr>
      </w:pPr>
      <w:r>
        <w:rPr>
          <w:rFonts w:ascii="Arial" w:cs="Arial" w:eastAsia="Arial" w:hAnsi="Arial"/>
          <w:sz w:val="17"/>
          <w:szCs w:val="17"/>
          <w:b w:val="1"/>
          <w:bCs w:val="1"/>
          <w:i w:val="1"/>
          <w:iCs w:val="1"/>
          <w:color w:val="auto"/>
        </w:rPr>
        <w:t>The forward-looking statements included in this release are based largely on our current expectations and projections about future events and fnancial trends that we believe may afect our fnancial condition, results of operations, business strategy, short-term and long-term business operations and objectives, and fnancial needs. These forward-looking statements involve known and unknown risks, uncertainties and assumptions that are difcult to predict or are beyond our control, and actual results may difer materially from those expected or implied as forward-looking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efects of competition and the development of the market for laser communication technology in general, (viii) risks related to our ability to manage future growth efectively and to obtain sufcient fnancing for the operations and ongoing growth of our business, (ix) risks relating to the uncertainty of the projected fnancial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difer from those contained in any forward-looking statements we may make. In light of these risks, uncertainties and assumptions, the forward-looking events and circumstances discussed in this release may not occur and actual results could difer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843280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line="298" w:lineRule="auto"/>
        <w:rPr>
          <w:sz w:val="20"/>
          <w:szCs w:val="20"/>
          <w:color w:val="auto"/>
        </w:rPr>
      </w:pPr>
      <w:r>
        <w:rPr>
          <w:rFonts w:ascii="Arial" w:cs="Arial" w:eastAsia="Arial" w:hAnsi="Arial"/>
          <w:sz w:val="17"/>
          <w:szCs w:val="17"/>
          <w:b w:val="1"/>
          <w:bCs w:val="1"/>
          <w:i w:val="1"/>
          <w:iCs w:val="1"/>
          <w:color w:val="auto"/>
        </w:rPr>
        <w:t>The forward-looking statements included in this release are made only as of the date hereof. Although we believe that the expectations refected in the forward-looking statements are reasonable, we cannot guarantee that the future results, levels of activity, performance or events and circumstances refected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refect events or circumstances after the date of this release or otherwise. You should read this release with the understanding that our actual future results, levels of activity, performance and events and circumstances may materially difer from what we expect.</w:t>
      </w:r>
    </w:p>
    <w:p>
      <w:pPr>
        <w:spacing w:after="0" w:line="4"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b w:val="1"/>
          <w:bCs w:val="1"/>
          <w:i w:val="1"/>
          <w:iCs w:val="1"/>
          <w:color w:val="auto"/>
        </w:rPr>
        <w:t>This release may include certain fnancial measures not presented in accordance with IFRS. Such fnancial measures are not measures of fnancial performance in accordance with IFRS and may exclude items that are signifcant in understanding and assessing our fnancial results. Therefore, these measures should not be considered in isolation or as an alternative to loss for the period or other measures of proftability, liquidity or performance under IFRS. You should be aware that our presentation of these measures may not be comparable to similarly titled measures used by other companies, which may be defned and calculated diferently.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20" w:top="143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2025-01-03T13:40:55Z</dcterms:created>
  <dcterms:modified xsi:type="dcterms:W3CDTF">2025-01-03T13:40:55Z</dcterms:modified>
</cp:coreProperties>
</file>