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328930</wp:posOffset>
            </wp:positionV>
            <wp:extent cx="709803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405765</wp:posOffset>
            </wp:positionV>
            <wp:extent cx="709803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 PURSUANT TO RULE 13a</w:t>
      </w:r>
      <w:r>
        <w:rPr>
          <w:rFonts w:ascii="MS PGothic" w:cs="MS PGothic" w:eastAsia="MS PGothic" w:hAnsi="MS PGothic"/>
          <w:sz w:val="18"/>
          <w:szCs w:val="18"/>
          <w:b w:val="1"/>
          <w:bCs w:val="1"/>
          <w:color w:val="auto"/>
        </w:rPr>
        <w:t>‑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16 OR 15d</w:t>
      </w:r>
      <w:r>
        <w:rPr>
          <w:rFonts w:ascii="MS PGothic" w:cs="MS PGothic" w:eastAsia="MS PGothic" w:hAnsi="MS PGothic"/>
          <w:sz w:val="18"/>
          <w:szCs w:val="18"/>
          <w:b w:val="1"/>
          <w:bCs w:val="1"/>
          <w:color w:val="auto"/>
        </w:rPr>
        <w:t>‑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16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September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 001-41045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Mynaric AG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1436370</wp:posOffset>
            </wp:positionH>
            <wp:positionV relativeFrom="paragraph">
              <wp:posOffset>24130</wp:posOffset>
            </wp:positionV>
            <wp:extent cx="42773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</w:t>
      </w:r>
      <w:r>
        <w:rPr>
          <w:rFonts w:ascii="Arial" w:cs="Arial" w:eastAsia="Arial" w:hAnsi="Arial"/>
          <w:sz w:val="22"/>
          <w:szCs w:val="22"/>
          <w:i w:val="1"/>
          <w:iCs w:val="1"/>
          <w:color w:val="auto"/>
        </w:rPr>
        <w:t>Registrant’s name</w:t>
      </w:r>
      <w:r>
        <w:rPr>
          <w:rFonts w:ascii="Arial" w:cs="Arial" w:eastAsia="Arial" w:hAnsi="Arial"/>
          <w:sz w:val="22"/>
          <w:szCs w:val="22"/>
          <w:color w:val="auto"/>
        </w:rPr>
        <w:t>)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Dornierstraße 19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82205 Gilching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Germany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+49 (0) 8105 79990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Address of principal executive offices</w:t>
      </w:r>
      <w:r>
        <w:rPr>
          <w:rFonts w:ascii="Arial" w:cs="Arial" w:eastAsia="Arial" w:hAnsi="Arial"/>
          <w:sz w:val="18"/>
          <w:szCs w:val="18"/>
          <w:color w:val="auto"/>
        </w:rPr>
        <w:t>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9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>F or Form 40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>F: Form 20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 xml:space="preserve">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Form 40</w:t>
      </w:r>
      <w:r>
        <w:rPr>
          <w:rFonts w:ascii="MS PGothic" w:cs="MS PGothic" w:eastAsia="MS PGothic" w:hAnsi="MS PGothic"/>
          <w:sz w:val="16"/>
          <w:szCs w:val="16"/>
          <w:color w:val="auto"/>
        </w:rPr>
        <w:t>‑</w:t>
      </w:r>
      <w:r>
        <w:rPr>
          <w:rFonts w:ascii="Arial" w:cs="Arial" w:eastAsia="Arial" w:hAnsi="Arial"/>
          <w:sz w:val="16"/>
          <w:szCs w:val="16"/>
          <w:color w:val="auto"/>
        </w:rPr>
        <w:t xml:space="preserve">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 xml:space="preserve">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 xml:space="preserve">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214630</wp:posOffset>
            </wp:positionV>
            <wp:extent cx="709803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266065</wp:posOffset>
            </wp:positionV>
            <wp:extent cx="7098030" cy="43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DOCUMENTS INCLUDED AS PART OF THIS 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Explanatory Note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September 7, 2023, Mynaric AG issued a corporate news. A copy of the Corporate News is furnished as Exhibit 99.1.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left="3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2</w:t>
            </w: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84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60" w:type="dxa"/>
            <w:vAlign w:val="bottom"/>
            <w:gridSpan w:val="2"/>
          </w:tcPr>
          <w:p>
            <w:pPr>
              <w:jc w:val="center"/>
              <w:ind w:righ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DOCUMENTS INCLUDED AS PART OF THIS FORM 6-K</w:t>
            </w:r>
          </w:p>
        </w:tc>
      </w:tr>
      <w:tr>
        <w:trPr>
          <w:trHeight w:val="432"/>
        </w:trPr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Exhibit</w:t>
            </w:r>
          </w:p>
        </w:tc>
        <w:tc>
          <w:tcPr>
            <w:tcW w:w="10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 of Exhibit</w:t>
            </w:r>
          </w:p>
        </w:tc>
      </w:tr>
      <w:tr>
        <w:trPr>
          <w:trHeight w:val="189"/>
        </w:trPr>
        <w:tc>
          <w:tcPr>
            <w:tcW w:w="660" w:type="dxa"/>
            <w:vAlign w:val="bottom"/>
            <w:tcBorders>
              <w:top w:val="single" w:sz="8" w:color="auto"/>
            </w:tcBorders>
            <w:gridSpan w:val="2"/>
            <w:shd w:val="clear" w:color="auto" w:fill="CCEEFF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</w:rPr>
              <w:t>1</w:t>
            </w: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60" w:type="dxa"/>
            <w:vAlign w:val="bottom"/>
            <w:tcBorders>
              <w:top w:val="single" w:sz="8" w:color="auto"/>
            </w:tcBorders>
            <w:gridSpan w:val="2"/>
            <w:shd w:val="clear" w:color="auto" w:fill="CCEEFF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</w:rPr>
              <w:t>Mynaric Announces Date of Preliminary Half-Year 2023 Financial Results Webcast</w:t>
            </w:r>
          </w:p>
        </w:tc>
      </w:tr>
      <w:tr>
        <w:trPr>
          <w:trHeight w:val="648"/>
        </w:trPr>
        <w:tc>
          <w:tcPr>
            <w:tcW w:w="3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4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jc w:val="center"/>
              <w:ind w:left="3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3</w:t>
            </w:r>
          </w:p>
        </w:tc>
        <w:tc>
          <w:tcPr>
            <w:tcW w:w="442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Mynaric AG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  /s/ Stefan Berndt-von Bülow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14605</wp:posOffset>
            </wp:positionV>
            <wp:extent cx="24942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Stefan Berndt-von Bülow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98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Chief Financial Officer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  /s/ Sven Meyer-Brunswick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14605</wp:posOffset>
            </wp:positionV>
            <wp:extent cx="24942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Sven Meyer-Brunswick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98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Authorized Representative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September 7, 2023</w:t>
      </w:r>
    </w:p>
    <w:p>
      <w:pPr>
        <w:sectPr>
          <w:pgSz w:w="11900" w:h="16868" w:orient="portrait"/>
          <w:cols w:equalWidth="0" w:num="1">
            <w:col w:w="11240"/>
          </w:cols>
          <w:pgMar w:left="320" w:top="882" w:right="339" w:bottom="0" w:gutter="0" w:footer="0" w:header="0"/>
        </w:sectPr>
      </w:pPr>
    </w:p>
    <w:bookmarkStart w:id="1" w:name="page2"/>
    <w:bookmarkEnd w:id="1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51435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557" w:right="1440" w:bottom="1440" w:gutter="0" w:footer="0" w:header="0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EXHIIT 99.1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Mynaric Announces Date of Preliminary Half-Year 2023 Financial Results Webcast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0"/>
        <w:spacing w:after="0" w:line="2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MUNICH, September 7, 2023 –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Mynaric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(NASDAQ: MYNA) (FRA: M0YN), a leading provider of industrialized, cost-effective and scalable laser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communications products, today announced it has scheduled a webcast to discuss its preliminary unaudited half-year 2023 financial results for Thursday, September 14, 2023, at 12:00 p.m. Eastern Daylight Time (6:00 p.m. Central European Summer Time).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Prior to the webcast on Thursday, September 14, 2023, Mynaric will release preliminary unaudited half-year 2023 financial results over the newswire and publish such results in the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Investor Relations section on mynaric.com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6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webcast will include a presentation of these preliminary results along with a Q&amp;A session with members of the management board of Mynaric including CEO, Mustafa Veziroglu and CFO, Stefan Berndt-von Bülow.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1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Interested parties may listen to the webcast on the Investor Relations section of mynaric.com by pre-registering at the following registration link: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Mynaric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Half-Year 2023 Earnings Webcast Registration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An archived version of the webcast along with corresponding slides will be available on the Investor Relations section on mynaric.com.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Mynaric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4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Mynaric (NASDAQ: MYNA) (FRA: M0YN) is leading the industrial revolution of laser communications by producing optical communications terminals for air, space and mobile applications. Laser communication networks provide connectivity from the sky, allowing for ultra-high data rates and secure, long-distance data transmission between moving objects for wireless terrestrial, mobility, airborne- and space-based applications. The company is headquartered in Munich, Germany, with additional locations in Los Angeles, California, and Washington, D.C.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 more information, visit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mynaric.com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sectPr>
      <w:pgSz w:w="11900" w:h="16838" w:orient="portrait"/>
      <w:cols w:equalWidth="0" w:num="1">
        <w:col w:w="11240"/>
      </w:cols>
      <w:pgMar w:left="320" w:top="12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2023-09-07T10:28:19Z</dcterms:created>
  <dcterms:modified xsi:type="dcterms:W3CDTF">2023-09-07T10:28:19Z</dcterms:modified>
</cp:coreProperties>
</file>