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myna_6k.htm"/>
      <w:bookmarkStart w:id="1" w:name="ksmyna_6k"/>
      <w:bookmarkStart w:id="2" w:name="myna_6k.htm"/>
      <w:bookmarkStart w:id="3" w:name="ksmyna_6k"/>
      <w:bookmarkEnd w:id="2"/>
      <w:bookmarkEnd w:id="3"/>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UNITED STATES</w:t>
      </w:r>
    </w:p>
    <w:p>
      <w:pPr>
        <w:pStyle w:val="TextBody"/>
        <w:bidi w:val="0"/>
        <w:spacing w:before="0" w:after="0"/>
        <w:ind w:left="0" w:right="0" w:hanging="0"/>
        <w:jc w:val="center"/>
        <w:rPr/>
      </w:pPr>
      <w:r>
        <w:rPr>
          <w:rStyle w:val="StrongEmphasis"/>
          <w:rFonts w:ascii="times new roman" w:hAnsi="times new roman"/>
          <w:sz w:val="20"/>
        </w:rPr>
        <w:t>SECURITIES AND EXCHANGE COMMISSION</w:t>
      </w:r>
    </w:p>
    <w:p>
      <w:pPr>
        <w:pStyle w:val="TextBody"/>
        <w:bidi w:val="0"/>
        <w:spacing w:before="0" w:after="0"/>
        <w:ind w:left="0" w:right="0" w:hanging="0"/>
        <w:jc w:val="center"/>
        <w:rPr/>
      </w:pPr>
      <w:r>
        <w:rPr>
          <w:rStyle w:val="StrongEmphasis"/>
          <w:rFonts w:ascii="times new roman" w:hAnsi="times new roman"/>
          <w:sz w:val="20"/>
        </w:rPr>
        <w:t>Washington, D.C. 20549</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36"/>
        </w:rPr>
        <w:t>FORM 6-K</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REPORT OF FOREIGN PRIVATE ISSUER PURSUANT TO RULE 13a</w:t>
        <w:noBreakHyphen/>
        <w:t>16 OR 15d</w:t>
        <w:noBreakHyphen/>
        <w:t>16</w:t>
      </w:r>
    </w:p>
    <w:p>
      <w:pPr>
        <w:pStyle w:val="TextBody"/>
        <w:bidi w:val="0"/>
        <w:spacing w:before="0" w:after="0"/>
        <w:ind w:left="0" w:right="0" w:hanging="0"/>
        <w:jc w:val="center"/>
        <w:rPr/>
      </w:pPr>
      <w:r>
        <w:rPr>
          <w:rStyle w:val="StrongEmphasis"/>
          <w:rFonts w:ascii="times new roman" w:hAnsi="times new roman"/>
          <w:sz w:val="20"/>
        </w:rPr>
        <w:t>UNDER THE SECURITIES EXCHANGE ACT OF 1934</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FOR THE MONTH OF May 2023</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COMMISSION FILE NUMBER 001-41045</w:t>
      </w:r>
    </w:p>
    <w:p>
      <w:pPr>
        <w:pStyle w:val="TextBody"/>
        <w:bidi w:val="0"/>
        <w:spacing w:before="0" w:after="0"/>
        <w:ind w:left="0" w:right="0" w:hanging="0"/>
        <w:jc w:val="both"/>
        <w:rPr/>
      </w:pPr>
      <w:r>
        <w:rPr/>
        <w:t> </w:t>
      </w:r>
    </w:p>
    <w:tbl>
      <w:tblPr>
        <w:tblW w:w="2075" w:type="dxa"/>
        <w:jc w:val="left"/>
        <w:tblInd w:w="0" w:type="dxa"/>
        <w:tblLayout w:type="fixed"/>
        <w:tblCellMar>
          <w:top w:w="0" w:type="dxa"/>
          <w:left w:w="0" w:type="dxa"/>
          <w:bottom w:w="28" w:type="dxa"/>
          <w:right w:w="0" w:type="dxa"/>
        </w:tblCellMar>
      </w:tblPr>
      <w:tblGrid>
        <w:gridCol w:w="2075"/>
      </w:tblGrid>
      <w:tr>
        <w:trPr/>
        <w:tc>
          <w:tcPr>
            <w:tcW w:w="2075" w:type="dxa"/>
            <w:tcBorders>
              <w:bottom w:val="single" w:sz="2" w:space="0" w:color="000000"/>
            </w:tcBorders>
            <w:vAlign w:val="center"/>
          </w:tcPr>
          <w:p>
            <w:pPr>
              <w:pStyle w:val="TableContents"/>
              <w:bidi w:val="0"/>
              <w:spacing w:before="0" w:after="0"/>
              <w:ind w:left="0" w:right="0" w:hanging="0"/>
              <w:jc w:val="center"/>
              <w:rPr/>
            </w:pPr>
            <w:r>
              <w:rPr>
                <w:rStyle w:val="StrongEmphasis"/>
                <w:sz w:val="36"/>
              </w:rPr>
              <w:t>Mynaric AG</w:t>
            </w:r>
          </w:p>
        </w:tc>
      </w:tr>
      <w:tr>
        <w:trPr/>
        <w:tc>
          <w:tcPr>
            <w:tcW w:w="2075" w:type="dxa"/>
            <w:tcBorders/>
            <w:tcMar>
              <w:bottom w:w="0" w:type="dxa"/>
            </w:tcMar>
            <w:vAlign w:val="center"/>
          </w:tcPr>
          <w:p>
            <w:pPr>
              <w:pStyle w:val="TableContents"/>
              <w:bidi w:val="0"/>
              <w:spacing w:before="0" w:after="0"/>
              <w:ind w:left="0" w:right="0" w:hanging="0"/>
              <w:jc w:val="center"/>
              <w:rPr/>
            </w:pPr>
            <w:r>
              <w:rPr>
                <w:rStyle w:val="Emphasis"/>
              </w:rPr>
              <w:t>(Registrant’s name)</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Dornierstraße 19</w:t>
      </w:r>
    </w:p>
    <w:p>
      <w:pPr>
        <w:pStyle w:val="TextBody"/>
        <w:bidi w:val="0"/>
        <w:spacing w:before="0" w:after="0"/>
        <w:ind w:left="0" w:right="0" w:hanging="0"/>
        <w:jc w:val="center"/>
        <w:rPr/>
      </w:pPr>
      <w:r>
        <w:rPr>
          <w:rStyle w:val="StrongEmphasis"/>
          <w:rFonts w:ascii="times new roman" w:hAnsi="times new roman"/>
          <w:sz w:val="20"/>
        </w:rPr>
        <w:t>82205 Gilching</w:t>
      </w:r>
    </w:p>
    <w:p>
      <w:pPr>
        <w:pStyle w:val="TextBody"/>
        <w:bidi w:val="0"/>
        <w:spacing w:before="0" w:after="0"/>
        <w:ind w:left="0" w:right="0" w:hanging="0"/>
        <w:jc w:val="center"/>
        <w:rPr/>
      </w:pPr>
      <w:r>
        <w:rPr>
          <w:rStyle w:val="StrongEmphasis"/>
          <w:rFonts w:ascii="times new roman" w:hAnsi="times new roman"/>
          <w:sz w:val="20"/>
        </w:rPr>
        <w:t>Germany</w:t>
      </w:r>
    </w:p>
    <w:p>
      <w:pPr>
        <w:pStyle w:val="TextBody"/>
        <w:bidi w:val="0"/>
        <w:spacing w:before="0" w:after="0"/>
        <w:ind w:left="0" w:right="0" w:hanging="0"/>
        <w:jc w:val="center"/>
        <w:rPr/>
      </w:pPr>
      <w:r>
        <w:rPr>
          <w:rStyle w:val="StrongEmphasis"/>
          <w:rFonts w:ascii="times new roman" w:hAnsi="times new roman"/>
          <w:sz w:val="20"/>
          <w:u w:val="single"/>
        </w:rPr>
        <w:t>+49 (0) 8105 79990</w:t>
      </w:r>
    </w:p>
    <w:p>
      <w:pPr>
        <w:pStyle w:val="TextBody"/>
        <w:bidi w:val="0"/>
        <w:spacing w:before="0" w:after="0"/>
        <w:ind w:left="0" w:right="0" w:hanging="0"/>
        <w:jc w:val="center"/>
        <w:rPr/>
      </w:pPr>
      <w:r>
        <w:rPr>
          <w:rFonts w:ascii="times new roman" w:hAnsi="times new roman"/>
          <w:sz w:val="20"/>
        </w:rPr>
        <w:t>(</w:t>
      </w:r>
      <w:r>
        <w:rPr>
          <w:rStyle w:val="Emphasis"/>
          <w:rFonts w:ascii="times new roman" w:hAnsi="times new roman"/>
          <w:sz w:val="20"/>
        </w:rPr>
        <w:t>Address of principal executive offices</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Indicate by check mark whether the registrant files or will file annual reports under cover Form 20</w:t>
        <w:noBreakHyphen/>
        <w:t>F or Form 40</w:t>
        <w:noBreakHyphen/>
        <w:t>F: Form 20</w:t>
        <w:noBreakHyphen/>
        <w:t>F ☒     Form 40</w:t>
        <w:noBreakHyphen/>
        <w:t>F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Indicate by check mark if the registrant is submitting the Form 6</w:t>
        <w:noBreakHyphen/>
        <w:t>K in paper as permitted by Regulation S</w:t>
        <w:noBreakHyphen/>
        <w:t>T Rule 101(b)(1):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Indicate by check mark if the registrant is submitting the Form 6</w:t>
        <w:noBreakHyphen/>
        <w:t>K in paper as permitted by Regulation S</w:t>
        <w:noBreakHyphen/>
        <w:t>T Rule 101(b)(7): ☐</w:t>
      </w:r>
    </w:p>
    <w:p>
      <w:pPr>
        <w:pStyle w:val="TextBody"/>
        <w:bidi w:val="0"/>
        <w:spacing w:before="0" w:after="0"/>
        <w:ind w:left="0" w:right="0" w:hanging="0"/>
        <w:jc w:val="both"/>
        <w:rPr/>
      </w:pPr>
      <w:r>
        <w:rPr/>
        <w:t> </w:t>
      </w: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DOCUMENTS INCLUDED AS PART OF THIS FORM 6-K</w:t>
      </w:r>
    </w:p>
    <w:p>
      <w:pPr>
        <w:pStyle w:val="TextBody"/>
        <w:bidi w:val="0"/>
        <w:spacing w:before="0" w:after="0"/>
        <w:ind w:left="0" w:right="0" w:hanging="0"/>
        <w:jc w:val="center"/>
        <w:rPr/>
      </w:pPr>
      <w:r>
        <w:rPr/>
        <w:t> </w:t>
      </w:r>
    </w:p>
    <w:p>
      <w:pPr>
        <w:pStyle w:val="TextBody"/>
        <w:bidi w:val="0"/>
        <w:spacing w:before="0" w:after="0"/>
        <w:ind w:left="0" w:right="0" w:hanging="0"/>
        <w:jc w:val="both"/>
        <w:rPr/>
      </w:pPr>
      <w:r>
        <w:rPr>
          <w:rStyle w:val="StrongEmphasis"/>
          <w:rFonts w:ascii="times new roman" w:hAnsi="times new roman"/>
          <w:sz w:val="20"/>
        </w:rPr>
        <w:t>Explanatory Note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On May 11, 2023, Mynaric AG issued an Ad-Hoc and a corporate news. A copy of the Ad-Hoc is furnished as Exhibit 99.1 and a copy of the corporate news is furnished as Exhibit 99.2 hereto.</w:t>
      </w:r>
    </w:p>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2</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DOCUMENTS INCLUDED AS PART OF THIS FORM 6-K</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28" w:type="dxa"/>
          <w:right w:w="0" w:type="dxa"/>
        </w:tblCellMar>
      </w:tblPr>
      <w:tblGrid>
        <w:gridCol w:w="695"/>
        <w:gridCol w:w="90"/>
        <w:gridCol w:w="9420"/>
      </w:tblGrid>
      <w:tr>
        <w:trPr/>
        <w:tc>
          <w:tcPr>
            <w:tcW w:w="695"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Exhibit</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420"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Description of Exhibit</w:t>
            </w:r>
          </w:p>
        </w:tc>
      </w:tr>
      <w:tr>
        <w:trPr/>
        <w:tc>
          <w:tcPr>
            <w:tcW w:w="695" w:type="dxa"/>
            <w:tcBorders/>
            <w:shd w:fill="CCEEFF" w:val="clear"/>
            <w:tcMar>
              <w:bottom w:w="0" w:type="dxa"/>
            </w:tcMar>
            <w:vAlign w:val="center"/>
          </w:tcPr>
          <w:p>
            <w:pPr>
              <w:pStyle w:val="TableContents"/>
              <w:bidi w:val="0"/>
              <w:spacing w:before="0" w:after="0"/>
              <w:ind w:left="0" w:right="0" w:hanging="0"/>
              <w:jc w:val="left"/>
              <w:rPr/>
            </w:pPr>
            <w:hyperlink w:anchor="myna_ex991.htm">
              <w:r>
                <w:rPr>
                  <w:rStyle w:val="InternetLink"/>
                  <w:rFonts w:ascii="times new roman" w:hAnsi="times new roman"/>
                  <w:sz w:val="20"/>
                </w:rPr>
                <w:t>99.1</w:t>
              </w:r>
            </w:hyperlink>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420" w:type="dxa"/>
            <w:tcBorders/>
            <w:shd w:fill="CCEEFF" w:val="clear"/>
            <w:tcMar>
              <w:bottom w:w="0" w:type="dxa"/>
            </w:tcMar>
            <w:vAlign w:val="center"/>
          </w:tcPr>
          <w:p>
            <w:pPr>
              <w:pStyle w:val="TableContents"/>
              <w:bidi w:val="0"/>
              <w:spacing w:before="0" w:after="0"/>
              <w:ind w:left="0" w:right="0" w:hanging="0"/>
              <w:jc w:val="both"/>
              <w:rPr/>
            </w:pPr>
            <w:hyperlink w:anchor="myna_ex991.htm">
              <w:r>
                <w:rPr>
                  <w:rStyle w:val="InternetLink"/>
                  <w:rFonts w:ascii="times new roman" w:hAnsi="times new roman"/>
                  <w:sz w:val="20"/>
                </w:rPr>
                <w:t>Co-CEO Bulent Altan aims for transfer to the Company’s Supervisory Board; Co-CEO Mustafa Veziroglu will become the sole CEO</w:t>
              </w:r>
            </w:hyperlink>
          </w:p>
        </w:tc>
      </w:tr>
      <w:tr>
        <w:trPr/>
        <w:tc>
          <w:tcPr>
            <w:tcW w:w="695" w:type="dxa"/>
            <w:tcBorders/>
            <w:shd w:fill="FFFFFF" w:val="clear"/>
            <w:tcMar>
              <w:bottom w:w="0" w:type="dxa"/>
            </w:tcMar>
            <w:vAlign w:val="center"/>
          </w:tcPr>
          <w:p>
            <w:pPr>
              <w:pStyle w:val="TableContents"/>
              <w:bidi w:val="0"/>
              <w:spacing w:before="0" w:after="0"/>
              <w:ind w:left="0" w:right="0" w:hanging="0"/>
              <w:jc w:val="left"/>
              <w:rPr/>
            </w:pPr>
            <w:hyperlink w:anchor="myna_ex992.htm">
              <w:r>
                <w:rPr>
                  <w:rStyle w:val="InternetLink"/>
                  <w:rFonts w:ascii="times new roman" w:hAnsi="times new roman"/>
                  <w:sz w:val="20"/>
                </w:rPr>
                <w:t>99.2</w:t>
              </w:r>
            </w:hyperlink>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420" w:type="dxa"/>
            <w:tcBorders/>
            <w:shd w:fill="FFFFFF" w:val="clear"/>
            <w:tcMar>
              <w:bottom w:w="0" w:type="dxa"/>
            </w:tcMar>
            <w:vAlign w:val="center"/>
          </w:tcPr>
          <w:p>
            <w:pPr>
              <w:pStyle w:val="TableContents"/>
              <w:bidi w:val="0"/>
              <w:spacing w:before="0" w:after="0"/>
              <w:ind w:left="0" w:right="0" w:hanging="0"/>
              <w:jc w:val="both"/>
              <w:rPr/>
            </w:pPr>
            <w:hyperlink w:anchor="myna_ex992.htm">
              <w:r>
                <w:rPr>
                  <w:rStyle w:val="InternetLink"/>
                  <w:rFonts w:ascii="times new roman" w:hAnsi="times new roman"/>
                  <w:sz w:val="20"/>
                </w:rPr>
                <w:t>Mynaric optimizes management structure: Mustafa Veziroglu will become sole CEO with Bulent Altan set to join Supervisory Board</w:t>
              </w:r>
            </w:hyperlink>
          </w:p>
        </w:tc>
      </w:tr>
    </w:tbl>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3</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SIGNATURE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pPr>
      <w:r>
        <w:rPr/>
        <w:t> </w:t>
      </w:r>
    </w:p>
    <w:tbl>
      <w:tblPr>
        <w:tblW w:w="3760" w:type="dxa"/>
        <w:jc w:val="left"/>
        <w:tblInd w:w="0" w:type="dxa"/>
        <w:tblLayout w:type="fixed"/>
        <w:tblCellMar>
          <w:top w:w="0" w:type="dxa"/>
          <w:left w:w="0" w:type="dxa"/>
          <w:bottom w:w="0" w:type="dxa"/>
          <w:right w:w="0" w:type="dxa"/>
        </w:tblCellMar>
      </w:tblPr>
      <w:tblGrid>
        <w:gridCol w:w="105"/>
        <w:gridCol w:w="335"/>
        <w:gridCol w:w="3185"/>
        <w:gridCol w:w="135"/>
      </w:tblGrid>
      <w:tr>
        <w:trPr/>
        <w:tc>
          <w:tcPr>
            <w:tcW w:w="105" w:type="dxa"/>
            <w:tcBorders/>
            <w:vAlign w:val="center"/>
          </w:tcPr>
          <w:p>
            <w:pPr>
              <w:pStyle w:val="TableContents"/>
              <w:bidi w:val="0"/>
              <w:spacing w:before="0" w:after="283"/>
              <w:jc w:val="left"/>
              <w:rPr/>
            </w:pPr>
            <w:r>
              <w:rPr/>
              <w:t> </w:t>
            </w:r>
          </w:p>
        </w:tc>
        <w:tc>
          <w:tcPr>
            <w:tcW w:w="3520" w:type="dxa"/>
            <w:gridSpan w:val="2"/>
            <w:tcBorders/>
            <w:vAlign w:val="center"/>
          </w:tcPr>
          <w:p>
            <w:pPr>
              <w:pStyle w:val="TableContents"/>
              <w:bidi w:val="0"/>
              <w:spacing w:before="0" w:after="0"/>
              <w:ind w:left="0" w:right="0" w:hanging="0"/>
              <w:jc w:val="left"/>
              <w:rPr/>
            </w:pPr>
            <w:r>
              <w:rPr>
                <w:rStyle w:val="StrongEmphasis"/>
              </w:rPr>
              <w:t>Mynaric AG</w:t>
            </w:r>
          </w:p>
        </w:tc>
        <w:tc>
          <w:tcPr>
            <w:tcW w:w="135" w:type="dxa"/>
            <w:tcBorders/>
            <w:vAlign w:val="center"/>
          </w:tcPr>
          <w:p>
            <w:pPr>
              <w:pStyle w:val="TableContents"/>
              <w:bidi w:val="0"/>
              <w:spacing w:before="0" w:after="283"/>
              <w:jc w:val="left"/>
              <w:rPr>
                <w:sz w:val="4"/>
                <w:szCs w:val="4"/>
              </w:rPr>
            </w:pPr>
            <w:r>
              <w:rPr>
                <w:sz w:val="4"/>
                <w:szCs w:val="4"/>
              </w:rPr>
            </w:r>
          </w:p>
        </w:tc>
      </w:tr>
      <w:tr>
        <w:trPr/>
        <w:tc>
          <w:tcPr>
            <w:tcW w:w="1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By</w:t>
            </w:r>
          </w:p>
        </w:tc>
        <w:tc>
          <w:tcPr>
            <w:tcW w:w="3185" w:type="dxa"/>
            <w:tcBorders>
              <w:bottom w:val="single" w:sz="2" w:space="0" w:color="000000"/>
            </w:tcBorders>
            <w:tcMar>
              <w:bottom w:w="28" w:type="dxa"/>
            </w:tcMar>
            <w:vAlign w:val="center"/>
          </w:tcPr>
          <w:p>
            <w:pPr>
              <w:pStyle w:val="TableContents"/>
              <w:bidi w:val="0"/>
              <w:spacing w:before="0" w:after="283"/>
              <w:jc w:val="left"/>
              <w:rPr/>
            </w:pPr>
            <w:r>
              <w:rPr/>
              <w:t>/s/ Stefan Berndt-von Bülow</w:t>
            </w:r>
          </w:p>
        </w:tc>
        <w:tc>
          <w:tcPr>
            <w:tcW w:w="135" w:type="dxa"/>
            <w:tcBorders/>
            <w:vAlign w:val="center"/>
          </w:tcPr>
          <w:p>
            <w:pPr>
              <w:pStyle w:val="TableContents"/>
              <w:bidi w:val="0"/>
              <w:spacing w:before="0" w:after="283"/>
              <w:jc w:val="left"/>
              <w:rPr>
                <w:sz w:val="4"/>
                <w:szCs w:val="4"/>
              </w:rPr>
            </w:pPr>
            <w:r>
              <w:rPr>
                <w:sz w:val="4"/>
                <w:szCs w:val="4"/>
              </w:rPr>
            </w:r>
          </w:p>
        </w:tc>
      </w:tr>
      <w:tr>
        <w:trPr/>
        <w:tc>
          <w:tcPr>
            <w:tcW w:w="105"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3185" w:type="dxa"/>
            <w:tcBorders/>
            <w:vAlign w:val="center"/>
          </w:tcPr>
          <w:p>
            <w:pPr>
              <w:pStyle w:val="TableContents"/>
              <w:bidi w:val="0"/>
              <w:spacing w:before="0" w:after="283"/>
              <w:jc w:val="left"/>
              <w:rPr/>
            </w:pPr>
            <w:r>
              <w:rPr/>
              <w:t>Name: Stefan Berndt-von Bülow</w:t>
            </w:r>
          </w:p>
        </w:tc>
        <w:tc>
          <w:tcPr>
            <w:tcW w:w="13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pPr>
            <w:r>
              <w:rPr/>
              <w:t>Title: Chief Financial Officer</w:t>
            </w:r>
          </w:p>
        </w:tc>
        <w:tc>
          <w:tcPr>
            <w:tcW w:w="13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By</w:t>
            </w:r>
          </w:p>
        </w:tc>
        <w:tc>
          <w:tcPr>
            <w:tcW w:w="3185" w:type="dxa"/>
            <w:tcBorders>
              <w:bottom w:val="single" w:sz="2" w:space="0" w:color="000000"/>
            </w:tcBorders>
            <w:tcMar>
              <w:bottom w:w="28" w:type="dxa"/>
            </w:tcMar>
            <w:vAlign w:val="center"/>
          </w:tcPr>
          <w:p>
            <w:pPr>
              <w:pStyle w:val="TableContents"/>
              <w:bidi w:val="0"/>
              <w:spacing w:before="0" w:after="0"/>
              <w:ind w:left="0" w:right="0" w:hanging="0"/>
              <w:jc w:val="left"/>
              <w:rPr/>
            </w:pPr>
            <w:r>
              <w:rPr/>
              <w:t>/s/ Sven Meyer-Brunswick</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3185" w:type="dxa"/>
            <w:tcBorders/>
            <w:vAlign w:val="center"/>
          </w:tcPr>
          <w:p>
            <w:pPr>
              <w:pStyle w:val="TableContents"/>
              <w:bidi w:val="0"/>
              <w:spacing w:before="0" w:after="0"/>
              <w:ind w:left="0" w:right="0" w:hanging="0"/>
              <w:jc w:val="left"/>
              <w:rPr/>
            </w:pPr>
            <w:r>
              <w:rPr/>
              <w:t>Name: Sven Meyer-Brunswick</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3185" w:type="dxa"/>
            <w:tcBorders/>
            <w:vAlign w:val="center"/>
          </w:tcPr>
          <w:p>
            <w:pPr>
              <w:pStyle w:val="TableContents"/>
              <w:bidi w:val="0"/>
              <w:spacing w:before="0" w:after="0"/>
              <w:ind w:left="0" w:right="0" w:hanging="0"/>
              <w:jc w:val="left"/>
              <w:rPr/>
            </w:pPr>
            <w:r>
              <w:rPr/>
              <w:t>Title: Authorized Representative</w:t>
            </w:r>
          </w:p>
        </w:tc>
        <w:tc>
          <w:tcPr>
            <w:tcW w:w="13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Date: May 11, 2023</w:t>
      </w:r>
    </w:p>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4</w:t>
            </w:r>
          </w:p>
        </w:tc>
      </w:tr>
    </w:tbl>
    <w:p>
      <w:pPr>
        <w:pStyle w:val="TextBody"/>
        <w:bidi w:val="0"/>
        <w:spacing w:before="0" w:after="0"/>
        <w:ind w:left="0" w:right="0" w:hanging="0"/>
        <w:jc w:val="both"/>
        <w:rPr/>
      </w:pPr>
      <w:r>
        <w:rPr/>
        <w:t> </w:t>
      </w:r>
    </w:p>
    <w:p>
      <w:pPr>
        <w:pStyle w:val="TextBody"/>
        <w:bidi w:val="0"/>
        <w:spacing w:before="0" w:after="0"/>
        <w:ind w:left="0" w:right="0" w:hanging="0"/>
        <w:jc w:val="right"/>
        <w:rPr/>
      </w:pPr>
      <w:bookmarkStart w:id="4" w:name="myna_ex991.htm"/>
      <w:bookmarkStart w:id="5" w:name="ksmyna_ex991"/>
      <w:bookmarkEnd w:id="4"/>
      <w:bookmarkEnd w:id="5"/>
      <w:r>
        <w:rPr>
          <w:rStyle w:val="StrongEmphasis"/>
          <w:rFonts w:ascii="times new roman" w:hAnsi="times new roman"/>
          <w:sz w:val="20"/>
        </w:rPr>
        <w:t>EXHIBIT 99.1</w:t>
      </w:r>
      <w:r>
        <w:br w:type="page"/>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Co-CEO Bulent Altan aims for transfer to the Company’s Supervisory Board; Co-CEO Mustafa Veziroglu will become the sole CEO</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Gilching, Germany, May 11th, 2023 - The Supervisory Board of Mynaric AG (NASDAQ: MYNA) (FRA:M0YN) and the Co-CEO of the Company, Bulent Altan, in alignment with the further members of the Management Board have today agreed on the intended transfer of Mr. Altan to the Supervisory Board of the Company. For this purpose, Mr. Altan will resign from his position as Chief Executive Officer (CEO) and member of the Management Board of Mynaric AG as of the end of the Annual General Meeting 2023 of the Company at the beginning of Q3 2023. Simultaneously, the other Co-CEO Mustafa Veziroglu will become the sole CEO of the Company. The Supervisory Board intends to propose Mr. Altan for election as a member of the Supervisory Board at the Annual General Meeting 2023 and to seek the support of relevant investors for the election proposal to the Annual General Meeting in a timely manner.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Bulent Altan has been a member and CEO of the Company since March 2019. Since January 2023, he has been managing the company together with the other CEO, Mustafa Veziroglu. With the intended transfer to the Company’s Supervisory Board, Bulent Altan will continue to contribute his many years of experience in the Company’s business areas to the Company in the future. Mustafa Veziroglu, who is already successfully managing the Company’s business alongside Bulent Altan, will then be the Company’s sole CEO.</w:t>
      </w:r>
    </w:p>
    <w:p>
      <w:pPr>
        <w:pStyle w:val="TextBody"/>
        <w:bidi w:val="0"/>
        <w:spacing w:before="0" w:after="0"/>
        <w:ind w:left="0" w:right="0" w:hanging="0"/>
        <w:jc w:val="both"/>
        <w:rPr/>
      </w:pPr>
      <w:r>
        <w:rPr/>
        <w:t> </w:t>
      </w:r>
    </w:p>
    <w:p>
      <w:pPr>
        <w:pStyle w:val="TextBody"/>
        <w:bidi w:val="0"/>
        <w:spacing w:before="0" w:after="0"/>
        <w:ind w:left="0" w:right="0" w:hanging="0"/>
        <w:jc w:val="right"/>
        <w:rPr/>
      </w:pPr>
      <w:bookmarkStart w:id="6" w:name="myna_ex992.htm"/>
      <w:bookmarkStart w:id="7" w:name="ksmyna_ex992"/>
      <w:bookmarkEnd w:id="6"/>
      <w:bookmarkEnd w:id="7"/>
      <w:r>
        <w:rPr>
          <w:rStyle w:val="StrongEmphasis"/>
          <w:rFonts w:ascii="times new roman" w:hAnsi="times new roman"/>
          <w:sz w:val="20"/>
        </w:rPr>
        <w:t>EXHIBIT 99.2</w:t>
      </w:r>
      <w:r>
        <w:br w:type="page"/>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Mynaric optimizes management structure: Mustafa Veziroglu will become sole CEO with Bulent Altan set to join Supervisory Board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MUNICH, May 11, 2023 –  Mynaric (NASDAQ: MYNA) (FRA: M0YN), a leading provider of industrialized, cost-effective, and scalable laser communications products, today announced that the management and supervisory board jointly decided on a plan to further optimize the leadership structure of Mynaric. The plan foresees that Mustafa Veziroglu will become the sole CEO of Mynaric, effective from the next Annual General Assembly of Mynaric in early Q3 2023 to solely lead Mynaric’s operational day-to-day business and upcoming serial production, while current Co-CEO, Bulent Altan, is set to join the Supervisory Board of Mynaric pending shareholder approval allowing him to leverage his vast network across the industry for the benefit of the company more efficiently.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Mustafa Veziroglu joined Mynaric’s management board in August 2022 and most recently served as Co-CEO of the company leading all operational product-related activities overseeing the entire product lifecycle from development through delivery. Since then, he has ensured the delivery of initial units of HAWK and CONDOR Mk2 to lead customers and, most importantly, oversaw important customer and product milestones of CONDOR Mk3 paving the way for the upcoming production ramp up and resulting in a rapidly increasing customer backlog. His role as CEO will be to strengthen Mynaric’s focus on 2023 execution targets particularly with respect to production and positioning the company for long-term growth.</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r>
        <w:rPr>
          <w:rFonts w:ascii="times new roman" w:hAnsi="times new roman"/>
          <w:sz w:val="20"/>
        </w:rPr>
        <w:t>With major milestones in testing and product development work completed in the last months, Mynaric is now at the start of a shift toward serial production and Mustafa’s skills and experience align perfectly with Mynaric’s next phase of growth,” said Dr. Manfred Krischke, Chairman of the Supervisory Board of Mynaric. “We thank Bulent for all his work as CEO and Co-CEO of Mynaric leading the company’s transition from a prototype builder to the readiness for serial production and look forward to welcoming his vast experience, industry knowledge, policy insights and personal network to the Supervisory Board.”</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r>
        <w:rPr>
          <w:rFonts w:ascii="times new roman" w:hAnsi="times new roman"/>
          <w:sz w:val="20"/>
        </w:rPr>
        <w:t>I’m honored to step into this leadership role of Mynaric as we transition from product development to serial production of significant quantities of terminals to our customers in the second half of this year,” said Mustafa Veziroglu of Mynaric. “Bulent has done a tremendous job operationally leading the company to where we are today and I look forward to having his experience and guidance as part of the Supervisory Board of Mynaric and to seeing him carrying our vision and products to every single corner of the aerospace industry.”</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r>
        <w:rPr>
          <w:rFonts w:ascii="times new roman" w:hAnsi="times new roman"/>
          <w:sz w:val="20"/>
        </w:rPr>
        <w:t>I am excited that our Supervisory Board has recognized the tremendous added value Mustafa brings to Mynaric and with his vast experience I believe there’s no better person to lead Mynaric’s operational day-to-day execution and upcoming production ramp up,” said Bulent Altan of Mynaric. “Mynaric has a bright future ahead and I’m looking forward to joining the Supervisory Board to be able to tap my large network even more efficiently to place Mynaric’s capabilities all across the industry.”</w:t>
      </w:r>
    </w:p>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1</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Bulent Altan has spent more than 20 years in the space industry with a career that started as an early employee and later executive at SpaceX and is well connected to a vast pool of executives and decision makers. He is a partner at venture capital firm Alpine Space Ventures that exclusively invests in attractive business opportunities in the rapidly expanding space industry and is a regular advisor to governments on space industry policy. His role as part of the Supervisory Board will be to represent the company externally and to carry Mynaric’s vision of ubiquitous optical communications across the space industry.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About Mynaric</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For more information, visit mynaric.com.</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Media contact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Krista Hazen</w:t>
      </w:r>
    </w:p>
    <w:p>
      <w:pPr>
        <w:pStyle w:val="TextBody"/>
        <w:bidi w:val="0"/>
        <w:spacing w:before="0" w:after="0"/>
        <w:ind w:left="0" w:right="0" w:hanging="0"/>
        <w:jc w:val="left"/>
        <w:rPr>
          <w:rFonts w:ascii="times new roman" w:hAnsi="times new roman"/>
          <w:sz w:val="20"/>
        </w:rPr>
      </w:pPr>
      <w:r>
        <w:rPr>
          <w:rFonts w:ascii="times new roman" w:hAnsi="times new roman"/>
          <w:sz w:val="20"/>
        </w:rPr>
        <w:t>krista.hazen@mynaricusa.com</w:t>
      </w:r>
    </w:p>
    <w:p>
      <w:pPr>
        <w:pStyle w:val="TextBody"/>
        <w:bidi w:val="0"/>
        <w:spacing w:before="0" w:after="0"/>
        <w:ind w:left="0" w:right="0" w:hanging="0"/>
        <w:jc w:val="both"/>
        <w:rPr>
          <w:rFonts w:ascii="times new roman" w:hAnsi="times new roman"/>
          <w:sz w:val="20"/>
        </w:rPr>
      </w:pPr>
      <w:r>
        <w:rPr>
          <w:rFonts w:ascii="times new roman" w:hAnsi="times new roman"/>
          <w:sz w:val="20"/>
        </w:rPr>
        <w:t>+1 (614) 915-4383</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Investor contact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Tom Dinges</w:t>
      </w:r>
    </w:p>
    <w:p>
      <w:pPr>
        <w:pStyle w:val="TextBody"/>
        <w:bidi w:val="0"/>
        <w:spacing w:before="0" w:after="0"/>
        <w:ind w:left="0" w:right="0" w:hanging="0"/>
        <w:jc w:val="left"/>
        <w:rPr>
          <w:rFonts w:ascii="times new roman" w:hAnsi="times new roman"/>
          <w:sz w:val="20"/>
        </w:rPr>
      </w:pPr>
      <w:r>
        <w:rPr>
          <w:rFonts w:ascii="times new roman" w:hAnsi="times new roman"/>
          <w:sz w:val="20"/>
        </w:rPr>
        <w:t>tom.dinges@mynaric.com</w:t>
      </w:r>
    </w:p>
    <w:p>
      <w:pPr>
        <w:pStyle w:val="TextBody"/>
        <w:bidi w:val="0"/>
        <w:spacing w:before="0" w:after="0"/>
        <w:ind w:left="0" w:right="0" w:hanging="0"/>
        <w:jc w:val="left"/>
        <w:rPr>
          <w:rFonts w:ascii="times new roman" w:hAnsi="times new roman"/>
          <w:sz w:val="20"/>
        </w:rPr>
      </w:pPr>
      <w:r>
        <w:rPr>
          <w:rFonts w:ascii="times new roman" w:hAnsi="times new roman"/>
          <w:sz w:val="20"/>
        </w:rPr>
        <w:t>+1 (202) 900-8332</w:t>
      </w:r>
    </w:p>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2</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Forward-Looking Statement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This release includes forward-looking statements. All statements other than statements of historical or current facts contained in this release, including statements regarding our future results of operations and financial position, industry dynamics, business strategy and plans and our objectives for future operations, are forward-looking statements. These statements 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 “predict,” “project,” “should,” “target” “will,” “would” and/or the negative of these terms or other similar expressions that are intended to identify forward-looking statements.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forward-looking statements included in this release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involve known and unknown risks, uncertainties and assumptions that are difficult to predict or are beyond our control, and actual results may differ materially from those expected or implied as forward-looking statements. These risks, uncertainties and assumptions include, but are not limited to (i) the impact of any geopolitical tensions or the global COVID-19 pandemic on the global economy, our industry and markets as well as our business, (ii) risks related to our limited operating history, our history of significant losses and the execution of our business strategy, (iii) risks related to our ability to successfully manufacture and deploy our products and risks related to serial production of our products, (iv) risks related to our sales cycle which can be long and complicated, (v) risks related to our limited experience with order processing, our dependency on third-party suppliers and external procurement risks, (vi) risks related to defects or performance problems in our products, (vii) effects of competition and the development of the market for laser communication technology in general, (viii) risks related to our ability to manage future growth effectively and to obtain sufficient financing for the operations and ongoing growth of our business, (ix) risks relating to the uncertainty of the projected financial information, (x) risks related to our ability to adequately protect our intellectual property and proprietary rights and (xi) 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differ from those contained in any forward-looking statements we may make. In light of these risks, uncertainties and assumptions, the forward-looking events and circumstances discussed in this release may not occur and actual results could differ materially and adversely from those anticipated or implied in the forward-looking statements. We caution you therefore against relying on these forward-looking statements, and we qualify all of our forward-looking statements by these cautionary statements.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forward-looking statements included in this release are made only as of the date hereof. Although we believe that the expectations reflected in the forward-looking statements are reasonable, we cannot guarantee that the future results, levels of activity, performance or events and circumstances reflected in the forward-looking statements will be achieved or occur. Neither we nor any other person assumes responsibility for the accuracy and completeness of the forward-looking statements. Unless required under applicable law, neither we nor any other person undertakes any obligation to update any forward-looking statement to reflect events or circumstances after the date of this release or otherwise. You should read this release with the understanding that our actual future results, levels of activity, performance and events and circumstances may materially differ from what we expect.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This release may include certain financial measures not presented in accordance with IFRS. Such financial measures are not measures of financial performance in accordance with IFRS and may exclude items that are significant in understanding and assessing our financial results. Therefore, these measures should not be considered in isolation or as an alternative to loss for the period or other measures of profitability, liquidity or performance under IFRS. You should be aware that our presentation of these measures may not be comparable to similarly titled measures used by other companies, which may be defined and calculated differently.</w:t>
      </w:r>
    </w:p>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3</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1976</Words>
  <Characters>11098</Characters>
  <CharactersWithSpaces>13096</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