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MONTH OF </w:t>
      </w:r>
      <w:r>
        <w:rPr>
          <w:rFonts w:ascii="Arial" w:cs="Arial" w:eastAsia="Arial" w:hAnsi="Arial"/>
          <w:sz w:val="18"/>
          <w:szCs w:val="18"/>
          <w:b w:val="1"/>
          <w:bCs w:val="1"/>
          <w:u w:val="single" w:color="auto"/>
          <w:color w:val="auto"/>
        </w:rPr>
        <w:t>August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001-41045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6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whether the registrant files or will file annual reports under cover Form 20</w:t>
      </w:r>
      <w:r>
        <w:rPr>
          <w:rFonts w:ascii="MS PGothic" w:cs="MS PGothic" w:eastAsia="MS PGothic" w:hAnsi="MS PGothic"/>
          <w:sz w:val="17"/>
          <w:szCs w:val="17"/>
          <w:color w:val="auto"/>
        </w:rPr>
        <w:t>‑</w:t>
      </w:r>
      <w:r>
        <w:rPr>
          <w:rFonts w:ascii="Arial" w:cs="Arial" w:eastAsia="Arial" w:hAnsi="Arial"/>
          <w:sz w:val="17"/>
          <w:szCs w:val="17"/>
          <w:color w:val="auto"/>
        </w:rPr>
        <w:t>F or Form 40</w:t>
      </w:r>
      <w:r>
        <w:rPr>
          <w:rFonts w:ascii="MS PGothic" w:cs="MS PGothic" w:eastAsia="MS PGothic" w:hAnsi="MS PGothic"/>
          <w:sz w:val="17"/>
          <w:szCs w:val="17"/>
          <w:color w:val="auto"/>
        </w:rPr>
        <w:t>‑</w:t>
      </w:r>
      <w:r>
        <w:rPr>
          <w:rFonts w:ascii="Arial" w:cs="Arial" w:eastAsia="Arial" w:hAnsi="Arial"/>
          <w:sz w:val="17"/>
          <w:szCs w:val="17"/>
          <w:color w:val="auto"/>
        </w:rPr>
        <w:t>F: Form 20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On August 22, 2023, Mynaric AG issued a corporate news. A copy of the Corporate News is furnished as Exhibit 99.1.</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gridSpan w:val="3"/>
          </w:tcPr>
          <w:p>
            <w:pPr>
              <w:jc w:val="center"/>
              <w:ind w:left="4150"/>
              <w:spacing w:after="0"/>
              <w:rPr>
                <w:sz w:val="20"/>
                <w:szCs w:val="20"/>
                <w:color w:val="auto"/>
              </w:rPr>
            </w:pPr>
            <w:r>
              <w:rPr>
                <w:rFonts w:ascii="Arial" w:cs="Arial" w:eastAsia="Arial" w:hAnsi="Arial"/>
                <w:sz w:val="18"/>
                <w:szCs w:val="18"/>
                <w:color w:val="auto"/>
                <w:w w:val="79"/>
              </w:rPr>
              <w:t>2</w:t>
            </w:r>
          </w:p>
        </w:tc>
        <w:tc>
          <w:tcPr>
            <w:tcW w:w="490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9"/>
              </w:rPr>
              <w:t>DOCUMENTS INCLUDED AS PART OF THIS FORM 6-K</w:t>
            </w:r>
          </w:p>
        </w:tc>
      </w:tr>
      <w:tr>
        <w:trPr>
          <w:trHeight w:val="432"/>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580" w:type="dxa"/>
            <w:vAlign w:val="bottom"/>
            <w:gridSpan w:val="4"/>
          </w:tcPr>
          <w:p>
            <w:pPr>
              <w:ind w:left="22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6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shd w:val="clear" w:color="auto" w:fill="CCEEFF"/>
          </w:tcPr>
          <w:p>
            <w:pPr>
              <w:spacing w:after="0"/>
              <w:rPr>
                <w:sz w:val="16"/>
                <w:szCs w:val="16"/>
                <w:color w:val="auto"/>
              </w:rPr>
            </w:pPr>
          </w:p>
        </w:tc>
        <w:tc>
          <w:tcPr>
            <w:tcW w:w="10360" w:type="dxa"/>
            <w:vAlign w:val="bottom"/>
            <w:tcBorders>
              <w:top w:val="single" w:sz="8" w:color="auto"/>
            </w:tcBorders>
            <w:gridSpan w:val="3"/>
            <w:shd w:val="clear" w:color="auto" w:fill="CCEEFF"/>
          </w:tcPr>
          <w:p>
            <w:pPr>
              <w:ind w:left="20"/>
              <w:spacing w:after="0" w:line="169" w:lineRule="exact"/>
              <w:rPr>
                <w:sz w:val="20"/>
                <w:szCs w:val="20"/>
                <w:color w:val="auto"/>
              </w:rPr>
            </w:pPr>
            <w:r>
              <w:rPr>
                <w:rFonts w:ascii="Arial" w:cs="Arial" w:eastAsia="Arial" w:hAnsi="Arial"/>
                <w:sz w:val="18"/>
                <w:szCs w:val="18"/>
                <w:color w:val="0000EE"/>
              </w:rPr>
              <w:t>Space Development Agency taps Mynaric for optical ground station project</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gridSpan w:val="2"/>
          </w:tcPr>
          <w:p>
            <w:pPr>
              <w:spacing w:after="0"/>
              <w:rPr>
                <w:sz w:val="24"/>
                <w:szCs w:val="24"/>
                <w:color w:val="auto"/>
              </w:rPr>
            </w:pPr>
          </w:p>
        </w:tc>
        <w:tc>
          <w:tcPr>
            <w:tcW w:w="5440" w:type="dxa"/>
            <w:vAlign w:val="bottom"/>
            <w:tcBorders>
              <w:top w:val="single" w:sz="8" w:color="0000EE"/>
              <w:bottom w:val="single" w:sz="8" w:color="auto"/>
            </w:tcBorders>
          </w:tcPr>
          <w:p>
            <w:pPr>
              <w:jc w:val="center"/>
              <w:ind w:left="3910"/>
              <w:spacing w:after="0"/>
              <w:rPr>
                <w:sz w:val="20"/>
                <w:szCs w:val="20"/>
                <w:color w:val="auto"/>
              </w:rPr>
            </w:pPr>
            <w:r>
              <w:rPr>
                <w:rFonts w:ascii="Arial" w:cs="Arial" w:eastAsia="Arial" w:hAnsi="Arial"/>
                <w:sz w:val="18"/>
                <w:szCs w:val="18"/>
                <w:color w:val="auto"/>
                <w:w w:val="79"/>
              </w:rPr>
              <w:t>3</w:t>
            </w:r>
          </w:p>
        </w:tc>
        <w:tc>
          <w:tcPr>
            <w:tcW w:w="490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Name:Stefan Berndt-von Bülow</w:t>
      </w:r>
    </w:p>
    <w:p>
      <w:pPr>
        <w:spacing w:after="0" w:line="2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Title:Chief Financial Officer</w:t>
      </w:r>
    </w:p>
    <w:p>
      <w:pPr>
        <w:spacing w:after="0" w:line="211"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By  /s/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Name:Sven Meyer-Brunswick</w:t>
      </w:r>
    </w:p>
    <w:p>
      <w:pPr>
        <w:spacing w:after="0" w:line="23" w:lineRule="exact"/>
        <w:rPr>
          <w:sz w:val="24"/>
          <w:szCs w:val="24"/>
          <w:color w:val="auto"/>
        </w:rPr>
      </w:pPr>
    </w:p>
    <w:p>
      <w:pPr>
        <w:ind w:left="5980"/>
        <w:spacing w:after="0"/>
        <w:rPr>
          <w:sz w:val="20"/>
          <w:szCs w:val="20"/>
          <w:color w:val="auto"/>
        </w:rPr>
      </w:pPr>
      <w:r>
        <w:rPr>
          <w:rFonts w:ascii="Arial" w:cs="Arial" w:eastAsia="Arial" w:hAnsi="Arial"/>
          <w:sz w:val="18"/>
          <w:szCs w:val="18"/>
          <w:color w:val="auto"/>
        </w:rPr>
        <w:t>Title:Authorized Representative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August 22, 2023</w:t>
      </w:r>
    </w:p>
    <w:p>
      <w:pPr>
        <w:sectPr>
          <w:pgSz w:w="11900" w:h="16838" w:orient="portrait"/>
          <w:cols w:equalWidth="0" w:num="1">
            <w:col w:w="11240"/>
          </w:cols>
          <w:pgMar w:left="320" w:top="666"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Space Development Agency taps Mynaric for optical ground station project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experiments to be conducted during demonstration</w:t>
      </w:r>
    </w:p>
    <w:p>
      <w:pPr>
        <w:spacing w:after="0" w:line="22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LOS ANGELES, August 22, 2023 </w:t>
      </w:r>
      <w:r>
        <w:rPr>
          <w:rFonts w:ascii="Arial" w:cs="Arial" w:eastAsia="Arial" w:hAnsi="Arial"/>
          <w:sz w:val="17"/>
          <w:szCs w:val="17"/>
          <w:color w:val="auto"/>
        </w:rPr>
        <w:t>– Mynaric (NASDAQ: MYNA) (FRA: M0YN), a leading provider of industrialized, cost-effective and scalable laser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products, today announced that it has been selected by the Space Development Agency (SDA) to contribute to an optical ground terminal demonstration. The research and development program’s mission, slated for 2025, is to demonstrate the successful connection between various space-based optical communications terminals (OCTs) and an optical ground station designed by Mynaric.</w:t>
      </w:r>
    </w:p>
    <w:p>
      <w:pPr>
        <w:spacing w:after="0" w:line="16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collaboration with the SDA marks a significant milestone in advancing laser communications technology and paves the way for enhanced connectivity in the Proliferated Warfighter Space Architecture,” said Joachim Horwath, Chief Technology Officer of Mynaric. “The ground station will play an important role in delivering high throughput and communication resiliency to the SDA network.”</w:t>
      </w:r>
    </w:p>
    <w:p>
      <w:pPr>
        <w:spacing w:after="0" w:line="18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principal purpose of this research and development program is to collect data and record findings from the connection between various space-based optical communications terminals and the optical ground station. This program will serve as risk reduction for follow-on demonstrations focusing on communications between the optical ground station and the Tranche 0 Transport Layer Space Vehicles.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were honored to be approached by the SDA to provide this critical laser communications technology and support for this project,” said Tim Deaver, Vice President of US Government Sales and Strategic Solutions of Mynaric. “Delivering highly sensitive information and data to the ground is an important component of enabling data transfer between all domains.”</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This project strengthens Mynaric’s position as a leading supplier across the company’s entire laser communications product portfolio across all domains, space, air, and ground. Mynaric’s laser communications terminals are designed and manufactured for mass deployment in government and commercial satellite constellations. The company has been previously selected for SDA programs by Northrop Grumman for the Tranche 1 Transport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Layer and Tracking Layer, by Loft Federal for the SDA’s Experimental Testbed (NExT) and by Raytheon for the SDA’s Tranche 1 Tracking Layer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mynaric.com.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2023-08-22T09:22:06Z</dcterms:created>
  <dcterms:modified xsi:type="dcterms:W3CDTF">2023-08-22T09:22:06Z</dcterms:modified>
</cp:coreProperties>
</file>