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ind w:left="0" w:right="0" w:hanging="0"/>
        <w:rPr>
          <w:sz w:val="4"/>
          <w:szCs w:val="4"/>
        </w:rPr>
      </w:pPr>
      <w:r>
        <w:rPr>
          <w:sz w:val="4"/>
          <w:szCs w:val="4"/>
        </w:rPr>
      </w:r>
      <w:bookmarkStart w:id="0" w:name="myna_6k.htm"/>
      <w:bookmarkStart w:id="1" w:name="ksmyna_6k"/>
      <w:bookmarkStart w:id="2" w:name="myna_6k.htm"/>
      <w:bookmarkStart w:id="3" w:name="ksmyna_6k"/>
      <w:bookmarkEnd w:id="2"/>
      <w:bookmarkEnd w:id="3"/>
    </w:p>
    <w:tbl>
      <w:tblPr>
        <w:tblW w:w="169" w:type="dxa"/>
        <w:jc w:val="left"/>
        <w:tblInd w:w="0" w:type="dxa"/>
        <w:tblCellMar>
          <w:top w:w="0" w:type="dxa"/>
          <w:left w:w="0" w:type="dxa"/>
          <w:bottom w:w="28" w:type="dxa"/>
          <w:right w:w="0" w:type="dxa"/>
        </w:tblCellMar>
      </w:tblPr>
      <w:tblGrid>
        <w:gridCol w:w="169"/>
      </w:tblGrid>
      <w:tr>
        <w:trPr/>
        <w:tc>
          <w:tcPr>
            <w:tcW w:w="169" w:type="dxa"/>
            <w:tcBorders>
              <w:bottom w:val="single" w:sz="30" w:space="0" w:color="000000"/>
            </w:tcBorders>
            <w:shd w:fill="auto" w:val="clear"/>
            <w:vAlign w:val="center"/>
          </w:tcPr>
          <w:p>
            <w:pPr>
              <w:pStyle w:val="TableContents"/>
              <w:spacing w:before="0" w:after="283"/>
              <w:rPr>
                <w:sz w:val="4"/>
                <w:szCs w:val="4"/>
              </w:rPr>
            </w:pPr>
            <w:r>
              <w:rPr>
                <w:sz w:val="4"/>
                <w:szCs w:val="4"/>
              </w:rPr>
            </w:r>
          </w:p>
        </w:tc>
      </w:tr>
      <w:tr>
        <w:trPr/>
        <w:tc>
          <w:tcPr>
            <w:tcW w:w="169" w:type="dxa"/>
            <w:tcBorders>
              <w:bottom w:val="single" w:sz="12"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jc w:val="center"/>
        <w:rPr/>
      </w:pPr>
      <w:r>
        <w:rPr>
          <w:rStyle w:val="StrongEmphasis"/>
          <w:sz w:val="24"/>
        </w:rPr>
        <w:t>UNITED STATES</w:t>
      </w:r>
    </w:p>
    <w:p>
      <w:pPr>
        <w:pStyle w:val="TextBody"/>
        <w:spacing w:before="0" w:after="0"/>
        <w:ind w:left="0" w:right="0" w:hanging="0"/>
        <w:jc w:val="center"/>
        <w:rPr/>
      </w:pPr>
      <w:bookmarkStart w:id="4" w:name="del_fontfcd21f7a-e774-4997-8a54-fde3474c"/>
      <w:bookmarkEnd w:id="4"/>
      <w:r>
        <w:rPr>
          <w:rStyle w:val="StrongEmphasis"/>
          <w:rFonts w:ascii="times new roman" w:hAnsi="times new roman"/>
          <w:sz w:val="24"/>
        </w:rPr>
        <w:t>SECURITIES AND EXCHANGE COMMISSION</w:t>
      </w:r>
    </w:p>
    <w:p>
      <w:pPr>
        <w:pStyle w:val="TextBody"/>
        <w:spacing w:before="0" w:after="0"/>
        <w:ind w:left="0" w:right="0" w:hanging="0"/>
        <w:jc w:val="center"/>
        <w:rPr/>
      </w:pPr>
      <w:r>
        <w:rPr>
          <w:rStyle w:val="StrongEmphasis"/>
          <w:rFonts w:ascii="times new roman" w:hAnsi="times new roman"/>
          <w:sz w:val="24"/>
        </w:rPr>
        <w:t>Washington, D.C. 20549</w:t>
      </w:r>
    </w:p>
    <w:p>
      <w:pPr>
        <w:pStyle w:val="TextBody"/>
        <w:spacing w:before="0" w:after="0"/>
        <w:ind w:left="0" w:right="0" w:hanging="0"/>
        <w:jc w:val="both"/>
        <w:rPr/>
      </w:pPr>
      <w:r>
        <w:rPr>
          <w:rStyle w:val="StrongEmphasis"/>
        </w:rPr>
        <w:t> </w:t>
      </w:r>
    </w:p>
    <w:p>
      <w:pPr>
        <w:pStyle w:val="TextBody"/>
        <w:spacing w:before="0" w:after="0"/>
        <w:ind w:left="0" w:right="0" w:hanging="0"/>
        <w:jc w:val="center"/>
        <w:rPr/>
      </w:pPr>
      <w:bookmarkStart w:id="5" w:name="del_font76791394-805c-4a25-b65e-6d5050e8"/>
      <w:bookmarkEnd w:id="5"/>
      <w:r>
        <w:rPr>
          <w:rStyle w:val="StrongEmphasis"/>
          <w:rFonts w:ascii="times new roman" w:hAnsi="times new roman"/>
          <w:sz w:val="36"/>
        </w:rPr>
        <w:t>FORM 6-K</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REPORT OF FOREIGN PRIVATE ISSUER PURSUANT TO RULE 13a</w:t>
        <w:noBreakHyphen/>
        <w:t>16 OR 15d</w:t>
        <w:noBreakHyphen/>
        <w:t>16</w:t>
      </w:r>
    </w:p>
    <w:p>
      <w:pPr>
        <w:pStyle w:val="TextBody"/>
        <w:spacing w:before="0" w:after="0"/>
        <w:ind w:left="0" w:right="0" w:hanging="0"/>
        <w:jc w:val="center"/>
        <w:rPr/>
      </w:pPr>
      <w:r>
        <w:rPr>
          <w:rStyle w:val="StrongEmphasis"/>
          <w:rFonts w:ascii="times new roman" w:hAnsi="times new roman"/>
          <w:sz w:val="20"/>
        </w:rPr>
        <w:t>UNDER THE SECURITIES EXCHANGE ACT OF 1934</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FOR THE MONTH OF April 2023</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COMMISSION FILE NUMBER 001-41045</w:t>
      </w:r>
    </w:p>
    <w:p>
      <w:pPr>
        <w:pStyle w:val="TextBody"/>
        <w:spacing w:before="0" w:after="0"/>
        <w:ind w:left="0" w:right="0" w:hanging="0"/>
        <w:jc w:val="center"/>
        <w:rPr/>
      </w:pPr>
      <w:r>
        <w:rPr/>
        <w:t> </w:t>
      </w:r>
    </w:p>
    <w:tbl>
      <w:tblPr>
        <w:tblW w:w="2075" w:type="dxa"/>
        <w:jc w:val="left"/>
        <w:tblInd w:w="0" w:type="dxa"/>
        <w:tblCellMar>
          <w:top w:w="0" w:type="dxa"/>
          <w:left w:w="0" w:type="dxa"/>
          <w:bottom w:w="28" w:type="dxa"/>
          <w:right w:w="0" w:type="dxa"/>
        </w:tblCellMar>
      </w:tblPr>
      <w:tblGrid>
        <w:gridCol w:w="2075"/>
      </w:tblGrid>
      <w:tr>
        <w:trPr/>
        <w:tc>
          <w:tcPr>
            <w:tcW w:w="2075" w:type="dxa"/>
            <w:tcBorders>
              <w:bottom w:val="single" w:sz="2" w:space="0" w:color="000000"/>
            </w:tcBorders>
            <w:shd w:fill="auto" w:val="clear"/>
            <w:vAlign w:val="center"/>
          </w:tcPr>
          <w:p>
            <w:pPr>
              <w:pStyle w:val="TableContents"/>
              <w:spacing w:before="0" w:after="0"/>
              <w:ind w:left="0" w:right="0" w:hanging="0"/>
              <w:jc w:val="center"/>
              <w:rPr/>
            </w:pPr>
            <w:bookmarkStart w:id="6" w:name="del_fontaa8c850f-dd34-4931-ad74-0fc1a0de"/>
            <w:bookmarkEnd w:id="6"/>
            <w:r>
              <w:rPr>
                <w:rStyle w:val="StrongEmphasis"/>
                <w:sz w:val="36"/>
              </w:rPr>
              <w:t>Mynaric AG</w:t>
            </w:r>
          </w:p>
        </w:tc>
      </w:tr>
      <w:tr>
        <w:trPr/>
        <w:tc>
          <w:tcPr>
            <w:tcW w:w="2075" w:type="dxa"/>
            <w:tcBorders/>
            <w:shd w:fill="auto" w:val="clear"/>
            <w:tcMar>
              <w:bottom w:w="0" w:type="dxa"/>
            </w:tcMar>
            <w:vAlign w:val="center"/>
          </w:tcPr>
          <w:p>
            <w:pPr>
              <w:pStyle w:val="TableContents"/>
              <w:spacing w:before="0" w:after="0"/>
              <w:ind w:left="0" w:right="0" w:hanging="0"/>
              <w:jc w:val="center"/>
              <w:rPr/>
            </w:pPr>
            <w:r>
              <w:rPr/>
              <w:t>(</w:t>
            </w:r>
            <w:r>
              <w:rPr>
                <w:rStyle w:val="Emphasis"/>
              </w:rPr>
              <w:t>Registrant’s name</w:t>
            </w:r>
            <w:r>
              <w:rPr/>
              <w:t>)</w:t>
            </w:r>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Dornierstraße 19</w:t>
      </w:r>
    </w:p>
    <w:p>
      <w:pPr>
        <w:pStyle w:val="TextBody"/>
        <w:spacing w:before="0" w:after="0"/>
        <w:ind w:left="0" w:right="0" w:hanging="0"/>
        <w:jc w:val="center"/>
        <w:rPr/>
      </w:pPr>
      <w:r>
        <w:rPr>
          <w:rStyle w:val="StrongEmphasis"/>
          <w:rFonts w:ascii="times new roman" w:hAnsi="times new roman"/>
          <w:sz w:val="20"/>
        </w:rPr>
        <w:t>82205 Gilching</w:t>
      </w:r>
    </w:p>
    <w:p>
      <w:pPr>
        <w:pStyle w:val="TextBody"/>
        <w:spacing w:before="0" w:after="0"/>
        <w:ind w:left="0" w:right="0" w:hanging="0"/>
        <w:jc w:val="center"/>
        <w:rPr/>
      </w:pPr>
      <w:r>
        <w:rPr>
          <w:rStyle w:val="StrongEmphasis"/>
          <w:rFonts w:ascii="times new roman" w:hAnsi="times new roman"/>
          <w:sz w:val="20"/>
        </w:rPr>
        <w:t>Germany</w:t>
      </w:r>
    </w:p>
    <w:p>
      <w:pPr>
        <w:pStyle w:val="TextBody"/>
        <w:spacing w:before="0" w:after="0"/>
        <w:ind w:left="0" w:right="0" w:hanging="0"/>
        <w:jc w:val="center"/>
        <w:rPr/>
      </w:pPr>
      <w:r>
        <w:rPr>
          <w:rStyle w:val="StrongEmphasis"/>
          <w:rFonts w:ascii="times new roman" w:hAnsi="times new roman"/>
          <w:sz w:val="20"/>
        </w:rPr>
        <w:t>+49 (0) 8105 79990</w:t>
      </w:r>
    </w:p>
    <w:p>
      <w:pPr>
        <w:pStyle w:val="TextBody"/>
        <w:spacing w:before="0" w:after="0"/>
        <w:ind w:left="0" w:right="0" w:hanging="0"/>
        <w:jc w:val="center"/>
        <w:rPr/>
      </w:pPr>
      <w:r>
        <w:rPr>
          <w:rFonts w:ascii="times new roman" w:hAnsi="times new roman"/>
          <w:sz w:val="20"/>
        </w:rPr>
        <w:t>(</w:t>
      </w:r>
      <w:r>
        <w:rPr>
          <w:rStyle w:val="Emphasis"/>
          <w:rFonts w:ascii="times new roman" w:hAnsi="times new roman"/>
          <w:sz w:val="20"/>
        </w:rPr>
        <w:t>Address of principal executive offices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files or will file annual reports under cover Form 20</w:t>
        <w:noBreakHyphen/>
        <w:t>F or Form 40</w:t>
        <w:noBreakHyphen/>
        <w:t>F: Form 20</w:t>
        <w:noBreakHyphen/>
        <w:t>F ☒   Form 40</w:t>
        <w:noBreakHyphen/>
        <w:t>F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submitting the Form 6</w:t>
        <w:noBreakHyphen/>
        <w:t>K in paper as permitted by Regulation S</w:t>
        <w:noBreakHyphen/>
        <w:t>T Rule 101(b)(1):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submitting the Form 6</w:t>
        <w:noBreakHyphen/>
        <w:t>K in paper as permitted by Regulation S</w:t>
        <w:noBreakHyphen/>
        <w:t>T Rule 101(b)(7):   ☐</w:t>
      </w:r>
    </w:p>
    <w:p>
      <w:pPr>
        <w:pStyle w:val="TextBody"/>
        <w:spacing w:before="0" w:after="0"/>
        <w:ind w:left="0" w:right="0" w:hanging="0"/>
        <w:jc w:val="both"/>
        <w:rPr/>
      </w:pPr>
      <w:r>
        <w:rPr/>
        <w:t> </w:t>
      </w:r>
    </w:p>
    <w:tbl>
      <w:tblPr>
        <w:tblW w:w="169" w:type="dxa"/>
        <w:jc w:val="left"/>
        <w:tblInd w:w="0" w:type="dxa"/>
        <w:tblCellMar>
          <w:top w:w="0" w:type="dxa"/>
          <w:left w:w="0" w:type="dxa"/>
          <w:bottom w:w="28" w:type="dxa"/>
          <w:right w:w="0" w:type="dxa"/>
        </w:tblCellMar>
      </w:tblPr>
      <w:tblGrid>
        <w:gridCol w:w="169"/>
      </w:tblGrid>
      <w:tr>
        <w:trPr/>
        <w:tc>
          <w:tcPr>
            <w:tcW w:w="169" w:type="dxa"/>
            <w:tcBorders>
              <w:bottom w:val="single" w:sz="12" w:space="0" w:color="000000"/>
            </w:tcBorders>
            <w:shd w:fill="auto" w:val="clear"/>
            <w:vAlign w:val="center"/>
          </w:tcPr>
          <w:p>
            <w:pPr>
              <w:pStyle w:val="TableContents"/>
              <w:spacing w:before="0" w:after="283"/>
              <w:rPr>
                <w:sz w:val="4"/>
                <w:szCs w:val="4"/>
              </w:rPr>
            </w:pPr>
            <w:r>
              <w:rPr>
                <w:sz w:val="4"/>
                <w:szCs w:val="4"/>
              </w:rPr>
            </w:r>
          </w:p>
        </w:tc>
      </w:tr>
      <w:tr>
        <w:trPr/>
        <w:tc>
          <w:tcPr>
            <w:tcW w:w="169" w:type="dxa"/>
            <w:tcBorders>
              <w:bottom w:val="single" w:sz="30" w:space="0" w:color="000000"/>
            </w:tcBorders>
            <w:shd w:fill="auto" w:val="clear"/>
            <w:vAlign w:val="center"/>
          </w:tcPr>
          <w:p>
            <w:pPr>
              <w:pStyle w:val="TableContents"/>
              <w:spacing w:before="0" w:after="283"/>
              <w:rPr>
                <w:sz w:val="4"/>
                <w:szCs w:val="4"/>
              </w:rPr>
            </w:pPr>
            <w:r>
              <w:rPr>
                <w:sz w:val="4"/>
                <w:szCs w:val="4"/>
              </w:rPr>
            </w:r>
          </w:p>
        </w:tc>
      </w:tr>
    </w:tbl>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ind w:left="0" w:right="0" w:hanging="0"/>
              <w:rPr/>
            </w:pPr>
            <w:r>
              <w:rPr/>
              <w:t> </w:t>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pPr>
      <w:r>
        <w:rPr>
          <w:rStyle w:val="StrongEmphasis"/>
        </w:rPr>
        <w:t> </w:t>
      </w:r>
    </w:p>
    <w:p>
      <w:pPr>
        <w:pStyle w:val="TextBody"/>
        <w:spacing w:before="0" w:after="0"/>
        <w:ind w:left="0" w:right="0" w:hanging="0"/>
        <w:jc w:val="center"/>
        <w:rPr/>
      </w:pPr>
      <w:r>
        <w:rPr>
          <w:rStyle w:val="StrongEmphasis"/>
        </w:rPr>
        <w:t>DOCUMENTS INCLUDED AS PART OF THIS FORM 6-K</w:t>
      </w:r>
    </w:p>
    <w:p>
      <w:pPr>
        <w:pStyle w:val="TextBody"/>
        <w:spacing w:before="0" w:after="0"/>
        <w:ind w:left="0" w:right="0" w:hanging="0"/>
        <w:jc w:val="center"/>
        <w:rPr/>
      </w:pPr>
      <w:r>
        <w:rPr/>
        <w:t> </w:t>
      </w:r>
    </w:p>
    <w:p>
      <w:pPr>
        <w:pStyle w:val="TextBody"/>
        <w:spacing w:before="0" w:after="0"/>
        <w:ind w:left="0" w:right="0" w:hanging="0"/>
        <w:jc w:val="both"/>
        <w:rPr/>
      </w:pPr>
      <w:r>
        <w:rPr>
          <w:rStyle w:val="StrongEmphasis"/>
          <w:rFonts w:ascii="times new roman" w:hAnsi="times new roman"/>
          <w:sz w:val="20"/>
        </w:rPr>
        <w:t>Explanatory Note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25, 2023, Mynaric AG issued an Ad-Hoc and a corporate news. A copy of the Ad-Hoc is furnished as Exhibit 99.1 and a copy of the corporate news is furnished as Exhibit 99.2 hereto.</w:t>
      </w:r>
    </w:p>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2</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rStyle w:val="StrongEmphasis"/>
        </w:rPr>
        <w:t> </w:t>
      </w:r>
    </w:p>
    <w:p>
      <w:pPr>
        <w:pStyle w:val="TextBody"/>
        <w:spacing w:before="0" w:after="0"/>
        <w:ind w:left="0" w:right="0" w:hanging="0"/>
        <w:jc w:val="center"/>
        <w:rPr/>
      </w:pPr>
      <w:r>
        <w:rPr>
          <w:rStyle w:val="StrongEmphasis"/>
        </w:rPr>
        <w:t>DOCUMENTS INCLUDED AS PART OF THIS FORM 6-K</w:t>
      </w:r>
    </w:p>
    <w:p>
      <w:pPr>
        <w:pStyle w:val="TextBody"/>
        <w:spacing w:before="0" w:after="0"/>
        <w:ind w:left="0" w:right="0" w:hanging="0"/>
        <w:jc w:val="center"/>
        <w:rPr/>
      </w:pPr>
      <w:r>
        <w:rPr/>
        <w:t> </w:t>
      </w:r>
    </w:p>
    <w:tbl>
      <w:tblPr>
        <w:tblW w:w="10205" w:type="dxa"/>
        <w:jc w:val="left"/>
        <w:tblInd w:w="0" w:type="dxa"/>
        <w:tblCellMar>
          <w:top w:w="0" w:type="dxa"/>
          <w:left w:w="0" w:type="dxa"/>
          <w:bottom w:w="28" w:type="dxa"/>
          <w:right w:w="0" w:type="dxa"/>
        </w:tblCellMar>
      </w:tblPr>
      <w:tblGrid>
        <w:gridCol w:w="755"/>
        <w:gridCol w:w="90"/>
        <w:gridCol w:w="9360"/>
      </w:tblGrid>
      <w:tr>
        <w:trPr/>
        <w:tc>
          <w:tcPr>
            <w:tcW w:w="755" w:type="dxa"/>
            <w:tcBorders>
              <w:bottom w:val="single" w:sz="2" w:space="0" w:color="000000"/>
            </w:tcBorders>
            <w:shd w:fill="auto" w:val="clear"/>
            <w:vAlign w:val="center"/>
          </w:tcPr>
          <w:p>
            <w:pPr>
              <w:pStyle w:val="TableContents"/>
              <w:spacing w:before="0" w:after="0"/>
              <w:ind w:left="0" w:right="0" w:hanging="0"/>
              <w:rPr/>
            </w:pPr>
            <w:r>
              <w:rPr/>
              <w:t>Exhibit</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360" w:type="dxa"/>
            <w:tcBorders>
              <w:bottom w:val="single" w:sz="2" w:space="0" w:color="000000"/>
            </w:tcBorders>
            <w:shd w:fill="auto" w:val="clear"/>
            <w:vAlign w:val="center"/>
          </w:tcPr>
          <w:p>
            <w:pPr>
              <w:pStyle w:val="TableContents"/>
              <w:spacing w:before="0" w:after="0"/>
              <w:ind w:left="0" w:right="0" w:hanging="0"/>
              <w:rPr/>
            </w:pPr>
            <w:r>
              <w:rPr/>
              <w:t>Description of Exhibit</w:t>
            </w:r>
          </w:p>
        </w:tc>
      </w:tr>
      <w:tr>
        <w:trPr/>
        <w:tc>
          <w:tcPr>
            <w:tcW w:w="755" w:type="dxa"/>
            <w:tcBorders/>
            <w:shd w:fill="CCEEFF" w:val="clear"/>
            <w:tcMar>
              <w:bottom w:w="0" w:type="dxa"/>
            </w:tcMar>
            <w:vAlign w:val="center"/>
          </w:tcPr>
          <w:p>
            <w:pPr>
              <w:pStyle w:val="TableContents"/>
              <w:spacing w:before="0" w:after="0"/>
              <w:ind w:left="0" w:right="0" w:hanging="0"/>
              <w:rPr/>
            </w:pPr>
            <w:hyperlink w:anchor="myna_ex991.htm">
              <w:r>
                <w:rPr>
                  <w:rStyle w:val="InternetLink"/>
                </w:rPr>
                <w:t>99.1</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7" w:right="0" w:hanging="0"/>
              <w:jc w:val="both"/>
              <w:rPr/>
            </w:pPr>
            <w:hyperlink w:anchor="myna_ex991.htm">
              <w:r>
                <w:rPr>
                  <w:rStyle w:val="InternetLink"/>
                </w:rPr>
                <w:t>Mynaric secures EUR 80.6 million debt/equity financing by way of a US$75 million secured loan and a EUR 12.4 million capital increase from authorized capital</w:t>
              </w:r>
            </w:hyperlink>
          </w:p>
        </w:tc>
      </w:tr>
      <w:tr>
        <w:trPr/>
        <w:tc>
          <w:tcPr>
            <w:tcW w:w="75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rPr/>
            </w:pPr>
            <w:r>
              <w:rPr/>
              <w:t> </w:t>
            </w:r>
          </w:p>
        </w:tc>
      </w:tr>
      <w:tr>
        <w:trPr/>
        <w:tc>
          <w:tcPr>
            <w:tcW w:w="755" w:type="dxa"/>
            <w:tcBorders/>
            <w:shd w:fill="CCEEFF" w:val="clear"/>
            <w:tcMar>
              <w:bottom w:w="0" w:type="dxa"/>
            </w:tcMar>
            <w:vAlign w:val="center"/>
          </w:tcPr>
          <w:p>
            <w:pPr>
              <w:pStyle w:val="TableContents"/>
              <w:spacing w:before="0" w:after="0"/>
              <w:ind w:left="0" w:right="0" w:hanging="0"/>
              <w:rPr/>
            </w:pPr>
            <w:hyperlink w:anchor="myna_ex992.htm">
              <w:r>
                <w:rPr>
                  <w:rStyle w:val="InternetLink"/>
                </w:rPr>
                <w:t>99.2</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7" w:right="0" w:hanging="0"/>
              <w:jc w:val="both"/>
              <w:rPr/>
            </w:pPr>
            <w:hyperlink w:anchor="myna_ex992.htm">
              <w:r>
                <w:rPr>
                  <w:rStyle w:val="InternetLink"/>
                </w:rPr>
                <w:t>Mynaric announces date of preliminary full-year 2022 financial results webcast and provides preliminary full-year 2022 results update</w:t>
              </w:r>
            </w:hyperlink>
          </w:p>
        </w:tc>
      </w:tr>
    </w:tbl>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3</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r>
        <w:rPr>
          <w:rStyle w:val="StrongEmphasis"/>
        </w:rPr>
        <w:t>SIGNATURE</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tbl>
      <w:tblPr>
        <w:tblW w:w="3825" w:type="dxa"/>
        <w:jc w:val="left"/>
        <w:tblInd w:w="0" w:type="dxa"/>
        <w:tblCellMar>
          <w:top w:w="0" w:type="dxa"/>
          <w:left w:w="0" w:type="dxa"/>
          <w:bottom w:w="0" w:type="dxa"/>
          <w:right w:w="0" w:type="dxa"/>
        </w:tblCellMar>
      </w:tblPr>
      <w:tblGrid>
        <w:gridCol w:w="105"/>
        <w:gridCol w:w="335"/>
        <w:gridCol w:w="680"/>
        <w:gridCol w:w="2570"/>
        <w:gridCol w:w="135"/>
      </w:tblGrid>
      <w:tr>
        <w:trPr/>
        <w:tc>
          <w:tcPr>
            <w:tcW w:w="105" w:type="dxa"/>
            <w:tcBorders/>
            <w:shd w:fill="auto" w:val="clear"/>
            <w:vAlign w:val="center"/>
          </w:tcPr>
          <w:p>
            <w:pPr>
              <w:pStyle w:val="TableContents"/>
              <w:spacing w:before="0" w:after="283"/>
              <w:rPr>
                <w:sz w:val="4"/>
                <w:szCs w:val="4"/>
              </w:rPr>
            </w:pPr>
            <w:r>
              <w:rPr>
                <w:sz w:val="4"/>
                <w:szCs w:val="4"/>
              </w:rPr>
            </w:r>
          </w:p>
        </w:tc>
        <w:tc>
          <w:tcPr>
            <w:tcW w:w="3585" w:type="dxa"/>
            <w:gridSpan w:val="3"/>
            <w:tcBorders/>
            <w:shd w:fill="auto" w:val="clear"/>
            <w:vAlign w:val="center"/>
          </w:tcPr>
          <w:p>
            <w:pPr>
              <w:pStyle w:val="TableContents"/>
              <w:spacing w:before="0" w:after="0"/>
              <w:ind w:left="0" w:right="0" w:hanging="0"/>
              <w:jc w:val="left"/>
              <w:rPr/>
            </w:pPr>
            <w:r>
              <w:rPr>
                <w:rStyle w:val="StrongEmphasis"/>
              </w:rPr>
              <w:t>Mynaric AG</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335" w:type="dxa"/>
            <w:tcBorders/>
            <w:shd w:fill="auto" w:val="clear"/>
            <w:vAlign w:val="center"/>
          </w:tcPr>
          <w:p>
            <w:pPr>
              <w:pStyle w:val="TableContents"/>
              <w:spacing w:before="0" w:after="0"/>
              <w:ind w:left="0" w:right="0" w:hanging="0"/>
              <w:jc w:val="right"/>
              <w:rPr/>
            </w:pPr>
            <w:r>
              <w:rPr/>
              <w:t> </w:t>
            </w:r>
          </w:p>
        </w:tc>
        <w:tc>
          <w:tcPr>
            <w:tcW w:w="3250" w:type="dxa"/>
            <w:gridSpan w:val="2"/>
            <w:tcBorders/>
            <w:shd w:fill="auto" w:val="clear"/>
            <w:vAlign w:val="center"/>
          </w:tcPr>
          <w:p>
            <w:pPr>
              <w:pStyle w:val="TableContents"/>
              <w:spacing w:before="0" w:after="0"/>
              <w:ind w:left="0" w:right="0" w:hanging="0"/>
              <w:jc w:val="left"/>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335" w:type="dxa"/>
            <w:tcBorders/>
            <w:shd w:fill="auto" w:val="clear"/>
            <w:vAlign w:val="center"/>
          </w:tcPr>
          <w:p>
            <w:pPr>
              <w:pStyle w:val="TableContents"/>
              <w:spacing w:before="0" w:after="0"/>
              <w:ind w:left="0" w:right="0" w:hanging="0"/>
              <w:jc w:val="left"/>
              <w:rPr/>
            </w:pPr>
            <w:r>
              <w:rPr/>
              <w:t>By</w:t>
            </w:r>
          </w:p>
        </w:tc>
        <w:tc>
          <w:tcPr>
            <w:tcW w:w="3250" w:type="dxa"/>
            <w:gridSpan w:val="2"/>
            <w:tcBorders>
              <w:bottom w:val="single" w:sz="2" w:space="0" w:color="000000"/>
            </w:tcBorders>
            <w:shd w:fill="auto" w:val="clear"/>
            <w:tcMar>
              <w:bottom w:w="28" w:type="dxa"/>
            </w:tcMar>
            <w:vAlign w:val="center"/>
          </w:tcPr>
          <w:p>
            <w:pPr>
              <w:pStyle w:val="TableContents"/>
              <w:spacing w:before="0" w:after="0"/>
              <w:ind w:left="0" w:right="0" w:hanging="0"/>
              <w:jc w:val="left"/>
              <w:rPr/>
            </w:pPr>
            <w:r>
              <w:rPr/>
              <w:t>/s/ Stefan Berndt-von Bülow</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335" w:type="dxa"/>
            <w:tcBorders/>
            <w:shd w:fill="auto" w:val="clear"/>
            <w:vAlign w:val="center"/>
          </w:tcPr>
          <w:p>
            <w:pPr>
              <w:pStyle w:val="TableContents"/>
              <w:spacing w:before="0" w:after="0"/>
              <w:ind w:left="0" w:right="0" w:hanging="0"/>
              <w:jc w:val="right"/>
              <w:rPr/>
            </w:pPr>
            <w:r>
              <w:rPr/>
              <w:t> </w:t>
            </w:r>
          </w:p>
        </w:tc>
        <w:tc>
          <w:tcPr>
            <w:tcW w:w="680" w:type="dxa"/>
            <w:tcBorders/>
            <w:shd w:fill="auto" w:val="clear"/>
            <w:vAlign w:val="center"/>
          </w:tcPr>
          <w:p>
            <w:pPr>
              <w:pStyle w:val="TableContents"/>
              <w:spacing w:before="0" w:after="0"/>
              <w:ind w:left="0" w:right="0" w:hanging="0"/>
              <w:jc w:val="left"/>
              <w:rPr/>
            </w:pPr>
            <w:r>
              <w:rPr/>
              <w:t>Name:</w:t>
            </w:r>
          </w:p>
        </w:tc>
        <w:tc>
          <w:tcPr>
            <w:tcW w:w="2570" w:type="dxa"/>
            <w:tcBorders/>
            <w:shd w:fill="auto" w:val="clear"/>
            <w:vAlign w:val="center"/>
          </w:tcPr>
          <w:p>
            <w:pPr>
              <w:pStyle w:val="TableContents"/>
              <w:spacing w:before="0" w:after="0"/>
              <w:ind w:left="0" w:right="0" w:hanging="0"/>
              <w:jc w:val="left"/>
              <w:rPr/>
            </w:pPr>
            <w:r>
              <w:rPr/>
              <w:t>Stefan Berndt-von Bülow</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335" w:type="dxa"/>
            <w:tcBorders/>
            <w:shd w:fill="auto" w:val="clear"/>
            <w:vAlign w:val="center"/>
          </w:tcPr>
          <w:p>
            <w:pPr>
              <w:pStyle w:val="TableContents"/>
              <w:spacing w:before="0" w:after="0"/>
              <w:ind w:left="0" w:right="0" w:hanging="0"/>
              <w:jc w:val="right"/>
              <w:rPr/>
            </w:pPr>
            <w:r>
              <w:rPr/>
              <w:t> </w:t>
            </w:r>
          </w:p>
        </w:tc>
        <w:tc>
          <w:tcPr>
            <w:tcW w:w="680" w:type="dxa"/>
            <w:tcBorders/>
            <w:shd w:fill="auto" w:val="clear"/>
            <w:vAlign w:val="center"/>
          </w:tcPr>
          <w:p>
            <w:pPr>
              <w:pStyle w:val="TableContents"/>
              <w:spacing w:before="0" w:after="0"/>
              <w:ind w:left="0" w:right="0" w:hanging="0"/>
              <w:jc w:val="left"/>
              <w:rPr/>
            </w:pPr>
            <w:r>
              <w:rPr/>
              <w:t>Title:</w:t>
            </w:r>
          </w:p>
        </w:tc>
        <w:tc>
          <w:tcPr>
            <w:tcW w:w="2570" w:type="dxa"/>
            <w:tcBorders/>
            <w:shd w:fill="auto" w:val="clear"/>
            <w:vAlign w:val="center"/>
          </w:tcPr>
          <w:p>
            <w:pPr>
              <w:pStyle w:val="TableContents"/>
              <w:spacing w:before="0" w:after="0"/>
              <w:ind w:left="0" w:right="0" w:hanging="0"/>
              <w:jc w:val="left"/>
              <w:rPr/>
            </w:pPr>
            <w:r>
              <w:rPr/>
              <w:t>Chief Financial Officer</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335" w:type="dxa"/>
            <w:tcBorders/>
            <w:shd w:fill="auto" w:val="clear"/>
            <w:vAlign w:val="center"/>
          </w:tcPr>
          <w:p>
            <w:pPr>
              <w:pStyle w:val="TableContents"/>
              <w:spacing w:before="0" w:after="0"/>
              <w:ind w:left="0" w:right="0" w:hanging="0"/>
              <w:jc w:val="right"/>
              <w:rPr/>
            </w:pPr>
            <w:r>
              <w:rPr/>
              <w:t> </w:t>
            </w:r>
          </w:p>
        </w:tc>
        <w:tc>
          <w:tcPr>
            <w:tcW w:w="680" w:type="dxa"/>
            <w:tcBorders/>
            <w:shd w:fill="auto" w:val="clear"/>
            <w:vAlign w:val="center"/>
          </w:tcPr>
          <w:p>
            <w:pPr>
              <w:pStyle w:val="TableContents"/>
              <w:spacing w:before="0" w:after="0"/>
              <w:ind w:left="0" w:right="0" w:hanging="0"/>
              <w:jc w:val="right"/>
              <w:rPr/>
            </w:pPr>
            <w:r>
              <w:rPr/>
              <w:t> </w:t>
            </w:r>
          </w:p>
        </w:tc>
        <w:tc>
          <w:tcPr>
            <w:tcW w:w="2570" w:type="dxa"/>
            <w:tcBorders/>
            <w:shd w:fill="auto" w:val="clear"/>
            <w:vAlign w:val="center"/>
          </w:tcPr>
          <w:p>
            <w:pPr>
              <w:pStyle w:val="TableContents"/>
              <w:spacing w:before="0" w:after="0"/>
              <w:ind w:left="0" w:right="0" w:hanging="0"/>
              <w:jc w:val="right"/>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335" w:type="dxa"/>
            <w:tcBorders/>
            <w:shd w:fill="auto" w:val="clear"/>
            <w:vAlign w:val="center"/>
          </w:tcPr>
          <w:p>
            <w:pPr>
              <w:pStyle w:val="TableContents"/>
              <w:spacing w:before="0" w:after="0"/>
              <w:ind w:left="0" w:right="0" w:hanging="0"/>
              <w:jc w:val="left"/>
              <w:rPr/>
            </w:pPr>
            <w:r>
              <w:rPr/>
              <w:t>By</w:t>
            </w:r>
          </w:p>
        </w:tc>
        <w:tc>
          <w:tcPr>
            <w:tcW w:w="3250" w:type="dxa"/>
            <w:gridSpan w:val="2"/>
            <w:tcBorders>
              <w:bottom w:val="single" w:sz="2" w:space="0" w:color="000000"/>
            </w:tcBorders>
            <w:shd w:fill="auto" w:val="clear"/>
            <w:tcMar>
              <w:bottom w:w="28" w:type="dxa"/>
            </w:tcMar>
            <w:vAlign w:val="center"/>
          </w:tcPr>
          <w:p>
            <w:pPr>
              <w:pStyle w:val="TableContents"/>
              <w:spacing w:before="0" w:after="0"/>
              <w:ind w:left="0" w:right="0" w:hanging="0"/>
              <w:jc w:val="left"/>
              <w:rPr/>
            </w:pPr>
            <w:r>
              <w:rPr/>
              <w:t>/s/ Sven Meyer-Brunswick</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335" w:type="dxa"/>
            <w:tcBorders/>
            <w:shd w:fill="auto" w:val="clear"/>
            <w:vAlign w:val="center"/>
          </w:tcPr>
          <w:p>
            <w:pPr>
              <w:pStyle w:val="TableContents"/>
              <w:spacing w:before="0" w:after="0"/>
              <w:ind w:left="0" w:right="0" w:hanging="0"/>
              <w:jc w:val="right"/>
              <w:rPr/>
            </w:pPr>
            <w:r>
              <w:rPr/>
              <w:t> </w:t>
            </w:r>
          </w:p>
        </w:tc>
        <w:tc>
          <w:tcPr>
            <w:tcW w:w="680" w:type="dxa"/>
            <w:tcBorders/>
            <w:shd w:fill="auto" w:val="clear"/>
            <w:vAlign w:val="center"/>
          </w:tcPr>
          <w:p>
            <w:pPr>
              <w:pStyle w:val="TableContents"/>
              <w:spacing w:before="0" w:after="0"/>
              <w:ind w:left="0" w:right="0" w:hanging="0"/>
              <w:jc w:val="left"/>
              <w:rPr/>
            </w:pPr>
            <w:r>
              <w:rPr/>
              <w:t>Name:</w:t>
            </w:r>
          </w:p>
        </w:tc>
        <w:tc>
          <w:tcPr>
            <w:tcW w:w="2570" w:type="dxa"/>
            <w:tcBorders/>
            <w:shd w:fill="auto" w:val="clear"/>
            <w:vAlign w:val="center"/>
          </w:tcPr>
          <w:p>
            <w:pPr>
              <w:pStyle w:val="TableContents"/>
              <w:spacing w:before="0" w:after="0"/>
              <w:ind w:left="0" w:right="0" w:hanging="0"/>
              <w:jc w:val="left"/>
              <w:rPr/>
            </w:pPr>
            <w:r>
              <w:rPr/>
              <w:t>Sven Meyer-Brunswick</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335" w:type="dxa"/>
            <w:tcBorders/>
            <w:shd w:fill="auto" w:val="clear"/>
            <w:vAlign w:val="center"/>
          </w:tcPr>
          <w:p>
            <w:pPr>
              <w:pStyle w:val="TableContents"/>
              <w:spacing w:before="0" w:after="0"/>
              <w:ind w:left="0" w:right="0" w:hanging="0"/>
              <w:jc w:val="right"/>
              <w:rPr/>
            </w:pPr>
            <w:r>
              <w:rPr/>
              <w:t> </w:t>
            </w:r>
          </w:p>
        </w:tc>
        <w:tc>
          <w:tcPr>
            <w:tcW w:w="680" w:type="dxa"/>
            <w:tcBorders/>
            <w:shd w:fill="auto" w:val="clear"/>
            <w:vAlign w:val="center"/>
          </w:tcPr>
          <w:p>
            <w:pPr>
              <w:pStyle w:val="TableContents"/>
              <w:spacing w:before="0" w:after="0"/>
              <w:ind w:left="0" w:right="0" w:hanging="0"/>
              <w:jc w:val="left"/>
              <w:rPr/>
            </w:pPr>
            <w:r>
              <w:rPr/>
              <w:t>Title:</w:t>
            </w:r>
          </w:p>
        </w:tc>
        <w:tc>
          <w:tcPr>
            <w:tcW w:w="2570" w:type="dxa"/>
            <w:tcBorders/>
            <w:shd w:fill="auto" w:val="clear"/>
            <w:vAlign w:val="center"/>
          </w:tcPr>
          <w:p>
            <w:pPr>
              <w:pStyle w:val="TableContents"/>
              <w:spacing w:before="0" w:after="0"/>
              <w:ind w:left="0" w:right="0" w:hanging="0"/>
              <w:jc w:val="left"/>
              <w:rPr/>
            </w:pPr>
            <w:r>
              <w:rPr/>
              <w:t>Authorized Representative</w:t>
            </w:r>
          </w:p>
        </w:tc>
        <w:tc>
          <w:tcPr>
            <w:tcW w:w="135"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 April 25, 2023</w:t>
      </w:r>
    </w:p>
    <w:p>
      <w:pPr>
        <w:pStyle w:val="TextBody"/>
        <w:spacing w:before="0" w:after="0"/>
        <w:ind w:left="0" w:right="0" w:hanging="0"/>
        <w:jc w:val="both"/>
        <w:rPr/>
      </w:pPr>
      <w:r>
        <w:rPr/>
        <w:t> </w:t>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4</w:t>
            </w:r>
          </w:p>
        </w:tc>
      </w:tr>
    </w:tbl>
    <w:p>
      <w:pPr>
        <w:pStyle w:val="TextBody"/>
        <w:spacing w:before="0" w:after="0"/>
        <w:ind w:left="0" w:right="0" w:hanging="0"/>
        <w:rPr/>
      </w:pPr>
      <w:r>
        <w:rPr/>
        <w:t> </w:t>
      </w:r>
      <w:r>
        <w:br w:type="page"/>
      </w:r>
    </w:p>
    <w:p>
      <w:pPr>
        <w:pStyle w:val="TextBody"/>
        <w:spacing w:before="0" w:after="0"/>
        <w:ind w:left="0" w:right="0" w:hanging="0"/>
        <w:jc w:val="right"/>
        <w:rPr/>
      </w:pPr>
      <w:bookmarkStart w:id="7" w:name="myna_ex991.htm"/>
      <w:bookmarkStart w:id="8" w:name="ksmyna_ex991"/>
      <w:bookmarkEnd w:id="7"/>
      <w:bookmarkEnd w:id="8"/>
      <w:r>
        <w:rPr>
          <w:rStyle w:val="StrongEmphasis"/>
          <w:rFonts w:ascii="times new roman" w:hAnsi="times new roman"/>
          <w:sz w:val="20"/>
        </w:rPr>
        <w:t>EXHIBIT 99.1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Mynaric secures EUR 80.6 million debt/equity financing by way of a US$75 million secured loan and a EUR 12.4 million capital increase from authorized capital</w:t>
      </w:r>
    </w:p>
    <w:tbl>
      <w:tblPr>
        <w:tblW w:w="150" w:type="dxa"/>
        <w:jc w:val="left"/>
        <w:tblInd w:w="0" w:type="dxa"/>
        <w:tblCellMar>
          <w:top w:w="0" w:type="dxa"/>
          <w:left w:w="0" w:type="dxa"/>
          <w:bottom w:w="28" w:type="dxa"/>
          <w:right w:w="0" w:type="dxa"/>
        </w:tblCellMar>
      </w:tblPr>
      <w:tblGrid>
        <w:gridCol w:w="150"/>
      </w:tblGrid>
      <w:tr>
        <w:trPr/>
        <w:tc>
          <w:tcPr>
            <w:tcW w:w="150" w:type="dxa"/>
            <w:tcBorders>
              <w:bottom w:val="single" w:sz="2" w:space="0" w:color="000000"/>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pPr>
      <w:r>
        <w:rPr>
          <w:rStyle w:val="Emphasis"/>
          <w:rFonts w:ascii="times new roman" w:hAnsi="times new roman"/>
          <w:sz w:val="20"/>
        </w:rPr>
        <w:t>Financing to support near-to-medium term business plan and Company provides guidance for its key performance indicators for 2023</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Gilching, Germany, 25 April 2023</w:t>
      </w:r>
      <w:r>
        <w:rPr>
          <w:rFonts w:ascii="times new roman" w:hAnsi="times new roman"/>
          <w:sz w:val="20"/>
        </w:rPr>
        <w:t xml:space="preserve"> – Mynaric (FRA: M0YN / NASDAQ: MYNA) today signed a financing of in total EUR 80.6 million to refinance existing indebtedness and support Mynaric’s further growth with funds affiliated with a U.S.-based global investment management firm (the “Lenders”). Under the arrangement, the Lenders will provide a US$75 million (approximately EUR 68.2 million) secured five-year term loan facility and two affiliates will acquire an aggregate equity stake of approximately 9.1% in Mynaric AG (the “Company”) for EUR 12.4 million. The new shares are expected to be issued out of the Company’s authorized capital under the exclusion of shareholders’ subscription rights on or around 28 April 2023.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US$75 million (approximately EUR 68.2 million) term loan facility will be provided pursuant to a secured five-year term loan agreement that was entered into today among the Company’s wholly-owned subsidiary, Mynaric USA Inc. (“Mynaric USA”), as the borrower, the Company, the Lenders, and Alter Domus (US) LLC, as the administrative agent. The loan under the agreement will be guaranteed by the Company and each of its subsidiaries, and will be secured by a security interest in substantially all of the assets of the borrower and each of the guarantors. The loan bears interest at a rate equal to Term Secured Overnight Financing Rate (SOFR) for a 3-month tenor (subject to a 2% floor), plus a margin of 10%, and for the first two years, interest in an amount equal to 3% can be paid in kind by increasing the principal amount of the loans. Mynaric USA intends to draw down the full amount of the facility (subject to a 1% original issue discount) in the coming days.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the management board of the Company today resolved, with the approval of the supervisory board, to increase the Company’s share capital from EUR 5,668,391.00 to EUR 6,233,615.00 by issuing 565,224 new ordinary registered shares against cash contribution by partially utilizing the Authorized Capital 2022/I under the exclusion of the shareholders’ subscription rights. The new shares issued in the capital increase will be subscribed by affiliates of the Lenders (the “Subscribers”). The placement price for the new shares is EUR 22.019 per ordinary share, equal to today’s closing price, subject to a 3% discount, and resulting in aggregate proceeds raised of EUR 12.4 million. The Company expects to apply to the commercial register for the registration of the capital increase on or around 25 April 2023. Upon effectiveness of the capital increase, the Subscribers will own approximately 6.4% and 2.6%, respectively, of Mynaric’s total share capital.</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The aggregate net proceeds of the term loan and the equity investment (</w:t>
      </w:r>
      <w:r>
        <w:rPr>
          <w:rStyle w:val="Emphasis"/>
          <w:rFonts w:ascii="times new roman" w:hAnsi="times new roman"/>
          <w:sz w:val="20"/>
        </w:rPr>
        <w:t>i.e.</w:t>
      </w:r>
      <w:r>
        <w:rPr>
          <w:rFonts w:ascii="times new roman" w:hAnsi="times new roman"/>
          <w:sz w:val="20"/>
        </w:rPr>
        <w:t>, net of fees and expenses related to these transactions) of approximately EUR 75.1 million will be used to fully repay the Company’s existing debt under the May 2022 credit agreement and provide working capital funding to support the near-to-medium term business plan. Under this business plan, the Company announces preliminary guidance on the annual increase for its key performance indicators for 2023 as follows:</w:t>
      </w:r>
    </w:p>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1</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tbl>
      <w:tblPr>
        <w:tblW w:w="8720" w:type="dxa"/>
        <w:jc w:val="left"/>
        <w:tblInd w:w="0" w:type="dxa"/>
        <w:tblCellMar>
          <w:top w:w="0" w:type="dxa"/>
          <w:left w:w="0" w:type="dxa"/>
          <w:bottom w:w="0" w:type="dxa"/>
          <w:right w:w="0" w:type="dxa"/>
        </w:tblCellMar>
      </w:tblPr>
      <w:tblGrid>
        <w:gridCol w:w="105"/>
        <w:gridCol w:w="540"/>
        <w:gridCol w:w="8075"/>
      </w:tblGrid>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8075" w:type="dxa"/>
            <w:tcBorders/>
            <w:shd w:fill="auto" w:val="clear"/>
            <w:vAlign w:val="center"/>
          </w:tcPr>
          <w:p>
            <w:pPr>
              <w:pStyle w:val="TableContents"/>
              <w:spacing w:before="0" w:after="283"/>
              <w:rPr/>
            </w:pPr>
            <w:r>
              <w:rPr/>
              <w:t>Optical Communications Terminal Backlog(1) expected to significantly increase and</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807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8075" w:type="dxa"/>
            <w:tcBorders/>
            <w:shd w:fill="auto" w:val="clear"/>
            <w:vAlign w:val="center"/>
          </w:tcPr>
          <w:p>
            <w:pPr>
              <w:pStyle w:val="TableContents"/>
              <w:spacing w:before="0" w:after="283"/>
              <w:rPr/>
            </w:pPr>
            <w:r>
              <w:rPr/>
              <w:t>Cash-in from Customer Contracts(2) expected to significantly increase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 Backlog is calculated as the order backlog at the beginning of a reporting period plus the order intake within the reporting period minus terminal deliveries recognized as revenue within the reporting period and as adjusted for canceled orders, changes in scope and adjustments. If there are multiple options for deliveries under a particular purchase order or binding agreement, backlog only takes into account the most likely contract option based on management assessment and customer discussions.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 Includes payments from third parties from customer contracts and other signed agreements (including payments received based on payment milestones under customer programs), but excludes payments from government grants.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Forward-Looking Statement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 looking statements. These risks, uncertainties and assumptions include, but are not limited to (i) the impact of any geopolitical tensions, the ongoing Russia-Ukraine conflict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2</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pStyle w:val="TextBody"/>
        <w:spacing w:before="0" w:after="0"/>
        <w:ind w:left="0" w:right="0" w:hanging="0"/>
        <w:jc w:val="both"/>
        <w:rPr/>
      </w:pPr>
      <w:r>
        <w:rPr/>
        <w:t> </w:t>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3</w:t>
            </w:r>
          </w:p>
        </w:tc>
      </w:tr>
    </w:tbl>
    <w:p>
      <w:pPr>
        <w:pStyle w:val="TextBody"/>
        <w:spacing w:before="0" w:after="0"/>
        <w:ind w:left="0" w:right="0" w:hanging="0"/>
        <w:rPr/>
      </w:pPr>
      <w:r>
        <w:rPr/>
        <w:t> </w:t>
      </w:r>
      <w:r>
        <w:br w:type="page"/>
      </w:r>
    </w:p>
    <w:p>
      <w:pPr>
        <w:pStyle w:val="TextBody"/>
        <w:spacing w:before="0" w:after="0"/>
        <w:ind w:left="0" w:right="0" w:hanging="0"/>
        <w:jc w:val="right"/>
        <w:rPr/>
      </w:pPr>
      <w:bookmarkStart w:id="9" w:name="myna_ex992.htm"/>
      <w:bookmarkStart w:id="10" w:name="ksmyna_ex992"/>
      <w:bookmarkEnd w:id="9"/>
      <w:bookmarkEnd w:id="10"/>
      <w:r>
        <w:rPr>
          <w:rStyle w:val="StrongEmphasis"/>
          <w:rFonts w:ascii="times new roman" w:hAnsi="times new roman"/>
          <w:sz w:val="20"/>
        </w:rPr>
        <w:t>EXHIBIT 99.2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Mynaric announces date of preliminary full-year 2022 financial results webcast and provides preliminary full-year 2022 results update</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MUNICH, April 25, 2023 – </w:t>
      </w:r>
      <w:r>
        <w:rPr>
          <w:rFonts w:ascii="times new roman" w:hAnsi="times new roman"/>
          <w:sz w:val="20"/>
        </w:rPr>
        <w:t> Mynaric (NASDAQ: MYNA) (FRA: M0YN), a leading provider of industrialized, cost-effective and scalable laser communications products, today reported selected preliminary unaudited full-year 2022 results. For the full year 2022, Mynaric expects revenue of approximately EUR 4.4 million and a net operating loss of approximately EUR 73.8 million. Earlier this year, Mynaric reported on its key performance indicators for 2022 with optical communications terminal backlog of 256 units (financial year 2022 guidance as of October 25, 2022: &gt;250 units) and cash-in from customer contracts for 2022 of EUR 18.3 million (financial year 2022 guidance as of October 25, 2022: EUR &gt;20 million) with an additional approximately EUR 11 million invoiced in December 2022, which was received in January 2023.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Mynaric has scheduled a webcast to discuss its preliminary unaudited full-year 2022 financial results for Thursday, April 27, 2023, at 12:00 p.m. Eastern Daylight Time (6:00 p.m. Central European Summer Time).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Prior to the webcast on Thursday, April 27, 2023, Mynaric will release preliminary unaudited full year 2022 financial results over the newswire and publish such results in the Investor Relations section on mynaric.com (https://mynaric.com/investor-relations/overview/).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webcast will include a presentation of these preliminary results along with a Q&amp;A session with members of the management board of Mynaric including Co-CEOs, Bulent Altan and Mustafa Veziroglu, and CFO, Stefan Berndt-von Bülow.</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Interested parties may listen to the webcast on the Investor Relations section of mynaric.com by pre-registering at the following registration link: Mynaric FY2022 Earnings Webcast Registration</w:t>
      </w:r>
      <w:r>
        <w:rPr>
          <w:rStyle w:val="StrongEmphasis"/>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An archived version of the webcast along with corresponding slides will be available on the Investor Relations section on mynaric.com.</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About Mynaric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more information, visit mynaric.com. </w:t>
      </w:r>
    </w:p>
    <w:p>
      <w:pPr>
        <w:pStyle w:val="TextBody"/>
        <w:spacing w:before="0" w:after="0"/>
        <w:ind w:left="0" w:right="0" w:hanging="0"/>
        <w:jc w:val="both"/>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2073</Words>
  <CharactersWithSpaces>13992</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