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40"/>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On December 23, 2024, Mynaric AG issued an ad-hoc. A copy of the ad-hoc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tc>
      </w:tr>
      <w:tr>
        <w:trPr>
          <w:trHeight w:val="432"/>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960" w:type="dxa"/>
            <w:vAlign w:val="bottom"/>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1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Ad-hoc Mynaric secures another USD 5.0 million bridge loan</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0000FF"/>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Mynaric secures another USD 5.0 million bridge loan to meet immediate working capital needs</w:t>
      </w:r>
    </w:p>
    <w:p>
      <w:pPr>
        <w:spacing w:after="0" w:line="200" w:lineRule="exact"/>
        <w:rPr>
          <w:sz w:val="20"/>
          <w:szCs w:val="20"/>
          <w:color w:val="auto"/>
        </w:rPr>
      </w:pPr>
    </w:p>
    <w:p>
      <w:pPr>
        <w:spacing w:after="0" w:line="380" w:lineRule="exact"/>
        <w:rPr>
          <w:sz w:val="20"/>
          <w:szCs w:val="20"/>
          <w:color w:val="auto"/>
        </w:rPr>
      </w:pPr>
    </w:p>
    <w:p>
      <w:pPr>
        <w:jc w:val="both"/>
        <w:spacing w:after="0" w:line="293" w:lineRule="auto"/>
        <w:rPr>
          <w:sz w:val="20"/>
          <w:szCs w:val="20"/>
          <w:color w:val="auto"/>
        </w:rPr>
      </w:pPr>
      <w:r>
        <w:rPr>
          <w:rFonts w:ascii="Arial" w:cs="Arial" w:eastAsia="Arial" w:hAnsi="Arial"/>
          <w:sz w:val="20"/>
          <w:szCs w:val="20"/>
          <w:b w:val="1"/>
          <w:bCs w:val="1"/>
          <w:color w:val="auto"/>
        </w:rPr>
        <w:t xml:space="preserve">MUNICH, December 23, 2024 </w:t>
      </w:r>
      <w:r>
        <w:rPr>
          <w:rFonts w:ascii="Arial" w:cs="Arial" w:eastAsia="Arial" w:hAnsi="Arial"/>
          <w:sz w:val="20"/>
          <w:szCs w:val="20"/>
          <w:color w:val="auto"/>
        </w:rPr>
        <w:t>– Mynaric AG (NASDAQ: MYNA; ISIN: US62857X1019) (FRA: M0YN; ISIN: DE000A31C305)</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today entered into an amendment to its existing loan agreement with its U.S.-based lenders, which are funds afliated with a U.S.-based global investment management frm, pursuant to which such lenders have agreed to provide a third bridge loan in the amount of USD 5.0 million. Such bridge loan is in addition to the USD 95 million originally provided under such loan agreement and the two bridge loans in the aggregate amount of USD 16.5 million that such lenders agreed to provide in October 2024 and November 2024.</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As is the case for the existing USD 95 million term loans and the previous USD 16.5 million bridge loans, the new bridge loan will be guaranteed and secured by the Company and each of its subsidiaries and bear interest at a rate equal to the Term Secured Overnight Financing Rate (SOFR) for a 3-month tenor, subject to a 2% foor, plus a margin of 10% or, at the option of the borrower, a certain alternative base rate, subject to a 2% foor, plus a margin of 9%. The new bridge loan will mature on January 31, 2025.</w:t>
      </w:r>
    </w:p>
    <w:p>
      <w:pPr>
        <w:spacing w:after="0" w:line="202" w:lineRule="exact"/>
        <w:rPr>
          <w:sz w:val="20"/>
          <w:szCs w:val="20"/>
          <w:color w:val="auto"/>
        </w:rPr>
      </w:pPr>
    </w:p>
    <w:p>
      <w:pPr>
        <w:jc w:val="both"/>
        <w:spacing w:after="0" w:line="341" w:lineRule="auto"/>
        <w:rPr>
          <w:sz w:val="20"/>
          <w:szCs w:val="20"/>
          <w:color w:val="auto"/>
        </w:rPr>
      </w:pPr>
      <w:r>
        <w:rPr>
          <w:rFonts w:ascii="Arial" w:cs="Arial" w:eastAsia="Arial" w:hAnsi="Arial"/>
          <w:sz w:val="20"/>
          <w:szCs w:val="20"/>
          <w:color w:val="auto"/>
        </w:rPr>
        <w:t>In addition, the maturity date of the two existing USD 16.5 million bridge loans was extended and will now also be January 31, 2025.</w:t>
      </w:r>
    </w:p>
    <w:p>
      <w:pPr>
        <w:spacing w:after="0" w:line="156"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The availability of the new bridge loan is subject to the satisfaction of certain conditions, including the delivery of an updated liquidity plan from the Company’s independent restructuring expert showing that it is more likely than not that the Company and its subsidiaries will be able to pay their obligations when due during the period that the bridge loan is outstanding. The Company expects to satisfy this condition as well as all other necessary conditions, and have the bridge loan fully available and drawn as of today to meet immediate working capital needs.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The bridge loan can be terminated early if, among other things, the previously commissioned independent German restructuring expert provides notice on or prior to the maturity date of the bridge loan that it is no longer more likely than not that the Company is capable of being restructured.</w:t>
      </w:r>
    </w:p>
    <w:p>
      <w:pPr>
        <w:spacing w:after="0" w:line="186" w:lineRule="exact"/>
        <w:rPr>
          <w:sz w:val="20"/>
          <w:szCs w:val="20"/>
          <w:color w:val="auto"/>
        </w:rPr>
      </w:pPr>
    </w:p>
    <w:p>
      <w:pPr>
        <w:jc w:val="both"/>
        <w:spacing w:after="0" w:line="341" w:lineRule="auto"/>
        <w:rPr>
          <w:sz w:val="20"/>
          <w:szCs w:val="20"/>
          <w:color w:val="auto"/>
        </w:rPr>
      </w:pPr>
      <w:r>
        <w:rPr>
          <w:rFonts w:ascii="Arial" w:cs="Arial" w:eastAsia="Arial" w:hAnsi="Arial"/>
          <w:sz w:val="20"/>
          <w:szCs w:val="20"/>
          <w:color w:val="auto"/>
        </w:rPr>
        <w:t>Excluding the proceeds of its loans, as of December 20, 2024, the Company had cash and cash equivalents on hand of EUR 8.9 million, which the Company will also use to meet its on-going operational and working capital needs.</w:t>
      </w:r>
    </w:p>
    <w:p>
      <w:pPr>
        <w:spacing w:after="0" w:line="156" w:lineRule="exact"/>
        <w:rPr>
          <w:sz w:val="20"/>
          <w:szCs w:val="20"/>
          <w:color w:val="auto"/>
        </w:rPr>
      </w:pPr>
    </w:p>
    <w:p>
      <w:pPr>
        <w:jc w:val="both"/>
        <w:spacing w:after="0" w:line="335" w:lineRule="auto"/>
        <w:rPr>
          <w:sz w:val="20"/>
          <w:szCs w:val="20"/>
          <w:color w:val="auto"/>
        </w:rPr>
      </w:pPr>
      <w:r>
        <w:rPr>
          <w:rFonts w:ascii="Arial" w:cs="Arial" w:eastAsia="Arial" w:hAnsi="Arial"/>
          <w:sz w:val="20"/>
          <w:szCs w:val="20"/>
          <w:color w:val="auto"/>
        </w:rPr>
        <w:t>The provision that the Company made earlier this December for contingent liabilities resulting from guarantee obligations in the amount of all loans provided by the Lender outstanding, including interest and exit fee, remains in place.</w:t>
      </w:r>
    </w:p>
    <w:p>
      <w:pPr>
        <w:spacing w:after="0" w:line="200" w:lineRule="exact"/>
        <w:rPr>
          <w:sz w:val="20"/>
          <w:szCs w:val="20"/>
          <w:color w:val="auto"/>
        </w:rPr>
      </w:pPr>
    </w:p>
    <w:p>
      <w:pPr>
        <w:spacing w:after="0" w:line="238" w:lineRule="exact"/>
        <w:rPr>
          <w:sz w:val="20"/>
          <w:szCs w:val="20"/>
          <w:color w:val="auto"/>
        </w:rPr>
      </w:pPr>
    </w:p>
    <w:p>
      <w:pPr>
        <w:jc w:val="both"/>
        <w:spacing w:after="0" w:line="341" w:lineRule="auto"/>
        <w:rPr>
          <w:sz w:val="20"/>
          <w:szCs w:val="20"/>
          <w:color w:val="auto"/>
        </w:rPr>
      </w:pPr>
      <w:r>
        <w:rPr>
          <w:rFonts w:ascii="Arial" w:cs="Arial" w:eastAsia="Arial" w:hAnsi="Arial"/>
          <w:sz w:val="20"/>
          <w:szCs w:val="20"/>
          <w:color w:val="auto"/>
        </w:rPr>
        <w:t>The Company remains in negotiations with its Lender to provide additional capital needed to support the Company’s production ramp and fund its on-going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91" w:lineRule="auto"/>
        <w:rPr>
          <w:sz w:val="20"/>
          <w:szCs w:val="20"/>
          <w:color w:val="auto"/>
        </w:rPr>
      </w:pPr>
      <w:r>
        <w:rPr>
          <w:rFonts w:ascii="Arial" w:cs="Arial" w:eastAsia="Arial" w:hAnsi="Arial"/>
          <w:sz w:val="20"/>
          <w:szCs w:val="20"/>
          <w:color w:val="auto"/>
        </w:rPr>
        <w:t>per the Company’s restructuring plan. The Lender’s willingness to provide additional funding remains contingent on the initiation of a fnancial reorganization under the German Corporate Stabilization and Restructuring Act (</w:t>
      </w:r>
      <w:r>
        <w:rPr>
          <w:rFonts w:ascii="Arial" w:cs="Arial" w:eastAsia="Arial" w:hAnsi="Arial"/>
          <w:sz w:val="20"/>
          <w:szCs w:val="20"/>
          <w:b w:val="1"/>
          <w:bCs w:val="1"/>
          <w:i w:val="1"/>
          <w:iCs w:val="1"/>
          <w:color w:val="auto"/>
        </w:rPr>
        <w:t>Gesetz über den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Stabilisierungs- und Restrukturierungsrahmen für Unternehmen </w:t>
      </w:r>
      <w:r>
        <w:rPr>
          <w:rFonts w:ascii="Arial" w:cs="Arial" w:eastAsia="Arial" w:hAnsi="Arial"/>
          <w:sz w:val="20"/>
          <w:szCs w:val="20"/>
          <w:color w:val="auto"/>
        </w:rPr>
        <w:t>(“StaRUG”)). As of today, the Company considers it more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likely than not that the Lender and the Company will agree on additional funding for fnancial restructuring and that the Company will apply for the initiation of StaRUG proceedings. If StaRUG proceedings are opened, this could result in shareholders losing part or all of their investment in the Company. If StaRUG proceedings are not opened, the Company would have to explore other fnancing opportunities that are currently not available or in sight.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Mynaric</w:t>
      </w:r>
    </w:p>
    <w:p>
      <w:pPr>
        <w:spacing w:after="0" w:line="310"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mynaric.com.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w:t>
      </w:r>
    </w:p>
    <w:p>
      <w:pPr>
        <w:spacing w:after="0" w:line="308" w:lineRule="exact"/>
        <w:rPr>
          <w:sz w:val="20"/>
          <w:szCs w:val="20"/>
          <w:color w:val="auto"/>
        </w:rPr>
      </w:pPr>
    </w:p>
    <w:p>
      <w:pPr>
        <w:jc w:val="both"/>
        <w:spacing w:after="0" w:line="329" w:lineRule="auto"/>
        <w:rPr>
          <w:sz w:val="20"/>
          <w:szCs w:val="20"/>
          <w:color w:val="auto"/>
        </w:rPr>
      </w:pPr>
      <w:r>
        <w:rPr>
          <w:rFonts w:ascii="Arial" w:cs="Arial" w:eastAsia="Arial" w:hAnsi="Arial"/>
          <w:sz w:val="18"/>
          <w:szCs w:val="18"/>
          <w:b w:val="1"/>
          <w:bCs w:val="1"/>
          <w:i w:val="1"/>
          <w:iCs w:val="1"/>
          <w:color w:val="auto"/>
        </w:rPr>
        <w:t>This release includes forward-looking statements. All statements other than statements of historical or current facts contained in this release, including statements regarding our future results of operations and fnancial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74" w:lineRule="exact"/>
        <w:rPr>
          <w:sz w:val="20"/>
          <w:szCs w:val="20"/>
          <w:color w:val="auto"/>
        </w:rPr>
      </w:pPr>
    </w:p>
    <w:p>
      <w:pPr>
        <w:jc w:val="both"/>
        <w:spacing w:after="0" w:line="326" w:lineRule="auto"/>
        <w:rPr>
          <w:sz w:val="20"/>
          <w:szCs w:val="20"/>
          <w:color w:val="auto"/>
        </w:rPr>
      </w:pPr>
      <w:r>
        <w:rPr>
          <w:rFonts w:ascii="Arial" w:cs="Arial" w:eastAsia="Arial" w:hAnsi="Arial"/>
          <w:sz w:val="18"/>
          <w:szCs w:val="18"/>
          <w:b w:val="1"/>
          <w:bCs w:val="1"/>
          <w:i w:val="1"/>
          <w:iCs w:val="1"/>
          <w:color w:val="auto"/>
        </w:rPr>
        <w:t>The forward-looking statements included in this release are based largely on our current expectations and projections about future events and fnancial trends that we believe may afect our fnancial condition, results of operations, business strategy, short-term and long-term business operations and objectives, and fnancial needs. These forward-looking statements involve known and unknown risks, uncertainties and assumptions that are difcult to predict or are beyond our control, and actual results may difer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signifcant losses and the execution of our business strategy, (iii) risks related to our ability to successfully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02" w:lineRule="auto"/>
        <w:rPr>
          <w:sz w:val="20"/>
          <w:szCs w:val="20"/>
          <w:color w:val="auto"/>
        </w:rPr>
      </w:pPr>
      <w:r>
        <w:rPr>
          <w:rFonts w:ascii="Arial" w:cs="Arial" w:eastAsia="Arial" w:hAnsi="Arial"/>
          <w:sz w:val="19"/>
          <w:szCs w:val="19"/>
          <w:b w:val="1"/>
          <w:bCs w:val="1"/>
          <w:i w:val="1"/>
          <w:iCs w:val="1"/>
          <w:color w:val="auto"/>
        </w:rPr>
        <w:t>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efects of competition and the development of the market for laser communication technology in general, (viii) risks related to our ability to manage future growth efectively and to obtain sufcient fnancing for the operations and ongoing growth of our business, (ix) risks relating to the uncertainty of the projected fnancial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difer from those contained in any forward-looking statements we may make. In light of these risks, uncertainties and assumptions, the forward-looking events and circumstances discussed in this release may not occur and actual results could difer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b w:val="1"/>
          <w:bCs w:val="1"/>
          <w:i w:val="1"/>
          <w:iCs w:val="1"/>
          <w:color w:val="auto"/>
        </w:rPr>
        <w:t>The forward-looking statements included in this release are made only as of the date hereof. Although we believe that the expectations refected in the forward-looking statements are reasonable, we cannot guarantee that the future results, levels of activity, performance or events and circumstances refected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refect events or circumstances after the date of this release or otherwise. You should read this release with the understanding that our actual future results, levels of activity, performance and events and circumstances may materially difer from what we expect.</w:t>
      </w:r>
    </w:p>
    <w:p>
      <w:pPr>
        <w:spacing w:after="0" w:line="207" w:lineRule="exact"/>
        <w:rPr>
          <w:sz w:val="20"/>
          <w:szCs w:val="20"/>
          <w:color w:val="auto"/>
        </w:rPr>
      </w:pPr>
    </w:p>
    <w:p>
      <w:pPr>
        <w:jc w:val="both"/>
        <w:spacing w:after="0" w:line="294" w:lineRule="auto"/>
        <w:rPr>
          <w:sz w:val="20"/>
          <w:szCs w:val="20"/>
          <w:color w:val="auto"/>
        </w:rPr>
      </w:pPr>
      <w:r>
        <w:rPr>
          <w:rFonts w:ascii="Arial" w:cs="Arial" w:eastAsia="Arial" w:hAnsi="Arial"/>
          <w:sz w:val="20"/>
          <w:szCs w:val="20"/>
          <w:b w:val="1"/>
          <w:bCs w:val="1"/>
          <w:i w:val="1"/>
          <w:iCs w:val="1"/>
          <w:color w:val="auto"/>
        </w:rPr>
        <w:t>This release may include certain fnancial measures not presented in accordance with IFRS. Such fnancial measures are not measures of fnancial performance in accordance with IFRS and may exclude items that are signifcant in understanding and assessing our fnancial results. Therefore, these measures should not be considered in isolation or as an alternative to loss for the period or other measures of proftability, liquidity or performance under IFRS. You should be aware that our presentation of these measures may not be comparable to similarly titled measures used by other companies, which may be defned and calculated diferently.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1141095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2024-12-23T14:46:22Z</dcterms:created>
  <dcterms:modified xsi:type="dcterms:W3CDTF">2024-12-23T14:46:22Z</dcterms:modified>
</cp:coreProperties>
</file>