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On December 6, 2024,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720" w:type="dxa"/>
            <w:vAlign w:val="bottom"/>
            <w:tcBorders>
              <w:bottom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Ad-hoc Mynaric enters into negotiation for further funding with existing lender subject to financial reorganization under StaRUG, and</w:t>
            </w:r>
          </w:p>
        </w:tc>
        <w:tc>
          <w:tcPr>
            <w:tcW w:w="400" w:type="dxa"/>
            <w:vAlign w:val="bottom"/>
            <w:tcBorders>
              <w:bottom w:val="single" w:sz="8" w:color="CCEEFF"/>
            </w:tcBorders>
            <w:shd w:val="clear" w:color="auto" w:fill="CCEEFF"/>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postpones upcoming AGM</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FF"/>
            </w:tcBorders>
            <w:shd w:val="clear" w:color="auto" w:fill="CCEEFF"/>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ind w:right="1040"/>
        <w:spacing w:after="0" w:line="313" w:lineRule="auto"/>
        <w:rPr>
          <w:sz w:val="20"/>
          <w:szCs w:val="20"/>
          <w:color w:val="auto"/>
        </w:rPr>
      </w:pPr>
      <w:r>
        <w:rPr>
          <w:rFonts w:ascii="Arial" w:cs="Arial" w:eastAsia="Arial" w:hAnsi="Arial"/>
          <w:sz w:val="36"/>
          <w:szCs w:val="36"/>
          <w:b w:val="1"/>
          <w:bCs w:val="1"/>
          <w:color w:val="auto"/>
        </w:rPr>
        <w:t>Mynaric enters into negotiation for further funding with existing lender subject to fnancial reorganization under StaRUG, and postpones upcoming AGM</w:t>
      </w:r>
    </w:p>
    <w:p>
      <w:pPr>
        <w:spacing w:after="0" w:line="336" w:lineRule="exact"/>
        <w:rPr>
          <w:sz w:val="20"/>
          <w:szCs w:val="20"/>
          <w:color w:val="auto"/>
        </w:rPr>
      </w:pPr>
    </w:p>
    <w:p>
      <w:pPr>
        <w:spacing w:after="0" w:line="281" w:lineRule="auto"/>
        <w:rPr>
          <w:sz w:val="20"/>
          <w:szCs w:val="20"/>
          <w:color w:val="auto"/>
        </w:rPr>
      </w:pPr>
      <w:r>
        <w:rPr>
          <w:rFonts w:ascii="Arial" w:cs="Arial" w:eastAsia="Arial" w:hAnsi="Arial"/>
          <w:sz w:val="20"/>
          <w:szCs w:val="20"/>
          <w:b w:val="1"/>
          <w:bCs w:val="1"/>
          <w:color w:val="auto"/>
        </w:rPr>
        <w:t xml:space="preserve">MUNICH, December 06, 2024 </w:t>
      </w:r>
      <w:r>
        <w:rPr>
          <w:rFonts w:ascii="Arial" w:cs="Arial" w:eastAsia="Arial" w:hAnsi="Arial"/>
          <w:sz w:val="20"/>
          <w:szCs w:val="20"/>
          <w:color w:val="auto"/>
        </w:rPr>
        <w:t>– Mynaric AG (NASDAQ: MYNA; ISIN: US62857X1019) (FRA: M0YN; ISIN: DE000A31C305)</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received preliminary notice from its commissioned independent German restructuring expert indicating further future capital need. Based on these preliminary fndings, the Company has entered into negotiations with its primary lender (the “Lender”), afliates of a US-based global investment management frm, to resolve upon an extension of the US$16.5 million bridge loans maturing on December 30, 2024, as well as to provide additional capital needed to support the Company’s production ramp and fund its on-going operations per the Company’s restructuring plan</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color w:val="auto"/>
        </w:rPr>
        <w:t>The Lender’s willingness to provide additional funding is contingent on the initiation of a fnancial reorganization under the German Corporate Stabilization and Restructuring Act (</w:t>
      </w:r>
      <w:r>
        <w:rPr>
          <w:rFonts w:ascii="Arial" w:cs="Arial" w:eastAsia="Arial" w:hAnsi="Arial"/>
          <w:sz w:val="20"/>
          <w:szCs w:val="20"/>
          <w:b w:val="1"/>
          <w:bCs w:val="1"/>
          <w:i w:val="1"/>
          <w:iCs w:val="1"/>
          <w:color w:val="auto"/>
        </w:rPr>
        <w:t>Gesetz über den Stabilisierungs- und Restrukturierungsrahmen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für Unternehmen </w:t>
      </w:r>
      <w:r>
        <w:rPr>
          <w:rFonts w:ascii="Arial" w:cs="Arial" w:eastAsia="Arial" w:hAnsi="Arial"/>
          <w:sz w:val="20"/>
          <w:szCs w:val="20"/>
          <w:color w:val="auto"/>
        </w:rPr>
        <w:t>(“StaRUG”)). At this point in time, management considers it more likely than not that the Lender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will agree on additional funding for fnancial restructuring and that the Company will apply for the initiation of StaRUG proceedings. If StaRUG proceedings are opened, this could result in shareholders losing part or all of their investment in the Company. If StaRUG proceedings are not opened, the Company would have to explore other fnancing opportunities that are currently not available or in sight.</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Absent other current fnancing options, the Company will now make a provision for contingent liabilities resulting from guarantee obligations in the amount of all loans provided by Lender outstanding, including interest and exit fee. This will lead to a consumption in-full of the share capital of the Company. Therefore, an extraordinary general meeting will be convened in due course in accordance with Section 92 of the German Stock Corporation Act (</w:t>
      </w:r>
      <w:r>
        <w:rPr>
          <w:rFonts w:ascii="Arial" w:cs="Arial" w:eastAsia="Arial" w:hAnsi="Arial"/>
          <w:sz w:val="20"/>
          <w:szCs w:val="20"/>
          <w:b w:val="1"/>
          <w:bCs w:val="1"/>
          <w:i w:val="1"/>
          <w:iCs w:val="1"/>
          <w:color w:val="auto"/>
        </w:rPr>
        <w:t>Aktiengesetz</w:t>
      </w:r>
      <w:r>
        <w:rPr>
          <w:rFonts w:ascii="Arial" w:cs="Arial" w:eastAsia="Arial" w:hAnsi="Arial"/>
          <w:sz w:val="20"/>
          <w:szCs w:val="20"/>
          <w:color w:val="auto"/>
        </w:rPr>
        <w:t>).</w:t>
      </w:r>
    </w:p>
    <w:p>
      <w:pPr>
        <w:spacing w:after="0" w:line="3" w:lineRule="exact"/>
        <w:rPr>
          <w:sz w:val="20"/>
          <w:szCs w:val="20"/>
          <w:color w:val="auto"/>
        </w:rPr>
      </w:pPr>
    </w:p>
    <w:p>
      <w:pPr>
        <w:ind w:right="120"/>
        <w:spacing w:after="0" w:line="281" w:lineRule="auto"/>
        <w:rPr>
          <w:sz w:val="20"/>
          <w:szCs w:val="20"/>
          <w:color w:val="auto"/>
        </w:rPr>
      </w:pPr>
      <w:r>
        <w:rPr>
          <w:rFonts w:ascii="Arial" w:cs="Arial" w:eastAsia="Arial" w:hAnsi="Arial"/>
          <w:sz w:val="20"/>
          <w:szCs w:val="20"/>
          <w:color w:val="auto"/>
        </w:rPr>
        <w:t>With a view to the latest developments, the annual general meeting of the Company, scheduled for December 11, 2024, will be cancelled and postponed. The Company will announce details of this separately in due course.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83"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9" w:right="379" w:bottom="1440" w:gutter="0" w:footer="0" w:header="0"/>
        </w:sectPr>
      </w:pPr>
    </w:p>
    <w:bookmarkStart w:id="3" w:name="page4"/>
    <w:bookmarkEnd w:id="3"/>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locations in Los Angeles, California, and Washington, D.C. For more information, visit mynaric.com.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5"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b w:val="1"/>
          <w:bCs w:val="1"/>
          <w:i w:val="1"/>
          <w:iCs w:val="1"/>
          <w:color w:val="auto"/>
        </w:rPr>
        <w:t>The forward-looking statements included in this release are based largely on our current expectations and projections about future events and fnancial trends that we believe may 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 (viii) 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 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6" w:lineRule="exact"/>
        <w:rPr>
          <w:sz w:val="20"/>
          <w:szCs w:val="20"/>
          <w:color w:val="auto"/>
        </w:rPr>
      </w:pPr>
    </w:p>
    <w:p>
      <w:pPr>
        <w:spacing w:after="0" w:line="314" w:lineRule="auto"/>
        <w:rPr>
          <w:sz w:val="20"/>
          <w:szCs w:val="20"/>
          <w:color w:val="auto"/>
        </w:rPr>
      </w:pPr>
      <w:r>
        <w:rPr>
          <w:rFonts w:ascii="Arial" w:cs="Arial" w:eastAsia="Arial" w:hAnsi="Arial"/>
          <w:sz w:val="17"/>
          <w:szCs w:val="17"/>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future results, levels of activity, performance and events and circumstances may materially difer from what we expect.</w:t>
      </w:r>
    </w:p>
    <w:p>
      <w:pPr>
        <w:spacing w:after="0" w:line="38" w:lineRule="exact"/>
        <w:rPr>
          <w:sz w:val="20"/>
          <w:szCs w:val="20"/>
          <w:color w:val="auto"/>
        </w:rPr>
      </w:pPr>
    </w:p>
    <w:p>
      <w:pPr>
        <w:spacing w:after="0" w:line="318" w:lineRule="auto"/>
        <w:rPr>
          <w:sz w:val="20"/>
          <w:szCs w:val="20"/>
          <w:color w:val="auto"/>
        </w:rPr>
      </w:pPr>
      <w:r>
        <w:rPr>
          <w:rFonts w:ascii="Arial" w:cs="Arial" w:eastAsia="Arial" w:hAnsi="Arial"/>
          <w:sz w:val="17"/>
          <w:szCs w:val="17"/>
          <w:b w:val="1"/>
          <w:bCs w:val="1"/>
          <w:i w:val="1"/>
          <w:iCs w:val="1"/>
          <w:color w:val="auto"/>
        </w:rPr>
        <w:t>This release may include certain fnancial measures not presented in accordance with IFRS. Such fnancial measures are not measures of fnancial performance in accordance with IFRS and may exclude items that are signifcant in understanding and assessing our fnancial results. Therefore, these measures should not be considered in isolation or as an alternative to loss for the period or other measures of proftability, liquidity or performance under IFRS. You should be aware that our presentation of these measures may not be comparable to similarly titled measures used by other companies, which may be defned and calculated diferently.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00"/>
      </w:cols>
      <w:pgMar w:left="320" w:top="143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2024-12-06T07:42:23Z</dcterms:created>
  <dcterms:modified xsi:type="dcterms:W3CDTF">2024-12-06T07:42:23Z</dcterms:modified>
</cp:coreProperties>
</file>