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1117600</wp:posOffset>
            </wp:positionV>
            <wp:extent cx="7132320" cy="514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51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1306195</wp:posOffset>
            </wp:positionV>
            <wp:extent cx="7132320" cy="171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8" w:lineRule="exact"/>
        <w:rPr>
          <w:sz w:val="24"/>
          <w:szCs w:val="24"/>
          <w:color w:val="auto"/>
        </w:rPr>
      </w:pPr>
    </w:p>
    <w:p>
      <w:pPr>
        <w:jc w:val="center"/>
        <w:ind w:right="-8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UNITED STATES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8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SECURITIES AND EXCHANGE COMMISSION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8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Washington, D.C. 20549</w:t>
      </w:r>
    </w:p>
    <w:p>
      <w:pPr>
        <w:spacing w:after="0" w:line="178" w:lineRule="exact"/>
        <w:rPr>
          <w:sz w:val="24"/>
          <w:szCs w:val="24"/>
          <w:color w:val="auto"/>
        </w:rPr>
      </w:pPr>
    </w:p>
    <w:p>
      <w:pPr>
        <w:jc w:val="center"/>
        <w:ind w:right="-8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FORM 6-K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jc w:val="center"/>
        <w:ind w:right="-799"/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REPORT OF FOREIGN PRIVATE ISSUER PURSUANT TO RULE 13a</w:t>
      </w:r>
      <w:r>
        <w:rPr>
          <w:rFonts w:ascii="MS PGothic" w:cs="MS PGothic" w:eastAsia="MS PGothic" w:hAnsi="MS PGothic"/>
          <w:sz w:val="18"/>
          <w:szCs w:val="18"/>
          <w:color w:val="auto"/>
          <w:strike w:val="1"/>
        </w:rPr>
        <w:t>‑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16 OR 15d</w:t>
      </w:r>
      <w:r>
        <w:rPr>
          <w:rFonts w:ascii="MS PGothic" w:cs="MS PGothic" w:eastAsia="MS PGothic" w:hAnsi="MS PGothic"/>
          <w:sz w:val="18"/>
          <w:szCs w:val="18"/>
          <w:color w:val="auto"/>
          <w:strike w:val="1"/>
        </w:rPr>
        <w:t>‑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16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jc w:val="center"/>
        <w:ind w:right="-8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UNDER THE SECURITIES EXCHANGE ACT OF 1934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jc w:val="center"/>
        <w:ind w:right="-8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FOR THE MONTH OF APRIL 2025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center"/>
        <w:ind w:right="-8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COMMISSION FILE NUMBER 001-41045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jc w:val="center"/>
        <w:ind w:right="-8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Mynaric AG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1436370</wp:posOffset>
            </wp:positionH>
            <wp:positionV relativeFrom="paragraph">
              <wp:posOffset>27940</wp:posOffset>
            </wp:positionV>
            <wp:extent cx="427736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7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jc w:val="center"/>
        <w:ind w:right="-8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</w:t>
      </w:r>
      <w:r>
        <w:rPr>
          <w:rFonts w:ascii="Times New Roman" w:cs="Times New Roman" w:eastAsia="Times New Roman" w:hAnsi="Times New Roman"/>
          <w:sz w:val="18"/>
          <w:szCs w:val="18"/>
          <w:i w:val="1"/>
          <w:iCs w:val="1"/>
          <w:color w:val="auto"/>
        </w:rPr>
        <w:t>Registrant’s name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)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jc w:val="center"/>
        <w:ind w:right="-8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Bertha-Kipfmüller Straße 2-8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8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81249 München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8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Germany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8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+49 (0) 89 5589 4280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8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</w:t>
      </w:r>
      <w:r>
        <w:rPr>
          <w:rFonts w:ascii="Times New Roman" w:cs="Times New Roman" w:eastAsia="Times New Roman" w:hAnsi="Times New Roman"/>
          <w:sz w:val="18"/>
          <w:szCs w:val="18"/>
          <w:i w:val="1"/>
          <w:iCs w:val="1"/>
          <w:color w:val="auto"/>
        </w:rPr>
        <w:t>Address of principal executive offices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)</w:t>
      </w:r>
    </w:p>
    <w:p>
      <w:pPr>
        <w:spacing w:after="0" w:line="166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Indicate by check mark whether the registrant files or will file annual reports under cover Form 20</w:t>
      </w:r>
      <w:r>
        <w:rPr>
          <w:rFonts w:ascii="MS PGothic" w:cs="MS PGothic" w:eastAsia="MS PGothic" w:hAnsi="MS PGothic"/>
          <w:sz w:val="18"/>
          <w:szCs w:val="18"/>
          <w:color w:val="auto"/>
        </w:rPr>
        <w:t>‑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 or Form 40</w:t>
      </w:r>
      <w:r>
        <w:rPr>
          <w:rFonts w:ascii="MS PGothic" w:cs="MS PGothic" w:eastAsia="MS PGothic" w:hAnsi="MS PGothic"/>
          <w:sz w:val="18"/>
          <w:szCs w:val="18"/>
          <w:color w:val="auto"/>
        </w:rPr>
        <w:t>‑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F: Form 20</w:t>
      </w:r>
      <w:r>
        <w:rPr>
          <w:rFonts w:ascii="MS PGothic" w:cs="MS PGothic" w:eastAsia="MS PGothic" w:hAnsi="MS PGothic"/>
          <w:sz w:val="18"/>
          <w:szCs w:val="18"/>
          <w:color w:val="auto"/>
        </w:rPr>
        <w:t>‑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 Form 40</w:t>
      </w:r>
      <w:r>
        <w:rPr>
          <w:rFonts w:ascii="MS PGothic" w:cs="MS PGothic" w:eastAsia="MS PGothic" w:hAnsi="MS PGothic"/>
          <w:sz w:val="18"/>
          <w:szCs w:val="18"/>
          <w:color w:val="auto"/>
        </w:rPr>
        <w:t>‑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Indicate by check mark if the registrant is submitting the Form 6</w:t>
      </w:r>
      <w:r>
        <w:rPr>
          <w:rFonts w:ascii="MS PGothic" w:cs="MS PGothic" w:eastAsia="MS PGothic" w:hAnsi="MS PGothic"/>
          <w:sz w:val="18"/>
          <w:szCs w:val="18"/>
          <w:color w:val="auto"/>
        </w:rPr>
        <w:t>‑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K in paper as permitted by Regulation S</w:t>
      </w:r>
      <w:r>
        <w:rPr>
          <w:rFonts w:ascii="MS PGothic" w:cs="MS PGothic" w:eastAsia="MS PGothic" w:hAnsi="MS PGothic"/>
          <w:sz w:val="18"/>
          <w:szCs w:val="18"/>
          <w:color w:val="auto"/>
        </w:rPr>
        <w:t>‑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T Rule 101(b)(1):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Indicate by check mark if the registrant is submitting the Form 6</w:t>
      </w:r>
      <w:r>
        <w:rPr>
          <w:rFonts w:ascii="MS PGothic" w:cs="MS PGothic" w:eastAsia="MS PGothic" w:hAnsi="MS PGothic"/>
          <w:sz w:val="18"/>
          <w:szCs w:val="18"/>
          <w:color w:val="auto"/>
        </w:rPr>
        <w:t>‑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K in paper as permitted by Regulation S</w:t>
      </w:r>
      <w:r>
        <w:rPr>
          <w:rFonts w:ascii="MS PGothic" w:cs="MS PGothic" w:eastAsia="MS PGothic" w:hAnsi="MS PGothic"/>
          <w:sz w:val="18"/>
          <w:szCs w:val="18"/>
          <w:color w:val="auto"/>
        </w:rPr>
        <w:t>‑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T Rule 101(b)(7):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317500</wp:posOffset>
            </wp:positionV>
            <wp:extent cx="7132320" cy="171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471805</wp:posOffset>
            </wp:positionV>
            <wp:extent cx="7132320" cy="514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51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8" w:lineRule="exact"/>
        <w:rPr>
          <w:sz w:val="24"/>
          <w:szCs w:val="24"/>
          <w:color w:val="auto"/>
        </w:rPr>
      </w:pPr>
    </w:p>
    <w:p>
      <w:pPr>
        <w:ind w:left="3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DOCUMENTS INCLUDED AS PART OF THIS FORM 6-K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Explanatory Note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On April 29, 2025, Mynaric AG issued a Corporate News. A copy of the Corporate News is furnished as Exhibit 99.1 hereto.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1581785</wp:posOffset>
            </wp:positionV>
            <wp:extent cx="7157720" cy="425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400"/>
          </w:cols>
          <w:pgMar w:left="320" w:top="1440" w:right="1179" w:bottom="1440" w:gutter="0" w:footer="0" w:header="0"/>
        </w:sectPr>
      </w:pPr>
    </w:p>
    <w:bookmarkStart w:id="1" w:name="page2"/>
    <w:bookmarkEnd w:id="1"/>
    <w:p>
      <w:pPr>
        <w:spacing w:after="0" w:line="19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8"/>
        </w:trPr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140" w:type="dxa"/>
            <w:vAlign w:val="bottom"/>
            <w:gridSpan w:val="2"/>
          </w:tcPr>
          <w:p>
            <w:pPr>
              <w:ind w:left="2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</w:rPr>
              <w:t>DOCUMENTS INCLUDED AS PART OF THIS FORM 6-K</w:t>
            </w:r>
          </w:p>
        </w:tc>
      </w:tr>
      <w:tr>
        <w:trPr>
          <w:trHeight w:val="432"/>
        </w:trPr>
        <w:tc>
          <w:tcPr>
            <w:tcW w:w="9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Exhibit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Description of Exhibit</w:t>
            </w:r>
          </w:p>
        </w:tc>
      </w:tr>
      <w:tr>
        <w:trPr>
          <w:trHeight w:val="169"/>
        </w:trPr>
        <w:tc>
          <w:tcPr>
            <w:tcW w:w="960" w:type="dxa"/>
            <w:vAlign w:val="bottom"/>
            <w:gridSpan w:val="2"/>
            <w:shd w:val="clear" w:color="auto" w:fill="CCEEFF"/>
          </w:tcPr>
          <w:p>
            <w:pPr>
              <w:spacing w:after="0" w:line="16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99.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u w:val="single" w:color="auto"/>
                <w:color w:val="0000FF"/>
              </w:rPr>
              <w:t>1</w:t>
            </w:r>
          </w:p>
        </w:tc>
        <w:tc>
          <w:tcPr>
            <w:tcW w:w="10280" w:type="dxa"/>
            <w:vAlign w:val="bottom"/>
            <w:gridSpan w:val="3"/>
            <w:shd w:val="clear" w:color="auto" w:fill="CCEEFF"/>
          </w:tcPr>
          <w:p>
            <w:pPr>
              <w:ind w:left="140"/>
              <w:spacing w:after="0" w:line="16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Mynaric announces Peter Müller-Brühl as new Chair of Supervisory Board</w:t>
            </w:r>
          </w:p>
        </w:tc>
      </w:tr>
      <w:tr>
        <w:trPr>
          <w:trHeight w:val="21"/>
        </w:trPr>
        <w:tc>
          <w:tcPr>
            <w:tcW w:w="320" w:type="dxa"/>
            <w:vAlign w:val="bottom"/>
            <w:tcBorders>
              <w:top w:val="single" w:sz="8" w:color="0000FF"/>
            </w:tcBorders>
            <w:shd w:val="clear" w:color="auto" w:fill="CCEE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CCEEFF"/>
            </w:tcBorders>
            <w:shd w:val="clear" w:color="auto" w:fill="CCEE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CCEEFF"/>
            </w:tcBorders>
            <w:shd w:val="clear" w:color="auto" w:fill="CCEE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20" w:type="dxa"/>
            <w:vAlign w:val="bottom"/>
            <w:tcBorders>
              <w:top w:val="single" w:sz="8" w:color="0000FF"/>
            </w:tcBorders>
            <w:shd w:val="clear" w:color="auto" w:fill="CCEE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720" w:type="dxa"/>
            <w:vAlign w:val="bottom"/>
            <w:tcBorders>
              <w:top w:val="single" w:sz="8" w:color="CCEEFF"/>
            </w:tcBorders>
            <w:shd w:val="clear" w:color="auto" w:fill="CCEE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SIGNATURE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jc w:val="both"/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158" w:lineRule="exact"/>
        <w:rPr>
          <w:sz w:val="20"/>
          <w:szCs w:val="20"/>
          <w:color w:val="auto"/>
        </w:rPr>
      </w:pPr>
    </w:p>
    <w:p>
      <w:pPr>
        <w:ind w:left="56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Mynaric AG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left="56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By  /s/ Joachim Horwath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3794125</wp:posOffset>
            </wp:positionH>
            <wp:positionV relativeFrom="paragraph">
              <wp:posOffset>17145</wp:posOffset>
            </wp:positionV>
            <wp:extent cx="249428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428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5980"/>
        <w:spacing w:after="0"/>
        <w:tabs>
          <w:tab w:leader="none" w:pos="66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Name:</w:t>
        <w:tab/>
        <w:t>Joachim Horwath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5980"/>
        <w:spacing w:after="0"/>
        <w:tabs>
          <w:tab w:leader="none" w:pos="66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Title: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Chief Technology Officer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56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By  /s/ Andreas Reif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3794125</wp:posOffset>
            </wp:positionH>
            <wp:positionV relativeFrom="paragraph">
              <wp:posOffset>17145</wp:posOffset>
            </wp:positionV>
            <wp:extent cx="24942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42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5980"/>
        <w:spacing w:after="0"/>
        <w:tabs>
          <w:tab w:leader="none" w:pos="66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Name:</w:t>
        <w:tab/>
        <w:t>Andreas Reif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5980"/>
        <w:spacing w:after="0"/>
        <w:tabs>
          <w:tab w:leader="none" w:pos="66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Title: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Chief Restructuring Officer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Date: April 29, 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895985</wp:posOffset>
            </wp:positionV>
            <wp:extent cx="7157720" cy="4254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240"/>
          </w:cols>
          <w:pgMar w:left="320" w:top="1440" w:right="339" w:bottom="1440" w:gutter="0" w:footer="0" w:header="0"/>
        </w:sectPr>
      </w:pPr>
    </w:p>
    <w:bookmarkStart w:id="2" w:name="page3"/>
    <w:bookmarkEnd w:id="2"/>
    <w:p>
      <w:pPr>
        <w:spacing w:after="0" w:line="135" w:lineRule="exact"/>
        <w:rPr>
          <w:sz w:val="20"/>
          <w:szCs w:val="20"/>
          <w:color w:val="auto"/>
        </w:rPr>
      </w:pPr>
    </w:p>
    <w:p>
      <w:pPr>
        <w:ind w:left="2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Mynaric announces Peter Müller-Brühl as new Chair of Supervisory Board</w:t>
      </w:r>
    </w:p>
    <w:p>
      <w:pPr>
        <w:spacing w:after="0" w:line="3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i w:val="1"/>
          <w:iCs w:val="1"/>
          <w:color w:val="auto"/>
        </w:rPr>
        <w:t>Peter Müller-Brühl elected Chair of Mynaric’s Supervisory Board, with Dr Manfred Krischke elected Vice-Chair</w:t>
      </w:r>
    </w:p>
    <w:p>
      <w:pPr>
        <w:spacing w:after="0" w:line="281" w:lineRule="exact"/>
        <w:rPr>
          <w:sz w:val="20"/>
          <w:szCs w:val="20"/>
          <w:color w:val="auto"/>
        </w:rPr>
      </w:pPr>
    </w:p>
    <w:p>
      <w:pPr>
        <w:ind w:right="60"/>
        <w:spacing w:after="0" w:line="28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 xml:space="preserve">MUNICH, April 29, 2025 </w:t>
      </w:r>
      <w:r>
        <w:rPr>
          <w:rFonts w:ascii="Arial" w:cs="Arial" w:eastAsia="Arial" w:hAnsi="Arial"/>
          <w:sz w:val="18"/>
          <w:szCs w:val="18"/>
          <w:color w:val="auto"/>
        </w:rPr>
        <w:t>– Mynaric(FRA:M0YN) (OTC:MYNAY), a leading provider of industrialized, cost-efective, and scalable laser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 xml:space="preserve"> </w:t>
      </w:r>
      <w:r>
        <w:rPr>
          <w:rFonts w:ascii="Arial" w:cs="Arial" w:eastAsia="Arial" w:hAnsi="Arial"/>
          <w:sz w:val="18"/>
          <w:szCs w:val="18"/>
          <w:color w:val="auto"/>
        </w:rPr>
        <w:t>communications products, today announced that existing Mynaric Supervisory Board member Peter Müller-Brühl has been elected Chair of the Supervisory Board, efective from April 24, 2025.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right="220"/>
        <w:spacing w:after="0" w:line="28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Müller-Brühl, who has been a member of the company’s Supervisory Board since July 2018, replaces Bulent Altan who resigned as Chair and member of the Supervisory Board on April 1, 2025.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The Supervisory Board also elected Dr Manfred Krischke as Vice-Chair of the Supervisory Board.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right="340"/>
        <w:spacing w:after="0" w:line="28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“Having served as Vice-Chair, I am honored to take on the role of Chair at such a pivotal moment in Mynaric’s journey. As the company undergoes substantial transformation, I am confdent in our collective ability to ensure strong governance and build a resilient, forward-looking organization. I look forward to continuing our close collaboration within the Board and with the leadership team as we support Mynaric’s next chapter.”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Peter Müller-Brühl</w:t>
      </w:r>
      <w:r>
        <w:rPr>
          <w:rFonts w:ascii="Arial" w:cs="Arial" w:eastAsia="Arial" w:hAnsi="Arial"/>
          <w:sz w:val="18"/>
          <w:szCs w:val="18"/>
          <w:color w:val="auto"/>
        </w:rPr>
        <w:t>,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 xml:space="preserve"> Chair of the Supervisory Board</w:t>
      </w:r>
    </w:p>
    <w:p>
      <w:pPr>
        <w:spacing w:after="0" w:line="27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The Supervisory Board consists of:</w:t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ind w:left="1020" w:hanging="503"/>
        <w:spacing w:after="0"/>
        <w:tabs>
          <w:tab w:leader="none" w:pos="102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Peter Müller-Brühl, Chair of the Supervisory Board</w:t>
      </w:r>
    </w:p>
    <w:p>
      <w:pPr>
        <w:spacing w:after="0" w:line="143" w:lineRule="exact"/>
        <w:rPr>
          <w:rFonts w:ascii="Times New Roman" w:cs="Times New Roman" w:eastAsia="Times New Roman" w:hAnsi="Times New Roman"/>
          <w:sz w:val="18"/>
          <w:szCs w:val="18"/>
          <w:color w:val="auto"/>
        </w:rPr>
      </w:pPr>
    </w:p>
    <w:p>
      <w:pPr>
        <w:ind w:left="1020" w:hanging="503"/>
        <w:spacing w:after="0"/>
        <w:tabs>
          <w:tab w:leader="none" w:pos="102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Dr Manfred Krischke, Vice-Chair of the Supervisory Board</w:t>
      </w:r>
    </w:p>
    <w:p>
      <w:pPr>
        <w:spacing w:after="0" w:line="143" w:lineRule="exact"/>
        <w:rPr>
          <w:rFonts w:ascii="Times New Roman" w:cs="Times New Roman" w:eastAsia="Times New Roman" w:hAnsi="Times New Roman"/>
          <w:sz w:val="18"/>
          <w:szCs w:val="18"/>
          <w:color w:val="auto"/>
        </w:rPr>
      </w:pPr>
    </w:p>
    <w:p>
      <w:pPr>
        <w:ind w:left="1020" w:hanging="503"/>
        <w:spacing w:after="0"/>
        <w:tabs>
          <w:tab w:leader="none" w:pos="102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Margaret Abernathy</w:t>
      </w:r>
    </w:p>
    <w:p>
      <w:pPr>
        <w:spacing w:after="0" w:line="143" w:lineRule="exact"/>
        <w:rPr>
          <w:rFonts w:ascii="Times New Roman" w:cs="Times New Roman" w:eastAsia="Times New Roman" w:hAnsi="Times New Roman"/>
          <w:sz w:val="18"/>
          <w:szCs w:val="18"/>
          <w:color w:val="auto"/>
        </w:rPr>
      </w:pPr>
    </w:p>
    <w:p>
      <w:pPr>
        <w:ind w:left="1020" w:hanging="503"/>
        <w:spacing w:after="0"/>
        <w:tabs>
          <w:tab w:leader="none" w:pos="102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Arndt Rautenberg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right="920"/>
        <w:spacing w:after="0" w:line="28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More details on the Supervisory Board are available on the Mynaric website: https://mynaric.com/company/management/ 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About Mynaric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 w:line="29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Mynaric (NASDAQ: MYNA) (FRA: M0YN) is leading the industrial revolution of laser communications by producing optical communications terminals for air, space and mobile applications. Laser communication networks provide connectivity from the sky, allowing for ultra-high data rates and secure, long-distance data transmission between moving objects for wireless terrestrial, mobility, airborne- and space-based applications. The company is headquartered in Munich, Germany, with an additional location in Los Angeles, California.</w:t>
      </w:r>
    </w:p>
    <w:p>
      <w:pPr>
        <w:spacing w:after="0" w:line="19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For more information, visit mynaric.com.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1040765</wp:posOffset>
            </wp:positionV>
            <wp:extent cx="7157720" cy="4254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1220"/>
      </w:cols>
      <w:pgMar w:left="320" w:top="1440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•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2025-04-29T08:27:08Z</dcterms:created>
  <dcterms:modified xsi:type="dcterms:W3CDTF">2025-04-29T08:27:08Z</dcterms:modified>
</cp:coreProperties>
</file>