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left="1580" w:right="34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0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191135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Mynaric AG</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Bertha-Kipfmüller-Str. 2-8,</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81249 Munich, Germany,</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+49 (0) 8105 79990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American Depository Shares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Ordinary Shares, no par value</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020"/>
          </w:cols>
          <w:pgMar w:left="440" w:top="376" w:right="439" w:bottom="1440" w:gutter="0" w:footer="0" w:header="0"/>
        </w:sectPr>
      </w:pPr>
    </w:p>
    <w:p>
      <w:pPr>
        <w:spacing w:after="0" w:line="16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2">
            <w:col w:w="5840" w:space="600"/>
            <w:col w:w="4580"/>
          </w:cols>
          <w:pgMar w:left="440" w:top="37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 One (1)</w:t>
      </w:r>
    </w:p>
    <w:p>
      <w:pPr>
        <w:sectPr>
          <w:pgSz w:w="11900" w:h="16838" w:orient="portrait"/>
          <w:cols w:equalWidth="0" w:num="1">
            <w:col w:w="11020"/>
          </w:cols>
          <w:pgMar w:left="440" w:top="376" w:right="439" w:bottom="1440" w:gutter="0" w:footer="0" w:header="0"/>
          <w:type w:val="continuous"/>
        </w:sectPr>
      </w:pPr>
    </w:p>
    <w:p>
      <w:pPr>
        <w:spacing w:after="0" w:line="158"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Mynaric AG has caused this certification/notice to be signed on its behalf by the undersigned duly authorized person.</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3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Mynaric AG</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9, 2025</w:t>
            </w: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Joachim Horwath</w:t>
            </w:r>
          </w:p>
        </w:tc>
      </w:tr>
      <w:tr>
        <w:trPr>
          <w:trHeight w:val="205"/>
        </w:trPr>
        <w:tc>
          <w:tcPr>
            <w:tcW w:w="3660" w:type="dxa"/>
            <w:vAlign w:val="bottom"/>
          </w:tcPr>
          <w:p>
            <w:pPr>
              <w:spacing w:after="0"/>
              <w:rPr>
                <w:sz w:val="17"/>
                <w:szCs w:val="17"/>
                <w:color w:val="auto"/>
              </w:rPr>
            </w:pPr>
          </w:p>
        </w:tc>
        <w:tc>
          <w:tcPr>
            <w:tcW w:w="250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Joachim Horwath</w:t>
            </w:r>
          </w:p>
        </w:tc>
      </w:tr>
      <w:tr>
        <w:trPr>
          <w:trHeight w:val="234"/>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32"/>
        </w:trPr>
        <w:tc>
          <w:tcPr>
            <w:tcW w:w="3660" w:type="dxa"/>
            <w:vAlign w:val="bottom"/>
          </w:tcPr>
          <w:p>
            <w:pPr>
              <w:spacing w:after="0"/>
              <w:rPr>
                <w:sz w:val="24"/>
                <w:szCs w:val="24"/>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Andreas Reif</w:t>
            </w:r>
          </w:p>
        </w:tc>
      </w:tr>
      <w:tr>
        <w:trPr>
          <w:trHeight w:val="205"/>
        </w:trPr>
        <w:tc>
          <w:tcPr>
            <w:tcW w:w="3660" w:type="dxa"/>
            <w:vAlign w:val="bottom"/>
          </w:tcPr>
          <w:p>
            <w:pPr>
              <w:spacing w:after="0"/>
              <w:rPr>
                <w:sz w:val="17"/>
                <w:szCs w:val="17"/>
                <w:color w:val="auto"/>
              </w:rPr>
            </w:pPr>
          </w:p>
        </w:tc>
        <w:tc>
          <w:tcPr>
            <w:tcW w:w="250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Andreas Reif</w:t>
            </w:r>
          </w:p>
        </w:tc>
      </w:tr>
      <w:tr>
        <w:trPr>
          <w:trHeight w:val="234"/>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Restructuring Officer</w:t>
            </w:r>
          </w:p>
        </w:tc>
      </w:tr>
      <w:tr>
        <w:trPr>
          <w:trHeight w:val="229"/>
        </w:trPr>
        <w:tc>
          <w:tcPr>
            <w:tcW w:w="36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19"/>
                <w:szCs w:val="19"/>
                <w:color w:val="auto"/>
              </w:rPr>
            </w:pPr>
          </w:p>
        </w:tc>
      </w:tr>
      <w:tr>
        <w:trPr>
          <w:trHeight w:val="48"/>
        </w:trPr>
        <w:tc>
          <w:tcPr>
            <w:tcW w:w="36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486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0"/>
      </w:cols>
      <w:pgMar w:left="440" w:top="37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2025-09-09T11:52:50Z</dcterms:created>
  <dcterms:modified xsi:type="dcterms:W3CDTF">2025-09-09T11:52:50Z</dcterms:modified>
</cp:coreProperties>
</file>