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779"/>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24130</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33"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+49 (0) 8105 79990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207" w:lineRule="exact"/>
        <w:tabs>
          <w:tab w:leader="none" w:pos="946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tabs>
          <w:tab w:leader="none" w:pos="9060" w:val="left"/>
        </w:tabs>
        <w:rPr>
          <w:sz w:val="20"/>
          <w:szCs w:val="20"/>
          <w:color w:val="auto"/>
        </w:rPr>
      </w:pPr>
      <w:r>
        <w:rPr>
          <w:rFonts w:ascii="Arial" w:cs="Arial" w:eastAsia="Arial" w:hAnsi="Arial"/>
          <w:sz w:val="17"/>
          <w:szCs w:val="17"/>
          <w:color w:val="auto"/>
        </w:rPr>
        <w:t>Indicate by check mark if the registrant is submitting the Form 6</w:t>
      </w:r>
      <w:r>
        <w:rPr>
          <w:rFonts w:ascii="MS PGothic" w:cs="MS PGothic" w:eastAsia="MS PGothic" w:hAnsi="MS PGothic"/>
          <w:sz w:val="17"/>
          <w:szCs w:val="17"/>
          <w:color w:val="auto"/>
        </w:rPr>
        <w:t>‑</w:t>
      </w:r>
      <w:r>
        <w:rPr>
          <w:rFonts w:ascii="Arial" w:cs="Arial" w:eastAsia="Arial" w:hAnsi="Arial"/>
          <w:sz w:val="17"/>
          <w:szCs w:val="17"/>
          <w:color w:val="auto"/>
        </w:rPr>
        <w:t>K in paper as permitted by Regulation S</w:t>
      </w:r>
      <w:r>
        <w:rPr>
          <w:rFonts w:ascii="MS PGothic" w:cs="MS PGothic" w:eastAsia="MS PGothic" w:hAnsi="MS PGothic"/>
          <w:sz w:val="17"/>
          <w:szCs w:val="17"/>
          <w:color w:val="auto"/>
        </w:rPr>
        <w:t>‑</w:t>
      </w:r>
      <w:r>
        <w:rPr>
          <w:rFonts w:ascii="Arial" w:cs="Arial" w:eastAsia="Arial" w:hAnsi="Arial"/>
          <w:sz w:val="17"/>
          <w:szCs w:val="17"/>
          <w:color w:val="auto"/>
        </w:rPr>
        <w:t>T Rule 101(b)(1):</w:t>
      </w:r>
      <w:r>
        <w:rPr>
          <w:sz w:val="20"/>
          <w:szCs w:val="20"/>
          <w:color w:val="auto"/>
        </w:rPr>
        <w:tab/>
      </w:r>
      <w:r>
        <w:rPr>
          <w:rFonts w:ascii="MS PGothic" w:cs="MS PGothic" w:eastAsia="MS PGothic" w:hAnsi="MS PGothic"/>
          <w:sz w:val="16"/>
          <w:szCs w:val="16"/>
          <w:color w:val="auto"/>
        </w:rPr>
        <w:t>☐</w:t>
      </w:r>
    </w:p>
    <w:p>
      <w:pPr>
        <w:spacing w:after="0" w:line="237" w:lineRule="exact"/>
        <w:rPr>
          <w:sz w:val="24"/>
          <w:szCs w:val="24"/>
          <w:color w:val="auto"/>
        </w:rPr>
      </w:pPr>
    </w:p>
    <w:p>
      <w:pPr>
        <w:spacing w:after="0" w:line="196" w:lineRule="exact"/>
        <w:tabs>
          <w:tab w:leader="none" w:pos="9060" w:val="left"/>
        </w:tabs>
        <w:rPr>
          <w:sz w:val="20"/>
          <w:szCs w:val="20"/>
          <w:color w:val="auto"/>
        </w:rPr>
      </w:pPr>
      <w:r>
        <w:rPr>
          <w:rFonts w:ascii="Arial" w:cs="Arial" w:eastAsia="Arial" w:hAnsi="Arial"/>
          <w:sz w:val="17"/>
          <w:szCs w:val="17"/>
          <w:color w:val="auto"/>
        </w:rPr>
        <w:t>Indicate by check mark if the registrant is submitting the Form 6</w:t>
      </w:r>
      <w:r>
        <w:rPr>
          <w:rFonts w:ascii="MS PGothic" w:cs="MS PGothic" w:eastAsia="MS PGothic" w:hAnsi="MS PGothic"/>
          <w:sz w:val="17"/>
          <w:szCs w:val="17"/>
          <w:color w:val="auto"/>
        </w:rPr>
        <w:t>‑</w:t>
      </w:r>
      <w:r>
        <w:rPr>
          <w:rFonts w:ascii="Arial" w:cs="Arial" w:eastAsia="Arial" w:hAnsi="Arial"/>
          <w:sz w:val="17"/>
          <w:szCs w:val="17"/>
          <w:color w:val="auto"/>
        </w:rPr>
        <w:t>K in paper as permitted by Regulation S</w:t>
      </w:r>
      <w:r>
        <w:rPr>
          <w:rFonts w:ascii="MS PGothic" w:cs="MS PGothic" w:eastAsia="MS PGothic" w:hAnsi="MS PGothic"/>
          <w:sz w:val="17"/>
          <w:szCs w:val="17"/>
          <w:color w:val="auto"/>
        </w:rPr>
        <w:t>‑</w:t>
      </w:r>
      <w:r>
        <w:rPr>
          <w:rFonts w:ascii="Arial" w:cs="Arial" w:eastAsia="Arial" w:hAnsi="Arial"/>
          <w:sz w:val="17"/>
          <w:szCs w:val="17"/>
          <w:color w:val="auto"/>
        </w:rPr>
        <w:t>T Rule 101(b)(7):</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222250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273685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ectPr>
          <w:pgSz w:w="11900" w:h="16838" w:orient="portrait"/>
          <w:cols w:equalWidth="0" w:num="1">
            <w:col w:w="10460"/>
          </w:cols>
          <w:pgMar w:left="320" w:top="675" w:right="111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On August 8, 2023, Mynaric AG issued a corporate news. A copy of the news is furnished as Exhibit 99.1 hereto. A copy of the voting results is furnished as exhibit 99.2 hereto.</w:t>
      </w: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553"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8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Description of Exhibit</w:t>
            </w:r>
          </w:p>
        </w:tc>
      </w:tr>
      <w:tr>
        <w:trPr>
          <w:trHeight w:val="169"/>
        </w:trPr>
        <w:tc>
          <w:tcPr>
            <w:tcW w:w="3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32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0000EE"/>
                <w:w w:val="97"/>
              </w:rPr>
              <w:t>Mynaric Annual General Assembly: Bulent Altan elected by shareholders to join Supervisory Board, Mustafa Veziroglu now sole CEO</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6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9"/>
              </w:rPr>
              <w:t>Voting Results</w:t>
            </w:r>
          </w:p>
        </w:tc>
        <w:tc>
          <w:tcPr>
            <w:tcW w:w="9280" w:type="dxa"/>
            <w:vAlign w:val="bottom"/>
            <w:gridSpan w:val="2"/>
          </w:tcPr>
          <w:p>
            <w:pPr>
              <w:spacing w:after="0"/>
              <w:rPr>
                <w:sz w:val="15"/>
                <w:szCs w:val="15"/>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gridSpan w:val="4"/>
          </w:tcPr>
          <w:p>
            <w:pPr>
              <w:jc w:val="right"/>
              <w:ind w:right="4870"/>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854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Stefan Berndt-von Bülow</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Sven Meyer-Brunswick</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Mynaric Annual General Assembly: Bulent Altan elected by shareholders to join Supervisory Board, Mustafa Veziroglu now sole CEO</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MUNICH, August 8, 2023 – </w:t>
      </w:r>
      <w:r>
        <w:rPr>
          <w:rFonts w:ascii="Arial" w:cs="Arial" w:eastAsia="Arial" w:hAnsi="Arial"/>
          <w:sz w:val="18"/>
          <w:szCs w:val="18"/>
          <w:u w:val="single" w:color="auto"/>
          <w:color w:val="auto"/>
        </w:rPr>
        <w:t>Mynaric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MYNA) (FRA: M0YN), a leading provider of industrialized, cost-effective and scalable laser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products, today announced key results of the company’s annual general assembly held on August 7, 2023.</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shareholder approval, industry veterans Bulent Altan and Margaret Abernathy joined Mynaric’s Supervisory Board after receiving the requisite number of votes during the annual general assembly. They join the three re-elected Supervisory Board members: Dr. Hans Königsmann, Dr. Manfred Krischke, and Peter Müller-Brühl, effective immediately. Following the company’s annual general assembly meeting, the Supervisory Board met and elected Bulent Altan as Chairman.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“My passion and interest in creating a ubiquitous communications infrastructure in space remains a driving force as I join the Supervisory Board,” said Bulent Altan, Chairman of the Supervisory Board. “Mynaric is well positioned to provide and deliver the critical technology to enable global connectivity.”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Mustafa Veziroglu will serve as the company’s Chief Executive Officer. Veziroglu will lead Mynaric’s day-to-day business operations and strategy to produce laser communications terminals at scale for applications in space, air and terrestrial applications.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appreciative of the support of our shareholders as we continue to win significant customer programs and our pipeline of opportunities remains robust,” said Mustafa Veziroglu. “We have the largest backlog of terminals in the history of the company and our entire team is focused on starting to deliver products to our customers at scale from 2023 as we are entering our long-awaited serial production.”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mynaric.com</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5" w:name="page6"/>
    <w:bookmarkEnd w:id="5"/>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Mynaric AG of August 07,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Declared Voting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Votes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Valid Votes</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In % of the</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1"/>
              </w:rPr>
              <w:t>Votes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Cast</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60" w:type="dxa"/>
            <w:vAlign w:val="bottom"/>
          </w:tcPr>
          <w:p>
            <w:pPr>
              <w:spacing w:after="0"/>
              <w:rPr>
                <w:sz w:val="18"/>
                <w:szCs w:val="18"/>
                <w:color w:val="auto"/>
              </w:rPr>
            </w:pPr>
          </w:p>
        </w:tc>
        <w:tc>
          <w:tcPr>
            <w:tcW w:w="980" w:type="dxa"/>
            <w:vAlign w:val="bottom"/>
          </w:tcPr>
          <w:p>
            <w:pPr>
              <w:ind w:left="400"/>
              <w:spacing w:after="0"/>
              <w:rPr>
                <w:sz w:val="20"/>
                <w:szCs w:val="20"/>
                <w:color w:val="auto"/>
              </w:rPr>
            </w:pPr>
            <w:r>
              <w:rPr>
                <w:rFonts w:ascii="Arial" w:cs="Arial" w:eastAsia="Arial" w:hAnsi="Arial"/>
                <w:sz w:val="18"/>
                <w:szCs w:val="18"/>
                <w:b w:val="1"/>
                <w:bCs w:val="1"/>
                <w:color w:val="auto"/>
              </w:rPr>
              <w:t>the</w:t>
            </w:r>
          </w:p>
        </w:tc>
        <w:tc>
          <w:tcPr>
            <w:tcW w:w="1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Votes</w:t>
            </w:r>
          </w:p>
        </w:tc>
        <w:tc>
          <w:tcPr>
            <w:tcW w:w="100" w:type="dxa"/>
            <w:vAlign w:val="bottom"/>
          </w:tcPr>
          <w:p>
            <w:pPr>
              <w:spacing w:after="0"/>
              <w:rPr>
                <w:sz w:val="18"/>
                <w:szCs w:val="18"/>
                <w:color w:val="auto"/>
              </w:rPr>
            </w:pPr>
          </w:p>
        </w:tc>
        <w:tc>
          <w:tcPr>
            <w:tcW w:w="1020" w:type="dxa"/>
            <w:vAlign w:val="bottom"/>
          </w:tcPr>
          <w:p>
            <w:pPr>
              <w:ind w:left="420"/>
              <w:spacing w:after="0"/>
              <w:rPr>
                <w:sz w:val="20"/>
                <w:szCs w:val="20"/>
                <w:color w:val="auto"/>
              </w:rPr>
            </w:pPr>
            <w:r>
              <w:rPr>
                <w:rFonts w:ascii="Arial" w:cs="Arial" w:eastAsia="Arial" w:hAnsi="Arial"/>
                <w:sz w:val="18"/>
                <w:szCs w:val="18"/>
                <w:b w:val="1"/>
                <w:bCs w:val="1"/>
                <w:color w:val="auto"/>
              </w:rPr>
              <w:t>the</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against in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23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Agenda item</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(for/against)</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Resolution</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for in %</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Resolution</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Abstention</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Decision</w:t>
            </w:r>
          </w:p>
        </w:tc>
        <w:tc>
          <w:tcPr>
            <w:tcW w:w="10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w w:val="79"/>
              </w:rPr>
              <w:t>2</w:t>
            </w: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Resolution on the discharge of</w:t>
            </w:r>
          </w:p>
        </w:tc>
        <w:tc>
          <w:tcPr>
            <w:tcW w:w="1120" w:type="dxa"/>
            <w:vAlign w:val="bottom"/>
            <w:gridSpan w:val="2"/>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w w:val="99"/>
              </w:rPr>
              <w:t>1,525,246</w:t>
            </w:r>
          </w:p>
        </w:tc>
        <w:tc>
          <w:tcPr>
            <w:tcW w:w="1120" w:type="dxa"/>
            <w:vAlign w:val="bottom"/>
            <w:gridSpan w:val="2"/>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24.47</w:t>
            </w:r>
          </w:p>
        </w:tc>
        <w:tc>
          <w:tcPr>
            <w:tcW w:w="10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700,708</w:t>
            </w:r>
          </w:p>
        </w:tc>
        <w:tc>
          <w:tcPr>
            <w:tcW w:w="920" w:type="dxa"/>
            <w:vAlign w:val="bottom"/>
            <w:gridSpan w:val="2"/>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45.94</w:t>
            </w:r>
          </w:p>
        </w:tc>
        <w:tc>
          <w:tcPr>
            <w:tcW w:w="1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824,538</w:t>
            </w:r>
          </w:p>
        </w:tc>
        <w:tc>
          <w:tcPr>
            <w:tcW w:w="10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54.06</w:t>
            </w:r>
          </w:p>
        </w:tc>
        <w:tc>
          <w:tcPr>
            <w:tcW w:w="10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43,040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Declined</w:t>
            </w:r>
          </w:p>
        </w:tc>
        <w:tc>
          <w:tcPr>
            <w:tcW w:w="10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the members of the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Management Board for the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financial year 2022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60" w:type="dxa"/>
            <w:vAlign w:val="bottom"/>
          </w:tcPr>
          <w:p>
            <w:pPr>
              <w:jc w:val="right"/>
              <w:ind w:right="270"/>
              <w:spacing w:after="0" w:line="201" w:lineRule="exact"/>
              <w:rPr>
                <w:sz w:val="20"/>
                <w:szCs w:val="20"/>
                <w:color w:val="auto"/>
              </w:rPr>
            </w:pPr>
            <w:r>
              <w:rPr>
                <w:rFonts w:ascii="Arial" w:cs="Arial" w:eastAsia="Arial" w:hAnsi="Arial"/>
                <w:sz w:val="18"/>
                <w:szCs w:val="18"/>
                <w:color w:val="auto"/>
                <w:w w:val="79"/>
              </w:rPr>
              <w:t>3</w:t>
            </w:r>
          </w:p>
        </w:tc>
        <w:tc>
          <w:tcPr>
            <w:tcW w:w="2320" w:type="dxa"/>
            <w:vAlign w:val="bottom"/>
          </w:tcPr>
          <w:p>
            <w:pPr>
              <w:spacing w:after="0" w:line="201" w:lineRule="exact"/>
              <w:rPr>
                <w:sz w:val="20"/>
                <w:szCs w:val="20"/>
                <w:color w:val="auto"/>
              </w:rPr>
            </w:pPr>
            <w:r>
              <w:rPr>
                <w:rFonts w:ascii="Arial" w:cs="Arial" w:eastAsia="Arial" w:hAnsi="Arial"/>
                <w:sz w:val="18"/>
                <w:szCs w:val="18"/>
                <w:color w:val="auto"/>
                <w:w w:val="94"/>
              </w:rPr>
              <w:t>Resolution on the discharge of</w:t>
            </w:r>
          </w:p>
        </w:tc>
        <w:tc>
          <w:tcPr>
            <w:tcW w:w="1120" w:type="dxa"/>
            <w:vAlign w:val="bottom"/>
            <w:gridSpan w:val="2"/>
          </w:tcPr>
          <w:p>
            <w:pPr>
              <w:jc w:val="right"/>
              <w:ind w:right="210"/>
              <w:spacing w:after="0" w:line="201" w:lineRule="exact"/>
              <w:rPr>
                <w:sz w:val="20"/>
                <w:szCs w:val="20"/>
                <w:color w:val="auto"/>
              </w:rPr>
            </w:pPr>
            <w:r>
              <w:rPr>
                <w:rFonts w:ascii="Arial" w:cs="Arial" w:eastAsia="Arial" w:hAnsi="Arial"/>
                <w:sz w:val="18"/>
                <w:szCs w:val="18"/>
                <w:color w:val="auto"/>
                <w:w w:val="99"/>
              </w:rPr>
              <w:t>1,745,774</w:t>
            </w:r>
          </w:p>
        </w:tc>
        <w:tc>
          <w:tcPr>
            <w:tcW w:w="1120" w:type="dxa"/>
            <w:vAlign w:val="bottom"/>
            <w:gridSpan w:val="2"/>
          </w:tcPr>
          <w:p>
            <w:pPr>
              <w:jc w:val="right"/>
              <w:ind w:right="510"/>
              <w:spacing w:after="0" w:line="201" w:lineRule="exact"/>
              <w:rPr>
                <w:sz w:val="20"/>
                <w:szCs w:val="20"/>
                <w:color w:val="auto"/>
              </w:rPr>
            </w:pPr>
            <w:r>
              <w:rPr>
                <w:rFonts w:ascii="Arial" w:cs="Arial" w:eastAsia="Arial" w:hAnsi="Arial"/>
                <w:sz w:val="18"/>
                <w:szCs w:val="18"/>
                <w:color w:val="auto"/>
              </w:rPr>
              <w:t>28.01</w:t>
            </w:r>
          </w:p>
        </w:tc>
        <w:tc>
          <w:tcPr>
            <w:tcW w:w="1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875,480</w:t>
            </w:r>
          </w:p>
        </w:tc>
        <w:tc>
          <w:tcPr>
            <w:tcW w:w="9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50.15</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870,294</w:t>
            </w:r>
          </w:p>
        </w:tc>
        <w:tc>
          <w:tcPr>
            <w:tcW w:w="10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49.85</w:t>
            </w:r>
          </w:p>
        </w:tc>
        <w:tc>
          <w:tcPr>
            <w:tcW w:w="10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43,039</w:t>
            </w:r>
          </w:p>
        </w:tc>
        <w:tc>
          <w:tcPr>
            <w:tcW w:w="10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b w:val="1"/>
                <w:bCs w:val="1"/>
                <w:color w:val="auto"/>
              </w:rPr>
              <w:t>Approved</w:t>
            </w: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0"/>
              </w:rPr>
              <w:t>the members of the Supervisory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Board for the financial year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6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w w:val="79"/>
              </w:rPr>
              <w:t>4</w:t>
            </w: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Resolution on the election of</w:t>
            </w:r>
          </w:p>
        </w:tc>
        <w:tc>
          <w:tcPr>
            <w:tcW w:w="1120" w:type="dxa"/>
            <w:vAlign w:val="bottom"/>
            <w:gridSpan w:val="2"/>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w w:val="99"/>
              </w:rPr>
              <w:t>1,780,850</w:t>
            </w:r>
          </w:p>
        </w:tc>
        <w:tc>
          <w:tcPr>
            <w:tcW w:w="1120" w:type="dxa"/>
            <w:vAlign w:val="bottom"/>
            <w:gridSpan w:val="2"/>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28.57</w:t>
            </w:r>
          </w:p>
        </w:tc>
        <w:tc>
          <w:tcPr>
            <w:tcW w:w="10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1,739,762</w:t>
            </w:r>
          </w:p>
        </w:tc>
        <w:tc>
          <w:tcPr>
            <w:tcW w:w="920" w:type="dxa"/>
            <w:vAlign w:val="bottom"/>
            <w:gridSpan w:val="2"/>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97.69</w:t>
            </w:r>
          </w:p>
        </w:tc>
        <w:tc>
          <w:tcPr>
            <w:tcW w:w="1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41,088</w:t>
            </w:r>
          </w:p>
        </w:tc>
        <w:tc>
          <w:tcPr>
            <w:tcW w:w="10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2.31</w:t>
            </w:r>
          </w:p>
        </w:tc>
        <w:tc>
          <w:tcPr>
            <w:tcW w:w="10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Approved</w:t>
            </w:r>
          </w:p>
        </w:tc>
        <w:tc>
          <w:tcPr>
            <w:tcW w:w="10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the auditor of the annual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 and the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0"/>
              </w:rPr>
              <w:t>statements for the financial year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ind w:left="460" w:right="8740" w:hanging="452"/>
        <w:spacing w:after="0" w:line="26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Elections to the Supervisory Board</w:t>
      </w:r>
    </w:p>
    <w:tbl>
      <w:tblPr>
        <w:tblLayout w:type="fixed"/>
        <w:tblInd w:w="0" w:type="dxa"/>
        <w:tblCellMar>
          <w:top w:w="0" w:type="dxa"/>
          <w:left w:w="0" w:type="dxa"/>
          <w:bottom w:w="0" w:type="dxa"/>
          <w:right w:w="0" w:type="dxa"/>
        </w:tblCellMar>
      </w:tblPr>
      <w:tr>
        <w:trPr>
          <w:trHeight w:val="200"/>
        </w:trPr>
        <w:tc>
          <w:tcPr>
            <w:tcW w:w="320" w:type="dxa"/>
            <w:vAlign w:val="bottom"/>
            <w:shd w:val="clear" w:color="auto" w:fill="CCEEFF"/>
          </w:tcPr>
          <w:p>
            <w:pPr>
              <w:spacing w:after="0"/>
              <w:rPr>
                <w:sz w:val="17"/>
                <w:szCs w:val="17"/>
                <w:color w:val="auto"/>
              </w:rPr>
            </w:pPr>
          </w:p>
        </w:tc>
        <w:tc>
          <w:tcPr>
            <w:tcW w:w="250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a) Bulent Altan</w:t>
            </w:r>
          </w:p>
        </w:tc>
        <w:tc>
          <w:tcPr>
            <w:tcW w:w="980" w:type="dxa"/>
            <w:vAlign w:val="bottom"/>
            <w:shd w:val="clear" w:color="auto" w:fill="CCEEFF"/>
          </w:tcPr>
          <w:p>
            <w:pPr>
              <w:jc w:val="right"/>
              <w:ind w:right="110"/>
              <w:spacing w:after="0" w:line="200" w:lineRule="exact"/>
              <w:rPr>
                <w:sz w:val="20"/>
                <w:szCs w:val="20"/>
                <w:color w:val="auto"/>
              </w:rPr>
            </w:pPr>
            <w:r>
              <w:rPr>
                <w:rFonts w:ascii="Arial" w:cs="Arial" w:eastAsia="Arial" w:hAnsi="Arial"/>
                <w:sz w:val="18"/>
                <w:szCs w:val="18"/>
                <w:color w:val="auto"/>
                <w:w w:val="94"/>
              </w:rPr>
              <w:t>1,782,387</w:t>
            </w:r>
          </w:p>
        </w:tc>
        <w:tc>
          <w:tcPr>
            <w:tcW w:w="940" w:type="dxa"/>
            <w:vAlign w:val="bottom"/>
            <w:shd w:val="clear" w:color="auto" w:fill="CCEEFF"/>
          </w:tcPr>
          <w:p>
            <w:pPr>
              <w:jc w:val="right"/>
              <w:ind w:right="230"/>
              <w:spacing w:after="0" w:line="200" w:lineRule="exact"/>
              <w:rPr>
                <w:sz w:val="20"/>
                <w:szCs w:val="20"/>
                <w:color w:val="auto"/>
              </w:rPr>
            </w:pPr>
            <w:r>
              <w:rPr>
                <w:rFonts w:ascii="Arial" w:cs="Arial" w:eastAsia="Arial" w:hAnsi="Arial"/>
                <w:sz w:val="18"/>
                <w:szCs w:val="18"/>
                <w:color w:val="auto"/>
              </w:rPr>
              <w:t>28.59</w:t>
            </w:r>
          </w:p>
        </w:tc>
        <w:tc>
          <w:tcPr>
            <w:tcW w:w="1240" w:type="dxa"/>
            <w:vAlign w:val="bottom"/>
            <w:shd w:val="clear" w:color="auto" w:fill="CCEEFF"/>
          </w:tcPr>
          <w:p>
            <w:pPr>
              <w:jc w:val="right"/>
              <w:ind w:right="110"/>
              <w:spacing w:after="0" w:line="200" w:lineRule="exact"/>
              <w:rPr>
                <w:sz w:val="20"/>
                <w:szCs w:val="20"/>
                <w:color w:val="auto"/>
              </w:rPr>
            </w:pPr>
            <w:r>
              <w:rPr>
                <w:rFonts w:ascii="Arial" w:cs="Arial" w:eastAsia="Arial" w:hAnsi="Arial"/>
                <w:sz w:val="18"/>
                <w:szCs w:val="18"/>
                <w:color w:val="auto"/>
              </w:rPr>
              <w:t>1,252,158</w:t>
            </w:r>
          </w:p>
        </w:tc>
        <w:tc>
          <w:tcPr>
            <w:tcW w:w="860" w:type="dxa"/>
            <w:vAlign w:val="bottom"/>
            <w:shd w:val="clear" w:color="auto" w:fill="CCEEFF"/>
          </w:tcPr>
          <w:p>
            <w:pPr>
              <w:jc w:val="right"/>
              <w:ind w:right="150"/>
              <w:spacing w:after="0" w:line="200" w:lineRule="exact"/>
              <w:rPr>
                <w:sz w:val="20"/>
                <w:szCs w:val="20"/>
                <w:color w:val="auto"/>
              </w:rPr>
            </w:pPr>
            <w:r>
              <w:rPr>
                <w:rFonts w:ascii="Arial" w:cs="Arial" w:eastAsia="Arial" w:hAnsi="Arial"/>
                <w:sz w:val="18"/>
                <w:szCs w:val="18"/>
                <w:color w:val="auto"/>
              </w:rPr>
              <w:t>70.25</w:t>
            </w:r>
          </w:p>
        </w:tc>
        <w:tc>
          <w:tcPr>
            <w:tcW w:w="110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530,229</w:t>
            </w:r>
          </w:p>
        </w:tc>
        <w:tc>
          <w:tcPr>
            <w:tcW w:w="98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29.75</w:t>
            </w:r>
          </w:p>
        </w:tc>
        <w:tc>
          <w:tcPr>
            <w:tcW w:w="110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rPr>
              <w:t>6,426</w:t>
            </w:r>
          </w:p>
        </w:tc>
        <w:tc>
          <w:tcPr>
            <w:tcW w:w="12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b w:val="1"/>
                <w:bCs w:val="1"/>
                <w:color w:val="auto"/>
              </w:rPr>
              <w:t>Approved</w:t>
            </w:r>
          </w:p>
        </w:tc>
      </w:tr>
      <w:tr>
        <w:trPr>
          <w:trHeight w:val="198"/>
        </w:trPr>
        <w:tc>
          <w:tcPr>
            <w:tcW w:w="320" w:type="dxa"/>
            <w:vAlign w:val="bottom"/>
          </w:tcPr>
          <w:p>
            <w:pPr>
              <w:spacing w:after="0"/>
              <w:rPr>
                <w:sz w:val="17"/>
                <w:szCs w:val="17"/>
                <w:color w:val="auto"/>
              </w:rPr>
            </w:pPr>
          </w:p>
        </w:tc>
        <w:tc>
          <w:tcPr>
            <w:tcW w:w="2500" w:type="dxa"/>
            <w:vAlign w:val="bottom"/>
          </w:tcPr>
          <w:p>
            <w:pPr>
              <w:ind w:left="140"/>
              <w:spacing w:after="0" w:line="198" w:lineRule="exact"/>
              <w:rPr>
                <w:sz w:val="20"/>
                <w:szCs w:val="20"/>
                <w:color w:val="auto"/>
              </w:rPr>
            </w:pPr>
            <w:r>
              <w:rPr>
                <w:rFonts w:ascii="Arial" w:cs="Arial" w:eastAsia="Arial" w:hAnsi="Arial"/>
                <w:sz w:val="18"/>
                <w:szCs w:val="18"/>
                <w:color w:val="auto"/>
              </w:rPr>
              <w:t>b) Dr. Manfred Krischke</w:t>
            </w:r>
          </w:p>
        </w:tc>
        <w:tc>
          <w:tcPr>
            <w:tcW w:w="980" w:type="dxa"/>
            <w:vAlign w:val="bottom"/>
          </w:tcPr>
          <w:p>
            <w:pPr>
              <w:jc w:val="right"/>
              <w:ind w:right="110"/>
              <w:spacing w:after="0" w:line="198" w:lineRule="exact"/>
              <w:rPr>
                <w:sz w:val="20"/>
                <w:szCs w:val="20"/>
                <w:color w:val="auto"/>
              </w:rPr>
            </w:pPr>
            <w:r>
              <w:rPr>
                <w:rFonts w:ascii="Arial" w:cs="Arial" w:eastAsia="Arial" w:hAnsi="Arial"/>
                <w:sz w:val="18"/>
                <w:szCs w:val="18"/>
                <w:color w:val="auto"/>
                <w:w w:val="94"/>
              </w:rPr>
              <w:t>1,782,855</w:t>
            </w:r>
          </w:p>
        </w:tc>
        <w:tc>
          <w:tcPr>
            <w:tcW w:w="940" w:type="dxa"/>
            <w:vAlign w:val="bottom"/>
          </w:tcPr>
          <w:p>
            <w:pPr>
              <w:jc w:val="right"/>
              <w:ind w:right="230"/>
              <w:spacing w:after="0" w:line="198" w:lineRule="exact"/>
              <w:rPr>
                <w:sz w:val="20"/>
                <w:szCs w:val="20"/>
                <w:color w:val="auto"/>
              </w:rPr>
            </w:pPr>
            <w:r>
              <w:rPr>
                <w:rFonts w:ascii="Arial" w:cs="Arial" w:eastAsia="Arial" w:hAnsi="Arial"/>
                <w:sz w:val="18"/>
                <w:szCs w:val="18"/>
                <w:color w:val="auto"/>
              </w:rPr>
              <w:t>28.60</w:t>
            </w:r>
          </w:p>
        </w:tc>
        <w:tc>
          <w:tcPr>
            <w:tcW w:w="1240" w:type="dxa"/>
            <w:vAlign w:val="bottom"/>
          </w:tcPr>
          <w:p>
            <w:pPr>
              <w:jc w:val="right"/>
              <w:ind w:right="110"/>
              <w:spacing w:after="0" w:line="198" w:lineRule="exact"/>
              <w:rPr>
                <w:sz w:val="20"/>
                <w:szCs w:val="20"/>
                <w:color w:val="auto"/>
              </w:rPr>
            </w:pPr>
            <w:r>
              <w:rPr>
                <w:rFonts w:ascii="Arial" w:cs="Arial" w:eastAsia="Arial" w:hAnsi="Arial"/>
                <w:sz w:val="18"/>
                <w:szCs w:val="18"/>
                <w:color w:val="auto"/>
              </w:rPr>
              <w:t>1,423,159</w:t>
            </w:r>
          </w:p>
        </w:tc>
        <w:tc>
          <w:tcPr>
            <w:tcW w:w="860" w:type="dxa"/>
            <w:vAlign w:val="bottom"/>
          </w:tcPr>
          <w:p>
            <w:pPr>
              <w:jc w:val="right"/>
              <w:ind w:right="150"/>
              <w:spacing w:after="0" w:line="198" w:lineRule="exact"/>
              <w:rPr>
                <w:sz w:val="20"/>
                <w:szCs w:val="20"/>
                <w:color w:val="auto"/>
              </w:rPr>
            </w:pPr>
            <w:r>
              <w:rPr>
                <w:rFonts w:ascii="Arial" w:cs="Arial" w:eastAsia="Arial" w:hAnsi="Arial"/>
                <w:sz w:val="18"/>
                <w:szCs w:val="18"/>
                <w:color w:val="auto"/>
              </w:rPr>
              <w:t>79.82</w:t>
            </w:r>
          </w:p>
        </w:tc>
        <w:tc>
          <w:tcPr>
            <w:tcW w:w="1100" w:type="dxa"/>
            <w:vAlign w:val="bottom"/>
          </w:tcPr>
          <w:p>
            <w:pPr>
              <w:ind w:left="240"/>
              <w:spacing w:after="0" w:line="198" w:lineRule="exact"/>
              <w:rPr>
                <w:sz w:val="20"/>
                <w:szCs w:val="20"/>
                <w:color w:val="auto"/>
              </w:rPr>
            </w:pPr>
            <w:r>
              <w:rPr>
                <w:rFonts w:ascii="Arial" w:cs="Arial" w:eastAsia="Arial" w:hAnsi="Arial"/>
                <w:sz w:val="18"/>
                <w:szCs w:val="18"/>
                <w:color w:val="auto"/>
              </w:rPr>
              <w:t>359,696</w:t>
            </w:r>
          </w:p>
        </w:tc>
        <w:tc>
          <w:tcPr>
            <w:tcW w:w="980" w:type="dxa"/>
            <w:vAlign w:val="bottom"/>
          </w:tcPr>
          <w:p>
            <w:pPr>
              <w:ind w:left="260"/>
              <w:spacing w:after="0" w:line="198" w:lineRule="exact"/>
              <w:rPr>
                <w:sz w:val="20"/>
                <w:szCs w:val="20"/>
                <w:color w:val="auto"/>
              </w:rPr>
            </w:pPr>
            <w:r>
              <w:rPr>
                <w:rFonts w:ascii="Arial" w:cs="Arial" w:eastAsia="Arial" w:hAnsi="Arial"/>
                <w:sz w:val="18"/>
                <w:szCs w:val="18"/>
                <w:color w:val="auto"/>
              </w:rPr>
              <w:t>20.18</w:t>
            </w:r>
          </w:p>
        </w:tc>
        <w:tc>
          <w:tcPr>
            <w:tcW w:w="1100" w:type="dxa"/>
            <w:vAlign w:val="bottom"/>
          </w:tcPr>
          <w:p>
            <w:pPr>
              <w:ind w:left="300"/>
              <w:spacing w:after="0" w:line="198" w:lineRule="exact"/>
              <w:rPr>
                <w:sz w:val="20"/>
                <w:szCs w:val="20"/>
                <w:color w:val="auto"/>
              </w:rPr>
            </w:pPr>
            <w:r>
              <w:rPr>
                <w:rFonts w:ascii="Arial" w:cs="Arial" w:eastAsia="Arial" w:hAnsi="Arial"/>
                <w:sz w:val="18"/>
                <w:szCs w:val="18"/>
                <w:color w:val="auto"/>
              </w:rPr>
              <w:t>5,958</w:t>
            </w:r>
          </w:p>
        </w:tc>
        <w:tc>
          <w:tcPr>
            <w:tcW w:w="122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c) Dr. Hans Königsmann</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4"/>
              </w:rPr>
              <w:t>1,744,873</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27.99</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1,496,113</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85.74</w:t>
            </w:r>
          </w:p>
        </w:tc>
        <w:tc>
          <w:tcPr>
            <w:tcW w:w="1100" w:type="dxa"/>
            <w:vAlign w:val="bottom"/>
          </w:tcPr>
          <w:p>
            <w:pPr>
              <w:ind w:left="240"/>
              <w:spacing w:after="0"/>
              <w:rPr>
                <w:sz w:val="20"/>
                <w:szCs w:val="20"/>
                <w:color w:val="auto"/>
              </w:rPr>
            </w:pPr>
            <w:r>
              <w:rPr>
                <w:rFonts w:ascii="Arial" w:cs="Arial" w:eastAsia="Arial" w:hAnsi="Arial"/>
                <w:sz w:val="18"/>
                <w:szCs w:val="18"/>
                <w:color w:val="auto"/>
              </w:rPr>
              <w:t>248,760</w:t>
            </w:r>
          </w:p>
        </w:tc>
        <w:tc>
          <w:tcPr>
            <w:tcW w:w="980" w:type="dxa"/>
            <w:vAlign w:val="bottom"/>
          </w:tcPr>
          <w:p>
            <w:pPr>
              <w:ind w:left="260"/>
              <w:spacing w:after="0"/>
              <w:rPr>
                <w:sz w:val="20"/>
                <w:szCs w:val="20"/>
                <w:color w:val="auto"/>
              </w:rPr>
            </w:pPr>
            <w:r>
              <w:rPr>
                <w:rFonts w:ascii="Arial" w:cs="Arial" w:eastAsia="Arial" w:hAnsi="Arial"/>
                <w:sz w:val="18"/>
                <w:szCs w:val="18"/>
                <w:color w:val="auto"/>
              </w:rPr>
              <w:t>14.26</w:t>
            </w:r>
          </w:p>
        </w:tc>
        <w:tc>
          <w:tcPr>
            <w:tcW w:w="1100" w:type="dxa"/>
            <w:vAlign w:val="bottom"/>
          </w:tcPr>
          <w:p>
            <w:pPr>
              <w:ind w:left="300"/>
              <w:spacing w:after="0"/>
              <w:rPr>
                <w:sz w:val="20"/>
                <w:szCs w:val="20"/>
                <w:color w:val="auto"/>
              </w:rPr>
            </w:pPr>
            <w:r>
              <w:rPr>
                <w:rFonts w:ascii="Arial" w:cs="Arial" w:eastAsia="Arial" w:hAnsi="Arial"/>
                <w:sz w:val="18"/>
                <w:szCs w:val="18"/>
                <w:color w:val="auto"/>
              </w:rPr>
              <w:t>43,940</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d) Peter Müller-Brühl</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4"/>
              </w:rPr>
              <w:t>1,783,521</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28.61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1,494,741</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83.81</w:t>
            </w:r>
          </w:p>
        </w:tc>
        <w:tc>
          <w:tcPr>
            <w:tcW w:w="1100" w:type="dxa"/>
            <w:vAlign w:val="bottom"/>
          </w:tcPr>
          <w:p>
            <w:pPr>
              <w:ind w:left="240"/>
              <w:spacing w:after="0"/>
              <w:rPr>
                <w:sz w:val="20"/>
                <w:szCs w:val="20"/>
                <w:color w:val="auto"/>
              </w:rPr>
            </w:pPr>
            <w:r>
              <w:rPr>
                <w:rFonts w:ascii="Arial" w:cs="Arial" w:eastAsia="Arial" w:hAnsi="Arial"/>
                <w:sz w:val="18"/>
                <w:szCs w:val="18"/>
                <w:color w:val="auto"/>
              </w:rPr>
              <w:t>288,780</w:t>
            </w:r>
          </w:p>
        </w:tc>
        <w:tc>
          <w:tcPr>
            <w:tcW w:w="980" w:type="dxa"/>
            <w:vAlign w:val="bottom"/>
          </w:tcPr>
          <w:p>
            <w:pPr>
              <w:ind w:left="260"/>
              <w:spacing w:after="0"/>
              <w:rPr>
                <w:sz w:val="20"/>
                <w:szCs w:val="20"/>
                <w:color w:val="auto"/>
              </w:rPr>
            </w:pPr>
            <w:r>
              <w:rPr>
                <w:rFonts w:ascii="Arial" w:cs="Arial" w:eastAsia="Arial" w:hAnsi="Arial"/>
                <w:sz w:val="18"/>
                <w:szCs w:val="18"/>
                <w:color w:val="auto"/>
              </w:rPr>
              <w:t>16.19</w:t>
            </w:r>
          </w:p>
        </w:tc>
        <w:tc>
          <w:tcPr>
            <w:tcW w:w="1100" w:type="dxa"/>
            <w:vAlign w:val="bottom"/>
          </w:tcPr>
          <w:p>
            <w:pPr>
              <w:ind w:left="300"/>
              <w:spacing w:after="0"/>
              <w:rPr>
                <w:sz w:val="20"/>
                <w:szCs w:val="20"/>
                <w:color w:val="auto"/>
              </w:rPr>
            </w:pPr>
            <w:r>
              <w:rPr>
                <w:rFonts w:ascii="Arial" w:cs="Arial" w:eastAsia="Arial" w:hAnsi="Arial"/>
                <w:sz w:val="18"/>
                <w:szCs w:val="18"/>
                <w:color w:val="auto"/>
              </w:rPr>
              <w:t>5,292</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Approved</w:t>
            </w:r>
          </w:p>
        </w:tc>
      </w:tr>
      <w:tr>
        <w:trPr>
          <w:trHeight w:val="234"/>
        </w:trPr>
        <w:tc>
          <w:tcPr>
            <w:tcW w:w="320" w:type="dxa"/>
            <w:vAlign w:val="bottom"/>
          </w:tcPr>
          <w:p>
            <w:pPr>
              <w:spacing w:after="0"/>
              <w:rPr>
                <w:sz w:val="20"/>
                <w:szCs w:val="20"/>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e) Margaret Abernathy</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4"/>
              </w:rPr>
              <w:t>1,783,599</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28.61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1,441,529</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80.82</w:t>
            </w:r>
          </w:p>
        </w:tc>
        <w:tc>
          <w:tcPr>
            <w:tcW w:w="1100" w:type="dxa"/>
            <w:vAlign w:val="bottom"/>
          </w:tcPr>
          <w:p>
            <w:pPr>
              <w:ind w:left="240"/>
              <w:spacing w:after="0"/>
              <w:rPr>
                <w:sz w:val="20"/>
                <w:szCs w:val="20"/>
                <w:color w:val="auto"/>
              </w:rPr>
            </w:pPr>
            <w:r>
              <w:rPr>
                <w:rFonts w:ascii="Arial" w:cs="Arial" w:eastAsia="Arial" w:hAnsi="Arial"/>
                <w:sz w:val="18"/>
                <w:szCs w:val="18"/>
                <w:color w:val="auto"/>
              </w:rPr>
              <w:t>342,070</w:t>
            </w:r>
          </w:p>
        </w:tc>
        <w:tc>
          <w:tcPr>
            <w:tcW w:w="980" w:type="dxa"/>
            <w:vAlign w:val="bottom"/>
          </w:tcPr>
          <w:p>
            <w:pPr>
              <w:ind w:left="260"/>
              <w:spacing w:after="0"/>
              <w:rPr>
                <w:sz w:val="20"/>
                <w:szCs w:val="20"/>
                <w:color w:val="auto"/>
              </w:rPr>
            </w:pPr>
            <w:r>
              <w:rPr>
                <w:rFonts w:ascii="Arial" w:cs="Arial" w:eastAsia="Arial" w:hAnsi="Arial"/>
                <w:sz w:val="18"/>
                <w:szCs w:val="18"/>
                <w:color w:val="auto"/>
              </w:rPr>
              <w:t>19.18</w:t>
            </w:r>
          </w:p>
        </w:tc>
        <w:tc>
          <w:tcPr>
            <w:tcW w:w="1100" w:type="dxa"/>
            <w:vAlign w:val="bottom"/>
          </w:tcPr>
          <w:p>
            <w:pPr>
              <w:ind w:left="300"/>
              <w:spacing w:after="0"/>
              <w:rPr>
                <w:sz w:val="20"/>
                <w:szCs w:val="20"/>
                <w:color w:val="auto"/>
              </w:rPr>
            </w:pPr>
            <w:r>
              <w:rPr>
                <w:rFonts w:ascii="Arial" w:cs="Arial" w:eastAsia="Arial" w:hAnsi="Arial"/>
                <w:sz w:val="18"/>
                <w:szCs w:val="18"/>
                <w:color w:val="auto"/>
              </w:rPr>
              <w:t>5,214</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Approved</w:t>
            </w: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w:t>
            </w:r>
          </w:p>
        </w:tc>
        <w:tc>
          <w:tcPr>
            <w:tcW w:w="2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Resolution on the approval of</w:t>
            </w:r>
          </w:p>
        </w:tc>
        <w:tc>
          <w:tcPr>
            <w:tcW w:w="9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w w:val="94"/>
              </w:rPr>
              <w:t>1,591,966</w:t>
            </w:r>
          </w:p>
        </w:tc>
        <w:tc>
          <w:tcPr>
            <w:tcW w:w="940" w:type="dxa"/>
            <w:vAlign w:val="bottom"/>
            <w:shd w:val="clear" w:color="auto" w:fill="CCEEFF"/>
          </w:tcPr>
          <w:p>
            <w:pPr>
              <w:jc w:val="right"/>
              <w:ind w:right="230"/>
              <w:spacing w:after="0" w:line="201" w:lineRule="exact"/>
              <w:rPr>
                <w:sz w:val="20"/>
                <w:szCs w:val="20"/>
                <w:color w:val="auto"/>
              </w:rPr>
            </w:pPr>
            <w:r>
              <w:rPr>
                <w:rFonts w:ascii="Arial" w:cs="Arial" w:eastAsia="Arial" w:hAnsi="Arial"/>
                <w:sz w:val="18"/>
                <w:szCs w:val="18"/>
                <w:color w:val="auto"/>
              </w:rPr>
              <w:t>25.54</w:t>
            </w:r>
          </w:p>
        </w:tc>
        <w:tc>
          <w:tcPr>
            <w:tcW w:w="124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1,230,138</w:t>
            </w:r>
          </w:p>
        </w:tc>
        <w:tc>
          <w:tcPr>
            <w:tcW w:w="86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77.27</w:t>
            </w:r>
          </w:p>
        </w:tc>
        <w:tc>
          <w:tcPr>
            <w:tcW w:w="11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361.828</w:t>
            </w:r>
          </w:p>
        </w:tc>
        <w:tc>
          <w:tcPr>
            <w:tcW w:w="9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22.73</w:t>
            </w:r>
          </w:p>
        </w:tc>
        <w:tc>
          <w:tcPr>
            <w:tcW w:w="11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196,847</w:t>
            </w:r>
          </w:p>
        </w:tc>
        <w:tc>
          <w:tcPr>
            <w:tcW w:w="1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30"/>
        </w:trPr>
        <w:tc>
          <w:tcPr>
            <w:tcW w:w="320" w:type="dxa"/>
            <w:vAlign w:val="bottom"/>
            <w:shd w:val="clear" w:color="auto" w:fill="CCEEFF"/>
          </w:tcPr>
          <w:p>
            <w:pPr>
              <w:spacing w:after="0"/>
              <w:rPr>
                <w:sz w:val="20"/>
                <w:szCs w:val="20"/>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remuneration report</w:t>
            </w: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320" w:type="dxa"/>
            <w:vAlign w:val="bottom"/>
          </w:tcPr>
          <w:p>
            <w:pPr>
              <w:spacing w:after="0" w:line="201" w:lineRule="exact"/>
              <w:rPr>
                <w:sz w:val="20"/>
                <w:szCs w:val="20"/>
                <w:color w:val="auto"/>
              </w:rPr>
            </w:pPr>
            <w:r>
              <w:rPr>
                <w:rFonts w:ascii="Arial" w:cs="Arial" w:eastAsia="Arial" w:hAnsi="Arial"/>
                <w:sz w:val="18"/>
                <w:szCs w:val="18"/>
                <w:color w:val="auto"/>
              </w:rPr>
              <w:t>7</w:t>
            </w:r>
          </w:p>
        </w:tc>
        <w:tc>
          <w:tcPr>
            <w:tcW w:w="2500" w:type="dxa"/>
            <w:vAlign w:val="bottom"/>
          </w:tcPr>
          <w:p>
            <w:pPr>
              <w:ind w:left="140"/>
              <w:spacing w:after="0" w:line="201" w:lineRule="exact"/>
              <w:rPr>
                <w:sz w:val="20"/>
                <w:szCs w:val="20"/>
                <w:color w:val="auto"/>
              </w:rPr>
            </w:pPr>
            <w:r>
              <w:rPr>
                <w:rFonts w:ascii="Arial" w:cs="Arial" w:eastAsia="Arial" w:hAnsi="Arial"/>
                <w:sz w:val="18"/>
                <w:szCs w:val="18"/>
                <w:color w:val="auto"/>
                <w:w w:val="97"/>
              </w:rPr>
              <w:t>Resolution on amendments to</w:t>
            </w: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4"/>
              </w:rPr>
              <w:t>1,780,289</w:t>
            </w:r>
          </w:p>
        </w:tc>
        <w:tc>
          <w:tcPr>
            <w:tcW w:w="94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28.56</w:t>
            </w:r>
          </w:p>
        </w:tc>
        <w:tc>
          <w:tcPr>
            <w:tcW w:w="12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1,772,020</w:t>
            </w:r>
          </w:p>
        </w:tc>
        <w:tc>
          <w:tcPr>
            <w:tcW w:w="8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99.54</w:t>
            </w:r>
          </w:p>
        </w:tc>
        <w:tc>
          <w:tcPr>
            <w:tcW w:w="1100" w:type="dxa"/>
            <w:vAlign w:val="bottom"/>
          </w:tcPr>
          <w:p>
            <w:pPr>
              <w:ind w:left="240"/>
              <w:spacing w:after="0" w:line="201" w:lineRule="exact"/>
              <w:rPr>
                <w:sz w:val="20"/>
                <w:szCs w:val="20"/>
                <w:color w:val="auto"/>
              </w:rPr>
            </w:pPr>
            <w:r>
              <w:rPr>
                <w:rFonts w:ascii="Arial" w:cs="Arial" w:eastAsia="Arial" w:hAnsi="Arial"/>
                <w:sz w:val="18"/>
                <w:szCs w:val="18"/>
                <w:color w:val="auto"/>
              </w:rPr>
              <w:t>8,269</w:t>
            </w:r>
          </w:p>
        </w:tc>
        <w:tc>
          <w:tcPr>
            <w:tcW w:w="980" w:type="dxa"/>
            <w:vAlign w:val="bottom"/>
          </w:tcPr>
          <w:p>
            <w:pPr>
              <w:ind w:left="260"/>
              <w:spacing w:after="0" w:line="201" w:lineRule="exact"/>
              <w:rPr>
                <w:sz w:val="20"/>
                <w:szCs w:val="20"/>
                <w:color w:val="auto"/>
              </w:rPr>
            </w:pPr>
            <w:r>
              <w:rPr>
                <w:rFonts w:ascii="Arial" w:cs="Arial" w:eastAsia="Arial" w:hAnsi="Arial"/>
                <w:sz w:val="18"/>
                <w:szCs w:val="18"/>
                <w:color w:val="auto"/>
              </w:rPr>
              <w:t>0.46</w:t>
            </w:r>
          </w:p>
        </w:tc>
        <w:tc>
          <w:tcPr>
            <w:tcW w:w="1100" w:type="dxa"/>
            <w:vAlign w:val="bottom"/>
          </w:tcPr>
          <w:p>
            <w:pPr>
              <w:ind w:left="300"/>
              <w:spacing w:after="0" w:line="201" w:lineRule="exact"/>
              <w:rPr>
                <w:sz w:val="20"/>
                <w:szCs w:val="20"/>
                <w:color w:val="auto"/>
              </w:rPr>
            </w:pPr>
            <w:r>
              <w:rPr>
                <w:rFonts w:ascii="Arial" w:cs="Arial" w:eastAsia="Arial" w:hAnsi="Arial"/>
                <w:sz w:val="18"/>
                <w:szCs w:val="18"/>
                <w:color w:val="auto"/>
              </w:rPr>
              <w:t>8,524</w:t>
            </w:r>
          </w:p>
        </w:tc>
        <w:tc>
          <w:tcPr>
            <w:tcW w:w="122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the Articles of Association in</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9"/>
              </w:rPr>
              <w:t>section 16 (Place, Convening</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7"/>
              </w:rPr>
              <w:t>and Participation) to authorize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the Management Board to</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provide for a postal vote and</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online participation</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w:t>
            </w:r>
          </w:p>
        </w:tc>
        <w:tc>
          <w:tcPr>
            <w:tcW w:w="2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Resolution on a further</w:t>
            </w:r>
          </w:p>
        </w:tc>
        <w:tc>
          <w:tcPr>
            <w:tcW w:w="9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w w:val="94"/>
              </w:rPr>
              <w:t>1,783,235</w:t>
            </w:r>
          </w:p>
        </w:tc>
        <w:tc>
          <w:tcPr>
            <w:tcW w:w="940" w:type="dxa"/>
            <w:vAlign w:val="bottom"/>
            <w:shd w:val="clear" w:color="auto" w:fill="CCEEFF"/>
          </w:tcPr>
          <w:p>
            <w:pPr>
              <w:jc w:val="right"/>
              <w:ind w:right="230"/>
              <w:spacing w:after="0" w:line="201" w:lineRule="exact"/>
              <w:rPr>
                <w:sz w:val="20"/>
                <w:szCs w:val="20"/>
                <w:color w:val="auto"/>
              </w:rPr>
            </w:pPr>
            <w:r>
              <w:rPr>
                <w:rFonts w:ascii="Arial" w:cs="Arial" w:eastAsia="Arial" w:hAnsi="Arial"/>
                <w:sz w:val="18"/>
                <w:szCs w:val="18"/>
                <w:color w:val="auto"/>
              </w:rPr>
              <w:t>28.61</w:t>
            </w:r>
          </w:p>
        </w:tc>
        <w:tc>
          <w:tcPr>
            <w:tcW w:w="124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1,718,379</w:t>
            </w:r>
          </w:p>
        </w:tc>
        <w:tc>
          <w:tcPr>
            <w:tcW w:w="86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96.36</w:t>
            </w:r>
          </w:p>
        </w:tc>
        <w:tc>
          <w:tcPr>
            <w:tcW w:w="11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64,856</w:t>
            </w:r>
          </w:p>
        </w:tc>
        <w:tc>
          <w:tcPr>
            <w:tcW w:w="9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3.64</w:t>
            </w:r>
          </w:p>
        </w:tc>
        <w:tc>
          <w:tcPr>
            <w:tcW w:w="11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5,578</w:t>
            </w:r>
          </w:p>
        </w:tc>
        <w:tc>
          <w:tcPr>
            <w:tcW w:w="1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amendment to section 16 of the</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Articles of Association (Place,</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Convening and Participation) to</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authorize the Management</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 to provide for the</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holding of a virtual general</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meeting</w:t>
            </w: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320" w:type="dxa"/>
            <w:vAlign w:val="bottom"/>
          </w:tcPr>
          <w:p>
            <w:pPr>
              <w:spacing w:after="0" w:line="201" w:lineRule="exact"/>
              <w:rPr>
                <w:sz w:val="20"/>
                <w:szCs w:val="20"/>
                <w:color w:val="auto"/>
              </w:rPr>
            </w:pPr>
            <w:r>
              <w:rPr>
                <w:rFonts w:ascii="Arial" w:cs="Arial" w:eastAsia="Arial" w:hAnsi="Arial"/>
                <w:sz w:val="18"/>
                <w:szCs w:val="18"/>
                <w:color w:val="auto"/>
              </w:rPr>
              <w:t>9</w:t>
            </w:r>
          </w:p>
        </w:tc>
        <w:tc>
          <w:tcPr>
            <w:tcW w:w="2500" w:type="dxa"/>
            <w:vAlign w:val="bottom"/>
          </w:tcPr>
          <w:p>
            <w:pPr>
              <w:ind w:left="140"/>
              <w:spacing w:after="0" w:line="201" w:lineRule="exact"/>
              <w:rPr>
                <w:sz w:val="20"/>
                <w:szCs w:val="20"/>
                <w:color w:val="auto"/>
              </w:rPr>
            </w:pPr>
            <w:r>
              <w:rPr>
                <w:rFonts w:ascii="Arial" w:cs="Arial" w:eastAsia="Arial" w:hAnsi="Arial"/>
                <w:sz w:val="18"/>
                <w:szCs w:val="18"/>
                <w:color w:val="auto"/>
              </w:rPr>
              <w:t>Resolution on a further</w:t>
            </w: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4"/>
              </w:rPr>
              <w:t>1,740,942</w:t>
            </w:r>
          </w:p>
        </w:tc>
        <w:tc>
          <w:tcPr>
            <w:tcW w:w="94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27.93</w:t>
            </w:r>
          </w:p>
        </w:tc>
        <w:tc>
          <w:tcPr>
            <w:tcW w:w="12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1,708,349</w:t>
            </w:r>
          </w:p>
        </w:tc>
        <w:tc>
          <w:tcPr>
            <w:tcW w:w="8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98.13</w:t>
            </w:r>
          </w:p>
        </w:tc>
        <w:tc>
          <w:tcPr>
            <w:tcW w:w="1100" w:type="dxa"/>
            <w:vAlign w:val="bottom"/>
          </w:tcPr>
          <w:p>
            <w:pPr>
              <w:ind w:left="240"/>
              <w:spacing w:after="0" w:line="201" w:lineRule="exact"/>
              <w:rPr>
                <w:sz w:val="20"/>
                <w:szCs w:val="20"/>
                <w:color w:val="auto"/>
              </w:rPr>
            </w:pPr>
            <w:r>
              <w:rPr>
                <w:rFonts w:ascii="Arial" w:cs="Arial" w:eastAsia="Arial" w:hAnsi="Arial"/>
                <w:sz w:val="18"/>
                <w:szCs w:val="18"/>
                <w:color w:val="auto"/>
              </w:rPr>
              <w:t>32,593</w:t>
            </w:r>
          </w:p>
        </w:tc>
        <w:tc>
          <w:tcPr>
            <w:tcW w:w="980" w:type="dxa"/>
            <w:vAlign w:val="bottom"/>
          </w:tcPr>
          <w:p>
            <w:pPr>
              <w:ind w:left="260"/>
              <w:spacing w:after="0" w:line="201" w:lineRule="exact"/>
              <w:rPr>
                <w:sz w:val="20"/>
                <w:szCs w:val="20"/>
                <w:color w:val="auto"/>
              </w:rPr>
            </w:pPr>
            <w:r>
              <w:rPr>
                <w:rFonts w:ascii="Arial" w:cs="Arial" w:eastAsia="Arial" w:hAnsi="Arial"/>
                <w:sz w:val="18"/>
                <w:szCs w:val="18"/>
                <w:color w:val="auto"/>
              </w:rPr>
              <w:t>1.87</w:t>
            </w:r>
          </w:p>
        </w:tc>
        <w:tc>
          <w:tcPr>
            <w:tcW w:w="1100" w:type="dxa"/>
            <w:vAlign w:val="bottom"/>
          </w:tcPr>
          <w:p>
            <w:pPr>
              <w:ind w:left="300"/>
              <w:spacing w:after="0" w:line="201" w:lineRule="exact"/>
              <w:rPr>
                <w:sz w:val="20"/>
                <w:szCs w:val="20"/>
                <w:color w:val="auto"/>
              </w:rPr>
            </w:pPr>
            <w:r>
              <w:rPr>
                <w:rFonts w:ascii="Arial" w:cs="Arial" w:eastAsia="Arial" w:hAnsi="Arial"/>
                <w:sz w:val="18"/>
                <w:szCs w:val="18"/>
                <w:color w:val="auto"/>
              </w:rPr>
              <w:t>47,871</w:t>
            </w:r>
          </w:p>
        </w:tc>
        <w:tc>
          <w:tcPr>
            <w:tcW w:w="122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5"/>
              </w:rPr>
              <w:t>amendment to Article 16 of the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8"/>
              </w:rPr>
              <w:t>Articles of Association (Place,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Convening and Participation)</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on the participation of the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Supervisory Board in the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general meeting</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w:t>
            </w:r>
          </w:p>
        </w:tc>
        <w:tc>
          <w:tcPr>
            <w:tcW w:w="2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Resolution on the cancellation</w:t>
            </w:r>
          </w:p>
        </w:tc>
        <w:tc>
          <w:tcPr>
            <w:tcW w:w="9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w w:val="94"/>
              </w:rPr>
              <w:t>1,776,103</w:t>
            </w:r>
          </w:p>
        </w:tc>
        <w:tc>
          <w:tcPr>
            <w:tcW w:w="940" w:type="dxa"/>
            <w:vAlign w:val="bottom"/>
            <w:shd w:val="clear" w:color="auto" w:fill="CCEEFF"/>
          </w:tcPr>
          <w:p>
            <w:pPr>
              <w:jc w:val="right"/>
              <w:ind w:right="230"/>
              <w:spacing w:after="0" w:line="201" w:lineRule="exact"/>
              <w:rPr>
                <w:sz w:val="20"/>
                <w:szCs w:val="20"/>
                <w:color w:val="auto"/>
              </w:rPr>
            </w:pPr>
            <w:r>
              <w:rPr>
                <w:rFonts w:ascii="Arial" w:cs="Arial" w:eastAsia="Arial" w:hAnsi="Arial"/>
                <w:sz w:val="18"/>
                <w:szCs w:val="18"/>
                <w:color w:val="auto"/>
              </w:rPr>
              <w:t>28.49</w:t>
            </w:r>
          </w:p>
        </w:tc>
        <w:tc>
          <w:tcPr>
            <w:tcW w:w="124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1,471,890</w:t>
            </w:r>
          </w:p>
        </w:tc>
        <w:tc>
          <w:tcPr>
            <w:tcW w:w="86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82.87</w:t>
            </w:r>
          </w:p>
        </w:tc>
        <w:tc>
          <w:tcPr>
            <w:tcW w:w="11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304,213</w:t>
            </w:r>
          </w:p>
        </w:tc>
        <w:tc>
          <w:tcPr>
            <w:tcW w:w="9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17.13</w:t>
            </w:r>
          </w:p>
        </w:tc>
        <w:tc>
          <w:tcPr>
            <w:tcW w:w="11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12,710</w:t>
            </w:r>
          </w:p>
        </w:tc>
        <w:tc>
          <w:tcPr>
            <w:tcW w:w="1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the existing authorized</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(Authorized Capital</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2022/I), the creation of a new</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authorized capital with the</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possibility to exclude</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subscription rights (Authorized</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2023/I) and a</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corresponding amendment to</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4 of the Articles of</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Association (Share Capital)</w:t>
            </w: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32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2500" w:type="dxa"/>
            <w:vAlign w:val="bottom"/>
          </w:tcPr>
          <w:p>
            <w:pPr>
              <w:ind w:left="140"/>
              <w:spacing w:after="0" w:line="201" w:lineRule="exact"/>
              <w:rPr>
                <w:sz w:val="20"/>
                <w:szCs w:val="20"/>
                <w:color w:val="auto"/>
              </w:rPr>
            </w:pPr>
            <w:r>
              <w:rPr>
                <w:rFonts w:ascii="Arial" w:cs="Arial" w:eastAsia="Arial" w:hAnsi="Arial"/>
                <w:sz w:val="18"/>
                <w:szCs w:val="18"/>
                <w:color w:val="auto"/>
                <w:w w:val="95"/>
              </w:rPr>
              <w:t>Resolution on the creation of a</w:t>
            </w: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4"/>
              </w:rPr>
              <w:t>1,776,455</w:t>
            </w:r>
          </w:p>
        </w:tc>
        <w:tc>
          <w:tcPr>
            <w:tcW w:w="94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28.50</w:t>
            </w:r>
          </w:p>
        </w:tc>
        <w:tc>
          <w:tcPr>
            <w:tcW w:w="12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1,509,573</w:t>
            </w:r>
          </w:p>
        </w:tc>
        <w:tc>
          <w:tcPr>
            <w:tcW w:w="8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84.98</w:t>
            </w:r>
          </w:p>
        </w:tc>
        <w:tc>
          <w:tcPr>
            <w:tcW w:w="1100" w:type="dxa"/>
            <w:vAlign w:val="bottom"/>
          </w:tcPr>
          <w:p>
            <w:pPr>
              <w:ind w:left="240"/>
              <w:spacing w:after="0" w:line="201" w:lineRule="exact"/>
              <w:rPr>
                <w:sz w:val="20"/>
                <w:szCs w:val="20"/>
                <w:color w:val="auto"/>
              </w:rPr>
            </w:pPr>
            <w:r>
              <w:rPr>
                <w:rFonts w:ascii="Arial" w:cs="Arial" w:eastAsia="Arial" w:hAnsi="Arial"/>
                <w:sz w:val="18"/>
                <w:szCs w:val="18"/>
                <w:color w:val="auto"/>
              </w:rPr>
              <w:t>266,882</w:t>
            </w:r>
          </w:p>
        </w:tc>
        <w:tc>
          <w:tcPr>
            <w:tcW w:w="980" w:type="dxa"/>
            <w:vAlign w:val="bottom"/>
          </w:tcPr>
          <w:p>
            <w:pPr>
              <w:ind w:left="260"/>
              <w:spacing w:after="0" w:line="201" w:lineRule="exact"/>
              <w:rPr>
                <w:sz w:val="20"/>
                <w:szCs w:val="20"/>
                <w:color w:val="auto"/>
              </w:rPr>
            </w:pPr>
            <w:r>
              <w:rPr>
                <w:rFonts w:ascii="Arial" w:cs="Arial" w:eastAsia="Arial" w:hAnsi="Arial"/>
                <w:sz w:val="18"/>
                <w:szCs w:val="18"/>
                <w:color w:val="auto"/>
              </w:rPr>
              <w:t>15.02</w:t>
            </w:r>
          </w:p>
        </w:tc>
        <w:tc>
          <w:tcPr>
            <w:tcW w:w="1100" w:type="dxa"/>
            <w:vAlign w:val="bottom"/>
          </w:tcPr>
          <w:p>
            <w:pPr>
              <w:ind w:left="300"/>
              <w:spacing w:after="0" w:line="201" w:lineRule="exact"/>
              <w:rPr>
                <w:sz w:val="20"/>
                <w:szCs w:val="20"/>
                <w:color w:val="auto"/>
              </w:rPr>
            </w:pPr>
            <w:r>
              <w:rPr>
                <w:rFonts w:ascii="Arial" w:cs="Arial" w:eastAsia="Arial" w:hAnsi="Arial"/>
                <w:sz w:val="18"/>
                <w:szCs w:val="18"/>
                <w:color w:val="auto"/>
              </w:rPr>
              <w:t>12,358</w:t>
            </w:r>
          </w:p>
        </w:tc>
        <w:tc>
          <w:tcPr>
            <w:tcW w:w="122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5"/>
              </w:rPr>
              <w:t>new authorized capital with the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5"/>
              </w:rPr>
              <w:t>exclusion of subscription rights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(Authorized Capital 2023/II)</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and a corresponding</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w w:val="93"/>
              </w:rPr>
              <w:t>amendment to section 4 (Share</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Capital) of the Articles of</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Association</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12</w:t>
            </w:r>
          </w:p>
        </w:tc>
        <w:tc>
          <w:tcPr>
            <w:tcW w:w="25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Resolution on the decrease of</w:t>
            </w:r>
          </w:p>
        </w:tc>
        <w:tc>
          <w:tcPr>
            <w:tcW w:w="9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w w:val="94"/>
              </w:rPr>
              <w:t>1,776,729</w:t>
            </w:r>
          </w:p>
        </w:tc>
        <w:tc>
          <w:tcPr>
            <w:tcW w:w="940" w:type="dxa"/>
            <w:vAlign w:val="bottom"/>
            <w:shd w:val="clear" w:color="auto" w:fill="CCEEFF"/>
          </w:tcPr>
          <w:p>
            <w:pPr>
              <w:jc w:val="right"/>
              <w:ind w:right="230"/>
              <w:spacing w:after="0" w:line="201" w:lineRule="exact"/>
              <w:rPr>
                <w:sz w:val="20"/>
                <w:szCs w:val="20"/>
                <w:color w:val="auto"/>
              </w:rPr>
            </w:pPr>
            <w:r>
              <w:rPr>
                <w:rFonts w:ascii="Arial" w:cs="Arial" w:eastAsia="Arial" w:hAnsi="Arial"/>
                <w:sz w:val="18"/>
                <w:szCs w:val="18"/>
                <w:color w:val="auto"/>
              </w:rPr>
              <w:t>28.50</w:t>
            </w:r>
          </w:p>
        </w:tc>
        <w:tc>
          <w:tcPr>
            <w:tcW w:w="124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1,762,598</w:t>
            </w:r>
          </w:p>
        </w:tc>
        <w:tc>
          <w:tcPr>
            <w:tcW w:w="86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99.20</w:t>
            </w:r>
          </w:p>
        </w:tc>
        <w:tc>
          <w:tcPr>
            <w:tcW w:w="11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14,131</w:t>
            </w:r>
          </w:p>
        </w:tc>
        <w:tc>
          <w:tcPr>
            <w:tcW w:w="9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0.80</w:t>
            </w:r>
          </w:p>
        </w:tc>
        <w:tc>
          <w:tcPr>
            <w:tcW w:w="11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12,084</w:t>
            </w:r>
          </w:p>
        </w:tc>
        <w:tc>
          <w:tcPr>
            <w:tcW w:w="1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rPr>
              <w:t>Approved</w:t>
            </w:r>
          </w:p>
        </w:tc>
      </w:tr>
      <w:tr>
        <w:trPr>
          <w:trHeight w:val="230"/>
        </w:trPr>
        <w:tc>
          <w:tcPr>
            <w:tcW w:w="320" w:type="dxa"/>
            <w:vAlign w:val="bottom"/>
            <w:shd w:val="clear" w:color="auto" w:fill="CCEEFF"/>
          </w:tcPr>
          <w:p>
            <w:pPr>
              <w:spacing w:after="0"/>
              <w:rPr>
                <w:sz w:val="20"/>
                <w:szCs w:val="20"/>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the Conditional Capital 2019 as</w:t>
            </w: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48"/>
        </w:trPr>
        <w:tc>
          <w:tcPr>
            <w:tcW w:w="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bl>
    <w:p>
      <w:pPr>
        <w:sectPr>
          <w:pgSz w:w="11900" w:h="16918"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460"/>
              <w:spacing w:after="0"/>
              <w:rPr>
                <w:sz w:val="20"/>
                <w:szCs w:val="20"/>
                <w:color w:val="auto"/>
              </w:rPr>
            </w:pPr>
            <w:r>
              <w:rPr>
                <w:rFonts w:ascii="Arial" w:cs="Arial" w:eastAsia="Arial" w:hAnsi="Arial"/>
                <w:sz w:val="18"/>
                <w:szCs w:val="18"/>
                <w:color w:val="auto"/>
              </w:rPr>
              <w:t>well as a corresponding</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460"/>
              <w:spacing w:after="0"/>
              <w:rPr>
                <w:sz w:val="20"/>
                <w:szCs w:val="20"/>
                <w:color w:val="auto"/>
              </w:rPr>
            </w:pPr>
            <w:r>
              <w:rPr>
                <w:rFonts w:ascii="Arial" w:cs="Arial" w:eastAsia="Arial" w:hAnsi="Arial"/>
                <w:sz w:val="18"/>
                <w:szCs w:val="18"/>
                <w:color w:val="auto"/>
                <w:w w:val="94"/>
              </w:rPr>
              <w:t>amendment to section 4 of the</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460"/>
              <w:spacing w:after="0"/>
              <w:rPr>
                <w:sz w:val="20"/>
                <w:szCs w:val="20"/>
                <w:color w:val="auto"/>
              </w:rPr>
            </w:pPr>
            <w:r>
              <w:rPr>
                <w:rFonts w:ascii="Arial" w:cs="Arial" w:eastAsia="Arial" w:hAnsi="Arial"/>
                <w:sz w:val="18"/>
                <w:szCs w:val="18"/>
                <w:color w:val="auto"/>
                <w:w w:val="96"/>
              </w:rPr>
              <w:t>Articles of Association (Share</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460"/>
              <w:spacing w:after="0"/>
              <w:rPr>
                <w:sz w:val="20"/>
                <w:szCs w:val="20"/>
                <w:color w:val="auto"/>
              </w:rPr>
            </w:pPr>
            <w:r>
              <w:rPr>
                <w:rFonts w:ascii="Arial" w:cs="Arial" w:eastAsia="Arial" w:hAnsi="Arial"/>
                <w:sz w:val="18"/>
                <w:szCs w:val="18"/>
                <w:color w:val="auto"/>
              </w:rPr>
              <w:t>Capital)</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0"/>
              </w:rPr>
              <w:t>Approved</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13   Resolution on a further</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1,739,759</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27.91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1,431,424</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82.28</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308,335</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17.72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49,054</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authorization to grant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subscription rights to members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Management Board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under a new stock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program and the creation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a new conditional capital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(Conditional Capital 2023) 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 as a corresponding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amendment to section 4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Articles of Association (Share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w:t>
      </w:r>
    </w:p>
    <w:sectPr>
      <w:pgSz w:w="11900" w:h="16838" w:orient="portrait"/>
      <w:cols w:equalWidth="0" w:num="1">
        <w:col w:w="11000"/>
      </w:cols>
      <w:pgMar w:left="320" w:top="12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2023-08-08T11:32:11Z</dcterms:created>
  <dcterms:modified xsi:type="dcterms:W3CDTF">2023-08-08T11:32:11Z</dcterms:modified>
</cp:coreProperties>
</file>