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247015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left="2280" w:right="102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MARCH 2022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 001-41045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240030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Mynaric AG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236220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Dornierstraße 19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82205 Gilching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Germany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+49 (0) 8105 79990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40-F: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4200"/>
        <w:spacing w:after="0" w:line="207" w:lineRule="exact"/>
        <w:tabs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196215</wp:posOffset>
            </wp:positionV>
            <wp:extent cx="6995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238760</wp:posOffset>
            </wp:positionV>
            <wp:extent cx="6995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368" w:right="1440" w:bottom="1440" w:gutter="0" w:footer="0" w:header="0"/>
        </w:sectPr>
      </w:pPr>
    </w:p>
    <w:bookmarkStart w:id="1" w:name="page2"/>
    <w:bookmarkEnd w:id="1"/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DOCUMENTS INCLUDED AS PART OF THIS FORM 6-K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Report on Form 6-K is being furnished by Mynaric AG (the “Company”) to the Securities and Exchange Commission for the sole purpose of furnishing, as Exhibit 99.1 to this Form 6-K, an ad hoc press release issued by the Company on March 21, 2022.</w:t>
      </w:r>
    </w:p>
    <w:p>
      <w:pPr>
        <w:sectPr>
          <w:pgSz w:w="11900" w:h="16838" w:orient="portrait"/>
          <w:cols w:equalWidth="0" w:num="1">
            <w:col w:w="10520"/>
          </w:cols>
          <w:pgMar w:left="440" w:top="270" w:right="939" w:bottom="1440" w:gutter="0" w:footer="0" w:header="0"/>
        </w:sectPr>
      </w:pPr>
    </w:p>
    <w:bookmarkStart w:id="2" w:name="page3"/>
    <w:bookmarkEnd w:id="2"/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Mynaric AG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 /s/ Stefan Berndt-von Bülow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4369435</wp:posOffset>
            </wp:positionH>
            <wp:positionV relativeFrom="paragraph">
              <wp:posOffset>14605</wp:posOffset>
            </wp:positionV>
            <wp:extent cx="262318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Stefan Berndt-von Bülow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88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Chief Financial Officer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 /s/ Sven Meyer-Brunswick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4369435</wp:posOffset>
            </wp:positionH>
            <wp:positionV relativeFrom="paragraph">
              <wp:posOffset>14605</wp:posOffset>
            </wp:positionV>
            <wp:extent cx="262318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Sven Meyer-Brunswick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88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Authorized Representative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21, 2022</w:t>
      </w:r>
    </w:p>
    <w:p>
      <w:pPr>
        <w:sectPr>
          <w:pgSz w:w="11900" w:h="16838" w:orient="portrait"/>
          <w:cols w:equalWidth="0" w:num="1">
            <w:col w:w="10700"/>
          </w:cols>
          <w:pgMar w:left="440" w:top="270" w:right="759" w:bottom="1440" w:gutter="0" w:footer="0" w:header="0"/>
        </w:sectPr>
      </w:pPr>
    </w:p>
    <w:bookmarkStart w:id="3" w:name="page4"/>
    <w:bookmarkEnd w:id="3"/>
    <w:p>
      <w:pPr>
        <w:ind w:left="4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INDEX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u w:val="single" w:color="auto"/>
          <w:color w:val="auto"/>
        </w:rPr>
        <w:t>Description of Exhibit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rFonts w:ascii="Arial" w:cs="Arial" w:eastAsia="Arial" w:hAnsi="Arial"/>
          <w:sz w:val="16"/>
          <w:szCs w:val="16"/>
          <w:u w:val="single" w:color="auto"/>
          <w:color w:val="0000EE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hyperlink w:anchor="page5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Ad hoc press release dated March 21, 2022: Mynaric receives $36 million order from Northrop Grumman</w:t>
        </w:r>
      </w:hyperlink>
    </w:p>
    <w:p>
      <w:pPr>
        <w:sectPr>
          <w:pgSz w:w="11900" w:h="16838" w:orient="portrait"/>
          <w:cols w:equalWidth="0" w:num="1">
            <w:col w:w="10019"/>
          </w:cols>
          <w:pgMar w:left="440" w:top="270" w:right="1440" w:bottom="1440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Mynaric receives $36 million order from Northrop Grumman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6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LOS ANGELES, CA, 21 March 2022</w:t>
      </w:r>
      <w:r>
        <w:rPr>
          <w:rFonts w:ascii="Arial" w:cs="Arial" w:eastAsia="Arial" w:hAnsi="Arial"/>
          <w:sz w:val="18"/>
          <w:szCs w:val="18"/>
          <w:color w:val="auto"/>
        </w:rPr>
        <w:t>—Mynaric (NASDAQ: MYNA)(FRA: M0Y) has today entered into a definitive agreement with Northrop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Grumman for delivery of optical communication terminals in the framework of a U.S. government space program led by the Space Development Agency. The contract with an initial value of $36 million foresees payment milestones throughout 2022, 2023 and 2024 and product deliveries mostly in 2023 and 2024.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Mynaric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0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Mynaric (NASDAQ: MYNA)(FRA: M0Y) is leading the industrial revolution of laser communications by producing optical communications terminals for air, space and mobile applications. Laser communication networks provide connectivity from the sky, allowing for ultra-high data rates and secure, long-distance data transmission between moving objects for wireless terrestrial, mobility, airborne- and space-based applications. The company is headquartered in Munich, Germany, with additional locations in Los Angeles, California, and Washington, D.C.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more information, visit mynaric.com.</w:t>
      </w:r>
    </w:p>
    <w:sectPr>
      <w:pgSz w:w="11900" w:h="16838" w:orient="portrait"/>
      <w:cols w:equalWidth="0" w:num="1">
        <w:col w:w="11020"/>
      </w:cols>
      <w:pgMar w:left="440" w:top="121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2022-03-21T16:06:30Z</dcterms:created>
  <dcterms:modified xsi:type="dcterms:W3CDTF">2022-03-21T16:06:30Z</dcterms:modified>
</cp:coreProperties>
</file>