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25, 2022, Mynaric AG issued an Ad-Hoc and a press release. A copy of the Ad-Hoc is furnished as Exhibit 99.1 and a copy of the press release is furnished as Exhibit 99.2 hereto.</w:t>
      </w:r>
    </w:p>
    <w:p>
      <w:pPr>
        <w:sectPr>
          <w:pgSz w:w="11900" w:h="16838" w:orient="portrait"/>
          <w:cols w:equalWidth="0" w:num="1">
            <w:col w:w="10660"/>
          </w:cols>
          <w:pgMar w:left="440" w:top="266" w:right="799" w:bottom="1440" w:gutter="0" w:footer="0" w:header="0"/>
        </w:sectPr>
      </w:pPr>
    </w:p>
    <w:bookmarkStart w:id="2" w:name="page3"/>
    <w:bookmarkEnd w:id="2"/>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 of Exhibit</w:t>
      </w:r>
    </w:p>
    <w:p>
      <w:pPr>
        <w:spacing w:after="0" w:line="1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Mynaric announces full-year 2022 guidance update</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Mynaric announces date of first half 2022 financial results and provides full-year 2022 guidance update</w:t>
      </w:r>
    </w:p>
    <w:p>
      <w:pPr>
        <w:sectPr>
          <w:pgSz w:w="11900" w:h="16838" w:orient="portrait"/>
          <w:cols w:equalWidth="0" w:num="1">
            <w:col w:w="10019"/>
          </w:cols>
          <w:pgMar w:left="440" w:top="266"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2022</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announces full-year 2022 guidance update</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MUNICH, Germany, 25 October 2022 </w:t>
      </w:r>
      <w:r>
        <w:rPr>
          <w:rFonts w:ascii="Times New Roman" w:cs="Times New Roman" w:eastAsia="Times New Roman" w:hAnsi="Times New Roman"/>
          <w:sz w:val="18"/>
          <w:szCs w:val="18"/>
          <w:color w:val="auto"/>
        </w:rPr>
        <w:t>– Mynaric (NASDAQ: MYNA)(FRA: M0YN) today announced a full-year 2022 guidance update for its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metrics:</w:t>
      </w:r>
    </w:p>
    <w:p>
      <w:pPr>
        <w:spacing w:after="0" w:line="64" w:lineRule="exact"/>
        <w:rPr>
          <w:sz w:val="20"/>
          <w:szCs w:val="20"/>
          <w:color w:val="auto"/>
        </w:rPr>
      </w:pPr>
    </w:p>
    <w:p>
      <w:pPr>
        <w:jc w:val="both"/>
        <w:ind w:left="960" w:right="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Communications Terminal Backlog: the company now expects more than 250 units in backlog by the end of 2022 compared to the previously communicated guidance of more than 220 units. The guidance is increased due to strong traction and program wins particularly in the government market.</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Cash-In from Customer Contracts: the company reiterates its full-year 2022 guidance of expected more than EUR 20 million cash-in from customer contracts.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Optical communications terminal backlog represents the quantity of all open optical communications terminal deliverables in the context of signed customer programs at the end of a reporting period. Cash-In from Customer Contracts includes payments from customers under purchase orders and other signed agreements, including accrued payment milestones under customer programs. Further explanations about how Mynaric uses these metrics can be found in Mynaric’s Annual Report 2021, which has been published on Mynaric’s investor relations website.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full-year 2022 guidance metrics were updated as follows:</w:t>
      </w:r>
    </w:p>
    <w:p>
      <w:pPr>
        <w:spacing w:after="0" w:line="131" w:lineRule="exact"/>
        <w:rPr>
          <w:sz w:val="20"/>
          <w:szCs w:val="20"/>
          <w:color w:val="auto"/>
        </w:rPr>
      </w:pPr>
    </w:p>
    <w:p>
      <w:pPr>
        <w:ind w:left="960" w:right="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IFRS-15 revenue: Considering supply chain constraints negatively impacting previously expected HAWK product deliveries and push-outs in customer program delivery schedules the company now expects IFRS-15 revenues to stay around 2021 levels (previous guidance: significant increase).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Considering the lower than initially expected IFRS-15 revenues the company now expects a significantly higher operating</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for the full year than 2021 (previous guidance: moderate decrease).</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Mynaric will host a conference call and webcast to discuss its first half 2022 financial results for the period ending June 30, 2022 on Oct 31, 2022 details about which can be found on Mynaric’s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ectPr>
          <w:pgSz w:w="11900" w:h="16838" w:orient="portrait"/>
          <w:cols w:equalWidth="0" w:num="1">
            <w:col w:w="11020"/>
          </w:cols>
          <w:pgMar w:left="440" w:top="117" w:right="439" w:bottom="1440" w:gutter="0" w:footer="0" w:header="0"/>
        </w:sectPr>
      </w:pPr>
    </w:p>
    <w:bookmarkStart w:id="5" w:name="page6"/>
    <w:bookmarkEnd w:id="5"/>
    <w:p>
      <w:pPr>
        <w:ind w:left="4" w:right="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w:t>
      </w:r>
    </w:p>
    <w:p>
      <w:pPr>
        <w:spacing w:after="0" w:line="1" w:lineRule="exact"/>
        <w:rPr>
          <w:sz w:val="20"/>
          <w:szCs w:val="20"/>
          <w:color w:val="auto"/>
        </w:rPr>
      </w:pPr>
    </w:p>
    <w:p>
      <w:pPr>
        <w:ind w:left="4" w:right="160" w:hanging="4"/>
        <w:spacing w:after="0" w:line="252" w:lineRule="auto"/>
        <w:tabs>
          <w:tab w:leader="none" w:pos="3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0" w:lineRule="exact"/>
        <w:rPr>
          <w:sz w:val="20"/>
          <w:szCs w:val="20"/>
          <w:color w:val="auto"/>
        </w:rPr>
      </w:pPr>
    </w:p>
    <w:p>
      <w:pPr>
        <w:ind w:left="4" w:right="120"/>
        <w:spacing w:after="0" w:line="274" w:lineRule="auto"/>
        <w:rPr>
          <w:sz w:val="20"/>
          <w:szCs w:val="20"/>
          <w:color w:val="auto"/>
        </w:rPr>
      </w:pPr>
      <w:r>
        <w:rPr>
          <w:rFonts w:ascii="Times New Roman" w:cs="Times New Roman" w:eastAsia="Times New Roman" w:hAnsi="Times New Roman"/>
          <w:sz w:val="17"/>
          <w:szCs w:val="17"/>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7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ectPr>
          <w:pgSz w:w="11900" w:h="16838" w:orient="portrait"/>
          <w:cols w:equalWidth="0" w:num="1">
            <w:col w:w="11024"/>
          </w:cols>
          <w:pgMar w:left="436" w:top="270"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announces date of first half 2022 financial results and provides full-year 2022 guidance update</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MUNICH, Germany, 25 October 2022 </w:t>
      </w:r>
      <w:r>
        <w:rPr>
          <w:rFonts w:ascii="Times New Roman" w:cs="Times New Roman" w:eastAsia="Times New Roman" w:hAnsi="Times New Roman"/>
          <w:sz w:val="18"/>
          <w:szCs w:val="18"/>
          <w:color w:val="auto"/>
        </w:rPr>
        <w:t>– Mynaric (NASDAQ: MYNA)(FRA: M0YN) today announced a full-year 2022 guidance update for its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metrics. In addition, Mynaric has scheduled a conference call and webcast to discuss its preliminary first half 2022 financial results for the period ending June 30,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Guidance Update for Key Financial Metrics</w:t>
      </w:r>
    </w:p>
    <w:p>
      <w:pPr>
        <w:spacing w:after="0" w:line="135" w:lineRule="exact"/>
        <w:rPr>
          <w:sz w:val="20"/>
          <w:szCs w:val="20"/>
          <w:color w:val="auto"/>
        </w:rPr>
      </w:pPr>
    </w:p>
    <w:p>
      <w:pPr>
        <w:ind w:left="960" w:right="10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Communications Terminal Backlog: the company increases its full-year guidance and now expects more than 250 units in backlog by end of 2022 compared to the previously communicated guidance of more than 220 units. The guidance is increased due to strong traction and recent program wins particularly in the government market.</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Cash-In from Customer Contracts: the company reiterates its full-year 2022 guidance of expected more than EUR 20 million cash-in from customer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2022 Financial Results Conference Call and Webcast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conference call and webcast to discuss this update as well as preliminary first half 2022 financial results for the period ending June 30, 2022 will be held on Monday, October 31, 2022, at 1:00 p.m. Eastern Daylight Time (6:00 p.m. Central European Time).</w:t>
      </w:r>
    </w:p>
    <w:p>
      <w:pPr>
        <w:spacing w:after="0" w:line="162" w:lineRule="exact"/>
        <w:rPr>
          <w:sz w:val="20"/>
          <w:szCs w:val="20"/>
          <w:color w:val="auto"/>
        </w:rPr>
      </w:pPr>
    </w:p>
    <w:p>
      <w:pPr>
        <w:ind w:right="1540"/>
        <w:spacing w:after="0" w:line="282" w:lineRule="auto"/>
        <w:rPr>
          <w:sz w:val="20"/>
          <w:szCs w:val="20"/>
          <w:color w:val="auto"/>
        </w:rPr>
      </w:pPr>
      <w:r>
        <w:rPr>
          <w:rFonts w:ascii="Times New Roman" w:cs="Times New Roman" w:eastAsia="Times New Roman" w:hAnsi="Times New Roman"/>
          <w:sz w:val="18"/>
          <w:szCs w:val="18"/>
          <w:color w:val="auto"/>
        </w:rPr>
        <w:t xml:space="preserve">The preliminary financial results will be released over the newswire and published in the Investor Relations section of mynaric.com </w:t>
      </w:r>
      <w:r>
        <w:rPr>
          <w:rFonts w:ascii="Times New Roman" w:cs="Times New Roman" w:eastAsia="Times New Roman" w:hAnsi="Times New Roman"/>
          <w:sz w:val="18"/>
          <w:szCs w:val="18"/>
          <w:u w:val="single" w:color="auto"/>
          <w:color w:val="auto"/>
        </w:rPr>
        <w:t>(https://mynaric.com/investor-relations/overview/)</w:t>
      </w:r>
      <w:r>
        <w:rPr>
          <w:rFonts w:ascii="Times New Roman" w:cs="Times New Roman" w:eastAsia="Times New Roman" w:hAnsi="Times New Roman"/>
          <w:sz w:val="18"/>
          <w:szCs w:val="18"/>
          <w:color w:val="auto"/>
        </w:rPr>
        <w:t xml:space="preserve"> prior to the call on Monday, October 31, 2022.</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conference call and webcast will include a presentation of these results along with a Q&amp;A session with Mynaric executives including CEO, Bulent Altan, and CFO, Stefan Berndt-von Bülow.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parties may listen via webcast on the Investor Relations section of Mynaric.com by pre-registering at the following 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https://edge.media-server.com/mmc/p/db9gnjrg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archived version of the webcast along with corresponding slides will be available on the Investor Relations section of Mynaric.com.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ectPr>
          <w:pgSz w:w="11900" w:h="16838" w:orient="portrait"/>
          <w:cols w:equalWidth="0" w:num="1">
            <w:col w:w="11020"/>
          </w:cols>
          <w:pgMar w:left="440" w:top="117"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Tom Dinges, CFA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tom.dinges@mynaric.com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7"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w:t>
      </w:r>
    </w:p>
    <w:p>
      <w:pPr>
        <w:spacing w:after="0" w:line="1" w:lineRule="exact"/>
        <w:rPr>
          <w:sz w:val="20"/>
          <w:szCs w:val="20"/>
          <w:color w:val="auto"/>
        </w:rPr>
      </w:pPr>
    </w:p>
    <w:p>
      <w:pPr>
        <w:ind w:left="4" w:right="120" w:hanging="4"/>
        <w:spacing w:after="0" w:line="253" w:lineRule="auto"/>
        <w:tabs>
          <w:tab w:leader="none" w:pos="3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w:t>
      </w:r>
    </w:p>
    <w:p>
      <w:pPr>
        <w:sectPr>
          <w:pgSz w:w="11900" w:h="16838" w:orient="portrait"/>
          <w:cols w:equalWidth="0" w:num="1">
            <w:col w:w="10984"/>
          </w:cols>
          <w:pgMar w:left="436" w:top="266" w:right="479" w:bottom="1440" w:gutter="0" w:footer="0" w:header="0"/>
        </w:sectPr>
      </w:pPr>
    </w:p>
    <w:bookmarkStart w:id="8" w:name="page9"/>
    <w:bookmarkEnd w:id="8"/>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7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2022-10-25T09:13:14Z</dcterms:created>
  <dcterms:modified xsi:type="dcterms:W3CDTF">2022-10-25T09:13:14Z</dcterms:modified>
</cp:coreProperties>
</file>